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0F0C23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C36FC0">
              <w:t>8</w:t>
            </w:r>
            <w:r>
              <w:t>/</w:t>
            </w:r>
            <w:r w:rsidR="00605C7C">
              <w:t>4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val="es-ES" w:eastAsia="es-ES"/>
              </w:rPr>
              <w:drawing>
                <wp:inline distT="0" distB="0" distL="0" distR="0" wp14:anchorId="5A473807" wp14:editId="793D5CBA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605C7C" w:rsidP="006D12B1">
            <w:pPr>
              <w:spacing w:line="240" w:lineRule="exact"/>
            </w:pPr>
            <w:r>
              <w:t>27</w:t>
            </w:r>
            <w:r w:rsidR="00986450" w:rsidRPr="00605C7C">
              <w:t xml:space="preserve"> </w:t>
            </w:r>
            <w:r w:rsidR="006A1D67" w:rsidRPr="00605C7C">
              <w:t>February</w:t>
            </w:r>
            <w:r w:rsidR="006A1D67">
              <w:t xml:space="preserve"> 201</w:t>
            </w:r>
            <w:r w:rsidR="00C36FC0">
              <w:t>8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05466E" w:rsidP="00432930">
      <w:pPr>
        <w:spacing w:before="120"/>
        <w:rPr>
          <w:b/>
        </w:rPr>
      </w:pPr>
      <w:r>
        <w:rPr>
          <w:b/>
        </w:rPr>
        <w:t>Fifty-</w:t>
      </w:r>
      <w:r w:rsidR="00605C7C">
        <w:rPr>
          <w:b/>
        </w:rPr>
        <w:t>third</w:t>
      </w:r>
      <w:r w:rsidRPr="0005466E">
        <w:rPr>
          <w:b/>
        </w:rPr>
        <w:t xml:space="preserve"> session</w:t>
      </w:r>
    </w:p>
    <w:p w:rsidR="00BD0239" w:rsidRPr="00085949" w:rsidRDefault="00B51A46" w:rsidP="00DF1C31">
      <w:pPr>
        <w:pStyle w:val="NormalWeb"/>
        <w:rPr>
          <w:b/>
          <w:bCs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C36FC0">
        <w:rPr>
          <w:color w:val="333333"/>
          <w:sz w:val="20"/>
          <w:szCs w:val="20"/>
          <w:lang w:eastAsia="it-IT"/>
        </w:rPr>
        <w:t>25 June</w:t>
      </w:r>
      <w:r w:rsidR="00B63E96">
        <w:rPr>
          <w:color w:val="333333"/>
          <w:sz w:val="20"/>
          <w:szCs w:val="20"/>
          <w:lang w:eastAsia="it-IT"/>
        </w:rPr>
        <w:t>-</w:t>
      </w:r>
      <w:r w:rsidR="00C36FC0">
        <w:rPr>
          <w:color w:val="333333"/>
          <w:sz w:val="20"/>
          <w:szCs w:val="20"/>
          <w:lang w:eastAsia="it-IT"/>
        </w:rPr>
        <w:t>4</w:t>
      </w:r>
      <w:r w:rsidR="00812689" w:rsidRPr="00812689">
        <w:rPr>
          <w:color w:val="333333"/>
          <w:sz w:val="20"/>
          <w:szCs w:val="20"/>
          <w:lang w:eastAsia="it-IT"/>
        </w:rPr>
        <w:t xml:space="preserve"> </w:t>
      </w:r>
      <w:r w:rsidR="0005466E">
        <w:rPr>
          <w:color w:val="333333"/>
          <w:sz w:val="20"/>
          <w:szCs w:val="20"/>
          <w:lang w:eastAsia="it-IT"/>
        </w:rPr>
        <w:t>July 201</w:t>
      </w:r>
      <w:r w:rsidR="00C36FC0">
        <w:rPr>
          <w:color w:val="333333"/>
          <w:sz w:val="20"/>
          <w:szCs w:val="20"/>
          <w:lang w:eastAsia="it-IT"/>
        </w:rPr>
        <w:t>8</w:t>
      </w:r>
      <w:r w:rsidRPr="00432930">
        <w:rPr>
          <w:color w:val="333333"/>
          <w:sz w:val="20"/>
          <w:szCs w:val="20"/>
          <w:lang w:eastAsia="it-IT"/>
        </w:rPr>
        <w:br/>
      </w:r>
      <w:r w:rsidRPr="0010339C">
        <w:rPr>
          <w:sz w:val="20"/>
          <w:szCs w:val="20"/>
        </w:rPr>
        <w:t xml:space="preserve">Item </w:t>
      </w:r>
      <w:r w:rsidR="007F4EFA">
        <w:rPr>
          <w:sz w:val="20"/>
          <w:szCs w:val="20"/>
        </w:rPr>
        <w:t>(</w:t>
      </w:r>
      <w:r w:rsidR="0010339C" w:rsidRPr="0010339C">
        <w:rPr>
          <w:sz w:val="20"/>
          <w:szCs w:val="20"/>
        </w:rPr>
        <w:t>3</w:t>
      </w:r>
      <w:r w:rsidR="007F4EFA">
        <w:rPr>
          <w:sz w:val="20"/>
          <w:szCs w:val="20"/>
        </w:rPr>
        <w:t>)</w:t>
      </w:r>
      <w:r w:rsidRPr="0010339C">
        <w:rPr>
          <w:sz w:val="20"/>
          <w:szCs w:val="20"/>
        </w:rPr>
        <w:t xml:space="preserve"> of the provisional agenda</w:t>
      </w:r>
      <w:bookmarkStart w:id="0" w:name="_GoBack"/>
      <w:bookmarkEnd w:id="0"/>
      <w:r w:rsidRPr="0010339C">
        <w:rPr>
          <w:sz w:val="20"/>
          <w:szCs w:val="20"/>
        </w:rPr>
        <w:br/>
      </w:r>
      <w:r w:rsidR="0010339C" w:rsidRPr="00085949">
        <w:rPr>
          <w:b/>
          <w:bCs/>
          <w:sz w:val="20"/>
          <w:szCs w:val="20"/>
        </w:rPr>
        <w:t>Listing, classification and packing</w:t>
      </w:r>
    </w:p>
    <w:p w:rsidR="006B4408" w:rsidRPr="006B4408" w:rsidRDefault="00783107" w:rsidP="006B4408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4116F7">
        <w:rPr>
          <w:lang w:val="en-US"/>
        </w:rPr>
        <w:t>Viscous liquid</w:t>
      </w:r>
      <w:r w:rsidR="00A23088">
        <w:rPr>
          <w:lang w:val="en-US"/>
        </w:rPr>
        <w:t>s not subject to the regulation</w:t>
      </w:r>
    </w:p>
    <w:p w:rsidR="006B4408" w:rsidRPr="006B4408" w:rsidRDefault="006B4408" w:rsidP="00B63E96">
      <w:pPr>
        <w:pStyle w:val="H1G"/>
      </w:pPr>
      <w:r w:rsidRPr="006B4408">
        <w:tab/>
      </w:r>
      <w:r w:rsidRPr="006B4408">
        <w:tab/>
        <w:t>Sub</w:t>
      </w:r>
      <w:r w:rsidR="00016B6E">
        <w:t xml:space="preserve">mitted by the expert </w:t>
      </w:r>
      <w:r w:rsidR="007F4EFA">
        <w:t>from</w:t>
      </w:r>
      <w:r w:rsidR="00016B6E">
        <w:t xml:space="preserve"> </w:t>
      </w:r>
      <w:r w:rsidR="00C36FC0">
        <w:t>Spain</w:t>
      </w:r>
      <w:r w:rsidR="00016B6E">
        <w:rPr>
          <w:rStyle w:val="FootnoteReference"/>
        </w:rPr>
        <w:footnoteReference w:id="2"/>
      </w:r>
    </w:p>
    <w:p w:rsidR="006A1D67" w:rsidRPr="006A1D67" w:rsidRDefault="006B4408" w:rsidP="00B63E96">
      <w:pPr>
        <w:pStyle w:val="HChG"/>
        <w:rPr>
          <w:lang w:val="en-US"/>
        </w:rPr>
      </w:pPr>
      <w:r w:rsidRPr="006B4408">
        <w:tab/>
      </w:r>
      <w:r w:rsidR="00B63E96">
        <w:tab/>
      </w:r>
      <w:r w:rsidR="006A1D67" w:rsidRPr="006A1D67">
        <w:rPr>
          <w:lang w:val="en-US"/>
        </w:rPr>
        <w:t>Introduction</w:t>
      </w:r>
    </w:p>
    <w:p w:rsidR="004116F7" w:rsidRDefault="005967E3" w:rsidP="00085949">
      <w:pPr>
        <w:pStyle w:val="SingleTxtG"/>
        <w:numPr>
          <w:ilvl w:val="0"/>
          <w:numId w:val="30"/>
        </w:numPr>
        <w:ind w:left="1134" w:firstLine="0"/>
        <w:rPr>
          <w:lang w:val="en-US"/>
        </w:rPr>
      </w:pPr>
      <w:r>
        <w:rPr>
          <w:lang w:val="en-US"/>
        </w:rPr>
        <w:t>Viscous</w:t>
      </w:r>
      <w:r w:rsidR="004116F7">
        <w:rPr>
          <w:lang w:val="en-US"/>
        </w:rPr>
        <w:t xml:space="preserve"> liquids, according to 2.3.2.5.1 of the Model Regulations, are not subject to those Regulations if they have a </w:t>
      </w:r>
      <w:r>
        <w:rPr>
          <w:lang w:val="en-US"/>
        </w:rPr>
        <w:t>“</w:t>
      </w:r>
      <w:r w:rsidR="004116F7">
        <w:rPr>
          <w:lang w:val="en-US"/>
        </w:rPr>
        <w:t>flash point of 23</w:t>
      </w:r>
      <w:r w:rsidR="00085949">
        <w:rPr>
          <w:lang w:val="en-US"/>
        </w:rPr>
        <w:t xml:space="preserve"> </w:t>
      </w:r>
      <w:r w:rsidR="004116F7">
        <w:rPr>
          <w:lang w:val="en-US"/>
        </w:rPr>
        <w:t>ºC or above and less than or equal to 60</w:t>
      </w:r>
      <w:r w:rsidR="00085949">
        <w:rPr>
          <w:lang w:val="en-US"/>
        </w:rPr>
        <w:t> </w:t>
      </w:r>
      <w:r w:rsidR="004116F7">
        <w:rPr>
          <w:lang w:val="en-US"/>
        </w:rPr>
        <w:t>ºC</w:t>
      </w:r>
      <w:r>
        <w:rPr>
          <w:lang w:val="en-US"/>
        </w:rPr>
        <w:t>”</w:t>
      </w:r>
      <w:r w:rsidR="004116F7">
        <w:rPr>
          <w:lang w:val="en-US"/>
        </w:rPr>
        <w:t xml:space="preserve"> and </w:t>
      </w:r>
      <w:r>
        <w:rPr>
          <w:lang w:val="en-US"/>
        </w:rPr>
        <w:t xml:space="preserve">fulfil </w:t>
      </w:r>
      <w:r w:rsidR="004116F7">
        <w:rPr>
          <w:lang w:val="en-US"/>
        </w:rPr>
        <w:t xml:space="preserve">several other conditions, if </w:t>
      </w:r>
      <w:proofErr w:type="gramStart"/>
      <w:r w:rsidR="004116F7">
        <w:rPr>
          <w:lang w:val="en-US"/>
        </w:rPr>
        <w:t>additionally</w:t>
      </w:r>
      <w:proofErr w:type="gramEnd"/>
      <w:r w:rsidR="004116F7">
        <w:rPr>
          <w:lang w:val="en-US"/>
        </w:rPr>
        <w:t xml:space="preserve"> </w:t>
      </w:r>
      <w:r w:rsidR="004116F7" w:rsidRPr="007F4EFA">
        <w:t>the</w:t>
      </w:r>
      <w:r w:rsidR="004116F7">
        <w:rPr>
          <w:lang w:val="en-US"/>
        </w:rPr>
        <w:t xml:space="preserve"> results of two tests (solvent separation test and viscosity test) are in between different values:</w:t>
      </w:r>
    </w:p>
    <w:p w:rsidR="00A36E38" w:rsidRPr="00A36E38" w:rsidRDefault="009F614C" w:rsidP="007F4EFA">
      <w:pPr>
        <w:pStyle w:val="SingleTxtG"/>
        <w:ind w:firstLine="360"/>
      </w:pPr>
      <w:r>
        <w:t>“</w:t>
      </w:r>
      <w:r w:rsidR="007F4EFA">
        <w:t>2.3.2.5.1</w:t>
      </w:r>
      <w:r w:rsidR="007F4EFA">
        <w:tab/>
      </w:r>
      <w:r w:rsidR="00A36E38" w:rsidRPr="00A36E38">
        <w:t>Except as provided for in 2.3.2.5.2, viscous liquids</w:t>
      </w:r>
      <w:r w:rsidR="00A36E38" w:rsidRPr="00A36E38">
        <w:rPr>
          <w:spacing w:val="-9"/>
        </w:rPr>
        <w:t xml:space="preserve"> </w:t>
      </w:r>
      <w:r w:rsidR="00A36E38" w:rsidRPr="00A36E38">
        <w:t>which:</w:t>
      </w:r>
    </w:p>
    <w:p w:rsidR="00A36E38" w:rsidRPr="00A36E38" w:rsidRDefault="00A36E38" w:rsidP="007F4EFA">
      <w:pPr>
        <w:pStyle w:val="ListParagraph"/>
        <w:widowControl w:val="0"/>
        <w:numPr>
          <w:ilvl w:val="5"/>
          <w:numId w:val="26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firstLine="184"/>
        <w:contextualSpacing w:val="0"/>
        <w:rPr>
          <w:rFonts w:ascii="Times New Roman" w:hAnsi="Times New Roman" w:cs="Times New Roman"/>
          <w:szCs w:val="20"/>
        </w:rPr>
      </w:pPr>
      <w:r w:rsidRPr="00A36E38">
        <w:rPr>
          <w:rFonts w:ascii="Times New Roman" w:hAnsi="Times New Roman" w:cs="Times New Roman"/>
          <w:szCs w:val="20"/>
        </w:rPr>
        <w:t xml:space="preserve">have a </w:t>
      </w:r>
      <w:r w:rsidRPr="00A36E38">
        <w:rPr>
          <w:rFonts w:ascii="Times New Roman" w:hAnsi="Times New Roman" w:cs="Times New Roman"/>
          <w:b/>
          <w:i/>
          <w:szCs w:val="20"/>
          <w:u w:val="single"/>
        </w:rPr>
        <w:t>flash point of 23 °C or above and less than or equal to 60 °C</w:t>
      </w:r>
      <w:r w:rsidRPr="00A36E38">
        <w:rPr>
          <w:rFonts w:ascii="Times New Roman" w:hAnsi="Times New Roman" w:cs="Times New Roman"/>
          <w:szCs w:val="20"/>
        </w:rPr>
        <w:t>;</w:t>
      </w:r>
    </w:p>
    <w:p w:rsidR="00A36E38" w:rsidRPr="00A36E38" w:rsidRDefault="00A36E38" w:rsidP="007F4EFA">
      <w:pPr>
        <w:pStyle w:val="ListParagraph"/>
        <w:widowControl w:val="0"/>
        <w:numPr>
          <w:ilvl w:val="5"/>
          <w:numId w:val="26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firstLine="184"/>
        <w:contextualSpacing w:val="0"/>
        <w:rPr>
          <w:rFonts w:ascii="Times New Roman" w:hAnsi="Times New Roman" w:cs="Times New Roman"/>
          <w:szCs w:val="20"/>
        </w:rPr>
      </w:pPr>
      <w:r w:rsidRPr="00A36E38">
        <w:rPr>
          <w:rFonts w:ascii="Times New Roman" w:hAnsi="Times New Roman" w:cs="Times New Roman"/>
          <w:szCs w:val="20"/>
        </w:rPr>
        <w:t>are not toxic, corrosive or environmentally hazardous;</w:t>
      </w:r>
    </w:p>
    <w:p w:rsidR="00A36E38" w:rsidRPr="00A36E38" w:rsidRDefault="00A36E38" w:rsidP="007F4EFA">
      <w:pPr>
        <w:pStyle w:val="ListParagraph"/>
        <w:widowControl w:val="0"/>
        <w:numPr>
          <w:ilvl w:val="5"/>
          <w:numId w:val="26"/>
        </w:numPr>
        <w:tabs>
          <w:tab w:val="left" w:pos="2098"/>
        </w:tabs>
        <w:autoSpaceDE w:val="0"/>
        <w:autoSpaceDN w:val="0"/>
        <w:spacing w:after="0" w:line="240" w:lineRule="auto"/>
        <w:ind w:right="1134" w:firstLine="184"/>
        <w:contextualSpacing w:val="0"/>
        <w:rPr>
          <w:rFonts w:ascii="Times New Roman" w:hAnsi="Times New Roman" w:cs="Times New Roman"/>
          <w:szCs w:val="20"/>
        </w:rPr>
      </w:pPr>
      <w:r w:rsidRPr="00A36E38">
        <w:rPr>
          <w:rFonts w:ascii="Times New Roman" w:hAnsi="Times New Roman" w:cs="Times New Roman"/>
          <w:szCs w:val="20"/>
        </w:rPr>
        <w:t xml:space="preserve">contain </w:t>
      </w:r>
      <w:proofErr w:type="spellStart"/>
      <w:r w:rsidRPr="00A36E38">
        <w:rPr>
          <w:rFonts w:ascii="Times New Roman" w:hAnsi="Times New Roman" w:cs="Times New Roman"/>
          <w:szCs w:val="20"/>
        </w:rPr>
        <w:t>not</w:t>
      </w:r>
      <w:proofErr w:type="spellEnd"/>
      <w:r w:rsidRPr="00A36E38">
        <w:rPr>
          <w:rFonts w:ascii="Times New Roman" w:hAnsi="Times New Roman" w:cs="Times New Roman"/>
          <w:szCs w:val="20"/>
        </w:rPr>
        <w:t xml:space="preserve"> more than 20% nitrocellulose provided the nitrocellulose </w:t>
      </w:r>
      <w:r w:rsidR="007F4EFA">
        <w:rPr>
          <w:rFonts w:ascii="Times New Roman" w:hAnsi="Times New Roman" w:cs="Times New Roman"/>
          <w:szCs w:val="20"/>
        </w:rPr>
        <w:tab/>
      </w:r>
      <w:r w:rsidR="007F4EFA">
        <w:rPr>
          <w:rFonts w:ascii="Times New Roman" w:hAnsi="Times New Roman" w:cs="Times New Roman"/>
          <w:szCs w:val="20"/>
        </w:rPr>
        <w:tab/>
      </w:r>
      <w:r w:rsidRPr="00A36E38">
        <w:rPr>
          <w:rFonts w:ascii="Times New Roman" w:hAnsi="Times New Roman" w:cs="Times New Roman"/>
          <w:szCs w:val="20"/>
        </w:rPr>
        <w:t>contains not more than 12.6% nitrogen by dry mass; and</w:t>
      </w:r>
    </w:p>
    <w:p w:rsidR="007F4EFA" w:rsidRDefault="00A36E38" w:rsidP="007F4EFA">
      <w:pPr>
        <w:pStyle w:val="ListParagraph"/>
        <w:widowControl w:val="0"/>
        <w:numPr>
          <w:ilvl w:val="5"/>
          <w:numId w:val="26"/>
        </w:numPr>
        <w:tabs>
          <w:tab w:val="left" w:pos="2097"/>
          <w:tab w:val="left" w:pos="2098"/>
        </w:tabs>
        <w:autoSpaceDE w:val="0"/>
        <w:autoSpaceDN w:val="0"/>
        <w:spacing w:before="1" w:after="0" w:line="448" w:lineRule="auto"/>
        <w:ind w:left="1531" w:right="992" w:firstLine="723"/>
        <w:contextualSpacing w:val="0"/>
        <w:rPr>
          <w:rFonts w:ascii="Times New Roman" w:hAnsi="Times New Roman" w:cs="Times New Roman"/>
          <w:szCs w:val="20"/>
        </w:rPr>
      </w:pPr>
      <w:r w:rsidRPr="00A36E38">
        <w:rPr>
          <w:rFonts w:ascii="Times New Roman" w:hAnsi="Times New Roman" w:cs="Times New Roman"/>
          <w:szCs w:val="20"/>
        </w:rPr>
        <w:t xml:space="preserve">are packed in receptacles of not more than 450 </w:t>
      </w:r>
      <w:proofErr w:type="spellStart"/>
      <w:r w:rsidRPr="00A36E38">
        <w:rPr>
          <w:rFonts w:ascii="Times New Roman" w:hAnsi="Times New Roman" w:cs="Times New Roman"/>
          <w:szCs w:val="20"/>
        </w:rPr>
        <w:t>litre</w:t>
      </w:r>
      <w:proofErr w:type="spellEnd"/>
      <w:r w:rsidRPr="00A36E38">
        <w:rPr>
          <w:rFonts w:ascii="Times New Roman" w:hAnsi="Times New Roman" w:cs="Times New Roman"/>
          <w:szCs w:val="20"/>
        </w:rPr>
        <w:t xml:space="preserve"> capacity; </w:t>
      </w:r>
    </w:p>
    <w:p w:rsidR="00A36E38" w:rsidRPr="00A36E38" w:rsidRDefault="00A36E38" w:rsidP="007F4EFA">
      <w:pPr>
        <w:pStyle w:val="ListParagraph"/>
        <w:widowControl w:val="0"/>
        <w:tabs>
          <w:tab w:val="left" w:pos="2097"/>
          <w:tab w:val="left" w:pos="2098"/>
        </w:tabs>
        <w:autoSpaceDE w:val="0"/>
        <w:autoSpaceDN w:val="0"/>
        <w:spacing w:before="1" w:after="0" w:line="448" w:lineRule="auto"/>
        <w:ind w:left="2254" w:right="992"/>
        <w:contextualSpacing w:val="0"/>
        <w:rPr>
          <w:rFonts w:ascii="Times New Roman" w:hAnsi="Times New Roman" w:cs="Times New Roman"/>
          <w:szCs w:val="20"/>
        </w:rPr>
      </w:pPr>
      <w:r w:rsidRPr="00A36E38">
        <w:rPr>
          <w:rFonts w:ascii="Times New Roman" w:hAnsi="Times New Roman" w:cs="Times New Roman"/>
          <w:szCs w:val="20"/>
        </w:rPr>
        <w:t>are not subject to these Regulations,</w:t>
      </w:r>
      <w:r w:rsidRPr="00A36E38">
        <w:rPr>
          <w:rFonts w:ascii="Times New Roman" w:hAnsi="Times New Roman" w:cs="Times New Roman"/>
          <w:spacing w:val="-3"/>
          <w:szCs w:val="20"/>
        </w:rPr>
        <w:t xml:space="preserve"> </w:t>
      </w:r>
      <w:r w:rsidRPr="00A36E38">
        <w:rPr>
          <w:rFonts w:ascii="Times New Roman" w:hAnsi="Times New Roman" w:cs="Times New Roman"/>
          <w:szCs w:val="20"/>
        </w:rPr>
        <w:t>if:</w:t>
      </w:r>
    </w:p>
    <w:p w:rsidR="00A36E38" w:rsidRPr="007F4EFA" w:rsidRDefault="007F4EFA" w:rsidP="00085949">
      <w:pPr>
        <w:widowControl w:val="0"/>
        <w:tabs>
          <w:tab w:val="left" w:pos="2098"/>
        </w:tabs>
        <w:autoSpaceDE w:val="0"/>
        <w:autoSpaceDN w:val="0"/>
        <w:spacing w:after="120" w:line="240" w:lineRule="auto"/>
        <w:ind w:left="2098" w:right="1134" w:hanging="567"/>
        <w:jc w:val="both"/>
      </w:pPr>
      <w:r>
        <w:t>(a)</w:t>
      </w:r>
      <w:r>
        <w:tab/>
      </w:r>
      <w:r w:rsidR="00A36E38" w:rsidRPr="007F4EFA">
        <w:t xml:space="preserve">in the solvent separation test (see </w:t>
      </w:r>
      <w:r w:rsidR="00A36E38" w:rsidRPr="007F4EFA">
        <w:rPr>
          <w:i/>
        </w:rPr>
        <w:t>Manual of Tests and Criteria</w:t>
      </w:r>
      <w:r w:rsidR="00A36E38" w:rsidRPr="007F4EFA">
        <w:t>, Part III, sub-section 32.5.1), the height of the separated layer of solvent is less than 3% of the total height; and</w:t>
      </w:r>
    </w:p>
    <w:p w:rsidR="007F4EFA" w:rsidRDefault="007F4EFA">
      <w:pPr>
        <w:suppressAutoHyphens w:val="0"/>
        <w:spacing w:line="240" w:lineRule="auto"/>
      </w:pPr>
      <w:r>
        <w:br w:type="page"/>
      </w:r>
    </w:p>
    <w:p w:rsidR="00A36E38" w:rsidRPr="007F4EFA" w:rsidRDefault="007F4EFA" w:rsidP="00D67EA9">
      <w:pPr>
        <w:widowControl w:val="0"/>
        <w:tabs>
          <w:tab w:val="left" w:pos="2098"/>
        </w:tabs>
        <w:autoSpaceDE w:val="0"/>
        <w:autoSpaceDN w:val="0"/>
        <w:spacing w:line="240" w:lineRule="auto"/>
        <w:ind w:left="2098" w:right="1134" w:hanging="567"/>
        <w:jc w:val="both"/>
      </w:pPr>
      <w:r>
        <w:lastRenderedPageBreak/>
        <w:t>(b)</w:t>
      </w:r>
      <w:r>
        <w:tab/>
      </w:r>
      <w:r w:rsidR="00A36E38" w:rsidRPr="007F4EFA">
        <w:t xml:space="preserve">the flowtime in the viscosity test (see </w:t>
      </w:r>
      <w:r w:rsidR="00A36E38" w:rsidRPr="007F4EFA">
        <w:rPr>
          <w:i/>
        </w:rPr>
        <w:t>Manual of Tests and Criteria</w:t>
      </w:r>
      <w:r w:rsidR="00A36E38" w:rsidRPr="007F4EFA">
        <w:t>, Part III, sub- section 32.4.3), with a jet diameter of 6 mm is equal to or greater</w:t>
      </w:r>
      <w:r w:rsidR="00A36E38" w:rsidRPr="007F4EFA">
        <w:rPr>
          <w:spacing w:val="-14"/>
        </w:rPr>
        <w:t xml:space="preserve"> </w:t>
      </w:r>
      <w:r w:rsidR="00A36E38" w:rsidRPr="007F4EFA">
        <w:t>than:</w:t>
      </w:r>
    </w:p>
    <w:p w:rsidR="00A36E38" w:rsidRPr="007F4EFA" w:rsidRDefault="007F4EFA" w:rsidP="007F4EFA">
      <w:pPr>
        <w:widowControl w:val="0"/>
        <w:tabs>
          <w:tab w:val="left" w:pos="2664"/>
          <w:tab w:val="left" w:pos="2665"/>
        </w:tabs>
        <w:autoSpaceDE w:val="0"/>
        <w:autoSpaceDN w:val="0"/>
        <w:spacing w:before="120" w:after="120" w:line="240" w:lineRule="auto"/>
        <w:ind w:left="2098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A36E38" w:rsidRPr="007F4EFA">
        <w:t>60 seconds; or</w:t>
      </w:r>
    </w:p>
    <w:p w:rsidR="00A36E38" w:rsidRPr="007F4EFA" w:rsidRDefault="007F4EFA" w:rsidP="007F4EFA">
      <w:pPr>
        <w:widowControl w:val="0"/>
        <w:tabs>
          <w:tab w:val="left" w:pos="2664"/>
          <w:tab w:val="left" w:pos="2665"/>
        </w:tabs>
        <w:autoSpaceDE w:val="0"/>
        <w:autoSpaceDN w:val="0"/>
        <w:spacing w:line="240" w:lineRule="auto"/>
        <w:ind w:left="2664" w:right="1134" w:hanging="566"/>
        <w:jc w:val="both"/>
      </w:pPr>
      <w:r>
        <w:t>(ii)</w:t>
      </w:r>
      <w:r>
        <w:tab/>
      </w:r>
      <w:r w:rsidR="00A36E38" w:rsidRPr="007F4EFA">
        <w:t>40 seconds if the viscous liquid contains not more than 60% of Class 3 substances.”</w:t>
      </w:r>
    </w:p>
    <w:p w:rsidR="00A36E38" w:rsidRDefault="00A36E38" w:rsidP="005967E3">
      <w:pPr>
        <w:pStyle w:val="ListParagraph"/>
        <w:widowControl w:val="0"/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5094"/>
        <w:contextualSpacing w:val="0"/>
      </w:pPr>
    </w:p>
    <w:p w:rsidR="004116F7" w:rsidRDefault="007F4EFA" w:rsidP="007F4EFA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39660B">
        <w:rPr>
          <w:lang w:val="en-US"/>
        </w:rPr>
        <w:t xml:space="preserve">In the Manual of Tests and Criteria, </w:t>
      </w:r>
      <w:r w:rsidR="005967E3">
        <w:rPr>
          <w:lang w:val="en-US"/>
        </w:rPr>
        <w:t xml:space="preserve">it is indicated </w:t>
      </w:r>
      <w:r w:rsidR="0039660B">
        <w:rPr>
          <w:lang w:val="en-US"/>
        </w:rPr>
        <w:t xml:space="preserve">for the solvent separation test in 32.5.1 </w:t>
      </w:r>
      <w:r w:rsidR="009F614C">
        <w:rPr>
          <w:lang w:val="en-US"/>
        </w:rPr>
        <w:t>th</w:t>
      </w:r>
      <w:r w:rsidR="0039660B">
        <w:rPr>
          <w:lang w:val="en-US"/>
        </w:rPr>
        <w:t xml:space="preserve">at this test is used to determine the extent of solvent separation in viscous liquids with a </w:t>
      </w:r>
      <w:r w:rsidR="0039660B" w:rsidRPr="00A36E38">
        <w:rPr>
          <w:b/>
          <w:i/>
          <w:u w:val="single"/>
          <w:lang w:val="en-US"/>
        </w:rPr>
        <w:t>flash point of l</w:t>
      </w:r>
      <w:r w:rsidR="00D67EA9">
        <w:rPr>
          <w:b/>
          <w:i/>
          <w:u w:val="single"/>
          <w:lang w:val="en-US"/>
        </w:rPr>
        <w:t>ess than 23 </w:t>
      </w:r>
      <w:r w:rsidR="0039660B" w:rsidRPr="00A36E38">
        <w:rPr>
          <w:b/>
          <w:i/>
          <w:u w:val="single"/>
          <w:lang w:val="en-US"/>
        </w:rPr>
        <w:t>ºC</w:t>
      </w:r>
      <w:r w:rsidR="0039660B">
        <w:rPr>
          <w:lang w:val="en-US"/>
        </w:rPr>
        <w:t>.</w:t>
      </w:r>
    </w:p>
    <w:p w:rsidR="0039660B" w:rsidRPr="0039660B" w:rsidRDefault="007F4EFA" w:rsidP="007F4EFA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39660B">
        <w:rPr>
          <w:lang w:val="en-US"/>
        </w:rPr>
        <w:t>Therefore, in the cases in which paragraph 2.3.2.5.1 of the Model Regulations obliges to do the test (flash point of 23</w:t>
      </w:r>
      <w:r w:rsidR="00D67EA9">
        <w:rPr>
          <w:lang w:val="en-US"/>
        </w:rPr>
        <w:t> </w:t>
      </w:r>
      <w:r w:rsidR="0039660B">
        <w:rPr>
          <w:lang w:val="en-US"/>
        </w:rPr>
        <w:t>ºC or above and less than or equal to 60</w:t>
      </w:r>
      <w:r w:rsidR="00D67EA9">
        <w:rPr>
          <w:lang w:val="en-US"/>
        </w:rPr>
        <w:t> </w:t>
      </w:r>
      <w:r w:rsidR="0039660B">
        <w:rPr>
          <w:lang w:val="en-US"/>
        </w:rPr>
        <w:t xml:space="preserve">ºC), the solvent separation test </w:t>
      </w:r>
      <w:r w:rsidR="005967E3">
        <w:rPr>
          <w:lang w:val="en-US"/>
        </w:rPr>
        <w:t xml:space="preserve">as indicated under 32.5.1 of the Manual of Tests and Criteria </w:t>
      </w:r>
      <w:r w:rsidR="0039660B">
        <w:rPr>
          <w:lang w:val="en-US"/>
        </w:rPr>
        <w:t>is never</w:t>
      </w:r>
      <w:r w:rsidR="005967E3">
        <w:rPr>
          <w:lang w:val="en-US"/>
        </w:rPr>
        <w:t xml:space="preserve"> in the range that makes it</w:t>
      </w:r>
      <w:r w:rsidR="0039660B">
        <w:rPr>
          <w:lang w:val="en-US"/>
        </w:rPr>
        <w:t xml:space="preserve"> applicable.</w:t>
      </w:r>
    </w:p>
    <w:p w:rsidR="001A4E9A" w:rsidRPr="001A4E9A" w:rsidRDefault="007F4EFA" w:rsidP="007F4EFA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1A4E9A" w:rsidRPr="001A4E9A">
        <w:rPr>
          <w:lang w:val="en-US"/>
        </w:rPr>
        <w:t>According to our experts, the flash point of the liquid is not a critical factor f</w:t>
      </w:r>
      <w:r w:rsidR="0010339C">
        <w:rPr>
          <w:lang w:val="en-US"/>
        </w:rPr>
        <w:t>or being able to carry out the solvent separation</w:t>
      </w:r>
      <w:r w:rsidR="001A4E9A" w:rsidRPr="001A4E9A">
        <w:rPr>
          <w:lang w:val="en-US"/>
        </w:rPr>
        <w:t xml:space="preserve"> tests, and it would be possible </w:t>
      </w:r>
      <w:r w:rsidR="0010339C">
        <w:rPr>
          <w:lang w:val="en-US"/>
        </w:rPr>
        <w:t xml:space="preserve">to carry out this </w:t>
      </w:r>
      <w:r w:rsidR="001A4E9A">
        <w:rPr>
          <w:lang w:val="en-US"/>
        </w:rPr>
        <w:t>test for liquids with a flash point of above 23</w:t>
      </w:r>
      <w:r w:rsidR="00D67EA9">
        <w:rPr>
          <w:lang w:val="en-US"/>
        </w:rPr>
        <w:t> </w:t>
      </w:r>
      <w:r w:rsidR="001A4E9A">
        <w:rPr>
          <w:lang w:val="en-US"/>
        </w:rPr>
        <w:t xml:space="preserve">ºC. Therefore, the expert </w:t>
      </w:r>
      <w:r w:rsidR="009F614C">
        <w:rPr>
          <w:lang w:val="en-US"/>
        </w:rPr>
        <w:t xml:space="preserve">from Spain </w:t>
      </w:r>
      <w:r w:rsidR="001A4E9A">
        <w:rPr>
          <w:lang w:val="en-US"/>
        </w:rPr>
        <w:t xml:space="preserve">would suggest </w:t>
      </w:r>
      <w:r w:rsidR="002A5472">
        <w:rPr>
          <w:lang w:val="en-US"/>
        </w:rPr>
        <w:t>amending paragraph 32.5.1.1 of the Manual of Tests and Criteria by eliminating th</w:t>
      </w:r>
      <w:r w:rsidR="001A4E9A">
        <w:rPr>
          <w:lang w:val="en-US"/>
        </w:rPr>
        <w:t xml:space="preserve">e temperature range for this test. </w:t>
      </w:r>
    </w:p>
    <w:p w:rsidR="006A1D67" w:rsidRPr="006A1D67" w:rsidRDefault="00B63E96" w:rsidP="007F4EFA">
      <w:pPr>
        <w:pStyle w:val="HChG"/>
        <w:rPr>
          <w:lang w:val="en-US"/>
        </w:rPr>
      </w:pPr>
      <w:r w:rsidRPr="0010339C">
        <w:rPr>
          <w:lang w:val="en-US"/>
        </w:rPr>
        <w:tab/>
      </w:r>
      <w:r w:rsidRPr="0010339C">
        <w:rPr>
          <w:lang w:val="en-US"/>
        </w:rPr>
        <w:tab/>
      </w:r>
      <w:r w:rsidR="006A1D67" w:rsidRPr="006A1D67">
        <w:rPr>
          <w:lang w:val="en-US"/>
        </w:rPr>
        <w:t>Proposal</w:t>
      </w:r>
    </w:p>
    <w:p w:rsidR="00D57D98" w:rsidRDefault="007F4EFA" w:rsidP="007F4EFA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1A4E9A">
        <w:rPr>
          <w:lang w:val="en-US"/>
        </w:rPr>
        <w:t xml:space="preserve">It is proposed to amend </w:t>
      </w:r>
      <w:r w:rsidR="0010339C">
        <w:rPr>
          <w:lang w:val="en-US"/>
        </w:rPr>
        <w:t xml:space="preserve">32.5.1.1 of </w:t>
      </w:r>
      <w:r w:rsidR="001A4E9A">
        <w:rPr>
          <w:lang w:val="en-US"/>
        </w:rPr>
        <w:t>the Manual of Tests and Criteria in the following way</w:t>
      </w:r>
      <w:r w:rsidR="0010339C">
        <w:rPr>
          <w:lang w:val="en-US"/>
        </w:rPr>
        <w:t xml:space="preserve"> (deleted text </w:t>
      </w:r>
      <w:r w:rsidR="0010339C" w:rsidRPr="0010339C">
        <w:rPr>
          <w:b/>
          <w:strike/>
          <w:lang w:val="en-US"/>
        </w:rPr>
        <w:t>stricken through and bold</w:t>
      </w:r>
      <w:r w:rsidR="0010339C">
        <w:rPr>
          <w:lang w:val="en-US"/>
        </w:rPr>
        <w:t>)</w:t>
      </w:r>
      <w:r w:rsidR="001A4E9A">
        <w:rPr>
          <w:lang w:val="en-US"/>
        </w:rPr>
        <w:t>:</w:t>
      </w:r>
    </w:p>
    <w:p w:rsidR="001A4E9A" w:rsidRDefault="007F4EFA" w:rsidP="0010339C">
      <w:pPr>
        <w:pStyle w:val="SingleTxtG"/>
        <w:ind w:left="1689"/>
        <w:rPr>
          <w:lang w:val="en-US"/>
        </w:rPr>
      </w:pPr>
      <w:r>
        <w:rPr>
          <w:lang w:val="en-US"/>
        </w:rPr>
        <w:t>“32.5.1.1</w:t>
      </w:r>
      <w:r w:rsidR="0010339C">
        <w:rPr>
          <w:lang w:val="en-US"/>
        </w:rPr>
        <w:t xml:space="preserve"> Introduction</w:t>
      </w:r>
    </w:p>
    <w:p w:rsidR="0010339C" w:rsidRPr="00A36E38" w:rsidRDefault="0010339C" w:rsidP="0010339C">
      <w:pPr>
        <w:pStyle w:val="SingleTxtG"/>
        <w:ind w:left="1689"/>
        <w:rPr>
          <w:lang w:val="en-US"/>
        </w:rPr>
      </w:pPr>
      <w:r>
        <w:rPr>
          <w:lang w:val="en-US"/>
        </w:rPr>
        <w:t xml:space="preserve">This test is used to determine the extent of solvent separation in viscous liquids such as paints, enamels, varnishes, adhesives and polishes </w:t>
      </w:r>
      <w:r w:rsidRPr="002A5472">
        <w:rPr>
          <w:b/>
          <w:strike/>
          <w:lang w:val="en-US"/>
        </w:rPr>
        <w:t>with a flash point of less than 23C</w:t>
      </w:r>
      <w:r>
        <w:rPr>
          <w:lang w:val="en-US"/>
        </w:rPr>
        <w:t>.”</w:t>
      </w:r>
    </w:p>
    <w:p w:rsidR="0005466E" w:rsidRPr="00A36E38" w:rsidRDefault="00B63E96" w:rsidP="00B63E96">
      <w:pPr>
        <w:spacing w:before="240"/>
        <w:ind w:left="1134" w:right="1134"/>
        <w:jc w:val="center"/>
        <w:rPr>
          <w:sz w:val="24"/>
          <w:szCs w:val="24"/>
          <w:u w:val="single"/>
          <w:lang w:val="en-US"/>
        </w:rPr>
      </w:pPr>
      <w:r w:rsidRPr="00A36E38">
        <w:rPr>
          <w:sz w:val="24"/>
          <w:szCs w:val="24"/>
          <w:u w:val="single"/>
          <w:lang w:val="en-US"/>
        </w:rPr>
        <w:tab/>
      </w:r>
      <w:r w:rsidRPr="00A36E38">
        <w:rPr>
          <w:sz w:val="24"/>
          <w:szCs w:val="24"/>
          <w:u w:val="single"/>
          <w:lang w:val="en-US"/>
        </w:rPr>
        <w:tab/>
      </w:r>
      <w:r w:rsidRPr="00A36E38">
        <w:rPr>
          <w:sz w:val="24"/>
          <w:szCs w:val="24"/>
          <w:u w:val="single"/>
          <w:lang w:val="en-US"/>
        </w:rPr>
        <w:tab/>
      </w:r>
    </w:p>
    <w:p w:rsidR="006B4408" w:rsidRPr="00A36E38" w:rsidRDefault="006B4408" w:rsidP="0005466E">
      <w:pPr>
        <w:spacing w:after="120"/>
        <w:ind w:right="1134"/>
        <w:jc w:val="both"/>
        <w:rPr>
          <w:lang w:val="en-US"/>
        </w:rPr>
      </w:pPr>
    </w:p>
    <w:sectPr w:rsidR="006B4408" w:rsidRPr="00A36E38" w:rsidSect="002D0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E1" w:rsidRDefault="00FA40E1"/>
  </w:endnote>
  <w:endnote w:type="continuationSeparator" w:id="0">
    <w:p w:rsidR="00FA40E1" w:rsidRDefault="00FA40E1"/>
  </w:endnote>
  <w:endnote w:type="continuationNotice" w:id="1">
    <w:p w:rsidR="00FA40E1" w:rsidRDefault="00FA4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D67EA9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A36E38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E1" w:rsidRPr="000B175B" w:rsidRDefault="00FA40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40E1" w:rsidRPr="00FC68B7" w:rsidRDefault="00FA40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40E1" w:rsidRDefault="00FA40E1"/>
  </w:footnote>
  <w:footnote w:id="2">
    <w:p w:rsidR="00016B6E" w:rsidRPr="00016B6E" w:rsidRDefault="00016B6E" w:rsidP="00016B6E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B63BF">
        <w:t xml:space="preserve">In accordance with the programme of work of the </w:t>
      </w:r>
      <w:r w:rsidR="00C50863">
        <w:t>Sub-Committee for 2017–2018</w:t>
      </w:r>
      <w:r w:rsidRPr="00DB63BF">
        <w:t xml:space="preserve"> approved by the Committee at its </w:t>
      </w:r>
      <w:r>
        <w:t>eighth session (see ST/SG/AC.10/C.3/100, paragraph 98 and ST/SG/AC.10/44, para. 14</w:t>
      </w:r>
      <w:r w:rsidRPr="00DB63BF">
        <w:t>).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75" w:rsidRPr="006D12B1" w:rsidRDefault="00184E75">
    <w:pPr>
      <w:pStyle w:val="Header"/>
    </w:pPr>
    <w:r>
      <w:t>ST/SG/AC.10/C.3/</w:t>
    </w:r>
    <w:r w:rsidR="00B63E96">
      <w:t>201</w:t>
    </w:r>
    <w:r w:rsidR="005967E3">
      <w:t>8</w:t>
    </w:r>
    <w:r w:rsidR="005458AF">
      <w:t>/</w:t>
    </w:r>
    <w:r w:rsidR="007F4EFA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75" w:rsidRPr="006D12B1" w:rsidRDefault="0023334A" w:rsidP="006D12B1">
    <w:pPr>
      <w:pStyle w:val="Header"/>
      <w:jc w:val="right"/>
    </w:pPr>
    <w:r>
      <w:t>ST/SG/AC.10/C</w:t>
    </w:r>
    <w:r w:rsidR="005458AF">
      <w:t>.3/2016/</w:t>
    </w:r>
    <w:r w:rsidR="009D3E53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E34429"/>
    <w:multiLevelType w:val="hybridMultilevel"/>
    <w:tmpl w:val="18388FF8"/>
    <w:lvl w:ilvl="0" w:tplc="94282D70">
      <w:start w:val="1"/>
      <w:numFmt w:val="lowerLetter"/>
      <w:lvlText w:val="(%1)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EC7D5C">
      <w:start w:val="1"/>
      <w:numFmt w:val="lowerRoman"/>
      <w:lvlText w:val="(%2)"/>
      <w:lvlJc w:val="left"/>
      <w:pPr>
        <w:ind w:left="266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8D45138">
      <w:numFmt w:val="bullet"/>
      <w:lvlText w:val="•"/>
      <w:lvlJc w:val="left"/>
      <w:pPr>
        <w:ind w:left="3460" w:hanging="567"/>
      </w:pPr>
      <w:rPr>
        <w:rFonts w:hint="default"/>
      </w:rPr>
    </w:lvl>
    <w:lvl w:ilvl="3" w:tplc="5906BE2E">
      <w:numFmt w:val="bullet"/>
      <w:lvlText w:val="•"/>
      <w:lvlJc w:val="left"/>
      <w:pPr>
        <w:ind w:left="4261" w:hanging="567"/>
      </w:pPr>
      <w:rPr>
        <w:rFonts w:hint="default"/>
      </w:rPr>
    </w:lvl>
    <w:lvl w:ilvl="4" w:tplc="A086DF3A">
      <w:numFmt w:val="bullet"/>
      <w:lvlText w:val="•"/>
      <w:lvlJc w:val="left"/>
      <w:pPr>
        <w:ind w:left="5062" w:hanging="567"/>
      </w:pPr>
      <w:rPr>
        <w:rFonts w:hint="default"/>
      </w:rPr>
    </w:lvl>
    <w:lvl w:ilvl="5" w:tplc="5F00E156">
      <w:numFmt w:val="bullet"/>
      <w:lvlText w:val="•"/>
      <w:lvlJc w:val="left"/>
      <w:pPr>
        <w:ind w:left="5862" w:hanging="567"/>
      </w:pPr>
      <w:rPr>
        <w:rFonts w:hint="default"/>
      </w:rPr>
    </w:lvl>
    <w:lvl w:ilvl="6" w:tplc="3A06543A">
      <w:numFmt w:val="bullet"/>
      <w:lvlText w:val="•"/>
      <w:lvlJc w:val="left"/>
      <w:pPr>
        <w:ind w:left="6663" w:hanging="567"/>
      </w:pPr>
      <w:rPr>
        <w:rFonts w:hint="default"/>
      </w:rPr>
    </w:lvl>
    <w:lvl w:ilvl="7" w:tplc="8AAA3160">
      <w:numFmt w:val="bullet"/>
      <w:lvlText w:val="•"/>
      <w:lvlJc w:val="left"/>
      <w:pPr>
        <w:ind w:left="7464" w:hanging="567"/>
      </w:pPr>
      <w:rPr>
        <w:rFonts w:hint="default"/>
      </w:rPr>
    </w:lvl>
    <w:lvl w:ilvl="8" w:tplc="BA84D858">
      <w:numFmt w:val="bullet"/>
      <w:lvlText w:val="•"/>
      <w:lvlJc w:val="left"/>
      <w:pPr>
        <w:ind w:left="8264" w:hanging="567"/>
      </w:pPr>
      <w:rPr>
        <w:rFonts w:hint="default"/>
      </w:rPr>
    </w:lvl>
  </w:abstractNum>
  <w:abstractNum w:abstractNumId="17" w15:restartNumberingAfterBreak="0">
    <w:nsid w:val="2EEB2789"/>
    <w:multiLevelType w:val="multilevel"/>
    <w:tmpl w:val="525E6DA0"/>
    <w:lvl w:ilvl="0">
      <w:start w:val="2"/>
      <w:numFmt w:val="decimal"/>
      <w:lvlText w:val="%1"/>
      <w:lvlJc w:val="left"/>
      <w:pPr>
        <w:ind w:left="112" w:hanging="141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14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" w:hanging="14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" w:hanging="1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numFmt w:val="bullet"/>
      <w:lvlText w:val="-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7" w:hanging="567"/>
      </w:pPr>
      <w:rPr>
        <w:rFonts w:hint="default"/>
      </w:rPr>
    </w:lvl>
    <w:lvl w:ilvl="8">
      <w:numFmt w:val="bullet"/>
      <w:lvlText w:val="•"/>
      <w:lvlJc w:val="left"/>
      <w:pPr>
        <w:ind w:left="8140" w:hanging="567"/>
      </w:pPr>
      <w:rPr>
        <w:rFonts w:hint="default"/>
      </w:rPr>
    </w:lvl>
  </w:abstractNum>
  <w:abstractNum w:abstractNumId="18" w15:restartNumberingAfterBreak="0">
    <w:nsid w:val="33D078D7"/>
    <w:multiLevelType w:val="hybridMultilevel"/>
    <w:tmpl w:val="BD5040D6"/>
    <w:lvl w:ilvl="0" w:tplc="FB7C6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58D5C7A"/>
    <w:multiLevelType w:val="hybridMultilevel"/>
    <w:tmpl w:val="BA12CEE4"/>
    <w:lvl w:ilvl="0" w:tplc="26223000">
      <w:start w:val="5"/>
      <w:numFmt w:val="bullet"/>
      <w:lvlText w:val="-"/>
      <w:lvlJc w:val="left"/>
      <w:pPr>
        <w:ind w:left="5454" w:hanging="360"/>
      </w:pPr>
      <w:rPr>
        <w:rFonts w:ascii="Arial" w:eastAsia="SimSu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23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19DF"/>
    <w:multiLevelType w:val="multilevel"/>
    <w:tmpl w:val="60169FB0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  <w:sz w:val="22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0C5535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0"/>
  </w:num>
  <w:num w:numId="14">
    <w:abstractNumId w:val="27"/>
  </w:num>
  <w:num w:numId="15">
    <w:abstractNumId w:val="28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29"/>
  </w:num>
  <w:num w:numId="21">
    <w:abstractNumId w:val="11"/>
  </w:num>
  <w:num w:numId="22">
    <w:abstractNumId w:val="21"/>
  </w:num>
  <w:num w:numId="23">
    <w:abstractNumId w:val="23"/>
  </w:num>
  <w:num w:numId="24">
    <w:abstractNumId w:val="12"/>
  </w:num>
  <w:num w:numId="25">
    <w:abstractNumId w:val="26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1"/>
    <w:rsid w:val="000166D2"/>
    <w:rsid w:val="00016B6E"/>
    <w:rsid w:val="00023F08"/>
    <w:rsid w:val="00044590"/>
    <w:rsid w:val="00047F82"/>
    <w:rsid w:val="000504CE"/>
    <w:rsid w:val="00050F6B"/>
    <w:rsid w:val="00053E46"/>
    <w:rsid w:val="0005466E"/>
    <w:rsid w:val="000572CA"/>
    <w:rsid w:val="00066877"/>
    <w:rsid w:val="00072C8C"/>
    <w:rsid w:val="00082AB3"/>
    <w:rsid w:val="00083B73"/>
    <w:rsid w:val="00085949"/>
    <w:rsid w:val="00091419"/>
    <w:rsid w:val="000931C0"/>
    <w:rsid w:val="000B175B"/>
    <w:rsid w:val="000B3A0F"/>
    <w:rsid w:val="000C2086"/>
    <w:rsid w:val="000D58F6"/>
    <w:rsid w:val="000D734E"/>
    <w:rsid w:val="000E0415"/>
    <w:rsid w:val="000F0C23"/>
    <w:rsid w:val="000F6C26"/>
    <w:rsid w:val="000F7AB3"/>
    <w:rsid w:val="0010339C"/>
    <w:rsid w:val="00105236"/>
    <w:rsid w:val="00117787"/>
    <w:rsid w:val="00131D42"/>
    <w:rsid w:val="00156F53"/>
    <w:rsid w:val="001633FB"/>
    <w:rsid w:val="00167786"/>
    <w:rsid w:val="001810F7"/>
    <w:rsid w:val="00184E75"/>
    <w:rsid w:val="001924C5"/>
    <w:rsid w:val="001A4E9A"/>
    <w:rsid w:val="001A537C"/>
    <w:rsid w:val="001B4B04"/>
    <w:rsid w:val="001C47E0"/>
    <w:rsid w:val="001C6663"/>
    <w:rsid w:val="001C7526"/>
    <w:rsid w:val="001C7895"/>
    <w:rsid w:val="001D26DF"/>
    <w:rsid w:val="001D2FDC"/>
    <w:rsid w:val="001D79DB"/>
    <w:rsid w:val="001E0B44"/>
    <w:rsid w:val="001F3FA0"/>
    <w:rsid w:val="00201F4E"/>
    <w:rsid w:val="00205343"/>
    <w:rsid w:val="00210B9C"/>
    <w:rsid w:val="00211E0B"/>
    <w:rsid w:val="00213AFD"/>
    <w:rsid w:val="002309A7"/>
    <w:rsid w:val="0023193F"/>
    <w:rsid w:val="00232EC4"/>
    <w:rsid w:val="0023334A"/>
    <w:rsid w:val="00234AEB"/>
    <w:rsid w:val="00237785"/>
    <w:rsid w:val="00241466"/>
    <w:rsid w:val="00254AD0"/>
    <w:rsid w:val="00255C1E"/>
    <w:rsid w:val="002656C7"/>
    <w:rsid w:val="002725CA"/>
    <w:rsid w:val="00274950"/>
    <w:rsid w:val="00277A29"/>
    <w:rsid w:val="00280EB7"/>
    <w:rsid w:val="00281C3B"/>
    <w:rsid w:val="00297C91"/>
    <w:rsid w:val="002A5472"/>
    <w:rsid w:val="002B1CDA"/>
    <w:rsid w:val="002B4076"/>
    <w:rsid w:val="002C1AE8"/>
    <w:rsid w:val="002C2549"/>
    <w:rsid w:val="002D0785"/>
    <w:rsid w:val="002D460D"/>
    <w:rsid w:val="0030379C"/>
    <w:rsid w:val="003107FA"/>
    <w:rsid w:val="0032058E"/>
    <w:rsid w:val="003229D8"/>
    <w:rsid w:val="00323424"/>
    <w:rsid w:val="0032486A"/>
    <w:rsid w:val="00337633"/>
    <w:rsid w:val="0034759C"/>
    <w:rsid w:val="0036127B"/>
    <w:rsid w:val="003637DE"/>
    <w:rsid w:val="00364E17"/>
    <w:rsid w:val="00375E8A"/>
    <w:rsid w:val="0039277A"/>
    <w:rsid w:val="00392D73"/>
    <w:rsid w:val="0039660B"/>
    <w:rsid w:val="003972E0"/>
    <w:rsid w:val="003A0447"/>
    <w:rsid w:val="003A0C75"/>
    <w:rsid w:val="003A5CDB"/>
    <w:rsid w:val="003C2CC4"/>
    <w:rsid w:val="003D4B23"/>
    <w:rsid w:val="003D679A"/>
    <w:rsid w:val="003E5A57"/>
    <w:rsid w:val="004043C0"/>
    <w:rsid w:val="004116F7"/>
    <w:rsid w:val="0042233A"/>
    <w:rsid w:val="004262E2"/>
    <w:rsid w:val="00431FA3"/>
    <w:rsid w:val="004325CB"/>
    <w:rsid w:val="00432930"/>
    <w:rsid w:val="00437F3F"/>
    <w:rsid w:val="00442DF8"/>
    <w:rsid w:val="00446DE4"/>
    <w:rsid w:val="00451925"/>
    <w:rsid w:val="00454036"/>
    <w:rsid w:val="00465AFB"/>
    <w:rsid w:val="00470BF5"/>
    <w:rsid w:val="00477D30"/>
    <w:rsid w:val="00483009"/>
    <w:rsid w:val="004914ED"/>
    <w:rsid w:val="004A1C07"/>
    <w:rsid w:val="004B2C9D"/>
    <w:rsid w:val="004C35BA"/>
    <w:rsid w:val="004C6FBA"/>
    <w:rsid w:val="004C71B6"/>
    <w:rsid w:val="004E0188"/>
    <w:rsid w:val="004E05DD"/>
    <w:rsid w:val="004F0095"/>
    <w:rsid w:val="004F0881"/>
    <w:rsid w:val="004F60F8"/>
    <w:rsid w:val="00522AC0"/>
    <w:rsid w:val="00527910"/>
    <w:rsid w:val="005420F2"/>
    <w:rsid w:val="005458AF"/>
    <w:rsid w:val="00546FDA"/>
    <w:rsid w:val="00547C8F"/>
    <w:rsid w:val="005500DD"/>
    <w:rsid w:val="005501BE"/>
    <w:rsid w:val="00562335"/>
    <w:rsid w:val="00563498"/>
    <w:rsid w:val="00590144"/>
    <w:rsid w:val="0059588D"/>
    <w:rsid w:val="005967E3"/>
    <w:rsid w:val="00597FF3"/>
    <w:rsid w:val="005A4196"/>
    <w:rsid w:val="005B03C6"/>
    <w:rsid w:val="005B3DB3"/>
    <w:rsid w:val="005B77F6"/>
    <w:rsid w:val="005C6796"/>
    <w:rsid w:val="005C7602"/>
    <w:rsid w:val="005D2018"/>
    <w:rsid w:val="005D5DD6"/>
    <w:rsid w:val="005E731E"/>
    <w:rsid w:val="00604E72"/>
    <w:rsid w:val="00605C7C"/>
    <w:rsid w:val="00611FC4"/>
    <w:rsid w:val="006176FB"/>
    <w:rsid w:val="006200EB"/>
    <w:rsid w:val="00625E3D"/>
    <w:rsid w:val="00630C9C"/>
    <w:rsid w:val="0063158E"/>
    <w:rsid w:val="00632868"/>
    <w:rsid w:val="0063419C"/>
    <w:rsid w:val="006377C4"/>
    <w:rsid w:val="00640B26"/>
    <w:rsid w:val="006500BA"/>
    <w:rsid w:val="006531B9"/>
    <w:rsid w:val="00663EED"/>
    <w:rsid w:val="00665835"/>
    <w:rsid w:val="00666E76"/>
    <w:rsid w:val="00673F39"/>
    <w:rsid w:val="00676449"/>
    <w:rsid w:val="00677B83"/>
    <w:rsid w:val="006A1372"/>
    <w:rsid w:val="006A1D67"/>
    <w:rsid w:val="006A7392"/>
    <w:rsid w:val="006B4408"/>
    <w:rsid w:val="006C0D34"/>
    <w:rsid w:val="006D12B1"/>
    <w:rsid w:val="006E564B"/>
    <w:rsid w:val="00704CDB"/>
    <w:rsid w:val="00705B77"/>
    <w:rsid w:val="00711C13"/>
    <w:rsid w:val="0072632A"/>
    <w:rsid w:val="007277E4"/>
    <w:rsid w:val="007413E7"/>
    <w:rsid w:val="007434BC"/>
    <w:rsid w:val="00744314"/>
    <w:rsid w:val="00783107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2030"/>
    <w:rsid w:val="007F4EFA"/>
    <w:rsid w:val="007F6611"/>
    <w:rsid w:val="007F6894"/>
    <w:rsid w:val="00812689"/>
    <w:rsid w:val="008175E9"/>
    <w:rsid w:val="00823B1A"/>
    <w:rsid w:val="008242D7"/>
    <w:rsid w:val="00824C37"/>
    <w:rsid w:val="00831A89"/>
    <w:rsid w:val="00847442"/>
    <w:rsid w:val="00854B0D"/>
    <w:rsid w:val="00860540"/>
    <w:rsid w:val="00871FD5"/>
    <w:rsid w:val="00875EAC"/>
    <w:rsid w:val="00884FD0"/>
    <w:rsid w:val="00894BC2"/>
    <w:rsid w:val="00895E97"/>
    <w:rsid w:val="008979B1"/>
    <w:rsid w:val="008A6B25"/>
    <w:rsid w:val="008A6C4F"/>
    <w:rsid w:val="008B57B7"/>
    <w:rsid w:val="008C1297"/>
    <w:rsid w:val="008C1C03"/>
    <w:rsid w:val="008D53CE"/>
    <w:rsid w:val="008E0E46"/>
    <w:rsid w:val="008F79EE"/>
    <w:rsid w:val="00900A39"/>
    <w:rsid w:val="00904FD7"/>
    <w:rsid w:val="00945A5D"/>
    <w:rsid w:val="00946A04"/>
    <w:rsid w:val="00953226"/>
    <w:rsid w:val="00957117"/>
    <w:rsid w:val="00962AD6"/>
    <w:rsid w:val="00963CBA"/>
    <w:rsid w:val="0097518C"/>
    <w:rsid w:val="009854F2"/>
    <w:rsid w:val="00986450"/>
    <w:rsid w:val="0099124E"/>
    <w:rsid w:val="00991261"/>
    <w:rsid w:val="009C48E5"/>
    <w:rsid w:val="009D1AAE"/>
    <w:rsid w:val="009D3E53"/>
    <w:rsid w:val="009E38E3"/>
    <w:rsid w:val="009F0F06"/>
    <w:rsid w:val="009F1F45"/>
    <w:rsid w:val="009F614C"/>
    <w:rsid w:val="00A1427D"/>
    <w:rsid w:val="00A144E0"/>
    <w:rsid w:val="00A23088"/>
    <w:rsid w:val="00A36E38"/>
    <w:rsid w:val="00A72F22"/>
    <w:rsid w:val="00A73040"/>
    <w:rsid w:val="00A748A6"/>
    <w:rsid w:val="00A75B6F"/>
    <w:rsid w:val="00A75EC9"/>
    <w:rsid w:val="00A8523D"/>
    <w:rsid w:val="00A879A4"/>
    <w:rsid w:val="00A87CAE"/>
    <w:rsid w:val="00A93914"/>
    <w:rsid w:val="00A93EFD"/>
    <w:rsid w:val="00AA04C0"/>
    <w:rsid w:val="00AC1D2F"/>
    <w:rsid w:val="00AD22A1"/>
    <w:rsid w:val="00AD4A2A"/>
    <w:rsid w:val="00AE06E2"/>
    <w:rsid w:val="00AE5C5F"/>
    <w:rsid w:val="00AF523B"/>
    <w:rsid w:val="00AF56F0"/>
    <w:rsid w:val="00AF72E4"/>
    <w:rsid w:val="00B06A8F"/>
    <w:rsid w:val="00B20FD5"/>
    <w:rsid w:val="00B250D7"/>
    <w:rsid w:val="00B30179"/>
    <w:rsid w:val="00B3094C"/>
    <w:rsid w:val="00B30FA9"/>
    <w:rsid w:val="00B3317B"/>
    <w:rsid w:val="00B41E3C"/>
    <w:rsid w:val="00B44060"/>
    <w:rsid w:val="00B51A46"/>
    <w:rsid w:val="00B55093"/>
    <w:rsid w:val="00B63E96"/>
    <w:rsid w:val="00B707EC"/>
    <w:rsid w:val="00B81E12"/>
    <w:rsid w:val="00B93068"/>
    <w:rsid w:val="00BA6930"/>
    <w:rsid w:val="00BB0133"/>
    <w:rsid w:val="00BB027F"/>
    <w:rsid w:val="00BC1BF4"/>
    <w:rsid w:val="00BC4EA5"/>
    <w:rsid w:val="00BC74E9"/>
    <w:rsid w:val="00BD0239"/>
    <w:rsid w:val="00BE618E"/>
    <w:rsid w:val="00BF169C"/>
    <w:rsid w:val="00BF7DE7"/>
    <w:rsid w:val="00C031EF"/>
    <w:rsid w:val="00C07513"/>
    <w:rsid w:val="00C07A73"/>
    <w:rsid w:val="00C36FC0"/>
    <w:rsid w:val="00C44E98"/>
    <w:rsid w:val="00C463DD"/>
    <w:rsid w:val="00C50863"/>
    <w:rsid w:val="00C62F76"/>
    <w:rsid w:val="00C70190"/>
    <w:rsid w:val="00C745C3"/>
    <w:rsid w:val="00C94877"/>
    <w:rsid w:val="00CA2FB6"/>
    <w:rsid w:val="00CB2FC3"/>
    <w:rsid w:val="00CB3924"/>
    <w:rsid w:val="00CB44CD"/>
    <w:rsid w:val="00CB4E01"/>
    <w:rsid w:val="00CB567B"/>
    <w:rsid w:val="00CC5473"/>
    <w:rsid w:val="00CD3225"/>
    <w:rsid w:val="00CD4DBA"/>
    <w:rsid w:val="00CD5FED"/>
    <w:rsid w:val="00CD6E3A"/>
    <w:rsid w:val="00CE46BA"/>
    <w:rsid w:val="00CE4A8F"/>
    <w:rsid w:val="00CE5C55"/>
    <w:rsid w:val="00CF5E82"/>
    <w:rsid w:val="00CF74F9"/>
    <w:rsid w:val="00CF7E49"/>
    <w:rsid w:val="00D12328"/>
    <w:rsid w:val="00D1524C"/>
    <w:rsid w:val="00D16675"/>
    <w:rsid w:val="00D2031B"/>
    <w:rsid w:val="00D25FE2"/>
    <w:rsid w:val="00D265D3"/>
    <w:rsid w:val="00D40043"/>
    <w:rsid w:val="00D42E97"/>
    <w:rsid w:val="00D43252"/>
    <w:rsid w:val="00D46231"/>
    <w:rsid w:val="00D57D98"/>
    <w:rsid w:val="00D6027D"/>
    <w:rsid w:val="00D625F6"/>
    <w:rsid w:val="00D63ED2"/>
    <w:rsid w:val="00D67EA9"/>
    <w:rsid w:val="00D71E33"/>
    <w:rsid w:val="00D729F2"/>
    <w:rsid w:val="00D753D8"/>
    <w:rsid w:val="00D770FE"/>
    <w:rsid w:val="00D92235"/>
    <w:rsid w:val="00D948D6"/>
    <w:rsid w:val="00D96CC5"/>
    <w:rsid w:val="00D978C6"/>
    <w:rsid w:val="00DA10B3"/>
    <w:rsid w:val="00DA412F"/>
    <w:rsid w:val="00DA4AA3"/>
    <w:rsid w:val="00DA67AD"/>
    <w:rsid w:val="00DA6D5E"/>
    <w:rsid w:val="00DB63BF"/>
    <w:rsid w:val="00DD3691"/>
    <w:rsid w:val="00DD62B9"/>
    <w:rsid w:val="00DE71E5"/>
    <w:rsid w:val="00DF1C31"/>
    <w:rsid w:val="00DF6FE9"/>
    <w:rsid w:val="00E130AB"/>
    <w:rsid w:val="00E1345B"/>
    <w:rsid w:val="00E1679E"/>
    <w:rsid w:val="00E25396"/>
    <w:rsid w:val="00E55A9E"/>
    <w:rsid w:val="00E5644E"/>
    <w:rsid w:val="00E7260F"/>
    <w:rsid w:val="00E81230"/>
    <w:rsid w:val="00E8535A"/>
    <w:rsid w:val="00E877D6"/>
    <w:rsid w:val="00E96630"/>
    <w:rsid w:val="00E96952"/>
    <w:rsid w:val="00EA3854"/>
    <w:rsid w:val="00EA6E78"/>
    <w:rsid w:val="00EA772F"/>
    <w:rsid w:val="00EB459A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120E2"/>
    <w:rsid w:val="00F24FD9"/>
    <w:rsid w:val="00F40E75"/>
    <w:rsid w:val="00F52545"/>
    <w:rsid w:val="00F53EDF"/>
    <w:rsid w:val="00F54674"/>
    <w:rsid w:val="00F608CD"/>
    <w:rsid w:val="00F638EE"/>
    <w:rsid w:val="00F65682"/>
    <w:rsid w:val="00F834A1"/>
    <w:rsid w:val="00F9407A"/>
    <w:rsid w:val="00FA40E1"/>
    <w:rsid w:val="00FB521E"/>
    <w:rsid w:val="00FB7353"/>
    <w:rsid w:val="00FC48A3"/>
    <w:rsid w:val="00FC68B7"/>
    <w:rsid w:val="00FD33E5"/>
    <w:rsid w:val="00FD6B2B"/>
    <w:rsid w:val="00FE4B06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3DF89"/>
  <w15:docId w15:val="{B8F35C7D-3FF1-40F5-A6F6-2A69D597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1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625D-6EDA-4182-AEF2-477E0D68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35</TotalTime>
  <Pages>2</Pages>
  <Words>516</Words>
  <Characters>2511</Characters>
  <Application>Microsoft Office Word</Application>
  <DocSecurity>0</DocSecurity>
  <Lines>61</Lines>
  <Paragraphs>31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4</cp:revision>
  <cp:lastPrinted>2018-02-27T14:05:00Z</cp:lastPrinted>
  <dcterms:created xsi:type="dcterms:W3CDTF">2018-02-27T13:27:00Z</dcterms:created>
  <dcterms:modified xsi:type="dcterms:W3CDTF">2018-02-27T14:05:00Z</dcterms:modified>
</cp:coreProperties>
</file>