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1C7898">
            <w:pPr>
              <w:jc w:val="right"/>
            </w:pPr>
            <w:r>
              <w:rPr>
                <w:sz w:val="40"/>
              </w:rPr>
              <w:t>ST</w:t>
            </w:r>
            <w:r>
              <w:t>/SG/AC.10/C.3/2017/</w:t>
            </w:r>
            <w:r w:rsidR="00B4520B">
              <w:t>3</w:t>
            </w:r>
            <w:r w:rsidR="001C7898">
              <w:t>8</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14:anchorId="5A473807" wp14:editId="793D5CBA">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456D02" w:rsidP="006D12B1">
            <w:pPr>
              <w:spacing w:line="240" w:lineRule="exact"/>
            </w:pPr>
            <w:r>
              <w:t>31</w:t>
            </w:r>
            <w:r w:rsidR="001D70DD">
              <w:t xml:space="preserve"> </w:t>
            </w:r>
            <w:r w:rsidR="00C0604F">
              <w:t>August 2017</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Pr="006500BA" w:rsidRDefault="009F0F06" w:rsidP="00432930">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rsidR="00B51A46" w:rsidRPr="00B51A46" w:rsidRDefault="00B51A46" w:rsidP="00432930">
      <w:pPr>
        <w:pStyle w:val="HChG"/>
        <w:spacing w:before="120" w:after="0"/>
        <w:ind w:left="0" w:firstLine="0"/>
        <w:rPr>
          <w:sz w:val="20"/>
        </w:rPr>
      </w:pPr>
      <w:r>
        <w:rPr>
          <w:sz w:val="20"/>
        </w:rPr>
        <w:t>Sub-Committee of Experts on the Transport of Dangerous Goods</w:t>
      </w:r>
    </w:p>
    <w:p w:rsidR="00B51A46" w:rsidRPr="00432930" w:rsidRDefault="0005466E" w:rsidP="00432930">
      <w:pPr>
        <w:spacing w:before="120"/>
        <w:rPr>
          <w:b/>
        </w:rPr>
      </w:pPr>
      <w:r>
        <w:rPr>
          <w:b/>
        </w:rPr>
        <w:t xml:space="preserve">Fifty-second </w:t>
      </w:r>
      <w:proofErr w:type="gramStart"/>
      <w:r>
        <w:rPr>
          <w:b/>
        </w:rPr>
        <w:t>session</w:t>
      </w:r>
      <w:proofErr w:type="gramEnd"/>
    </w:p>
    <w:p w:rsidR="00525DE7" w:rsidRPr="00C0604F" w:rsidRDefault="00B51A46" w:rsidP="00C0604F">
      <w:pPr>
        <w:pStyle w:val="NormalWeb"/>
        <w:rPr>
          <w:b/>
          <w:sz w:val="20"/>
          <w:szCs w:val="20"/>
        </w:rPr>
      </w:pPr>
      <w:r>
        <w:rPr>
          <w:sz w:val="20"/>
          <w:szCs w:val="20"/>
        </w:rPr>
        <w:t xml:space="preserve">Geneva, 27 November </w:t>
      </w:r>
      <w:r>
        <w:rPr>
          <w:color w:val="333333"/>
          <w:sz w:val="20"/>
          <w:szCs w:val="20"/>
        </w:rPr>
        <w:t>-6 December 2017</w:t>
      </w:r>
      <w:r>
        <w:rPr>
          <w:color w:val="333333"/>
          <w:sz w:val="20"/>
          <w:szCs w:val="20"/>
        </w:rPr>
        <w:br/>
      </w:r>
      <w:r>
        <w:rPr>
          <w:sz w:val="20"/>
          <w:szCs w:val="20"/>
        </w:rPr>
        <w:t>Item 3 of the provisional agenda</w:t>
      </w:r>
      <w:r>
        <w:rPr>
          <w:sz w:val="20"/>
          <w:szCs w:val="20"/>
        </w:rPr>
        <w:br/>
      </w:r>
      <w:proofErr w:type="gramStart"/>
      <w:r>
        <w:rPr>
          <w:b/>
          <w:sz w:val="20"/>
          <w:szCs w:val="20"/>
        </w:rPr>
        <w:t>Listing</w:t>
      </w:r>
      <w:proofErr w:type="gramEnd"/>
      <w:r>
        <w:rPr>
          <w:b/>
          <w:sz w:val="20"/>
          <w:szCs w:val="20"/>
        </w:rPr>
        <w:t>, classification and packing</w:t>
      </w:r>
    </w:p>
    <w:p w:rsidR="00CF1038" w:rsidRDefault="00783107" w:rsidP="00525DE7">
      <w:pPr>
        <w:pStyle w:val="HChG"/>
        <w:rPr>
          <w:sz w:val="24"/>
        </w:rPr>
      </w:pPr>
      <w:r>
        <w:tab/>
      </w:r>
      <w:r>
        <w:tab/>
        <w:t>New entry for UN 1390 ALKALI METAL AMIDES</w:t>
      </w:r>
      <w:r w:rsidR="00A07441">
        <w:t>,</w:t>
      </w:r>
      <w:r>
        <w:t xml:space="preserve"> packing group I</w:t>
      </w:r>
    </w:p>
    <w:p w:rsidR="006B4408" w:rsidRPr="006B4408" w:rsidRDefault="00CF4A88" w:rsidP="00CF4A88">
      <w:pPr>
        <w:pStyle w:val="H1G"/>
      </w:pPr>
      <w:r>
        <w:tab/>
      </w:r>
      <w:r>
        <w:tab/>
      </w:r>
      <w:r w:rsidR="00A07441">
        <w:t>Transmitted</w:t>
      </w:r>
      <w:r>
        <w:t xml:space="preserve"> by the expert </w:t>
      </w:r>
      <w:r w:rsidR="00A07441">
        <w:t>from</w:t>
      </w:r>
      <w:r>
        <w:t xml:space="preserve"> Germany</w:t>
      </w:r>
      <w:r>
        <w:rPr>
          <w:rStyle w:val="FootnoteReference"/>
        </w:rPr>
        <w:footnoteReference w:id="2"/>
      </w:r>
    </w:p>
    <w:p w:rsidR="006B4408" w:rsidRPr="00015A13" w:rsidRDefault="006B4408" w:rsidP="00CF4A88">
      <w:pPr>
        <w:pStyle w:val="HChG"/>
      </w:pPr>
      <w:r>
        <w:tab/>
      </w:r>
      <w:r>
        <w:tab/>
        <w:t>Introduction</w:t>
      </w:r>
    </w:p>
    <w:p w:rsidR="00CF1038" w:rsidRPr="0064050D" w:rsidRDefault="006B4408" w:rsidP="00B4520B">
      <w:pPr>
        <w:pStyle w:val="SingleTxtG"/>
      </w:pPr>
      <w:r>
        <w:t>1.</w:t>
      </w:r>
      <w:r>
        <w:tab/>
        <w:t>For UN 1390 ALKALI METAL AMIDES, there is only an entry</w:t>
      </w:r>
      <w:r w:rsidR="00A07441">
        <w:t xml:space="preserve"> for packing group II in the </w:t>
      </w:r>
      <w:r>
        <w:t>Model Regulations. In accordance with special provision 182, sodium amide would have to be assigned to that entry.</w:t>
      </w:r>
    </w:p>
    <w:p w:rsidR="00CF1038" w:rsidRPr="00B93E7C" w:rsidRDefault="00CF1038" w:rsidP="00B4520B">
      <w:pPr>
        <w:pStyle w:val="SingleTxtG"/>
      </w:pPr>
      <w:r>
        <w:t>2</w:t>
      </w:r>
      <w:r w:rsidR="00D20216">
        <w:t>.</w:t>
      </w:r>
      <w:r>
        <w:tab/>
        <w:t>In connection with the request of a company, the German occupational accident insurance fund for raw materials and the chemical industry (</w:t>
      </w:r>
      <w:proofErr w:type="spellStart"/>
      <w:r>
        <w:t>Berufsgenossenschaft</w:t>
      </w:r>
      <w:proofErr w:type="spellEnd"/>
      <w:r>
        <w:t xml:space="preserve"> </w:t>
      </w:r>
      <w:proofErr w:type="spellStart"/>
      <w:r>
        <w:t>Rohstoffe</w:t>
      </w:r>
      <w:proofErr w:type="spellEnd"/>
      <w:r>
        <w:t xml:space="preserve"> und </w:t>
      </w:r>
      <w:proofErr w:type="spellStart"/>
      <w:r>
        <w:t>chemische</w:t>
      </w:r>
      <w:proofErr w:type="spellEnd"/>
      <w:r>
        <w:t xml:space="preserve"> </w:t>
      </w:r>
      <w:proofErr w:type="spellStart"/>
      <w:r>
        <w:t>Industrie</w:t>
      </w:r>
      <w:proofErr w:type="spellEnd"/>
      <w:r>
        <w:t>) carried out investigations (N.5 test). The findings of these investigations showed that the criteria for assignment to Class 4.3</w:t>
      </w:r>
      <w:r w:rsidR="00A07441">
        <w:t>,</w:t>
      </w:r>
      <w:r>
        <w:t xml:space="preserve"> packing group </w:t>
      </w:r>
      <w:proofErr w:type="gramStart"/>
      <w:r>
        <w:t>I</w:t>
      </w:r>
      <w:proofErr w:type="gramEnd"/>
      <w:r w:rsidR="00A07441">
        <w:t>,</w:t>
      </w:r>
      <w:r>
        <w:t xml:space="preserve"> are met.</w:t>
      </w:r>
    </w:p>
    <w:p w:rsidR="00CF1038" w:rsidRPr="00BB3597" w:rsidRDefault="00CF1038" w:rsidP="00CF1038">
      <w:pPr>
        <w:spacing w:after="120"/>
        <w:ind w:left="1134" w:right="1134"/>
        <w:jc w:val="both"/>
      </w:pPr>
      <w:r>
        <w:t>3</w:t>
      </w:r>
      <w:r w:rsidR="00D20216">
        <w:t>.</w:t>
      </w:r>
      <w:r>
        <w:tab/>
        <w:t>Based on these findings, the Federal Institute for Materials Research and Testing (BAM) then tested sodium amide by means of the N.5 test. In this test, gas evolution rates between 126 l</w:t>
      </w:r>
      <w:proofErr w:type="gramStart"/>
      <w:r>
        <w:t>/(</w:t>
      </w:r>
      <w:proofErr w:type="spellStart"/>
      <w:proofErr w:type="gramEnd"/>
      <w:r>
        <w:t>kg</w:t>
      </w:r>
      <w:r w:rsidR="000B4EA2">
        <w:t>.</w:t>
      </w:r>
      <w:r>
        <w:t>min</w:t>
      </w:r>
      <w:proofErr w:type="spellEnd"/>
      <w:r>
        <w:t>) and 239 l/(</w:t>
      </w:r>
      <w:proofErr w:type="spellStart"/>
      <w:r>
        <w:t>kg</w:t>
      </w:r>
      <w:r w:rsidR="000B4EA2">
        <w:t>.</w:t>
      </w:r>
      <w:r>
        <w:t>min</w:t>
      </w:r>
      <w:proofErr w:type="spellEnd"/>
      <w:r>
        <w:t xml:space="preserve">) were measured. The test report is enclosed as an annex. </w:t>
      </w:r>
    </w:p>
    <w:p w:rsidR="006B4408" w:rsidRPr="00BB3597" w:rsidRDefault="00CF1038" w:rsidP="00CF4A88">
      <w:pPr>
        <w:pStyle w:val="SingleTxtG"/>
      </w:pPr>
      <w:r>
        <w:t>4</w:t>
      </w:r>
      <w:r w:rsidR="00D20216">
        <w:t>.</w:t>
      </w:r>
      <w:r>
        <w:tab/>
        <w:t>Against this background, the German expert believes that the substance must be assigned to packing group I.</w:t>
      </w:r>
    </w:p>
    <w:p w:rsidR="008B57B7" w:rsidRPr="00015A13" w:rsidRDefault="00CF4A88" w:rsidP="00CF4A88">
      <w:pPr>
        <w:pStyle w:val="HChG"/>
      </w:pPr>
      <w:r>
        <w:lastRenderedPageBreak/>
        <w:tab/>
      </w:r>
      <w:r>
        <w:tab/>
        <w:t xml:space="preserve">Proposal </w:t>
      </w:r>
    </w:p>
    <w:p w:rsidR="005B7CD6" w:rsidRPr="00BB3597" w:rsidRDefault="005B7CD6" w:rsidP="005B7CD6">
      <w:pPr>
        <w:pStyle w:val="SingleTxtG"/>
      </w:pPr>
      <w:r>
        <w:t>5</w:t>
      </w:r>
      <w:r w:rsidR="00D20216">
        <w:t>.</w:t>
      </w:r>
      <w:r>
        <w:tab/>
        <w:t>It is therefore proposed to add the following row for UN 1390 ALKALI METAL AMIDES packing group I to the table of dangerous goods:</w:t>
      </w:r>
    </w:p>
    <w:p w:rsidR="005B7CD6" w:rsidRPr="001D70DD" w:rsidRDefault="005B7CD6" w:rsidP="005B7CD6">
      <w:pPr>
        <w:ind w:left="340" w:right="170"/>
        <w:rPr>
          <w:sz w:val="24"/>
          <w:szCs w:val="24"/>
          <w:lang w:val="en-US"/>
        </w:rPr>
      </w:pPr>
    </w:p>
    <w:tbl>
      <w:tblPr>
        <w:tblW w:w="10363" w:type="dxa"/>
        <w:jc w:val="center"/>
        <w:tblLayout w:type="fixed"/>
        <w:tblCellMar>
          <w:left w:w="39" w:type="dxa"/>
          <w:right w:w="39" w:type="dxa"/>
        </w:tblCellMar>
        <w:tblLook w:val="0000" w:firstRow="0" w:lastRow="0" w:firstColumn="0" w:lastColumn="0" w:noHBand="0" w:noVBand="0"/>
      </w:tblPr>
      <w:tblGrid>
        <w:gridCol w:w="534"/>
        <w:gridCol w:w="1039"/>
        <w:gridCol w:w="799"/>
        <w:gridCol w:w="980"/>
        <w:gridCol w:w="952"/>
        <w:gridCol w:w="938"/>
        <w:gridCol w:w="588"/>
        <w:gridCol w:w="518"/>
        <w:gridCol w:w="993"/>
        <w:gridCol w:w="952"/>
        <w:gridCol w:w="1022"/>
        <w:gridCol w:w="1048"/>
      </w:tblGrid>
      <w:tr w:rsidR="005B7CD6" w:rsidTr="0012706B">
        <w:trPr>
          <w:cantSplit/>
          <w:jc w:val="center"/>
        </w:trPr>
        <w:tc>
          <w:tcPr>
            <w:tcW w:w="534" w:type="dxa"/>
            <w:tcBorders>
              <w:top w:val="single" w:sz="6" w:space="0" w:color="000000"/>
              <w:left w:val="single" w:sz="6" w:space="0" w:color="000000"/>
              <w:right w:val="single" w:sz="6" w:space="0" w:color="FFFFFF"/>
            </w:tcBorders>
          </w:tcPr>
          <w:p w:rsidR="005B7CD6" w:rsidRPr="001D70DD" w:rsidRDefault="005B7CD6" w:rsidP="0012706B">
            <w:pPr>
              <w:spacing w:line="19" w:lineRule="exact"/>
              <w:rPr>
                <w:sz w:val="18"/>
                <w:szCs w:val="18"/>
                <w:lang w:val="en-US"/>
              </w:rPr>
            </w:pPr>
          </w:p>
          <w:p w:rsidR="005B7CD6" w:rsidRDefault="005B7CD6" w:rsidP="0012706B">
            <w:pPr>
              <w:jc w:val="center"/>
              <w:rPr>
                <w:b/>
                <w:sz w:val="18"/>
                <w:szCs w:val="18"/>
              </w:rPr>
            </w:pPr>
            <w:r>
              <w:rPr>
                <w:b/>
                <w:sz w:val="18"/>
                <w:szCs w:val="18"/>
              </w:rPr>
              <w:t xml:space="preserve">UN </w:t>
            </w:r>
          </w:p>
          <w:p w:rsidR="005B7CD6" w:rsidRDefault="005B7CD6" w:rsidP="0012706B">
            <w:pPr>
              <w:spacing w:after="19"/>
              <w:jc w:val="center"/>
              <w:rPr>
                <w:b/>
                <w:sz w:val="18"/>
                <w:szCs w:val="18"/>
              </w:rPr>
            </w:pPr>
            <w:r>
              <w:rPr>
                <w:b/>
                <w:sz w:val="18"/>
                <w:szCs w:val="18"/>
              </w:rPr>
              <w:t xml:space="preserve">No.  </w:t>
            </w:r>
          </w:p>
        </w:tc>
        <w:tc>
          <w:tcPr>
            <w:tcW w:w="1039" w:type="dxa"/>
            <w:tcBorders>
              <w:top w:val="single" w:sz="6" w:space="0" w:color="000000"/>
              <w:left w:val="single" w:sz="6" w:space="0" w:color="000000"/>
              <w:right w:val="single" w:sz="6" w:space="0" w:color="FFFFFF"/>
            </w:tcBorders>
          </w:tcPr>
          <w:p w:rsidR="005B7CD6" w:rsidRDefault="005B7CD6" w:rsidP="0012706B">
            <w:pPr>
              <w:spacing w:line="19" w:lineRule="exact"/>
              <w:rPr>
                <w:b/>
                <w:sz w:val="18"/>
                <w:szCs w:val="18"/>
              </w:rPr>
            </w:pPr>
          </w:p>
          <w:p w:rsidR="005B7CD6" w:rsidRDefault="005B7CD6" w:rsidP="0012706B">
            <w:pPr>
              <w:tabs>
                <w:tab w:val="left" w:pos="340"/>
                <w:tab w:val="left" w:pos="1060"/>
                <w:tab w:val="left" w:pos="1780"/>
                <w:tab w:val="left" w:pos="2500"/>
              </w:tabs>
              <w:spacing w:after="19"/>
              <w:jc w:val="center"/>
              <w:rPr>
                <w:sz w:val="18"/>
                <w:szCs w:val="18"/>
              </w:rPr>
            </w:pPr>
            <w:r>
              <w:rPr>
                <w:b/>
                <w:sz w:val="18"/>
                <w:szCs w:val="18"/>
              </w:rPr>
              <w:t>Name and description</w:t>
            </w:r>
          </w:p>
        </w:tc>
        <w:tc>
          <w:tcPr>
            <w:tcW w:w="799" w:type="dxa"/>
            <w:tcBorders>
              <w:top w:val="single" w:sz="6" w:space="0" w:color="000000"/>
              <w:left w:val="single" w:sz="6" w:space="0" w:color="000000"/>
              <w:right w:val="single" w:sz="6" w:space="0" w:color="FFFFFF"/>
            </w:tcBorders>
          </w:tcPr>
          <w:p w:rsidR="005B7CD6" w:rsidRDefault="005B7CD6" w:rsidP="0012706B">
            <w:pPr>
              <w:spacing w:line="19" w:lineRule="exact"/>
              <w:rPr>
                <w:sz w:val="18"/>
                <w:szCs w:val="18"/>
              </w:rPr>
            </w:pPr>
          </w:p>
          <w:p w:rsidR="005B7CD6" w:rsidRDefault="005B7CD6" w:rsidP="0012706B">
            <w:pPr>
              <w:tabs>
                <w:tab w:val="left" w:pos="340"/>
                <w:tab w:val="left" w:pos="1060"/>
                <w:tab w:val="left" w:pos="1780"/>
                <w:tab w:val="left" w:pos="2500"/>
              </w:tabs>
              <w:jc w:val="center"/>
              <w:rPr>
                <w:b/>
                <w:sz w:val="18"/>
                <w:szCs w:val="18"/>
              </w:rPr>
            </w:pPr>
            <w:r>
              <w:rPr>
                <w:b/>
                <w:sz w:val="18"/>
                <w:szCs w:val="18"/>
              </w:rPr>
              <w:t xml:space="preserve">Class </w:t>
            </w:r>
          </w:p>
          <w:p w:rsidR="005B7CD6" w:rsidRDefault="005B7CD6" w:rsidP="0012706B">
            <w:pPr>
              <w:tabs>
                <w:tab w:val="left" w:pos="340"/>
                <w:tab w:val="left" w:pos="1060"/>
                <w:tab w:val="left" w:pos="1780"/>
                <w:tab w:val="left" w:pos="2500"/>
              </w:tabs>
              <w:spacing w:after="19"/>
              <w:jc w:val="center"/>
              <w:rPr>
                <w:sz w:val="18"/>
                <w:szCs w:val="18"/>
              </w:rPr>
            </w:pPr>
            <w:r>
              <w:rPr>
                <w:b/>
                <w:sz w:val="18"/>
                <w:szCs w:val="18"/>
              </w:rPr>
              <w:t>or division</w:t>
            </w:r>
          </w:p>
        </w:tc>
        <w:tc>
          <w:tcPr>
            <w:tcW w:w="980" w:type="dxa"/>
            <w:tcBorders>
              <w:top w:val="single" w:sz="6" w:space="0" w:color="000000"/>
              <w:left w:val="single" w:sz="6" w:space="0" w:color="000000"/>
              <w:right w:val="single" w:sz="6" w:space="0" w:color="FFFFFF"/>
            </w:tcBorders>
          </w:tcPr>
          <w:p w:rsidR="005B7CD6" w:rsidRDefault="005B7CD6" w:rsidP="0012706B">
            <w:pPr>
              <w:spacing w:line="19" w:lineRule="exact"/>
              <w:rPr>
                <w:sz w:val="18"/>
                <w:szCs w:val="18"/>
              </w:rPr>
            </w:pPr>
          </w:p>
          <w:p w:rsidR="005B7CD6" w:rsidRDefault="005B7CD6" w:rsidP="0012706B">
            <w:pPr>
              <w:tabs>
                <w:tab w:val="left" w:pos="340"/>
                <w:tab w:val="left" w:pos="1060"/>
                <w:tab w:val="left" w:pos="1780"/>
                <w:tab w:val="left" w:pos="2500"/>
              </w:tabs>
              <w:spacing w:after="19"/>
              <w:jc w:val="center"/>
              <w:rPr>
                <w:sz w:val="18"/>
                <w:szCs w:val="18"/>
              </w:rPr>
            </w:pPr>
            <w:r>
              <w:rPr>
                <w:b/>
                <w:sz w:val="18"/>
                <w:szCs w:val="18"/>
              </w:rPr>
              <w:t>Subsidiary risk</w:t>
            </w:r>
          </w:p>
        </w:tc>
        <w:tc>
          <w:tcPr>
            <w:tcW w:w="952" w:type="dxa"/>
            <w:tcBorders>
              <w:top w:val="single" w:sz="6" w:space="0" w:color="000000"/>
              <w:left w:val="single" w:sz="6" w:space="0" w:color="000000"/>
              <w:right w:val="single" w:sz="6" w:space="0" w:color="FFFFFF"/>
            </w:tcBorders>
          </w:tcPr>
          <w:p w:rsidR="005B7CD6" w:rsidRDefault="005B7CD6" w:rsidP="0012706B">
            <w:pPr>
              <w:spacing w:line="19" w:lineRule="exact"/>
              <w:rPr>
                <w:sz w:val="18"/>
                <w:szCs w:val="18"/>
              </w:rPr>
            </w:pPr>
          </w:p>
          <w:p w:rsidR="005B7CD6" w:rsidRDefault="005B7CD6" w:rsidP="0012706B">
            <w:pPr>
              <w:tabs>
                <w:tab w:val="left" w:pos="340"/>
                <w:tab w:val="left" w:pos="1060"/>
                <w:tab w:val="left" w:pos="1780"/>
                <w:tab w:val="left" w:pos="2500"/>
              </w:tabs>
              <w:spacing w:after="19"/>
              <w:jc w:val="center"/>
              <w:rPr>
                <w:sz w:val="18"/>
                <w:szCs w:val="18"/>
              </w:rPr>
            </w:pPr>
            <w:r>
              <w:rPr>
                <w:b/>
                <w:sz w:val="18"/>
                <w:szCs w:val="18"/>
              </w:rPr>
              <w:t>UN packing group</w:t>
            </w:r>
          </w:p>
        </w:tc>
        <w:tc>
          <w:tcPr>
            <w:tcW w:w="938" w:type="dxa"/>
            <w:tcBorders>
              <w:top w:val="single" w:sz="6" w:space="0" w:color="000000"/>
              <w:left w:val="single" w:sz="6" w:space="0" w:color="000000"/>
              <w:right w:val="single" w:sz="6" w:space="0" w:color="FFFFFF"/>
            </w:tcBorders>
          </w:tcPr>
          <w:p w:rsidR="005B7CD6" w:rsidRDefault="005B7CD6" w:rsidP="0012706B">
            <w:pPr>
              <w:spacing w:line="19" w:lineRule="exact"/>
              <w:rPr>
                <w:sz w:val="18"/>
                <w:szCs w:val="18"/>
              </w:rPr>
            </w:pPr>
          </w:p>
          <w:p w:rsidR="005B7CD6" w:rsidRDefault="005B7CD6" w:rsidP="0012706B">
            <w:pPr>
              <w:tabs>
                <w:tab w:val="left" w:pos="340"/>
                <w:tab w:val="left" w:pos="1060"/>
                <w:tab w:val="left" w:pos="1780"/>
                <w:tab w:val="left" w:pos="2500"/>
              </w:tabs>
              <w:spacing w:after="19"/>
              <w:jc w:val="center"/>
              <w:rPr>
                <w:sz w:val="18"/>
                <w:szCs w:val="18"/>
              </w:rPr>
            </w:pPr>
            <w:r>
              <w:rPr>
                <w:b/>
                <w:sz w:val="18"/>
                <w:szCs w:val="18"/>
              </w:rPr>
              <w:t>Special provisions</w:t>
            </w:r>
          </w:p>
        </w:tc>
        <w:tc>
          <w:tcPr>
            <w:tcW w:w="1106" w:type="dxa"/>
            <w:gridSpan w:val="2"/>
            <w:tcBorders>
              <w:top w:val="single" w:sz="6" w:space="0" w:color="000000"/>
              <w:left w:val="single" w:sz="6" w:space="0" w:color="000000"/>
              <w:right w:val="single" w:sz="6" w:space="0" w:color="FFFFFF"/>
            </w:tcBorders>
          </w:tcPr>
          <w:p w:rsidR="005B7CD6" w:rsidRDefault="005B7CD6" w:rsidP="0012706B">
            <w:pPr>
              <w:spacing w:line="19" w:lineRule="exact"/>
              <w:rPr>
                <w:sz w:val="18"/>
                <w:szCs w:val="18"/>
              </w:rPr>
            </w:pPr>
          </w:p>
          <w:p w:rsidR="005B7CD6" w:rsidRDefault="005B7CD6" w:rsidP="0012706B">
            <w:pPr>
              <w:tabs>
                <w:tab w:val="left" w:pos="340"/>
                <w:tab w:val="left" w:pos="1060"/>
                <w:tab w:val="left" w:pos="1780"/>
                <w:tab w:val="left" w:pos="2500"/>
              </w:tabs>
              <w:spacing w:after="19"/>
              <w:jc w:val="center"/>
              <w:rPr>
                <w:sz w:val="18"/>
                <w:szCs w:val="18"/>
              </w:rPr>
            </w:pPr>
            <w:r>
              <w:rPr>
                <w:b/>
                <w:sz w:val="18"/>
                <w:szCs w:val="18"/>
              </w:rPr>
              <w:t>Limited and excepted quantities</w:t>
            </w:r>
          </w:p>
        </w:tc>
        <w:tc>
          <w:tcPr>
            <w:tcW w:w="1945" w:type="dxa"/>
            <w:gridSpan w:val="2"/>
            <w:tcBorders>
              <w:top w:val="single" w:sz="6" w:space="0" w:color="000000"/>
              <w:left w:val="single" w:sz="6" w:space="0" w:color="000000"/>
              <w:right w:val="single" w:sz="6" w:space="0" w:color="FFFFFF"/>
            </w:tcBorders>
          </w:tcPr>
          <w:p w:rsidR="005B7CD6" w:rsidRDefault="005B7CD6" w:rsidP="0012706B">
            <w:pPr>
              <w:spacing w:line="19" w:lineRule="exact"/>
              <w:rPr>
                <w:sz w:val="18"/>
                <w:szCs w:val="18"/>
              </w:rPr>
            </w:pPr>
          </w:p>
          <w:p w:rsidR="005B7CD6" w:rsidRDefault="005B7CD6" w:rsidP="0012706B">
            <w:pPr>
              <w:tabs>
                <w:tab w:val="left" w:pos="340"/>
                <w:tab w:val="left" w:pos="1060"/>
                <w:tab w:val="left" w:pos="1780"/>
                <w:tab w:val="left" w:pos="2500"/>
              </w:tabs>
              <w:spacing w:after="19"/>
              <w:jc w:val="center"/>
              <w:rPr>
                <w:b/>
                <w:sz w:val="18"/>
                <w:szCs w:val="18"/>
              </w:rPr>
            </w:pPr>
            <w:proofErr w:type="spellStart"/>
            <w:r>
              <w:rPr>
                <w:b/>
                <w:sz w:val="18"/>
                <w:szCs w:val="18"/>
              </w:rPr>
              <w:t>Packagings</w:t>
            </w:r>
            <w:proofErr w:type="spellEnd"/>
            <w:r>
              <w:rPr>
                <w:b/>
                <w:sz w:val="18"/>
                <w:szCs w:val="18"/>
              </w:rPr>
              <w:t xml:space="preserve"> and IBCs</w:t>
            </w:r>
          </w:p>
        </w:tc>
        <w:tc>
          <w:tcPr>
            <w:tcW w:w="2070" w:type="dxa"/>
            <w:gridSpan w:val="2"/>
            <w:tcBorders>
              <w:top w:val="single" w:sz="6" w:space="0" w:color="000000"/>
              <w:left w:val="single" w:sz="6" w:space="0" w:color="000000"/>
              <w:right w:val="single" w:sz="6" w:space="0" w:color="000000"/>
            </w:tcBorders>
          </w:tcPr>
          <w:p w:rsidR="005B7CD6" w:rsidRDefault="005B7CD6" w:rsidP="0012706B">
            <w:pPr>
              <w:spacing w:line="19" w:lineRule="exact"/>
              <w:rPr>
                <w:b/>
                <w:sz w:val="18"/>
                <w:szCs w:val="18"/>
              </w:rPr>
            </w:pPr>
          </w:p>
          <w:p w:rsidR="005B7CD6" w:rsidRDefault="005B7CD6" w:rsidP="0012706B">
            <w:pPr>
              <w:tabs>
                <w:tab w:val="left" w:pos="340"/>
                <w:tab w:val="left" w:pos="1060"/>
                <w:tab w:val="left" w:pos="1780"/>
                <w:tab w:val="left" w:pos="2500"/>
              </w:tabs>
              <w:spacing w:after="19"/>
              <w:jc w:val="center"/>
              <w:rPr>
                <w:sz w:val="18"/>
                <w:szCs w:val="18"/>
              </w:rPr>
            </w:pPr>
            <w:r>
              <w:rPr>
                <w:b/>
                <w:sz w:val="18"/>
                <w:szCs w:val="18"/>
              </w:rPr>
              <w:t>Portable tanks and bulk containers</w:t>
            </w:r>
          </w:p>
        </w:tc>
      </w:tr>
      <w:tr w:rsidR="005B7CD6" w:rsidTr="0012706B">
        <w:trPr>
          <w:jc w:val="center"/>
        </w:trPr>
        <w:tc>
          <w:tcPr>
            <w:tcW w:w="534" w:type="dxa"/>
            <w:tcBorders>
              <w:left w:val="single" w:sz="6" w:space="0" w:color="000000"/>
              <w:bottom w:val="single" w:sz="6" w:space="0" w:color="000000"/>
              <w:right w:val="single" w:sz="6" w:space="0" w:color="FFFFFF"/>
            </w:tcBorders>
          </w:tcPr>
          <w:p w:rsidR="005B7CD6" w:rsidRDefault="005B7CD6" w:rsidP="0012706B">
            <w:pPr>
              <w:spacing w:line="19" w:lineRule="exact"/>
              <w:rPr>
                <w:sz w:val="18"/>
                <w:szCs w:val="18"/>
              </w:rPr>
            </w:pPr>
          </w:p>
          <w:p w:rsidR="005B7CD6" w:rsidRDefault="005B7CD6" w:rsidP="0012706B">
            <w:pPr>
              <w:tabs>
                <w:tab w:val="left" w:pos="340"/>
                <w:tab w:val="left" w:pos="1060"/>
                <w:tab w:val="left" w:pos="1780"/>
                <w:tab w:val="left" w:pos="2500"/>
              </w:tabs>
              <w:jc w:val="center"/>
              <w:rPr>
                <w:sz w:val="18"/>
                <w:szCs w:val="18"/>
              </w:rPr>
            </w:pPr>
          </w:p>
        </w:tc>
        <w:tc>
          <w:tcPr>
            <w:tcW w:w="1039" w:type="dxa"/>
            <w:tcBorders>
              <w:left w:val="single" w:sz="6" w:space="0" w:color="000000"/>
              <w:bottom w:val="single" w:sz="6" w:space="0" w:color="000000"/>
              <w:right w:val="single" w:sz="6" w:space="0" w:color="FFFFFF"/>
            </w:tcBorders>
          </w:tcPr>
          <w:p w:rsidR="005B7CD6" w:rsidRDefault="005B7CD6" w:rsidP="0012706B">
            <w:pPr>
              <w:spacing w:line="19" w:lineRule="exact"/>
              <w:rPr>
                <w:sz w:val="18"/>
                <w:szCs w:val="18"/>
              </w:rPr>
            </w:pPr>
          </w:p>
          <w:p w:rsidR="005B7CD6" w:rsidRDefault="005B7CD6" w:rsidP="0012706B">
            <w:pPr>
              <w:tabs>
                <w:tab w:val="left" w:pos="340"/>
                <w:tab w:val="left" w:pos="1060"/>
                <w:tab w:val="left" w:pos="1780"/>
                <w:tab w:val="left" w:pos="2500"/>
              </w:tabs>
              <w:jc w:val="center"/>
              <w:rPr>
                <w:sz w:val="18"/>
                <w:szCs w:val="18"/>
              </w:rPr>
            </w:pPr>
          </w:p>
        </w:tc>
        <w:tc>
          <w:tcPr>
            <w:tcW w:w="799" w:type="dxa"/>
            <w:tcBorders>
              <w:left w:val="single" w:sz="6" w:space="0" w:color="000000"/>
              <w:bottom w:val="single" w:sz="6" w:space="0" w:color="000000"/>
              <w:right w:val="single" w:sz="6" w:space="0" w:color="FFFFFF"/>
            </w:tcBorders>
          </w:tcPr>
          <w:p w:rsidR="005B7CD6" w:rsidRDefault="005B7CD6" w:rsidP="0012706B">
            <w:pPr>
              <w:spacing w:line="19" w:lineRule="exact"/>
              <w:rPr>
                <w:sz w:val="18"/>
                <w:szCs w:val="18"/>
              </w:rPr>
            </w:pPr>
          </w:p>
          <w:p w:rsidR="005B7CD6" w:rsidRDefault="005B7CD6" w:rsidP="0012706B">
            <w:pPr>
              <w:tabs>
                <w:tab w:val="left" w:pos="340"/>
                <w:tab w:val="left" w:pos="1060"/>
                <w:tab w:val="left" w:pos="1780"/>
                <w:tab w:val="left" w:pos="2500"/>
              </w:tabs>
              <w:jc w:val="center"/>
              <w:rPr>
                <w:sz w:val="18"/>
                <w:szCs w:val="18"/>
              </w:rPr>
            </w:pPr>
          </w:p>
        </w:tc>
        <w:tc>
          <w:tcPr>
            <w:tcW w:w="980" w:type="dxa"/>
            <w:tcBorders>
              <w:left w:val="single" w:sz="6" w:space="0" w:color="000000"/>
              <w:bottom w:val="single" w:sz="6" w:space="0" w:color="000000"/>
              <w:right w:val="single" w:sz="6" w:space="0" w:color="FFFFFF"/>
            </w:tcBorders>
          </w:tcPr>
          <w:p w:rsidR="005B7CD6" w:rsidRDefault="005B7CD6" w:rsidP="0012706B">
            <w:pPr>
              <w:spacing w:line="19" w:lineRule="exact"/>
              <w:rPr>
                <w:sz w:val="18"/>
                <w:szCs w:val="18"/>
              </w:rPr>
            </w:pPr>
          </w:p>
          <w:p w:rsidR="005B7CD6" w:rsidRDefault="005B7CD6" w:rsidP="0012706B">
            <w:pPr>
              <w:tabs>
                <w:tab w:val="left" w:pos="340"/>
                <w:tab w:val="left" w:pos="1060"/>
                <w:tab w:val="left" w:pos="1780"/>
                <w:tab w:val="left" w:pos="2500"/>
              </w:tabs>
              <w:jc w:val="center"/>
              <w:rPr>
                <w:sz w:val="18"/>
                <w:szCs w:val="18"/>
              </w:rPr>
            </w:pPr>
          </w:p>
        </w:tc>
        <w:tc>
          <w:tcPr>
            <w:tcW w:w="952" w:type="dxa"/>
            <w:tcBorders>
              <w:left w:val="single" w:sz="6" w:space="0" w:color="000000"/>
              <w:bottom w:val="single" w:sz="6" w:space="0" w:color="000000"/>
              <w:right w:val="single" w:sz="6" w:space="0" w:color="FFFFFF"/>
            </w:tcBorders>
          </w:tcPr>
          <w:p w:rsidR="005B7CD6" w:rsidRDefault="005B7CD6" w:rsidP="0012706B">
            <w:pPr>
              <w:spacing w:line="19" w:lineRule="exact"/>
              <w:rPr>
                <w:sz w:val="18"/>
                <w:szCs w:val="18"/>
              </w:rPr>
            </w:pPr>
          </w:p>
          <w:p w:rsidR="005B7CD6" w:rsidRDefault="005B7CD6" w:rsidP="0012706B">
            <w:pPr>
              <w:tabs>
                <w:tab w:val="left" w:pos="340"/>
                <w:tab w:val="left" w:pos="1060"/>
                <w:tab w:val="left" w:pos="1780"/>
                <w:tab w:val="left" w:pos="2500"/>
              </w:tabs>
              <w:jc w:val="center"/>
              <w:rPr>
                <w:sz w:val="18"/>
                <w:szCs w:val="18"/>
              </w:rPr>
            </w:pPr>
          </w:p>
        </w:tc>
        <w:tc>
          <w:tcPr>
            <w:tcW w:w="938" w:type="dxa"/>
            <w:tcBorders>
              <w:left w:val="single" w:sz="6" w:space="0" w:color="000000"/>
              <w:bottom w:val="single" w:sz="6" w:space="0" w:color="000000"/>
              <w:right w:val="single" w:sz="6" w:space="0" w:color="FFFFFF"/>
            </w:tcBorders>
          </w:tcPr>
          <w:p w:rsidR="005B7CD6" w:rsidRDefault="005B7CD6" w:rsidP="0012706B">
            <w:pPr>
              <w:spacing w:line="19" w:lineRule="exact"/>
              <w:rPr>
                <w:sz w:val="18"/>
                <w:szCs w:val="18"/>
              </w:rPr>
            </w:pPr>
          </w:p>
          <w:p w:rsidR="005B7CD6" w:rsidRDefault="005B7CD6" w:rsidP="0012706B">
            <w:pPr>
              <w:tabs>
                <w:tab w:val="left" w:pos="340"/>
                <w:tab w:val="left" w:pos="1060"/>
                <w:tab w:val="left" w:pos="1780"/>
                <w:tab w:val="left" w:pos="2500"/>
              </w:tabs>
              <w:jc w:val="center"/>
              <w:rPr>
                <w:sz w:val="18"/>
                <w:szCs w:val="18"/>
              </w:rPr>
            </w:pPr>
          </w:p>
        </w:tc>
        <w:tc>
          <w:tcPr>
            <w:tcW w:w="588" w:type="dxa"/>
            <w:tcBorders>
              <w:left w:val="single" w:sz="6" w:space="0" w:color="000000"/>
              <w:bottom w:val="single" w:sz="6" w:space="0" w:color="000000"/>
              <w:right w:val="single" w:sz="6" w:space="0" w:color="000000"/>
            </w:tcBorders>
          </w:tcPr>
          <w:p w:rsidR="005B7CD6" w:rsidRDefault="005B7CD6" w:rsidP="0012706B">
            <w:pPr>
              <w:spacing w:line="19" w:lineRule="exact"/>
              <w:rPr>
                <w:sz w:val="18"/>
                <w:szCs w:val="18"/>
              </w:rPr>
            </w:pPr>
          </w:p>
        </w:tc>
        <w:tc>
          <w:tcPr>
            <w:tcW w:w="518" w:type="dxa"/>
            <w:tcBorders>
              <w:left w:val="single" w:sz="6" w:space="0" w:color="000000"/>
              <w:bottom w:val="single" w:sz="6" w:space="0" w:color="000000"/>
              <w:right w:val="single" w:sz="6" w:space="0" w:color="FFFFFF"/>
            </w:tcBorders>
          </w:tcPr>
          <w:p w:rsidR="005B7CD6" w:rsidRDefault="005B7CD6" w:rsidP="0012706B">
            <w:pPr>
              <w:spacing w:line="19" w:lineRule="exact"/>
              <w:rPr>
                <w:sz w:val="18"/>
                <w:szCs w:val="18"/>
              </w:rPr>
            </w:pPr>
          </w:p>
          <w:p w:rsidR="005B7CD6" w:rsidRDefault="005B7CD6" w:rsidP="0012706B">
            <w:pPr>
              <w:tabs>
                <w:tab w:val="left" w:pos="340"/>
                <w:tab w:val="left" w:pos="1060"/>
                <w:tab w:val="left" w:pos="1780"/>
                <w:tab w:val="left" w:pos="2500"/>
              </w:tabs>
              <w:jc w:val="center"/>
              <w:rPr>
                <w:sz w:val="18"/>
                <w:szCs w:val="18"/>
              </w:rPr>
            </w:pPr>
          </w:p>
        </w:tc>
        <w:tc>
          <w:tcPr>
            <w:tcW w:w="993" w:type="dxa"/>
            <w:tcBorders>
              <w:top w:val="single" w:sz="6" w:space="0" w:color="000000"/>
              <w:left w:val="single" w:sz="6" w:space="0" w:color="000000"/>
              <w:bottom w:val="single" w:sz="6" w:space="0" w:color="FFFFFF"/>
              <w:right w:val="single" w:sz="6" w:space="0" w:color="FFFFFF"/>
            </w:tcBorders>
          </w:tcPr>
          <w:p w:rsidR="005B7CD6" w:rsidRDefault="005B7CD6" w:rsidP="0012706B">
            <w:pPr>
              <w:spacing w:line="19" w:lineRule="exact"/>
              <w:rPr>
                <w:sz w:val="18"/>
                <w:szCs w:val="18"/>
              </w:rPr>
            </w:pPr>
          </w:p>
          <w:p w:rsidR="005B7CD6" w:rsidRDefault="005B7CD6" w:rsidP="0012706B">
            <w:pPr>
              <w:tabs>
                <w:tab w:val="left" w:pos="340"/>
                <w:tab w:val="left" w:pos="1060"/>
                <w:tab w:val="left" w:pos="1780"/>
                <w:tab w:val="left" w:pos="2500"/>
              </w:tabs>
              <w:jc w:val="center"/>
              <w:rPr>
                <w:b/>
                <w:sz w:val="18"/>
                <w:szCs w:val="18"/>
              </w:rPr>
            </w:pPr>
            <w:r>
              <w:rPr>
                <w:b/>
                <w:sz w:val="18"/>
                <w:szCs w:val="18"/>
              </w:rPr>
              <w:t>Packing instruction</w:t>
            </w:r>
          </w:p>
        </w:tc>
        <w:tc>
          <w:tcPr>
            <w:tcW w:w="952" w:type="dxa"/>
            <w:tcBorders>
              <w:top w:val="single" w:sz="6" w:space="0" w:color="000000"/>
              <w:left w:val="single" w:sz="6" w:space="0" w:color="000000"/>
              <w:bottom w:val="single" w:sz="6" w:space="0" w:color="FFFFFF"/>
              <w:right w:val="single" w:sz="6" w:space="0" w:color="FFFFFF"/>
            </w:tcBorders>
          </w:tcPr>
          <w:p w:rsidR="005B7CD6" w:rsidRDefault="005B7CD6" w:rsidP="0012706B">
            <w:pPr>
              <w:spacing w:line="19" w:lineRule="exact"/>
              <w:rPr>
                <w:b/>
                <w:sz w:val="18"/>
                <w:szCs w:val="18"/>
              </w:rPr>
            </w:pPr>
          </w:p>
          <w:p w:rsidR="005B7CD6" w:rsidRDefault="005B7CD6" w:rsidP="0012706B">
            <w:pPr>
              <w:tabs>
                <w:tab w:val="left" w:pos="340"/>
                <w:tab w:val="left" w:pos="1060"/>
                <w:tab w:val="left" w:pos="1780"/>
                <w:tab w:val="left" w:pos="2500"/>
              </w:tabs>
              <w:jc w:val="center"/>
              <w:rPr>
                <w:b/>
                <w:sz w:val="18"/>
                <w:szCs w:val="18"/>
              </w:rPr>
            </w:pPr>
            <w:r>
              <w:rPr>
                <w:b/>
                <w:sz w:val="18"/>
                <w:szCs w:val="18"/>
              </w:rPr>
              <w:t>Special provisions</w:t>
            </w:r>
          </w:p>
        </w:tc>
        <w:tc>
          <w:tcPr>
            <w:tcW w:w="1022" w:type="dxa"/>
            <w:tcBorders>
              <w:top w:val="single" w:sz="6" w:space="0" w:color="000000"/>
              <w:left w:val="single" w:sz="6" w:space="0" w:color="000000"/>
              <w:bottom w:val="single" w:sz="6" w:space="0" w:color="FFFFFF"/>
              <w:right w:val="single" w:sz="6" w:space="0" w:color="FFFFFF"/>
            </w:tcBorders>
          </w:tcPr>
          <w:p w:rsidR="005B7CD6" w:rsidRDefault="005B7CD6" w:rsidP="0012706B">
            <w:pPr>
              <w:spacing w:line="19" w:lineRule="exact"/>
              <w:rPr>
                <w:b/>
                <w:sz w:val="18"/>
                <w:szCs w:val="18"/>
              </w:rPr>
            </w:pPr>
          </w:p>
          <w:p w:rsidR="005B7CD6" w:rsidRDefault="005B7CD6" w:rsidP="0012706B">
            <w:pPr>
              <w:tabs>
                <w:tab w:val="left" w:pos="340"/>
                <w:tab w:val="left" w:pos="1060"/>
                <w:tab w:val="left" w:pos="1780"/>
                <w:tab w:val="left" w:pos="2500"/>
              </w:tabs>
              <w:jc w:val="center"/>
              <w:rPr>
                <w:b/>
                <w:sz w:val="18"/>
                <w:szCs w:val="18"/>
              </w:rPr>
            </w:pPr>
            <w:r>
              <w:rPr>
                <w:b/>
                <w:sz w:val="18"/>
                <w:szCs w:val="18"/>
              </w:rPr>
              <w:t>Instruction</w:t>
            </w:r>
          </w:p>
        </w:tc>
        <w:tc>
          <w:tcPr>
            <w:tcW w:w="1048" w:type="dxa"/>
            <w:tcBorders>
              <w:top w:val="single" w:sz="6" w:space="0" w:color="000000"/>
              <w:left w:val="single" w:sz="6" w:space="0" w:color="000000"/>
              <w:bottom w:val="single" w:sz="6" w:space="0" w:color="FFFFFF"/>
              <w:right w:val="single" w:sz="6" w:space="0" w:color="000000"/>
            </w:tcBorders>
          </w:tcPr>
          <w:p w:rsidR="005B7CD6" w:rsidRDefault="005B7CD6" w:rsidP="0012706B">
            <w:pPr>
              <w:spacing w:line="19" w:lineRule="exact"/>
              <w:rPr>
                <w:b/>
                <w:sz w:val="18"/>
                <w:szCs w:val="18"/>
              </w:rPr>
            </w:pPr>
          </w:p>
          <w:p w:rsidR="005B7CD6" w:rsidRDefault="005B7CD6" w:rsidP="0012706B">
            <w:pPr>
              <w:tabs>
                <w:tab w:val="left" w:pos="340"/>
                <w:tab w:val="left" w:pos="1060"/>
                <w:tab w:val="left" w:pos="1780"/>
                <w:tab w:val="left" w:pos="2500"/>
              </w:tabs>
              <w:jc w:val="center"/>
              <w:rPr>
                <w:b/>
                <w:sz w:val="18"/>
                <w:szCs w:val="18"/>
              </w:rPr>
            </w:pPr>
            <w:r>
              <w:rPr>
                <w:b/>
                <w:sz w:val="18"/>
                <w:szCs w:val="18"/>
              </w:rPr>
              <w:t>Special provisions</w:t>
            </w:r>
          </w:p>
        </w:tc>
      </w:tr>
      <w:tr w:rsidR="005B7CD6" w:rsidTr="0012706B">
        <w:trPr>
          <w:jc w:val="center"/>
        </w:trPr>
        <w:tc>
          <w:tcPr>
            <w:tcW w:w="534" w:type="dxa"/>
            <w:tcBorders>
              <w:top w:val="single" w:sz="6" w:space="0" w:color="000000"/>
              <w:left w:val="single" w:sz="6" w:space="0" w:color="000000"/>
              <w:bottom w:val="single" w:sz="6" w:space="0" w:color="FFFFFF"/>
              <w:right w:val="single" w:sz="6" w:space="0" w:color="FFFFFF"/>
            </w:tcBorders>
          </w:tcPr>
          <w:p w:rsidR="005B7CD6" w:rsidRDefault="005B7CD6" w:rsidP="0012706B">
            <w:pPr>
              <w:spacing w:line="19" w:lineRule="exact"/>
              <w:rPr>
                <w:b/>
                <w:sz w:val="18"/>
                <w:szCs w:val="18"/>
              </w:rPr>
            </w:pPr>
          </w:p>
          <w:p w:rsidR="005B7CD6" w:rsidRDefault="005B7CD6" w:rsidP="0012706B">
            <w:pPr>
              <w:tabs>
                <w:tab w:val="left" w:pos="340"/>
                <w:tab w:val="left" w:pos="1060"/>
                <w:tab w:val="left" w:pos="1780"/>
                <w:tab w:val="left" w:pos="2500"/>
              </w:tabs>
              <w:jc w:val="center"/>
              <w:rPr>
                <w:b/>
                <w:sz w:val="18"/>
                <w:szCs w:val="18"/>
              </w:rPr>
            </w:pPr>
            <w:r>
              <w:rPr>
                <w:b/>
                <w:sz w:val="18"/>
                <w:szCs w:val="18"/>
              </w:rPr>
              <w:t>(1)</w:t>
            </w:r>
          </w:p>
        </w:tc>
        <w:tc>
          <w:tcPr>
            <w:tcW w:w="1039" w:type="dxa"/>
            <w:tcBorders>
              <w:top w:val="single" w:sz="6" w:space="0" w:color="000000"/>
              <w:left w:val="single" w:sz="6" w:space="0" w:color="000000"/>
              <w:bottom w:val="single" w:sz="6" w:space="0" w:color="FFFFFF"/>
              <w:right w:val="single" w:sz="6" w:space="0" w:color="FFFFFF"/>
            </w:tcBorders>
          </w:tcPr>
          <w:p w:rsidR="005B7CD6" w:rsidRDefault="005B7CD6" w:rsidP="0012706B">
            <w:pPr>
              <w:spacing w:line="19" w:lineRule="exact"/>
              <w:rPr>
                <w:b/>
                <w:sz w:val="18"/>
                <w:szCs w:val="18"/>
              </w:rPr>
            </w:pPr>
          </w:p>
          <w:p w:rsidR="005B7CD6" w:rsidRDefault="005B7CD6" w:rsidP="0012706B">
            <w:pPr>
              <w:tabs>
                <w:tab w:val="left" w:pos="340"/>
                <w:tab w:val="left" w:pos="1060"/>
                <w:tab w:val="left" w:pos="1780"/>
                <w:tab w:val="left" w:pos="2500"/>
              </w:tabs>
              <w:jc w:val="center"/>
              <w:rPr>
                <w:b/>
                <w:sz w:val="18"/>
                <w:szCs w:val="18"/>
              </w:rPr>
            </w:pPr>
            <w:r>
              <w:rPr>
                <w:b/>
                <w:sz w:val="18"/>
                <w:szCs w:val="18"/>
              </w:rPr>
              <w:t>(2)</w:t>
            </w:r>
          </w:p>
        </w:tc>
        <w:tc>
          <w:tcPr>
            <w:tcW w:w="799" w:type="dxa"/>
            <w:tcBorders>
              <w:top w:val="single" w:sz="6" w:space="0" w:color="000000"/>
              <w:left w:val="single" w:sz="6" w:space="0" w:color="000000"/>
              <w:bottom w:val="single" w:sz="6" w:space="0" w:color="FFFFFF"/>
              <w:right w:val="single" w:sz="6" w:space="0" w:color="FFFFFF"/>
            </w:tcBorders>
          </w:tcPr>
          <w:p w:rsidR="005B7CD6" w:rsidRDefault="005B7CD6" w:rsidP="0012706B">
            <w:pPr>
              <w:spacing w:line="19" w:lineRule="exact"/>
              <w:rPr>
                <w:b/>
                <w:sz w:val="18"/>
                <w:szCs w:val="18"/>
              </w:rPr>
            </w:pPr>
          </w:p>
          <w:p w:rsidR="005B7CD6" w:rsidRDefault="005B7CD6" w:rsidP="0012706B">
            <w:pPr>
              <w:tabs>
                <w:tab w:val="left" w:pos="340"/>
                <w:tab w:val="left" w:pos="1060"/>
                <w:tab w:val="left" w:pos="1780"/>
                <w:tab w:val="left" w:pos="2500"/>
              </w:tabs>
              <w:jc w:val="center"/>
              <w:rPr>
                <w:b/>
                <w:sz w:val="18"/>
                <w:szCs w:val="18"/>
              </w:rPr>
            </w:pPr>
            <w:r>
              <w:rPr>
                <w:b/>
                <w:sz w:val="18"/>
                <w:szCs w:val="18"/>
              </w:rPr>
              <w:t>(3)</w:t>
            </w:r>
          </w:p>
        </w:tc>
        <w:tc>
          <w:tcPr>
            <w:tcW w:w="980" w:type="dxa"/>
            <w:tcBorders>
              <w:top w:val="single" w:sz="6" w:space="0" w:color="000000"/>
              <w:left w:val="single" w:sz="6" w:space="0" w:color="000000"/>
              <w:bottom w:val="single" w:sz="6" w:space="0" w:color="FFFFFF"/>
              <w:right w:val="single" w:sz="6" w:space="0" w:color="FFFFFF"/>
            </w:tcBorders>
          </w:tcPr>
          <w:p w:rsidR="005B7CD6" w:rsidRDefault="005B7CD6" w:rsidP="0012706B">
            <w:pPr>
              <w:spacing w:line="19" w:lineRule="exact"/>
              <w:rPr>
                <w:b/>
                <w:sz w:val="18"/>
                <w:szCs w:val="18"/>
              </w:rPr>
            </w:pPr>
          </w:p>
          <w:p w:rsidR="005B7CD6" w:rsidRDefault="005B7CD6" w:rsidP="0012706B">
            <w:pPr>
              <w:tabs>
                <w:tab w:val="left" w:pos="340"/>
                <w:tab w:val="left" w:pos="1060"/>
                <w:tab w:val="left" w:pos="1780"/>
                <w:tab w:val="left" w:pos="2500"/>
              </w:tabs>
              <w:jc w:val="center"/>
              <w:rPr>
                <w:b/>
                <w:sz w:val="18"/>
                <w:szCs w:val="18"/>
              </w:rPr>
            </w:pPr>
            <w:r>
              <w:rPr>
                <w:b/>
                <w:sz w:val="18"/>
                <w:szCs w:val="18"/>
              </w:rPr>
              <w:t>(4)</w:t>
            </w:r>
          </w:p>
        </w:tc>
        <w:tc>
          <w:tcPr>
            <w:tcW w:w="952" w:type="dxa"/>
            <w:tcBorders>
              <w:top w:val="single" w:sz="6" w:space="0" w:color="000000"/>
              <w:left w:val="single" w:sz="6" w:space="0" w:color="000000"/>
              <w:bottom w:val="single" w:sz="6" w:space="0" w:color="FFFFFF"/>
              <w:right w:val="single" w:sz="6" w:space="0" w:color="FFFFFF"/>
            </w:tcBorders>
          </w:tcPr>
          <w:p w:rsidR="005B7CD6" w:rsidRDefault="005B7CD6" w:rsidP="0012706B">
            <w:pPr>
              <w:spacing w:line="19" w:lineRule="exact"/>
              <w:rPr>
                <w:b/>
                <w:sz w:val="18"/>
                <w:szCs w:val="18"/>
              </w:rPr>
            </w:pPr>
          </w:p>
          <w:p w:rsidR="005B7CD6" w:rsidRDefault="005B7CD6" w:rsidP="0012706B">
            <w:pPr>
              <w:tabs>
                <w:tab w:val="left" w:pos="340"/>
                <w:tab w:val="left" w:pos="1060"/>
                <w:tab w:val="left" w:pos="1780"/>
                <w:tab w:val="left" w:pos="2500"/>
              </w:tabs>
              <w:jc w:val="center"/>
              <w:rPr>
                <w:b/>
                <w:sz w:val="18"/>
                <w:szCs w:val="18"/>
              </w:rPr>
            </w:pPr>
            <w:r>
              <w:rPr>
                <w:b/>
                <w:sz w:val="18"/>
                <w:szCs w:val="18"/>
              </w:rPr>
              <w:t>(5)</w:t>
            </w:r>
          </w:p>
        </w:tc>
        <w:tc>
          <w:tcPr>
            <w:tcW w:w="938" w:type="dxa"/>
            <w:tcBorders>
              <w:top w:val="single" w:sz="6" w:space="0" w:color="000000"/>
              <w:left w:val="single" w:sz="6" w:space="0" w:color="000000"/>
              <w:bottom w:val="single" w:sz="6" w:space="0" w:color="FFFFFF"/>
              <w:right w:val="single" w:sz="6" w:space="0" w:color="FFFFFF"/>
            </w:tcBorders>
          </w:tcPr>
          <w:p w:rsidR="005B7CD6" w:rsidRDefault="005B7CD6" w:rsidP="0012706B">
            <w:pPr>
              <w:spacing w:line="19" w:lineRule="exact"/>
              <w:rPr>
                <w:b/>
                <w:sz w:val="18"/>
                <w:szCs w:val="18"/>
              </w:rPr>
            </w:pPr>
          </w:p>
          <w:p w:rsidR="005B7CD6" w:rsidRDefault="005B7CD6" w:rsidP="0012706B">
            <w:pPr>
              <w:tabs>
                <w:tab w:val="left" w:pos="340"/>
                <w:tab w:val="left" w:pos="1060"/>
                <w:tab w:val="left" w:pos="1780"/>
                <w:tab w:val="left" w:pos="2500"/>
              </w:tabs>
              <w:jc w:val="center"/>
              <w:rPr>
                <w:b/>
                <w:sz w:val="18"/>
                <w:szCs w:val="18"/>
              </w:rPr>
            </w:pPr>
            <w:r>
              <w:rPr>
                <w:b/>
                <w:sz w:val="18"/>
                <w:szCs w:val="18"/>
              </w:rPr>
              <w:t>(6)</w:t>
            </w:r>
          </w:p>
        </w:tc>
        <w:tc>
          <w:tcPr>
            <w:tcW w:w="588" w:type="dxa"/>
            <w:tcBorders>
              <w:top w:val="single" w:sz="6" w:space="0" w:color="000000"/>
              <w:left w:val="single" w:sz="6" w:space="0" w:color="000000"/>
              <w:bottom w:val="single" w:sz="6" w:space="0" w:color="FFFFFF"/>
              <w:right w:val="single" w:sz="6" w:space="0" w:color="000000"/>
            </w:tcBorders>
          </w:tcPr>
          <w:p w:rsidR="005B7CD6" w:rsidRDefault="005B7CD6" w:rsidP="0012706B">
            <w:pPr>
              <w:spacing w:line="19" w:lineRule="exact"/>
              <w:rPr>
                <w:b/>
                <w:sz w:val="18"/>
                <w:szCs w:val="18"/>
              </w:rPr>
            </w:pPr>
          </w:p>
          <w:p w:rsidR="005B7CD6" w:rsidRDefault="005B7CD6" w:rsidP="0012706B">
            <w:pPr>
              <w:tabs>
                <w:tab w:val="left" w:pos="340"/>
                <w:tab w:val="left" w:pos="1060"/>
                <w:tab w:val="left" w:pos="1780"/>
                <w:tab w:val="left" w:pos="2500"/>
              </w:tabs>
              <w:jc w:val="center"/>
              <w:rPr>
                <w:b/>
                <w:sz w:val="18"/>
                <w:szCs w:val="18"/>
              </w:rPr>
            </w:pPr>
            <w:r>
              <w:rPr>
                <w:b/>
                <w:sz w:val="18"/>
                <w:szCs w:val="18"/>
              </w:rPr>
              <w:t>(7a)</w:t>
            </w:r>
          </w:p>
        </w:tc>
        <w:tc>
          <w:tcPr>
            <w:tcW w:w="518" w:type="dxa"/>
            <w:tcBorders>
              <w:top w:val="single" w:sz="6" w:space="0" w:color="000000"/>
              <w:left w:val="single" w:sz="6" w:space="0" w:color="000000"/>
              <w:bottom w:val="single" w:sz="6" w:space="0" w:color="FFFFFF"/>
              <w:right w:val="single" w:sz="6" w:space="0" w:color="FFFFFF"/>
            </w:tcBorders>
          </w:tcPr>
          <w:p w:rsidR="005B7CD6" w:rsidRDefault="005B7CD6" w:rsidP="0012706B">
            <w:pPr>
              <w:spacing w:line="19" w:lineRule="exact"/>
              <w:rPr>
                <w:b/>
                <w:sz w:val="18"/>
                <w:szCs w:val="18"/>
              </w:rPr>
            </w:pPr>
          </w:p>
          <w:p w:rsidR="005B7CD6" w:rsidRDefault="005B7CD6" w:rsidP="0012706B">
            <w:pPr>
              <w:tabs>
                <w:tab w:val="left" w:pos="340"/>
                <w:tab w:val="left" w:pos="1060"/>
                <w:tab w:val="left" w:pos="1780"/>
                <w:tab w:val="left" w:pos="2500"/>
              </w:tabs>
              <w:jc w:val="center"/>
              <w:rPr>
                <w:b/>
                <w:sz w:val="18"/>
                <w:szCs w:val="18"/>
              </w:rPr>
            </w:pPr>
            <w:r>
              <w:rPr>
                <w:b/>
                <w:sz w:val="18"/>
                <w:szCs w:val="18"/>
              </w:rPr>
              <w:t>(7b)</w:t>
            </w:r>
          </w:p>
        </w:tc>
        <w:tc>
          <w:tcPr>
            <w:tcW w:w="993" w:type="dxa"/>
            <w:tcBorders>
              <w:top w:val="single" w:sz="6" w:space="0" w:color="000000"/>
              <w:left w:val="single" w:sz="6" w:space="0" w:color="000000"/>
              <w:bottom w:val="single" w:sz="6" w:space="0" w:color="FFFFFF"/>
              <w:right w:val="single" w:sz="6" w:space="0" w:color="FFFFFF"/>
            </w:tcBorders>
          </w:tcPr>
          <w:p w:rsidR="005B7CD6" w:rsidRDefault="005B7CD6" w:rsidP="0012706B">
            <w:pPr>
              <w:spacing w:line="19" w:lineRule="exact"/>
              <w:rPr>
                <w:b/>
                <w:sz w:val="18"/>
                <w:szCs w:val="18"/>
              </w:rPr>
            </w:pPr>
          </w:p>
          <w:p w:rsidR="005B7CD6" w:rsidRDefault="005B7CD6" w:rsidP="0012706B">
            <w:pPr>
              <w:tabs>
                <w:tab w:val="left" w:pos="340"/>
                <w:tab w:val="left" w:pos="1060"/>
                <w:tab w:val="left" w:pos="1780"/>
                <w:tab w:val="left" w:pos="2500"/>
              </w:tabs>
              <w:jc w:val="center"/>
              <w:rPr>
                <w:b/>
                <w:sz w:val="18"/>
                <w:szCs w:val="18"/>
              </w:rPr>
            </w:pPr>
            <w:r>
              <w:rPr>
                <w:b/>
                <w:sz w:val="18"/>
                <w:szCs w:val="18"/>
              </w:rPr>
              <w:t>(8)</w:t>
            </w:r>
          </w:p>
        </w:tc>
        <w:tc>
          <w:tcPr>
            <w:tcW w:w="952" w:type="dxa"/>
            <w:tcBorders>
              <w:top w:val="single" w:sz="6" w:space="0" w:color="000000"/>
              <w:left w:val="single" w:sz="6" w:space="0" w:color="000000"/>
              <w:bottom w:val="single" w:sz="6" w:space="0" w:color="FFFFFF"/>
              <w:right w:val="single" w:sz="6" w:space="0" w:color="FFFFFF"/>
            </w:tcBorders>
          </w:tcPr>
          <w:p w:rsidR="005B7CD6" w:rsidRDefault="005B7CD6" w:rsidP="0012706B">
            <w:pPr>
              <w:spacing w:line="19" w:lineRule="exact"/>
              <w:rPr>
                <w:b/>
                <w:sz w:val="18"/>
                <w:szCs w:val="18"/>
              </w:rPr>
            </w:pPr>
          </w:p>
          <w:p w:rsidR="005B7CD6" w:rsidRDefault="005B7CD6" w:rsidP="0012706B">
            <w:pPr>
              <w:tabs>
                <w:tab w:val="left" w:pos="340"/>
                <w:tab w:val="left" w:pos="1060"/>
                <w:tab w:val="left" w:pos="1780"/>
                <w:tab w:val="left" w:pos="2500"/>
              </w:tabs>
              <w:jc w:val="center"/>
              <w:rPr>
                <w:b/>
                <w:sz w:val="18"/>
                <w:szCs w:val="18"/>
              </w:rPr>
            </w:pPr>
            <w:r>
              <w:rPr>
                <w:b/>
                <w:sz w:val="18"/>
                <w:szCs w:val="18"/>
              </w:rPr>
              <w:t>(9)</w:t>
            </w:r>
          </w:p>
        </w:tc>
        <w:tc>
          <w:tcPr>
            <w:tcW w:w="1022" w:type="dxa"/>
            <w:tcBorders>
              <w:top w:val="single" w:sz="6" w:space="0" w:color="000000"/>
              <w:left w:val="single" w:sz="6" w:space="0" w:color="000000"/>
              <w:bottom w:val="single" w:sz="6" w:space="0" w:color="FFFFFF"/>
              <w:right w:val="single" w:sz="6" w:space="0" w:color="FFFFFF"/>
            </w:tcBorders>
          </w:tcPr>
          <w:p w:rsidR="005B7CD6" w:rsidRDefault="005B7CD6" w:rsidP="0012706B">
            <w:pPr>
              <w:spacing w:line="19" w:lineRule="exact"/>
              <w:rPr>
                <w:b/>
                <w:sz w:val="18"/>
                <w:szCs w:val="18"/>
              </w:rPr>
            </w:pPr>
          </w:p>
          <w:p w:rsidR="005B7CD6" w:rsidRDefault="005B7CD6" w:rsidP="0012706B">
            <w:pPr>
              <w:tabs>
                <w:tab w:val="left" w:pos="340"/>
                <w:tab w:val="left" w:pos="1060"/>
                <w:tab w:val="left" w:pos="1780"/>
                <w:tab w:val="left" w:pos="2500"/>
              </w:tabs>
              <w:jc w:val="center"/>
              <w:rPr>
                <w:b/>
                <w:sz w:val="18"/>
                <w:szCs w:val="18"/>
              </w:rPr>
            </w:pPr>
            <w:r>
              <w:rPr>
                <w:b/>
                <w:sz w:val="18"/>
                <w:szCs w:val="18"/>
              </w:rPr>
              <w:t>(10)</w:t>
            </w:r>
          </w:p>
        </w:tc>
        <w:tc>
          <w:tcPr>
            <w:tcW w:w="1048" w:type="dxa"/>
            <w:tcBorders>
              <w:top w:val="single" w:sz="6" w:space="0" w:color="000000"/>
              <w:left w:val="single" w:sz="6" w:space="0" w:color="000000"/>
              <w:bottom w:val="single" w:sz="6" w:space="0" w:color="FFFFFF"/>
              <w:right w:val="single" w:sz="6" w:space="0" w:color="000000"/>
            </w:tcBorders>
          </w:tcPr>
          <w:p w:rsidR="005B7CD6" w:rsidRDefault="005B7CD6" w:rsidP="0012706B">
            <w:pPr>
              <w:spacing w:line="19" w:lineRule="exact"/>
              <w:rPr>
                <w:b/>
                <w:sz w:val="18"/>
                <w:szCs w:val="18"/>
              </w:rPr>
            </w:pPr>
          </w:p>
          <w:p w:rsidR="005B7CD6" w:rsidRDefault="005B7CD6" w:rsidP="0012706B">
            <w:pPr>
              <w:tabs>
                <w:tab w:val="left" w:pos="340"/>
                <w:tab w:val="left" w:pos="1060"/>
                <w:tab w:val="left" w:pos="1780"/>
                <w:tab w:val="left" w:pos="2500"/>
              </w:tabs>
              <w:jc w:val="center"/>
              <w:rPr>
                <w:sz w:val="18"/>
                <w:szCs w:val="18"/>
              </w:rPr>
            </w:pPr>
            <w:r>
              <w:rPr>
                <w:b/>
                <w:sz w:val="18"/>
                <w:szCs w:val="18"/>
              </w:rPr>
              <w:t>(11)</w:t>
            </w:r>
          </w:p>
        </w:tc>
      </w:tr>
      <w:tr w:rsidR="005B7CD6" w:rsidTr="0012706B">
        <w:trPr>
          <w:jc w:val="center"/>
        </w:trPr>
        <w:tc>
          <w:tcPr>
            <w:tcW w:w="534" w:type="dxa"/>
            <w:tcBorders>
              <w:top w:val="single" w:sz="6" w:space="0" w:color="000000"/>
              <w:left w:val="single" w:sz="6" w:space="0" w:color="000000"/>
              <w:bottom w:val="single" w:sz="6" w:space="0" w:color="000000"/>
              <w:right w:val="single" w:sz="6" w:space="0" w:color="FFFFFF"/>
            </w:tcBorders>
          </w:tcPr>
          <w:p w:rsidR="005B7CD6" w:rsidRDefault="005B7CD6" w:rsidP="0012706B">
            <w:pPr>
              <w:spacing w:line="19" w:lineRule="exact"/>
              <w:rPr>
                <w:sz w:val="18"/>
                <w:szCs w:val="18"/>
              </w:rPr>
            </w:pPr>
          </w:p>
          <w:p w:rsidR="005B7CD6" w:rsidRDefault="005B7CD6" w:rsidP="005B7CD6">
            <w:pPr>
              <w:tabs>
                <w:tab w:val="left" w:pos="340"/>
                <w:tab w:val="left" w:pos="1060"/>
                <w:tab w:val="left" w:pos="1780"/>
                <w:tab w:val="left" w:pos="2500"/>
              </w:tabs>
              <w:rPr>
                <w:smallCaps/>
                <w:sz w:val="18"/>
                <w:szCs w:val="18"/>
              </w:rPr>
            </w:pPr>
            <w:r>
              <w:rPr>
                <w:smallCaps/>
                <w:sz w:val="18"/>
                <w:szCs w:val="18"/>
              </w:rPr>
              <w:t>1390</w:t>
            </w:r>
          </w:p>
        </w:tc>
        <w:tc>
          <w:tcPr>
            <w:tcW w:w="1039" w:type="dxa"/>
            <w:tcBorders>
              <w:top w:val="single" w:sz="6" w:space="0" w:color="000000"/>
              <w:left w:val="single" w:sz="6" w:space="0" w:color="000000"/>
              <w:bottom w:val="single" w:sz="6" w:space="0" w:color="000000"/>
              <w:right w:val="single" w:sz="6" w:space="0" w:color="FFFFFF"/>
            </w:tcBorders>
          </w:tcPr>
          <w:p w:rsidR="005B7CD6" w:rsidRDefault="005B7CD6" w:rsidP="0012706B">
            <w:pPr>
              <w:spacing w:line="19" w:lineRule="exact"/>
              <w:rPr>
                <w:smallCaps/>
                <w:sz w:val="18"/>
                <w:szCs w:val="18"/>
              </w:rPr>
            </w:pPr>
          </w:p>
          <w:p w:rsidR="005B7CD6" w:rsidRDefault="005B7CD6" w:rsidP="0012706B">
            <w:pPr>
              <w:tabs>
                <w:tab w:val="left" w:pos="340"/>
                <w:tab w:val="left" w:pos="1060"/>
                <w:tab w:val="left" w:pos="1780"/>
                <w:tab w:val="left" w:pos="2500"/>
              </w:tabs>
              <w:spacing w:after="19"/>
              <w:rPr>
                <w:sz w:val="18"/>
                <w:szCs w:val="18"/>
              </w:rPr>
            </w:pPr>
            <w:r>
              <w:rPr>
                <w:sz w:val="18"/>
                <w:szCs w:val="18"/>
              </w:rPr>
              <w:t>ALKALI METAL AMIDES</w:t>
            </w:r>
          </w:p>
        </w:tc>
        <w:tc>
          <w:tcPr>
            <w:tcW w:w="799" w:type="dxa"/>
            <w:tcBorders>
              <w:top w:val="single" w:sz="6" w:space="0" w:color="000000"/>
              <w:left w:val="single" w:sz="6" w:space="0" w:color="000000"/>
              <w:bottom w:val="single" w:sz="6" w:space="0" w:color="000000"/>
              <w:right w:val="single" w:sz="6" w:space="0" w:color="FFFFFF"/>
            </w:tcBorders>
          </w:tcPr>
          <w:p w:rsidR="005B7CD6" w:rsidRDefault="005B7CD6" w:rsidP="0012706B">
            <w:pPr>
              <w:spacing w:line="19" w:lineRule="exact"/>
              <w:rPr>
                <w:sz w:val="18"/>
                <w:szCs w:val="18"/>
              </w:rPr>
            </w:pPr>
          </w:p>
          <w:p w:rsidR="005B7CD6" w:rsidRDefault="005B7CD6" w:rsidP="0012706B">
            <w:pPr>
              <w:tabs>
                <w:tab w:val="left" w:pos="340"/>
                <w:tab w:val="left" w:pos="1060"/>
                <w:tab w:val="left" w:pos="1780"/>
                <w:tab w:val="left" w:pos="2500"/>
              </w:tabs>
              <w:jc w:val="center"/>
              <w:rPr>
                <w:sz w:val="18"/>
                <w:szCs w:val="18"/>
              </w:rPr>
            </w:pPr>
            <w:r>
              <w:rPr>
                <w:sz w:val="18"/>
                <w:szCs w:val="18"/>
              </w:rPr>
              <w:t>4.3</w:t>
            </w:r>
          </w:p>
          <w:p w:rsidR="005B7CD6" w:rsidRDefault="005B7CD6" w:rsidP="0012706B">
            <w:pPr>
              <w:tabs>
                <w:tab w:val="left" w:pos="340"/>
                <w:tab w:val="left" w:pos="1060"/>
                <w:tab w:val="left" w:pos="1780"/>
                <w:tab w:val="left" w:pos="2500"/>
              </w:tabs>
              <w:jc w:val="center"/>
              <w:rPr>
                <w:sz w:val="18"/>
                <w:szCs w:val="18"/>
              </w:rPr>
            </w:pPr>
          </w:p>
          <w:p w:rsidR="005B7CD6" w:rsidRDefault="005B7CD6" w:rsidP="0012706B">
            <w:pPr>
              <w:tabs>
                <w:tab w:val="left" w:pos="340"/>
                <w:tab w:val="left" w:pos="1060"/>
                <w:tab w:val="left" w:pos="1780"/>
                <w:tab w:val="left" w:pos="2500"/>
              </w:tabs>
              <w:spacing w:after="19"/>
              <w:jc w:val="center"/>
              <w:rPr>
                <w:sz w:val="18"/>
                <w:szCs w:val="18"/>
              </w:rPr>
            </w:pPr>
          </w:p>
        </w:tc>
        <w:tc>
          <w:tcPr>
            <w:tcW w:w="980" w:type="dxa"/>
            <w:tcBorders>
              <w:top w:val="single" w:sz="6" w:space="0" w:color="000000"/>
              <w:left w:val="single" w:sz="6" w:space="0" w:color="000000"/>
              <w:bottom w:val="single" w:sz="6" w:space="0" w:color="000000"/>
              <w:right w:val="single" w:sz="6" w:space="0" w:color="FFFFFF"/>
            </w:tcBorders>
          </w:tcPr>
          <w:p w:rsidR="005B7CD6" w:rsidRDefault="005B7CD6" w:rsidP="0012706B">
            <w:pPr>
              <w:spacing w:line="19" w:lineRule="exact"/>
              <w:rPr>
                <w:sz w:val="18"/>
                <w:szCs w:val="18"/>
              </w:rPr>
            </w:pPr>
          </w:p>
          <w:p w:rsidR="005B7CD6" w:rsidRDefault="005B7CD6" w:rsidP="0012706B">
            <w:pPr>
              <w:tabs>
                <w:tab w:val="left" w:pos="340"/>
                <w:tab w:val="left" w:pos="1060"/>
                <w:tab w:val="left" w:pos="1780"/>
                <w:tab w:val="left" w:pos="2500"/>
              </w:tabs>
              <w:spacing w:after="19"/>
              <w:jc w:val="center"/>
              <w:rPr>
                <w:sz w:val="18"/>
                <w:szCs w:val="18"/>
              </w:rPr>
            </w:pPr>
          </w:p>
        </w:tc>
        <w:tc>
          <w:tcPr>
            <w:tcW w:w="952" w:type="dxa"/>
            <w:tcBorders>
              <w:top w:val="single" w:sz="6" w:space="0" w:color="000000"/>
              <w:left w:val="single" w:sz="6" w:space="0" w:color="000000"/>
              <w:bottom w:val="single" w:sz="6" w:space="0" w:color="000000"/>
              <w:right w:val="single" w:sz="6" w:space="0" w:color="FFFFFF"/>
            </w:tcBorders>
          </w:tcPr>
          <w:p w:rsidR="005B7CD6" w:rsidRDefault="005B7CD6" w:rsidP="0012706B">
            <w:pPr>
              <w:spacing w:line="19" w:lineRule="exact"/>
              <w:rPr>
                <w:sz w:val="18"/>
                <w:szCs w:val="18"/>
              </w:rPr>
            </w:pPr>
          </w:p>
          <w:p w:rsidR="005B7CD6" w:rsidRDefault="005B7CD6" w:rsidP="0012706B">
            <w:pPr>
              <w:tabs>
                <w:tab w:val="left" w:pos="340"/>
                <w:tab w:val="left" w:pos="1060"/>
                <w:tab w:val="left" w:pos="1780"/>
                <w:tab w:val="left" w:pos="2500"/>
              </w:tabs>
              <w:spacing w:after="19"/>
              <w:jc w:val="center"/>
              <w:rPr>
                <w:sz w:val="18"/>
                <w:szCs w:val="18"/>
              </w:rPr>
            </w:pPr>
            <w:r>
              <w:rPr>
                <w:sz w:val="18"/>
                <w:szCs w:val="18"/>
              </w:rPr>
              <w:t>I</w:t>
            </w:r>
          </w:p>
        </w:tc>
        <w:tc>
          <w:tcPr>
            <w:tcW w:w="938" w:type="dxa"/>
            <w:tcBorders>
              <w:top w:val="single" w:sz="6" w:space="0" w:color="000000"/>
              <w:left w:val="single" w:sz="6" w:space="0" w:color="000000"/>
              <w:bottom w:val="single" w:sz="6" w:space="0" w:color="000000"/>
              <w:right w:val="single" w:sz="6" w:space="0" w:color="FFFFFF"/>
            </w:tcBorders>
          </w:tcPr>
          <w:p w:rsidR="005B7CD6" w:rsidRDefault="005B7CD6" w:rsidP="0012706B">
            <w:pPr>
              <w:tabs>
                <w:tab w:val="left" w:pos="340"/>
                <w:tab w:val="left" w:pos="1060"/>
                <w:tab w:val="left" w:pos="1780"/>
                <w:tab w:val="left" w:pos="2500"/>
              </w:tabs>
              <w:spacing w:after="19"/>
              <w:jc w:val="center"/>
              <w:rPr>
                <w:sz w:val="18"/>
                <w:szCs w:val="18"/>
              </w:rPr>
            </w:pPr>
            <w:r>
              <w:rPr>
                <w:sz w:val="18"/>
                <w:szCs w:val="18"/>
              </w:rPr>
              <w:t>182</w:t>
            </w:r>
          </w:p>
          <w:p w:rsidR="005B7CD6" w:rsidRDefault="005B7CD6" w:rsidP="0012706B">
            <w:pPr>
              <w:tabs>
                <w:tab w:val="left" w:pos="340"/>
                <w:tab w:val="left" w:pos="1060"/>
                <w:tab w:val="left" w:pos="1780"/>
                <w:tab w:val="left" w:pos="2500"/>
              </w:tabs>
              <w:jc w:val="center"/>
              <w:rPr>
                <w:sz w:val="18"/>
                <w:szCs w:val="18"/>
              </w:rPr>
            </w:pPr>
          </w:p>
        </w:tc>
        <w:tc>
          <w:tcPr>
            <w:tcW w:w="588" w:type="dxa"/>
            <w:tcBorders>
              <w:top w:val="single" w:sz="6" w:space="0" w:color="000000"/>
              <w:left w:val="single" w:sz="6" w:space="0" w:color="000000"/>
              <w:bottom w:val="single" w:sz="6" w:space="0" w:color="000000"/>
              <w:right w:val="single" w:sz="6" w:space="0" w:color="000000"/>
            </w:tcBorders>
          </w:tcPr>
          <w:p w:rsidR="005B7CD6" w:rsidRDefault="005B7CD6" w:rsidP="0012706B">
            <w:pPr>
              <w:spacing w:line="19" w:lineRule="exact"/>
              <w:rPr>
                <w:sz w:val="18"/>
                <w:szCs w:val="18"/>
              </w:rPr>
            </w:pPr>
          </w:p>
          <w:p w:rsidR="005B7CD6" w:rsidRDefault="005B7CD6" w:rsidP="0012706B">
            <w:pPr>
              <w:tabs>
                <w:tab w:val="left" w:pos="340"/>
                <w:tab w:val="left" w:pos="1060"/>
                <w:tab w:val="left" w:pos="1780"/>
                <w:tab w:val="left" w:pos="2500"/>
              </w:tabs>
              <w:spacing w:after="19"/>
              <w:jc w:val="center"/>
              <w:rPr>
                <w:sz w:val="18"/>
                <w:szCs w:val="18"/>
              </w:rPr>
            </w:pPr>
            <w:r>
              <w:rPr>
                <w:sz w:val="18"/>
                <w:szCs w:val="18"/>
              </w:rPr>
              <w:t>0</w:t>
            </w:r>
          </w:p>
        </w:tc>
        <w:tc>
          <w:tcPr>
            <w:tcW w:w="518" w:type="dxa"/>
            <w:tcBorders>
              <w:top w:val="single" w:sz="6" w:space="0" w:color="000000"/>
              <w:left w:val="single" w:sz="6" w:space="0" w:color="000000"/>
              <w:bottom w:val="single" w:sz="6" w:space="0" w:color="000000"/>
              <w:right w:val="single" w:sz="6" w:space="0" w:color="FFFFFF"/>
            </w:tcBorders>
          </w:tcPr>
          <w:p w:rsidR="005B7CD6" w:rsidRDefault="005B7CD6" w:rsidP="0012706B">
            <w:pPr>
              <w:spacing w:line="19" w:lineRule="exact"/>
              <w:rPr>
                <w:sz w:val="18"/>
                <w:szCs w:val="18"/>
              </w:rPr>
            </w:pPr>
          </w:p>
          <w:p w:rsidR="005B7CD6" w:rsidRDefault="005B7CD6" w:rsidP="005B7CD6">
            <w:pPr>
              <w:tabs>
                <w:tab w:val="left" w:pos="340"/>
                <w:tab w:val="left" w:pos="1060"/>
                <w:tab w:val="left" w:pos="1780"/>
                <w:tab w:val="left" w:pos="2500"/>
              </w:tabs>
              <w:spacing w:after="19"/>
              <w:jc w:val="center"/>
              <w:rPr>
                <w:sz w:val="18"/>
                <w:szCs w:val="18"/>
              </w:rPr>
            </w:pPr>
            <w:r>
              <w:rPr>
                <w:sz w:val="18"/>
                <w:szCs w:val="18"/>
              </w:rPr>
              <w:t>E0</w:t>
            </w:r>
          </w:p>
        </w:tc>
        <w:tc>
          <w:tcPr>
            <w:tcW w:w="993" w:type="dxa"/>
            <w:tcBorders>
              <w:top w:val="single" w:sz="6" w:space="0" w:color="000000"/>
              <w:left w:val="single" w:sz="6" w:space="0" w:color="000000"/>
              <w:bottom w:val="single" w:sz="6" w:space="0" w:color="000000"/>
              <w:right w:val="single" w:sz="6" w:space="0" w:color="FFFFFF"/>
            </w:tcBorders>
          </w:tcPr>
          <w:p w:rsidR="005B7CD6" w:rsidRDefault="005B7CD6" w:rsidP="0012706B">
            <w:pPr>
              <w:spacing w:line="19" w:lineRule="exact"/>
              <w:rPr>
                <w:sz w:val="18"/>
                <w:szCs w:val="18"/>
              </w:rPr>
            </w:pPr>
          </w:p>
          <w:p w:rsidR="005B7CD6" w:rsidRDefault="005B7CD6" w:rsidP="0012706B">
            <w:pPr>
              <w:tabs>
                <w:tab w:val="left" w:pos="340"/>
                <w:tab w:val="left" w:pos="1060"/>
                <w:tab w:val="left" w:pos="1780"/>
                <w:tab w:val="left" w:pos="2500"/>
              </w:tabs>
              <w:spacing w:after="19"/>
              <w:jc w:val="center"/>
              <w:rPr>
                <w:sz w:val="18"/>
                <w:szCs w:val="18"/>
              </w:rPr>
            </w:pPr>
            <w:r>
              <w:rPr>
                <w:sz w:val="18"/>
                <w:szCs w:val="18"/>
              </w:rPr>
              <w:t>P403</w:t>
            </w:r>
          </w:p>
          <w:p w:rsidR="005B7CD6" w:rsidRDefault="005B7CD6" w:rsidP="005B7CD6">
            <w:pPr>
              <w:tabs>
                <w:tab w:val="left" w:pos="340"/>
                <w:tab w:val="left" w:pos="1060"/>
                <w:tab w:val="left" w:pos="1780"/>
                <w:tab w:val="left" w:pos="2500"/>
              </w:tabs>
              <w:spacing w:after="19"/>
              <w:jc w:val="center"/>
              <w:rPr>
                <w:sz w:val="18"/>
                <w:szCs w:val="18"/>
              </w:rPr>
            </w:pPr>
            <w:r>
              <w:rPr>
                <w:sz w:val="18"/>
                <w:szCs w:val="18"/>
              </w:rPr>
              <w:t>IBC04</w:t>
            </w:r>
          </w:p>
        </w:tc>
        <w:tc>
          <w:tcPr>
            <w:tcW w:w="952" w:type="dxa"/>
            <w:tcBorders>
              <w:top w:val="single" w:sz="6" w:space="0" w:color="000000"/>
              <w:left w:val="single" w:sz="6" w:space="0" w:color="000000"/>
              <w:bottom w:val="single" w:sz="6" w:space="0" w:color="000000"/>
              <w:right w:val="single" w:sz="6" w:space="0" w:color="FFFFFF"/>
            </w:tcBorders>
          </w:tcPr>
          <w:p w:rsidR="005B7CD6" w:rsidRDefault="005B7CD6" w:rsidP="0012706B">
            <w:pPr>
              <w:spacing w:line="19" w:lineRule="exact"/>
              <w:rPr>
                <w:sz w:val="18"/>
                <w:szCs w:val="18"/>
              </w:rPr>
            </w:pPr>
          </w:p>
          <w:p w:rsidR="005B7CD6" w:rsidRDefault="005B7CD6" w:rsidP="005B7CD6">
            <w:pPr>
              <w:tabs>
                <w:tab w:val="left" w:pos="340"/>
                <w:tab w:val="left" w:pos="1060"/>
                <w:tab w:val="left" w:pos="1780"/>
                <w:tab w:val="left" w:pos="2500"/>
              </w:tabs>
              <w:spacing w:after="19"/>
              <w:jc w:val="center"/>
              <w:rPr>
                <w:sz w:val="18"/>
                <w:szCs w:val="18"/>
              </w:rPr>
            </w:pPr>
            <w:r>
              <w:rPr>
                <w:sz w:val="18"/>
                <w:szCs w:val="18"/>
              </w:rPr>
              <w:t>B1</w:t>
            </w:r>
          </w:p>
        </w:tc>
        <w:tc>
          <w:tcPr>
            <w:tcW w:w="1022" w:type="dxa"/>
            <w:tcBorders>
              <w:top w:val="single" w:sz="6" w:space="0" w:color="000000"/>
              <w:left w:val="single" w:sz="6" w:space="0" w:color="000000"/>
              <w:bottom w:val="single" w:sz="6" w:space="0" w:color="000000"/>
              <w:right w:val="single" w:sz="6" w:space="0" w:color="FFFFFF"/>
            </w:tcBorders>
          </w:tcPr>
          <w:p w:rsidR="005B7CD6" w:rsidRDefault="005B7CD6" w:rsidP="0012706B">
            <w:pPr>
              <w:spacing w:line="19" w:lineRule="exact"/>
              <w:rPr>
                <w:b/>
                <w:sz w:val="18"/>
                <w:szCs w:val="18"/>
              </w:rPr>
            </w:pPr>
          </w:p>
          <w:p w:rsidR="005B7CD6" w:rsidRDefault="005B7CD6" w:rsidP="0012706B">
            <w:pPr>
              <w:tabs>
                <w:tab w:val="left" w:pos="340"/>
                <w:tab w:val="left" w:pos="1060"/>
                <w:tab w:val="left" w:pos="1780"/>
                <w:tab w:val="left" w:pos="2500"/>
              </w:tabs>
              <w:spacing w:after="19"/>
              <w:jc w:val="center"/>
              <w:rPr>
                <w:sz w:val="18"/>
                <w:szCs w:val="18"/>
              </w:rPr>
            </w:pPr>
            <w:r>
              <w:rPr>
                <w:sz w:val="18"/>
                <w:szCs w:val="18"/>
              </w:rPr>
              <w:t>T9</w:t>
            </w:r>
          </w:p>
        </w:tc>
        <w:tc>
          <w:tcPr>
            <w:tcW w:w="1048" w:type="dxa"/>
            <w:tcBorders>
              <w:top w:val="single" w:sz="6" w:space="0" w:color="000000"/>
              <w:left w:val="single" w:sz="6" w:space="0" w:color="000000"/>
              <w:bottom w:val="single" w:sz="6" w:space="0" w:color="000000"/>
              <w:right w:val="single" w:sz="6" w:space="0" w:color="000000"/>
            </w:tcBorders>
          </w:tcPr>
          <w:p w:rsidR="005B7CD6" w:rsidRDefault="005B7CD6" w:rsidP="0012706B">
            <w:pPr>
              <w:spacing w:line="19" w:lineRule="exact"/>
              <w:rPr>
                <w:b/>
                <w:sz w:val="18"/>
                <w:szCs w:val="18"/>
              </w:rPr>
            </w:pPr>
          </w:p>
          <w:p w:rsidR="005B7CD6" w:rsidRDefault="005B7CD6" w:rsidP="0012706B">
            <w:pPr>
              <w:tabs>
                <w:tab w:val="left" w:pos="340"/>
                <w:tab w:val="left" w:pos="1060"/>
                <w:tab w:val="left" w:pos="1780"/>
                <w:tab w:val="left" w:pos="2500"/>
              </w:tabs>
              <w:spacing w:after="19"/>
              <w:jc w:val="center"/>
              <w:rPr>
                <w:sz w:val="18"/>
                <w:szCs w:val="18"/>
              </w:rPr>
            </w:pPr>
            <w:r>
              <w:rPr>
                <w:sz w:val="18"/>
                <w:szCs w:val="18"/>
              </w:rPr>
              <w:t>TP 7 TP 33</w:t>
            </w:r>
          </w:p>
        </w:tc>
      </w:tr>
    </w:tbl>
    <w:p w:rsidR="005B7CD6" w:rsidRDefault="005B7CD6" w:rsidP="005B7CD6">
      <w:pPr>
        <w:tabs>
          <w:tab w:val="left" w:pos="227"/>
          <w:tab w:val="left" w:pos="947"/>
          <w:tab w:val="left" w:pos="1667"/>
          <w:tab w:val="left" w:pos="2387"/>
        </w:tabs>
        <w:spacing w:after="60"/>
        <w:ind w:left="851" w:right="170" w:hanging="624"/>
        <w:rPr>
          <w:sz w:val="24"/>
          <w:szCs w:val="24"/>
        </w:rPr>
      </w:pPr>
    </w:p>
    <w:p w:rsidR="00015A13" w:rsidRPr="00015A13" w:rsidRDefault="00015A13" w:rsidP="00015A13">
      <w:pPr>
        <w:suppressAutoHyphens w:val="0"/>
        <w:spacing w:line="240" w:lineRule="auto"/>
      </w:pPr>
      <w:r>
        <w:br w:type="page"/>
      </w:r>
    </w:p>
    <w:p w:rsidR="00015A13" w:rsidRPr="00BC452D" w:rsidRDefault="00B4520B" w:rsidP="00B4520B">
      <w:pPr>
        <w:pStyle w:val="HChG"/>
      </w:pPr>
      <w:r>
        <w:lastRenderedPageBreak/>
        <w:t>Annex</w:t>
      </w:r>
      <w:r w:rsidR="00D20216">
        <w:tab/>
      </w:r>
      <w:r w:rsidR="00D20216">
        <w:tab/>
      </w:r>
      <w:r w:rsidR="00D20216">
        <w:tab/>
      </w:r>
      <w:r w:rsidR="00D20216">
        <w:tab/>
      </w:r>
      <w:r w:rsidR="00D20216">
        <w:tab/>
      </w:r>
      <w:r w:rsidR="00D20216">
        <w:tab/>
      </w:r>
      <w:r w:rsidR="00D20216">
        <w:tab/>
      </w:r>
      <w:r w:rsidR="00D20216">
        <w:tab/>
      </w:r>
      <w:r w:rsidR="00D20216">
        <w:tab/>
      </w:r>
      <w:r w:rsidR="00D20216">
        <w:tab/>
      </w:r>
      <w:r w:rsidR="00D20216">
        <w:tab/>
      </w:r>
      <w:r w:rsidR="00D20216">
        <w:tab/>
        <w:t>[</w:t>
      </w:r>
      <w:r w:rsidR="00BF104C" w:rsidRPr="00BF104C">
        <w:rPr>
          <w:sz w:val="20"/>
        </w:rPr>
        <w:t>English only</w:t>
      </w:r>
      <w:r w:rsidR="00D20216">
        <w:rPr>
          <w:sz w:val="20"/>
        </w:rPr>
        <w:t>]</w:t>
      </w:r>
      <w:bookmarkStart w:id="0" w:name="_GoBack"/>
      <w:bookmarkEnd w:id="0"/>
    </w:p>
    <w:p w:rsidR="00F06205" w:rsidRDefault="009F6558" w:rsidP="00015A13">
      <w:pPr>
        <w:pStyle w:val="BAMStandard"/>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noProof/>
          <w:lang w:eastAsia="en-GB"/>
        </w:rPr>
        <w:drawing>
          <wp:inline distT="0" distB="0" distL="0" distR="0">
            <wp:extent cx="5730432" cy="7728857"/>
            <wp:effectExtent l="0" t="0" r="381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jpg"/>
                    <pic:cNvPicPr/>
                  </pic:nvPicPr>
                  <pic:blipFill>
                    <a:blip r:embed="rId10">
                      <a:extLst>
                        <a:ext uri="{28A0092B-C50C-407E-A947-70E740481C1C}">
                          <a14:useLocalDpi xmlns:a14="http://schemas.microsoft.com/office/drawing/2010/main" val="0"/>
                        </a:ext>
                      </a:extLst>
                    </a:blip>
                    <a:stretch>
                      <a:fillRect/>
                    </a:stretch>
                  </pic:blipFill>
                  <pic:spPr>
                    <a:xfrm>
                      <a:off x="0" y="0"/>
                      <a:ext cx="5728970" cy="7726885"/>
                    </a:xfrm>
                    <a:prstGeom prst="rect">
                      <a:avLst/>
                    </a:prstGeom>
                  </pic:spPr>
                </pic:pic>
              </a:graphicData>
            </a:graphic>
          </wp:inline>
        </w:drawing>
      </w:r>
    </w:p>
    <w:p w:rsidR="009F6558" w:rsidRDefault="009F6558" w:rsidP="00015A13">
      <w:pPr>
        <w:pStyle w:val="BAMStandard"/>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noProof/>
          <w:lang w:eastAsia="en-GB"/>
        </w:rPr>
        <w:lastRenderedPageBreak/>
        <w:drawing>
          <wp:inline distT="0" distB="0" distL="0" distR="0">
            <wp:extent cx="5753735" cy="81730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jpg"/>
                    <pic:cNvPicPr/>
                  </pic:nvPicPr>
                  <pic:blipFill>
                    <a:blip r:embed="rId11">
                      <a:extLst>
                        <a:ext uri="{28A0092B-C50C-407E-A947-70E740481C1C}">
                          <a14:useLocalDpi xmlns:a14="http://schemas.microsoft.com/office/drawing/2010/main" val="0"/>
                        </a:ext>
                      </a:extLst>
                    </a:blip>
                    <a:stretch>
                      <a:fillRect/>
                    </a:stretch>
                  </pic:blipFill>
                  <pic:spPr>
                    <a:xfrm>
                      <a:off x="0" y="0"/>
                      <a:ext cx="5753735" cy="8173085"/>
                    </a:xfrm>
                    <a:prstGeom prst="rect">
                      <a:avLst/>
                    </a:prstGeom>
                  </pic:spPr>
                </pic:pic>
              </a:graphicData>
            </a:graphic>
          </wp:inline>
        </w:drawing>
      </w:r>
    </w:p>
    <w:p w:rsidR="009F6558" w:rsidRDefault="009F6558" w:rsidP="00015A13">
      <w:pPr>
        <w:pStyle w:val="BAMStandard"/>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rPr>
          <w:noProof/>
          <w:lang w:eastAsia="en-GB"/>
        </w:rPr>
        <w:lastRenderedPageBreak/>
        <w:drawing>
          <wp:inline distT="0" distB="0" distL="0" distR="0">
            <wp:extent cx="5753735" cy="817308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jpg"/>
                    <pic:cNvPicPr/>
                  </pic:nvPicPr>
                  <pic:blipFill>
                    <a:blip r:embed="rId12">
                      <a:extLst>
                        <a:ext uri="{28A0092B-C50C-407E-A947-70E740481C1C}">
                          <a14:useLocalDpi xmlns:a14="http://schemas.microsoft.com/office/drawing/2010/main" val="0"/>
                        </a:ext>
                      </a:extLst>
                    </a:blip>
                    <a:stretch>
                      <a:fillRect/>
                    </a:stretch>
                  </pic:blipFill>
                  <pic:spPr>
                    <a:xfrm>
                      <a:off x="0" y="0"/>
                      <a:ext cx="5753735" cy="8173085"/>
                    </a:xfrm>
                    <a:prstGeom prst="rect">
                      <a:avLst/>
                    </a:prstGeom>
                  </pic:spPr>
                </pic:pic>
              </a:graphicData>
            </a:graphic>
          </wp:inline>
        </w:drawing>
      </w:r>
    </w:p>
    <w:p w:rsidR="009F6558" w:rsidRPr="00B4520B" w:rsidRDefault="00B4520B" w:rsidP="00B4520B">
      <w:pPr>
        <w:pStyle w:val="BAMStandard"/>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uppressAutoHyphens/>
        <w:spacing w:before="240" w:line="240" w:lineRule="atLeast"/>
        <w:ind w:left="1134" w:right="1134"/>
        <w:jc w:val="center"/>
        <w:rPr>
          <w:u w:val="single"/>
        </w:rPr>
      </w:pPr>
      <w:r w:rsidRPr="00B4520B">
        <w:rPr>
          <w:noProof/>
          <w:u w:val="single"/>
          <w:lang w:eastAsia="en-GB"/>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3010340</wp:posOffset>
                </wp:positionH>
                <wp:positionV relativeFrom="paragraph">
                  <wp:posOffset>8123067</wp:posOffset>
                </wp:positionV>
                <wp:extent cx="1277815" cy="1403985"/>
                <wp:effectExtent l="0" t="0" r="1778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815" cy="1403985"/>
                        </a:xfrm>
                        <a:prstGeom prst="rect">
                          <a:avLst/>
                        </a:prstGeom>
                        <a:solidFill>
                          <a:srgbClr val="FFFFFF"/>
                        </a:solidFill>
                        <a:ln w="9525">
                          <a:solidFill>
                            <a:schemeClr val="bg1"/>
                          </a:solidFill>
                          <a:miter lim="800000"/>
                          <a:headEnd/>
                          <a:tailEnd/>
                        </a:ln>
                      </wps:spPr>
                      <wps:txbx>
                        <w:txbxContent>
                          <w:p w:rsidR="00B4520B" w:rsidRDefault="00B4520B">
                            <w:r>
                              <w:t>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05pt;margin-top:639.6pt;width:100.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" strokecolor="white [3212]">
                <v:textbox style="mso-fit-shape-to-text:t">
                  <w:txbxContent>
                    <w:p w:rsidR="00B4520B" w:rsidRDefault="00B4520B">
                      <w:r>
                        <w:t>______________</w:t>
                      </w:r>
                    </w:p>
                  </w:txbxContent>
                </v:textbox>
              </v:shape>
            </w:pict>
          </mc:Fallback>
        </mc:AlternateContent>
      </w:r>
      <w:r w:rsidR="009F6558">
        <w:rPr>
          <w:noProof/>
          <w:lang w:eastAsia="en-GB"/>
        </w:rPr>
        <w:drawing>
          <wp:inline distT="0" distB="0" distL="0" distR="0">
            <wp:extent cx="5759875" cy="8118231"/>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jpg"/>
                    <pic:cNvPicPr/>
                  </pic:nvPicPr>
                  <pic:blipFill>
                    <a:blip r:embed="rId13">
                      <a:extLst>
                        <a:ext uri="{28A0092B-C50C-407E-A947-70E740481C1C}">
                          <a14:useLocalDpi xmlns:a14="http://schemas.microsoft.com/office/drawing/2010/main" val="0"/>
                        </a:ext>
                      </a:extLst>
                    </a:blip>
                    <a:stretch>
                      <a:fillRect/>
                    </a:stretch>
                  </pic:blipFill>
                  <pic:spPr>
                    <a:xfrm>
                      <a:off x="0" y="0"/>
                      <a:ext cx="5761355" cy="8120317"/>
                    </a:xfrm>
                    <a:prstGeom prst="rect">
                      <a:avLst/>
                    </a:prstGeom>
                  </pic:spPr>
                </pic:pic>
              </a:graphicData>
            </a:graphic>
          </wp:inline>
        </w:drawing>
      </w:r>
    </w:p>
    <w:sectPr w:rsidR="009F6558" w:rsidRPr="00B4520B" w:rsidSect="009D3E53">
      <w:headerReference w:type="even" r:id="rId14"/>
      <w:headerReference w:type="default" r:id="rId15"/>
      <w:footerReference w:type="even" r:id="rId16"/>
      <w:footerReference w:type="default" r:id="rId17"/>
      <w:headerReference w:type="first" r:id="rId18"/>
      <w:footerReference w:type="first" r:id="rId19"/>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A1B" w:rsidRDefault="00093A1B"/>
  </w:endnote>
  <w:endnote w:type="continuationSeparator" w:id="0">
    <w:p w:rsidR="00093A1B" w:rsidRDefault="00093A1B"/>
  </w:endnote>
  <w:endnote w:type="continuationNotice" w:id="1">
    <w:p w:rsidR="00093A1B" w:rsidRDefault="00093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AM Klavika Light">
    <w:altName w:val="Arial Narrow"/>
    <w:charset w:val="00"/>
    <w:family w:val="swiss"/>
    <w:pitch w:val="variable"/>
    <w:sig w:usb0="00000001" w:usb1="5000204A" w:usb2="00000000" w:usb3="00000000" w:csb0="0000009F" w:csb1="00000000"/>
  </w:font>
  <w:font w:name="BAM Klavika Medium">
    <w:altName w:val="Segoe UI Semibold"/>
    <w:charset w:val="00"/>
    <w:family w:val="swiss"/>
    <w:pitch w:val="variable"/>
    <w:sig w:usb0="00000001" w:usb1="5000204A" w:usb2="00000000" w:usb3="00000000" w:csb0="0000009F" w:csb1="00000000"/>
  </w:font>
  <w:font w:name="BAMKlavika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D20216">
      <w:rPr>
        <w:b/>
        <w:noProof/>
        <w:sz w:val="18"/>
      </w:rPr>
      <w:t>6</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D20216">
      <w:rPr>
        <w:b/>
        <w:noProof/>
        <w:sz w:val="18"/>
      </w:rPr>
      <w:t>3</w:t>
    </w:r>
    <w:r w:rsidRPr="006D12B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90" w:rsidRDefault="00656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A1B" w:rsidRPr="000B175B" w:rsidRDefault="00093A1B" w:rsidP="000B175B">
      <w:pPr>
        <w:tabs>
          <w:tab w:val="right" w:pos="2155"/>
        </w:tabs>
        <w:spacing w:after="80"/>
        <w:ind w:left="680"/>
        <w:rPr>
          <w:u w:val="single"/>
        </w:rPr>
      </w:pPr>
      <w:r>
        <w:rPr>
          <w:u w:val="single"/>
        </w:rPr>
        <w:tab/>
      </w:r>
    </w:p>
  </w:footnote>
  <w:footnote w:type="continuationSeparator" w:id="0">
    <w:p w:rsidR="00093A1B" w:rsidRPr="00FC68B7" w:rsidRDefault="00093A1B" w:rsidP="00FC68B7">
      <w:pPr>
        <w:tabs>
          <w:tab w:val="left" w:pos="2155"/>
        </w:tabs>
        <w:spacing w:after="80"/>
        <w:ind w:left="680"/>
        <w:rPr>
          <w:u w:val="single"/>
        </w:rPr>
      </w:pPr>
      <w:r>
        <w:rPr>
          <w:u w:val="single"/>
        </w:rPr>
        <w:tab/>
      </w:r>
    </w:p>
  </w:footnote>
  <w:footnote w:type="continuationNotice" w:id="1">
    <w:p w:rsidR="00093A1B" w:rsidRDefault="00093A1B"/>
  </w:footnote>
  <w:footnote w:id="2">
    <w:p w:rsidR="00CF4A88" w:rsidRPr="001E3A04" w:rsidRDefault="00CF4A88" w:rsidP="00CF4A88">
      <w:pPr>
        <w:pStyle w:val="FootnoteText"/>
        <w:tabs>
          <w:tab w:val="left" w:pos="1418"/>
        </w:tabs>
        <w:ind w:firstLine="0"/>
      </w:pPr>
      <w:r>
        <w:rPr>
          <w:rStyle w:val="FootnoteReference"/>
        </w:rPr>
        <w:footnoteRef/>
      </w:r>
      <w:r>
        <w:tab/>
        <w:t xml:space="preserve">In accordance with the programme of work of the Sub-Committee for 2017–2018 approved by the Committee at its eighth session (see ST/SG/AC.10/C.3/100, paragraph 98 and ST/SG/AC.10/44, paragraph 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C7898">
    <w:pPr>
      <w:pStyle w:val="Header"/>
    </w:pPr>
    <w:r>
      <w:t>ST/SG/AC.10/C.3/2017/38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C7898" w:rsidP="006D12B1">
    <w:pPr>
      <w:pStyle w:val="Header"/>
      <w:jc w:val="right"/>
    </w:pPr>
    <w:r>
      <w:t>ST/SG/AC.10/C.3/2017/38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336E4130"/>
    <w:multiLevelType w:val="hybridMultilevel"/>
    <w:tmpl w:val="2FBC83D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51449"/>
    <w:multiLevelType w:val="hybridMultilevel"/>
    <w:tmpl w:val="D91CB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0">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1">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64122FA"/>
    <w:multiLevelType w:val="hybridMultilevel"/>
    <w:tmpl w:val="7B70F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0"/>
  </w:num>
  <w:num w:numId="14">
    <w:abstractNumId w:val="23"/>
  </w:num>
  <w:num w:numId="15">
    <w:abstractNumId w:val="25"/>
  </w:num>
  <w:num w:numId="16">
    <w:abstractNumId w:val="15"/>
  </w:num>
  <w:num w:numId="17">
    <w:abstractNumId w:val="17"/>
  </w:num>
  <w:num w:numId="18">
    <w:abstractNumId w:val="19"/>
  </w:num>
  <w:num w:numId="19">
    <w:abstractNumId w:val="13"/>
  </w:num>
  <w:num w:numId="20">
    <w:abstractNumId w:val="26"/>
  </w:num>
  <w:num w:numId="21">
    <w:abstractNumId w:val="11"/>
  </w:num>
  <w:num w:numId="22">
    <w:abstractNumId w:val="20"/>
  </w:num>
  <w:num w:numId="23">
    <w:abstractNumId w:val="21"/>
  </w:num>
  <w:num w:numId="24">
    <w:abstractNumId w:val="12"/>
  </w:num>
  <w:num w:numId="25">
    <w:abstractNumId w:val="16"/>
  </w:num>
  <w:num w:numId="26">
    <w:abstractNumId w:val="18"/>
  </w:num>
  <w:num w:numId="2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15A13"/>
    <w:rsid w:val="000166D2"/>
    <w:rsid w:val="00023F08"/>
    <w:rsid w:val="00023F86"/>
    <w:rsid w:val="00044590"/>
    <w:rsid w:val="00047F82"/>
    <w:rsid w:val="000504CE"/>
    <w:rsid w:val="00050F6B"/>
    <w:rsid w:val="00053E46"/>
    <w:rsid w:val="0005466E"/>
    <w:rsid w:val="00055593"/>
    <w:rsid w:val="000572CA"/>
    <w:rsid w:val="00072C8C"/>
    <w:rsid w:val="00080870"/>
    <w:rsid w:val="00082AB3"/>
    <w:rsid w:val="00083B6B"/>
    <w:rsid w:val="00083B73"/>
    <w:rsid w:val="00091419"/>
    <w:rsid w:val="000931C0"/>
    <w:rsid w:val="00093A1B"/>
    <w:rsid w:val="000B175B"/>
    <w:rsid w:val="000B3A0F"/>
    <w:rsid w:val="000B4EA2"/>
    <w:rsid w:val="000C2086"/>
    <w:rsid w:val="000C5858"/>
    <w:rsid w:val="000D58F6"/>
    <w:rsid w:val="000D734E"/>
    <w:rsid w:val="000E0415"/>
    <w:rsid w:val="000F6C26"/>
    <w:rsid w:val="000F7AB3"/>
    <w:rsid w:val="00105236"/>
    <w:rsid w:val="001071A8"/>
    <w:rsid w:val="0011385E"/>
    <w:rsid w:val="00117787"/>
    <w:rsid w:val="00120F92"/>
    <w:rsid w:val="00131D42"/>
    <w:rsid w:val="0015339F"/>
    <w:rsid w:val="00157DBF"/>
    <w:rsid w:val="001633FB"/>
    <w:rsid w:val="00167786"/>
    <w:rsid w:val="001810F7"/>
    <w:rsid w:val="001847A1"/>
    <w:rsid w:val="00184E75"/>
    <w:rsid w:val="0018772D"/>
    <w:rsid w:val="001924C5"/>
    <w:rsid w:val="001A537C"/>
    <w:rsid w:val="001B4B04"/>
    <w:rsid w:val="001C47E0"/>
    <w:rsid w:val="001C6663"/>
    <w:rsid w:val="001C7526"/>
    <w:rsid w:val="001C7895"/>
    <w:rsid w:val="001C7898"/>
    <w:rsid w:val="001D26DF"/>
    <w:rsid w:val="001D2FDC"/>
    <w:rsid w:val="001D70DD"/>
    <w:rsid w:val="001D79DB"/>
    <w:rsid w:val="001E0B44"/>
    <w:rsid w:val="001E3A04"/>
    <w:rsid w:val="001F3FA0"/>
    <w:rsid w:val="001F717A"/>
    <w:rsid w:val="00201F4E"/>
    <w:rsid w:val="00210B9C"/>
    <w:rsid w:val="00211E0B"/>
    <w:rsid w:val="00213AFD"/>
    <w:rsid w:val="002309A7"/>
    <w:rsid w:val="0023193F"/>
    <w:rsid w:val="00232EC4"/>
    <w:rsid w:val="0023334A"/>
    <w:rsid w:val="00234AEB"/>
    <w:rsid w:val="00237785"/>
    <w:rsid w:val="00241466"/>
    <w:rsid w:val="00254AD0"/>
    <w:rsid w:val="00255C1E"/>
    <w:rsid w:val="002656C7"/>
    <w:rsid w:val="0026588A"/>
    <w:rsid w:val="002725CA"/>
    <w:rsid w:val="00274950"/>
    <w:rsid w:val="00277A29"/>
    <w:rsid w:val="00280EB7"/>
    <w:rsid w:val="00281C3B"/>
    <w:rsid w:val="002846EA"/>
    <w:rsid w:val="002A24BE"/>
    <w:rsid w:val="002B1CDA"/>
    <w:rsid w:val="002B4076"/>
    <w:rsid w:val="002C1AE8"/>
    <w:rsid w:val="002C2549"/>
    <w:rsid w:val="002D460D"/>
    <w:rsid w:val="0030379C"/>
    <w:rsid w:val="003107FA"/>
    <w:rsid w:val="0032058E"/>
    <w:rsid w:val="003229D8"/>
    <w:rsid w:val="00323424"/>
    <w:rsid w:val="0032486A"/>
    <w:rsid w:val="00337633"/>
    <w:rsid w:val="0034759C"/>
    <w:rsid w:val="0036127B"/>
    <w:rsid w:val="003637DE"/>
    <w:rsid w:val="00375E8A"/>
    <w:rsid w:val="0039277A"/>
    <w:rsid w:val="00392D73"/>
    <w:rsid w:val="003941EC"/>
    <w:rsid w:val="003972E0"/>
    <w:rsid w:val="003A0447"/>
    <w:rsid w:val="003A0C75"/>
    <w:rsid w:val="003A5CDB"/>
    <w:rsid w:val="003C2CC4"/>
    <w:rsid w:val="003D4B23"/>
    <w:rsid w:val="003D679A"/>
    <w:rsid w:val="003E5A57"/>
    <w:rsid w:val="004043C0"/>
    <w:rsid w:val="0042233A"/>
    <w:rsid w:val="004262E2"/>
    <w:rsid w:val="00431FA3"/>
    <w:rsid w:val="004325CB"/>
    <w:rsid w:val="00432930"/>
    <w:rsid w:val="00437F3F"/>
    <w:rsid w:val="00442DF8"/>
    <w:rsid w:val="00446DE4"/>
    <w:rsid w:val="00451925"/>
    <w:rsid w:val="00454036"/>
    <w:rsid w:val="00456D02"/>
    <w:rsid w:val="00465AFB"/>
    <w:rsid w:val="00470BF5"/>
    <w:rsid w:val="00477D30"/>
    <w:rsid w:val="00483009"/>
    <w:rsid w:val="004914ED"/>
    <w:rsid w:val="004B2C9D"/>
    <w:rsid w:val="004C35BA"/>
    <w:rsid w:val="004C6FBA"/>
    <w:rsid w:val="004C71B6"/>
    <w:rsid w:val="004E05DD"/>
    <w:rsid w:val="004E38B5"/>
    <w:rsid w:val="004E68C8"/>
    <w:rsid w:val="004F0095"/>
    <w:rsid w:val="004F0881"/>
    <w:rsid w:val="004F60F8"/>
    <w:rsid w:val="00522AC0"/>
    <w:rsid w:val="00525DE7"/>
    <w:rsid w:val="00527910"/>
    <w:rsid w:val="005420F2"/>
    <w:rsid w:val="005458AF"/>
    <w:rsid w:val="00547C8F"/>
    <w:rsid w:val="005500DD"/>
    <w:rsid w:val="0055015D"/>
    <w:rsid w:val="005501BE"/>
    <w:rsid w:val="00562335"/>
    <w:rsid w:val="00563498"/>
    <w:rsid w:val="00590144"/>
    <w:rsid w:val="0059588D"/>
    <w:rsid w:val="00597FF3"/>
    <w:rsid w:val="005A4196"/>
    <w:rsid w:val="005B03C6"/>
    <w:rsid w:val="005B3DB3"/>
    <w:rsid w:val="005B77F6"/>
    <w:rsid w:val="005B7CD6"/>
    <w:rsid w:val="005C6796"/>
    <w:rsid w:val="005C7602"/>
    <w:rsid w:val="005C7B68"/>
    <w:rsid w:val="005D2018"/>
    <w:rsid w:val="005D5DD6"/>
    <w:rsid w:val="005E731E"/>
    <w:rsid w:val="00604E72"/>
    <w:rsid w:val="00611FC4"/>
    <w:rsid w:val="006176FB"/>
    <w:rsid w:val="006200EB"/>
    <w:rsid w:val="00625E3D"/>
    <w:rsid w:val="00630C9C"/>
    <w:rsid w:val="0063158E"/>
    <w:rsid w:val="00632868"/>
    <w:rsid w:val="0063419C"/>
    <w:rsid w:val="006377C4"/>
    <w:rsid w:val="0064050D"/>
    <w:rsid w:val="00640B26"/>
    <w:rsid w:val="006500BA"/>
    <w:rsid w:val="006531B9"/>
    <w:rsid w:val="00656890"/>
    <w:rsid w:val="00663EED"/>
    <w:rsid w:val="00665835"/>
    <w:rsid w:val="00666E76"/>
    <w:rsid w:val="00673F39"/>
    <w:rsid w:val="00676449"/>
    <w:rsid w:val="00677B83"/>
    <w:rsid w:val="006A1372"/>
    <w:rsid w:val="006A7392"/>
    <w:rsid w:val="006B4408"/>
    <w:rsid w:val="006C0D34"/>
    <w:rsid w:val="006C2BF3"/>
    <w:rsid w:val="006D12B1"/>
    <w:rsid w:val="006E564B"/>
    <w:rsid w:val="00703AA5"/>
    <w:rsid w:val="00704CDB"/>
    <w:rsid w:val="00705B77"/>
    <w:rsid w:val="00711C13"/>
    <w:rsid w:val="0072632A"/>
    <w:rsid w:val="007277E4"/>
    <w:rsid w:val="007413E7"/>
    <w:rsid w:val="007434BC"/>
    <w:rsid w:val="00744314"/>
    <w:rsid w:val="00783107"/>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F6611"/>
    <w:rsid w:val="007F6894"/>
    <w:rsid w:val="00812689"/>
    <w:rsid w:val="008175E9"/>
    <w:rsid w:val="00823B1A"/>
    <w:rsid w:val="008242D7"/>
    <w:rsid w:val="00824C37"/>
    <w:rsid w:val="00847442"/>
    <w:rsid w:val="00854B0D"/>
    <w:rsid w:val="00860540"/>
    <w:rsid w:val="00871FD5"/>
    <w:rsid w:val="00875EAC"/>
    <w:rsid w:val="00884FD0"/>
    <w:rsid w:val="00894BC2"/>
    <w:rsid w:val="00895E97"/>
    <w:rsid w:val="008979B1"/>
    <w:rsid w:val="008A6B25"/>
    <w:rsid w:val="008A6C4F"/>
    <w:rsid w:val="008B57B7"/>
    <w:rsid w:val="008C1297"/>
    <w:rsid w:val="008C1C03"/>
    <w:rsid w:val="008D53CE"/>
    <w:rsid w:val="008E0E46"/>
    <w:rsid w:val="008F79EE"/>
    <w:rsid w:val="00904FD7"/>
    <w:rsid w:val="009358FF"/>
    <w:rsid w:val="00945A5D"/>
    <w:rsid w:val="00946A04"/>
    <w:rsid w:val="00953226"/>
    <w:rsid w:val="00957117"/>
    <w:rsid w:val="00962AD6"/>
    <w:rsid w:val="00963CBA"/>
    <w:rsid w:val="0097518C"/>
    <w:rsid w:val="009854F2"/>
    <w:rsid w:val="00986450"/>
    <w:rsid w:val="0099124E"/>
    <w:rsid w:val="00991261"/>
    <w:rsid w:val="009C48E5"/>
    <w:rsid w:val="009D1AAE"/>
    <w:rsid w:val="009D3E53"/>
    <w:rsid w:val="009E38E3"/>
    <w:rsid w:val="009F0F06"/>
    <w:rsid w:val="009F1F45"/>
    <w:rsid w:val="009F6558"/>
    <w:rsid w:val="00A07441"/>
    <w:rsid w:val="00A1427D"/>
    <w:rsid w:val="00A72F22"/>
    <w:rsid w:val="00A73040"/>
    <w:rsid w:val="00A748A6"/>
    <w:rsid w:val="00A75B6F"/>
    <w:rsid w:val="00A75EC9"/>
    <w:rsid w:val="00A8523D"/>
    <w:rsid w:val="00A879A4"/>
    <w:rsid w:val="00A87CAE"/>
    <w:rsid w:val="00A93914"/>
    <w:rsid w:val="00A93EFD"/>
    <w:rsid w:val="00AA04C0"/>
    <w:rsid w:val="00AC1D2F"/>
    <w:rsid w:val="00AC5F3C"/>
    <w:rsid w:val="00AD22A1"/>
    <w:rsid w:val="00AD4A2A"/>
    <w:rsid w:val="00AE06E2"/>
    <w:rsid w:val="00AE1E8F"/>
    <w:rsid w:val="00AE5C5F"/>
    <w:rsid w:val="00AF523B"/>
    <w:rsid w:val="00AF56F0"/>
    <w:rsid w:val="00B02192"/>
    <w:rsid w:val="00B05BAC"/>
    <w:rsid w:val="00B06A8F"/>
    <w:rsid w:val="00B20FD5"/>
    <w:rsid w:val="00B250D7"/>
    <w:rsid w:val="00B30179"/>
    <w:rsid w:val="00B3094C"/>
    <w:rsid w:val="00B30FA9"/>
    <w:rsid w:val="00B3317B"/>
    <w:rsid w:val="00B41E3C"/>
    <w:rsid w:val="00B44060"/>
    <w:rsid w:val="00B4520B"/>
    <w:rsid w:val="00B51A46"/>
    <w:rsid w:val="00B55093"/>
    <w:rsid w:val="00B707EC"/>
    <w:rsid w:val="00B81E12"/>
    <w:rsid w:val="00B93068"/>
    <w:rsid w:val="00B93E7C"/>
    <w:rsid w:val="00BA6930"/>
    <w:rsid w:val="00BB0133"/>
    <w:rsid w:val="00BB027F"/>
    <w:rsid w:val="00BB3597"/>
    <w:rsid w:val="00BC164F"/>
    <w:rsid w:val="00BC1BF4"/>
    <w:rsid w:val="00BC452D"/>
    <w:rsid w:val="00BC4EA5"/>
    <w:rsid w:val="00BC5CDE"/>
    <w:rsid w:val="00BC74E9"/>
    <w:rsid w:val="00BD0239"/>
    <w:rsid w:val="00BE618E"/>
    <w:rsid w:val="00BF104C"/>
    <w:rsid w:val="00BF169C"/>
    <w:rsid w:val="00BF7DE7"/>
    <w:rsid w:val="00C031EF"/>
    <w:rsid w:val="00C0604F"/>
    <w:rsid w:val="00C07513"/>
    <w:rsid w:val="00C07A73"/>
    <w:rsid w:val="00C44E98"/>
    <w:rsid w:val="00C463DD"/>
    <w:rsid w:val="00C62F76"/>
    <w:rsid w:val="00C70190"/>
    <w:rsid w:val="00C740D6"/>
    <w:rsid w:val="00C745C3"/>
    <w:rsid w:val="00C94877"/>
    <w:rsid w:val="00CA2FB6"/>
    <w:rsid w:val="00CB2FC3"/>
    <w:rsid w:val="00CB3924"/>
    <w:rsid w:val="00CB44CD"/>
    <w:rsid w:val="00CB4E01"/>
    <w:rsid w:val="00CB567B"/>
    <w:rsid w:val="00CC5473"/>
    <w:rsid w:val="00CD3225"/>
    <w:rsid w:val="00CD4DBA"/>
    <w:rsid w:val="00CD5FED"/>
    <w:rsid w:val="00CD6E3A"/>
    <w:rsid w:val="00CE3B36"/>
    <w:rsid w:val="00CE46BA"/>
    <w:rsid w:val="00CE4A8F"/>
    <w:rsid w:val="00CE5C55"/>
    <w:rsid w:val="00CF1038"/>
    <w:rsid w:val="00CF4A88"/>
    <w:rsid w:val="00CF5E82"/>
    <w:rsid w:val="00CF74F9"/>
    <w:rsid w:val="00CF7E49"/>
    <w:rsid w:val="00D03948"/>
    <w:rsid w:val="00D061D7"/>
    <w:rsid w:val="00D12328"/>
    <w:rsid w:val="00D1524C"/>
    <w:rsid w:val="00D16675"/>
    <w:rsid w:val="00D20102"/>
    <w:rsid w:val="00D20216"/>
    <w:rsid w:val="00D2031B"/>
    <w:rsid w:val="00D25FE2"/>
    <w:rsid w:val="00D265D3"/>
    <w:rsid w:val="00D40043"/>
    <w:rsid w:val="00D43252"/>
    <w:rsid w:val="00D46231"/>
    <w:rsid w:val="00D60018"/>
    <w:rsid w:val="00D6027D"/>
    <w:rsid w:val="00D61E51"/>
    <w:rsid w:val="00D625F6"/>
    <w:rsid w:val="00D63ED2"/>
    <w:rsid w:val="00D71E33"/>
    <w:rsid w:val="00D729F2"/>
    <w:rsid w:val="00D753D8"/>
    <w:rsid w:val="00D770FE"/>
    <w:rsid w:val="00D84D15"/>
    <w:rsid w:val="00D92235"/>
    <w:rsid w:val="00D948D6"/>
    <w:rsid w:val="00D96CC5"/>
    <w:rsid w:val="00D978C6"/>
    <w:rsid w:val="00DA10B3"/>
    <w:rsid w:val="00DA4AA3"/>
    <w:rsid w:val="00DA67AD"/>
    <w:rsid w:val="00DA6D5E"/>
    <w:rsid w:val="00DB63BF"/>
    <w:rsid w:val="00DC2F27"/>
    <w:rsid w:val="00DD3691"/>
    <w:rsid w:val="00DD62B9"/>
    <w:rsid w:val="00DE71E5"/>
    <w:rsid w:val="00DF1C31"/>
    <w:rsid w:val="00DF6FE9"/>
    <w:rsid w:val="00E130AB"/>
    <w:rsid w:val="00E1345B"/>
    <w:rsid w:val="00E1679E"/>
    <w:rsid w:val="00E23195"/>
    <w:rsid w:val="00E25396"/>
    <w:rsid w:val="00E55A9E"/>
    <w:rsid w:val="00E5644E"/>
    <w:rsid w:val="00E7260F"/>
    <w:rsid w:val="00E81230"/>
    <w:rsid w:val="00E8535A"/>
    <w:rsid w:val="00E872F5"/>
    <w:rsid w:val="00E877D6"/>
    <w:rsid w:val="00E96630"/>
    <w:rsid w:val="00E96952"/>
    <w:rsid w:val="00EA3854"/>
    <w:rsid w:val="00EA6E78"/>
    <w:rsid w:val="00EA772F"/>
    <w:rsid w:val="00EB459A"/>
    <w:rsid w:val="00EB6832"/>
    <w:rsid w:val="00EC271A"/>
    <w:rsid w:val="00EC4D9F"/>
    <w:rsid w:val="00EC6F05"/>
    <w:rsid w:val="00ED14CB"/>
    <w:rsid w:val="00ED4A3F"/>
    <w:rsid w:val="00ED78C0"/>
    <w:rsid w:val="00ED7A2A"/>
    <w:rsid w:val="00ED7CE1"/>
    <w:rsid w:val="00EE2823"/>
    <w:rsid w:val="00EF1D7F"/>
    <w:rsid w:val="00F0135D"/>
    <w:rsid w:val="00F06205"/>
    <w:rsid w:val="00F120E2"/>
    <w:rsid w:val="00F163A9"/>
    <w:rsid w:val="00F24FD9"/>
    <w:rsid w:val="00F40E75"/>
    <w:rsid w:val="00F52545"/>
    <w:rsid w:val="00F54674"/>
    <w:rsid w:val="00F608CD"/>
    <w:rsid w:val="00F638EE"/>
    <w:rsid w:val="00F65682"/>
    <w:rsid w:val="00F9407A"/>
    <w:rsid w:val="00FB521E"/>
    <w:rsid w:val="00FB7353"/>
    <w:rsid w:val="00FC3EBB"/>
    <w:rsid w:val="00FC48A3"/>
    <w:rsid w:val="00FC68B7"/>
    <w:rsid w:val="00FD6B2B"/>
    <w:rsid w:val="00FE4B06"/>
    <w:rsid w:val="00FE6A1F"/>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paragraph" w:customStyle="1" w:styleId="BAMStandard">
    <w:name w:val="_BAM_Standard"/>
    <w:basedOn w:val="Normal"/>
    <w:qFormat/>
    <w:rsid w:val="0001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80" w:lineRule="atLeast"/>
    </w:pPr>
    <w:rPr>
      <w:rFonts w:ascii="BAM Klavika Light" w:eastAsiaTheme="minorHAnsi" w:hAnsi="BAM Klavika Light" w:cstheme="minorBidi"/>
      <w:sz w:val="22"/>
      <w:szCs w:val="22"/>
    </w:rPr>
  </w:style>
  <w:style w:type="character" w:customStyle="1" w:styleId="FooterChar">
    <w:name w:val="Footer Char"/>
    <w:aliases w:val="3_G Char"/>
    <w:basedOn w:val="DefaultParagraphFont"/>
    <w:link w:val="Footer"/>
    <w:uiPriority w:val="99"/>
    <w:rsid w:val="00015A13"/>
    <w:rPr>
      <w:sz w:val="16"/>
      <w:lang w:val="en-GB" w:eastAsia="en-US"/>
    </w:rPr>
  </w:style>
  <w:style w:type="paragraph" w:customStyle="1" w:styleId="BAMberschrift">
    <w:name w:val="_BAM_Überschrift"/>
    <w:basedOn w:val="Heading3"/>
    <w:next w:val="BAMStandard"/>
    <w:uiPriority w:val="2"/>
    <w:qFormat/>
    <w:rsid w:val="00015A13"/>
    <w:pPr>
      <w:keepNext/>
      <w:keepLines/>
      <w:suppressAutoHyphens w:val="0"/>
      <w:spacing w:line="280" w:lineRule="atLeast"/>
    </w:pPr>
    <w:rPr>
      <w:rFonts w:ascii="BAM Klavika Medium" w:eastAsiaTheme="majorEastAsia" w:hAnsi="BAM Klavika Medium" w:cstheme="majorBidi"/>
      <w:bCs/>
      <w:sz w:val="22"/>
      <w:szCs w:val="22"/>
    </w:rPr>
  </w:style>
  <w:style w:type="paragraph" w:customStyle="1" w:styleId="BAMkleineSchrift">
    <w:name w:val="_BAM_kleine_Schrift"/>
    <w:basedOn w:val="BAMStandard"/>
    <w:uiPriority w:val="10"/>
    <w:rsid w:val="00015A13"/>
    <w:pPr>
      <w:spacing w:line="200" w:lineRule="atLeast"/>
    </w:pPr>
    <w:rPr>
      <w:sz w:val="17"/>
    </w:rPr>
  </w:style>
  <w:style w:type="paragraph" w:customStyle="1" w:styleId="BAMStandart">
    <w:name w:val="BAM_Standart"/>
    <w:basedOn w:val="Normal"/>
    <w:uiPriority w:val="99"/>
    <w:rsid w:val="00015A13"/>
    <w:pPr>
      <w:suppressAutoHyphens w:val="0"/>
      <w:autoSpaceDE w:val="0"/>
      <w:autoSpaceDN w:val="0"/>
      <w:adjustRightInd w:val="0"/>
      <w:spacing w:line="280" w:lineRule="atLeast"/>
      <w:textAlignment w:val="center"/>
    </w:pPr>
    <w:rPr>
      <w:rFonts w:ascii="BAMKlavikaLight" w:eastAsiaTheme="minorHAnsi" w:hAnsi="BAMKlavikaLight" w:cs="BAMKlavikaLight"/>
      <w:color w:val="000000"/>
      <w:sz w:val="22"/>
      <w:szCs w:val="22"/>
    </w:rPr>
  </w:style>
  <w:style w:type="paragraph" w:styleId="NoSpacing">
    <w:name w:val="No Spacing"/>
    <w:uiPriority w:val="1"/>
    <w:qFormat/>
    <w:rsid w:val="00015A13"/>
    <w:rPr>
      <w:rFonts w:ascii="Arial" w:hAnsi="Arial"/>
      <w:sz w:val="22"/>
    </w:rPr>
  </w:style>
  <w:style w:type="character" w:customStyle="1" w:styleId="HeaderChar">
    <w:name w:val="Header Char"/>
    <w:aliases w:val="6_G Char"/>
    <w:basedOn w:val="DefaultParagraphFont"/>
    <w:link w:val="Header"/>
    <w:uiPriority w:val="99"/>
    <w:rsid w:val="00D61E51"/>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paragraph" w:customStyle="1" w:styleId="BAMStandard">
    <w:name w:val="_BAM_Standard"/>
    <w:basedOn w:val="Normal"/>
    <w:qFormat/>
    <w:rsid w:val="0001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80" w:lineRule="atLeast"/>
    </w:pPr>
    <w:rPr>
      <w:rFonts w:ascii="BAM Klavika Light" w:eastAsiaTheme="minorHAnsi" w:hAnsi="BAM Klavika Light" w:cstheme="minorBidi"/>
      <w:sz w:val="22"/>
      <w:szCs w:val="22"/>
    </w:rPr>
  </w:style>
  <w:style w:type="character" w:customStyle="1" w:styleId="FooterChar">
    <w:name w:val="Footer Char"/>
    <w:aliases w:val="3_G Char"/>
    <w:basedOn w:val="DefaultParagraphFont"/>
    <w:link w:val="Footer"/>
    <w:uiPriority w:val="99"/>
    <w:rsid w:val="00015A13"/>
    <w:rPr>
      <w:sz w:val="16"/>
      <w:lang w:val="en-GB" w:eastAsia="en-US"/>
    </w:rPr>
  </w:style>
  <w:style w:type="paragraph" w:customStyle="1" w:styleId="BAMberschrift">
    <w:name w:val="_BAM_Überschrift"/>
    <w:basedOn w:val="Heading3"/>
    <w:next w:val="BAMStandard"/>
    <w:uiPriority w:val="2"/>
    <w:qFormat/>
    <w:rsid w:val="00015A13"/>
    <w:pPr>
      <w:keepNext/>
      <w:keepLines/>
      <w:suppressAutoHyphens w:val="0"/>
      <w:spacing w:line="280" w:lineRule="atLeast"/>
    </w:pPr>
    <w:rPr>
      <w:rFonts w:ascii="BAM Klavika Medium" w:eastAsiaTheme="majorEastAsia" w:hAnsi="BAM Klavika Medium" w:cstheme="majorBidi"/>
      <w:bCs/>
      <w:sz w:val="22"/>
      <w:szCs w:val="22"/>
    </w:rPr>
  </w:style>
  <w:style w:type="paragraph" w:customStyle="1" w:styleId="BAMkleineSchrift">
    <w:name w:val="_BAM_kleine_Schrift"/>
    <w:basedOn w:val="BAMStandard"/>
    <w:uiPriority w:val="10"/>
    <w:rsid w:val="00015A13"/>
    <w:pPr>
      <w:spacing w:line="200" w:lineRule="atLeast"/>
    </w:pPr>
    <w:rPr>
      <w:sz w:val="17"/>
    </w:rPr>
  </w:style>
  <w:style w:type="paragraph" w:customStyle="1" w:styleId="BAMStandart">
    <w:name w:val="BAM_Standart"/>
    <w:basedOn w:val="Normal"/>
    <w:uiPriority w:val="99"/>
    <w:rsid w:val="00015A13"/>
    <w:pPr>
      <w:suppressAutoHyphens w:val="0"/>
      <w:autoSpaceDE w:val="0"/>
      <w:autoSpaceDN w:val="0"/>
      <w:adjustRightInd w:val="0"/>
      <w:spacing w:line="280" w:lineRule="atLeast"/>
      <w:textAlignment w:val="center"/>
    </w:pPr>
    <w:rPr>
      <w:rFonts w:ascii="BAMKlavikaLight" w:eastAsiaTheme="minorHAnsi" w:hAnsi="BAMKlavikaLight" w:cs="BAMKlavikaLight"/>
      <w:color w:val="000000"/>
      <w:sz w:val="22"/>
      <w:szCs w:val="22"/>
    </w:rPr>
  </w:style>
  <w:style w:type="paragraph" w:styleId="NoSpacing">
    <w:name w:val="No Spacing"/>
    <w:uiPriority w:val="1"/>
    <w:qFormat/>
    <w:rsid w:val="00015A13"/>
    <w:rPr>
      <w:rFonts w:ascii="Arial" w:hAnsi="Arial"/>
      <w:sz w:val="22"/>
    </w:rPr>
  </w:style>
  <w:style w:type="character" w:customStyle="1" w:styleId="HeaderChar">
    <w:name w:val="Header Char"/>
    <w:aliases w:val="6_G Char"/>
    <w:basedOn w:val="DefaultParagraphFont"/>
    <w:link w:val="Header"/>
    <w:uiPriority w:val="99"/>
    <w:rsid w:val="00D61E51"/>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4B62-A0FB-4ACB-B7F4-F4378F47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8</TotalTime>
  <Pages>6</Pages>
  <Words>316</Words>
  <Characters>1806</Characters>
  <Application>Microsoft Office Word</Application>
  <DocSecurity>0</DocSecurity>
  <Lines>15</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12</cp:revision>
  <cp:lastPrinted>2017-08-31T08:06:00Z</cp:lastPrinted>
  <dcterms:created xsi:type="dcterms:W3CDTF">2017-08-29T13:07:00Z</dcterms:created>
  <dcterms:modified xsi:type="dcterms:W3CDTF">2017-08-31T08:21:00Z</dcterms:modified>
</cp:coreProperties>
</file>