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6F28">
        <w:trPr>
          <w:trHeight w:hRule="exact" w:val="851"/>
        </w:trPr>
        <w:tc>
          <w:tcPr>
            <w:tcW w:w="1280" w:type="dxa"/>
            <w:tcBorders>
              <w:bottom w:val="single" w:sz="4" w:space="0" w:color="auto"/>
            </w:tcBorders>
          </w:tcPr>
          <w:p w:rsidR="002D5AAC" w:rsidRDefault="002D5AAC" w:rsidP="00897F5F">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A118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97F5F" w:rsidP="00897F5F">
            <w:pPr>
              <w:jc w:val="right"/>
            </w:pPr>
            <w:r w:rsidRPr="00897F5F">
              <w:rPr>
                <w:sz w:val="40"/>
              </w:rPr>
              <w:t>ST</w:t>
            </w:r>
            <w:r>
              <w:t>/SG/AC.10/44/Add.1</w:t>
            </w:r>
          </w:p>
        </w:tc>
      </w:tr>
      <w:tr w:rsidR="002D5AAC" w:rsidTr="00936F28">
        <w:trPr>
          <w:trHeight w:hRule="exact" w:val="2835"/>
        </w:trPr>
        <w:tc>
          <w:tcPr>
            <w:tcW w:w="1280" w:type="dxa"/>
            <w:tcBorders>
              <w:top w:val="single" w:sz="4" w:space="0" w:color="auto"/>
              <w:bottom w:val="single" w:sz="12" w:space="0" w:color="auto"/>
            </w:tcBorders>
          </w:tcPr>
          <w:p w:rsidR="002D5AAC" w:rsidRDefault="00AE3F83" w:rsidP="000A118E">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1E213E" w:rsidP="000A118E">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rsidR="002D5AAC" w:rsidRDefault="00897F5F" w:rsidP="000A118E">
            <w:pPr>
              <w:spacing w:before="240"/>
            </w:pPr>
            <w:r>
              <w:t>Distr. general</w:t>
            </w:r>
          </w:p>
          <w:p w:rsidR="00897F5F" w:rsidRDefault="00897F5F" w:rsidP="00897F5F">
            <w:pPr>
              <w:spacing w:line="240" w:lineRule="exact"/>
            </w:pPr>
            <w:r>
              <w:t>16 de febrero de 2017</w:t>
            </w:r>
          </w:p>
          <w:p w:rsidR="00897F5F" w:rsidRDefault="00897F5F" w:rsidP="00897F5F">
            <w:pPr>
              <w:spacing w:line="240" w:lineRule="exact"/>
            </w:pPr>
            <w:r>
              <w:t>Español</w:t>
            </w:r>
          </w:p>
          <w:p w:rsidR="00897F5F" w:rsidRDefault="00897F5F" w:rsidP="00897F5F">
            <w:pPr>
              <w:spacing w:line="240" w:lineRule="exact"/>
            </w:pPr>
            <w:r>
              <w:t>Original: francés e inglés</w:t>
            </w:r>
            <w:r>
              <w:br/>
            </w:r>
          </w:p>
        </w:tc>
      </w:tr>
    </w:tbl>
    <w:p w:rsidR="00936F28" w:rsidRPr="00B654DA" w:rsidRDefault="00936F28" w:rsidP="00936F28">
      <w:pPr>
        <w:spacing w:before="120"/>
        <w:rPr>
          <w:b/>
          <w:sz w:val="24"/>
          <w:szCs w:val="24"/>
        </w:rPr>
      </w:pPr>
      <w:r w:rsidRPr="00B654DA">
        <w:rPr>
          <w:b/>
          <w:sz w:val="24"/>
          <w:szCs w:val="24"/>
        </w:rPr>
        <w:t xml:space="preserve">Comité de Expertos en Transporte de Mercancías Peligrosas </w:t>
      </w:r>
      <w:r w:rsidRPr="00B654DA">
        <w:rPr>
          <w:b/>
          <w:sz w:val="24"/>
          <w:szCs w:val="24"/>
        </w:rPr>
        <w:br/>
        <w:t xml:space="preserve">y en el Sistema Globalmente Armonizado de Clasificación </w:t>
      </w:r>
      <w:r w:rsidRPr="00B654DA">
        <w:rPr>
          <w:b/>
          <w:sz w:val="24"/>
          <w:szCs w:val="24"/>
        </w:rPr>
        <w:br/>
        <w:t>y Etiquetado de Productos Químicos</w:t>
      </w:r>
    </w:p>
    <w:p w:rsidR="00936F28" w:rsidRPr="00B654DA" w:rsidRDefault="00936F28" w:rsidP="00936F28">
      <w:pPr>
        <w:pStyle w:val="HChG"/>
        <w:rPr>
          <w:bCs/>
        </w:rPr>
      </w:pPr>
      <w:r w:rsidRPr="00B654DA">
        <w:tab/>
      </w:r>
      <w:r w:rsidRPr="00B654DA">
        <w:tab/>
        <w:t>Informe del Comité de Expertos en Transporte de Mercancías Peligrosas y en el Sistema Globalmente Armonizado de Clasificación y Etiquetado de Productos Químicos sobre su octavo período de sesiones</w:t>
      </w:r>
    </w:p>
    <w:p w:rsidR="00936F28" w:rsidRPr="00B654DA" w:rsidRDefault="00936F28" w:rsidP="00936F28">
      <w:r w:rsidRPr="00B654DA">
        <w:tab/>
      </w:r>
      <w:r w:rsidRPr="00B654DA">
        <w:tab/>
      </w:r>
      <w:r w:rsidR="00232FA4">
        <w:t>C</w:t>
      </w:r>
      <w:r w:rsidRPr="00B654DA">
        <w:t>elebrado en Ginebra el 9 de diciembre de 2016</w:t>
      </w:r>
    </w:p>
    <w:p w:rsidR="00936F28" w:rsidRPr="00B654DA" w:rsidRDefault="00936F28" w:rsidP="00232FA4">
      <w:pPr>
        <w:pStyle w:val="H23G"/>
      </w:pPr>
      <w:r w:rsidRPr="00B654DA">
        <w:tab/>
      </w:r>
      <w:r w:rsidRPr="00B654DA">
        <w:tab/>
        <w:t>Adición</w:t>
      </w:r>
    </w:p>
    <w:p w:rsidR="00936F28" w:rsidRPr="00B654DA" w:rsidRDefault="00936F28" w:rsidP="00936F28">
      <w:pPr>
        <w:pStyle w:val="H1G"/>
      </w:pPr>
      <w:r w:rsidRPr="00B654DA">
        <w:tab/>
      </w:r>
      <w:r w:rsidRPr="00B654DA">
        <w:tab/>
        <w:t>Anexo I</w:t>
      </w:r>
    </w:p>
    <w:p w:rsidR="00936F28" w:rsidRPr="00B654DA" w:rsidRDefault="00936F28" w:rsidP="00936F28">
      <w:pPr>
        <w:pStyle w:val="H1G"/>
      </w:pPr>
      <w:r w:rsidRPr="00B654DA">
        <w:tab/>
      </w:r>
      <w:r w:rsidRPr="00B654DA">
        <w:tab/>
      </w:r>
      <w:r w:rsidRPr="00B654DA">
        <w:rPr>
          <w:spacing w:val="-2"/>
        </w:rPr>
        <w:t xml:space="preserve">Enmiendas </w:t>
      </w:r>
      <w:r w:rsidR="00AC5BC7">
        <w:rPr>
          <w:spacing w:val="-2"/>
        </w:rPr>
        <w:t>a</w:t>
      </w:r>
      <w:r w:rsidRPr="00B654DA">
        <w:rPr>
          <w:spacing w:val="-2"/>
        </w:rPr>
        <w:t xml:space="preserve"> la </w:t>
      </w:r>
      <w:r w:rsidR="00AC5BC7">
        <w:rPr>
          <w:spacing w:val="-2"/>
        </w:rPr>
        <w:t>19ª</w:t>
      </w:r>
      <w:r w:rsidR="00232FA4">
        <w:rPr>
          <w:spacing w:val="-2"/>
        </w:rPr>
        <w:t xml:space="preserve"> </w:t>
      </w:r>
      <w:r w:rsidRPr="00B654DA">
        <w:rPr>
          <w:spacing w:val="-2"/>
        </w:rPr>
        <w:t xml:space="preserve">edición revisada </w:t>
      </w:r>
      <w:r w:rsidR="00AC5BC7">
        <w:rPr>
          <w:spacing w:val="-2"/>
        </w:rPr>
        <w:t>de las Recomendaciones relativas al Transporte de Mercancías Peligrosas, Reglamentación Modelo (</w:t>
      </w:r>
      <w:r w:rsidRPr="00B654DA">
        <w:t>ST/SG/AC.10/</w:t>
      </w:r>
      <w:r w:rsidR="00232FA4">
        <w:t>1</w:t>
      </w:r>
      <w:r w:rsidRPr="00B654DA">
        <w:t>/Rev.</w:t>
      </w:r>
      <w:r w:rsidR="00232FA4">
        <w:t>19</w:t>
      </w:r>
      <w:r w:rsidRPr="00B654DA">
        <w:t>)</w:t>
      </w:r>
      <w:r w:rsidR="00232FA4" w:rsidRPr="00232FA4">
        <w:rPr>
          <w:rStyle w:val="FootnoteReference"/>
          <w:b w:val="0"/>
          <w:sz w:val="20"/>
          <w:vertAlign w:val="baseline"/>
        </w:rPr>
        <w:footnoteReference w:customMarkFollows="1" w:id="1"/>
        <w:t>*</w:t>
      </w:r>
    </w:p>
    <w:p w:rsidR="00897F5F" w:rsidRDefault="00897F5F" w:rsidP="00AE3F83"/>
    <w:p w:rsidR="00897F5F" w:rsidRDefault="00897F5F">
      <w:pPr>
        <w:spacing w:line="240" w:lineRule="auto"/>
      </w:pPr>
    </w:p>
    <w:p w:rsidR="00936F28" w:rsidRDefault="00936F28">
      <w:pPr>
        <w:spacing w:line="240" w:lineRule="auto"/>
      </w:pPr>
      <w:r>
        <w:br w:type="page"/>
      </w:r>
    </w:p>
    <w:p w:rsidR="00936F28" w:rsidRPr="00B654DA" w:rsidRDefault="00936F28" w:rsidP="00936F28">
      <w:pPr>
        <w:pStyle w:val="H1G"/>
      </w:pPr>
      <w:r w:rsidRPr="00B654DA">
        <w:lastRenderedPageBreak/>
        <w:tab/>
      </w:r>
      <w:r w:rsidRPr="00B654DA">
        <w:tab/>
        <w:t>Recomendaciones</w:t>
      </w:r>
    </w:p>
    <w:p w:rsidR="00936F28" w:rsidRPr="00B654DA" w:rsidRDefault="00936F28" w:rsidP="00936F28">
      <w:pPr>
        <w:pStyle w:val="SingleTxtG"/>
      </w:pPr>
      <w:r w:rsidRPr="00B654DA">
        <w:t>Párrafo 6</w:t>
      </w:r>
      <w:r w:rsidRPr="00B654DA">
        <w:tab/>
        <w:t xml:space="preserve">En la primera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pPr>
      <w:r w:rsidRPr="00B654DA">
        <w:t>Párrafo 8</w:t>
      </w:r>
      <w:r w:rsidRPr="00B654DA">
        <w:tab/>
        <w:t xml:space="preserve">Después de </w:t>
      </w:r>
      <w:r w:rsidR="00A069C9">
        <w:t>“</w:t>
      </w:r>
      <w:r w:rsidRPr="00B654DA">
        <w:t>ST/SG/AC.10/11/Rev.6</w:t>
      </w:r>
      <w:r w:rsidR="00A069C9">
        <w:t>”</w:t>
      </w:r>
      <w:r w:rsidRPr="00B654DA">
        <w:t xml:space="preserve">, añádase </w:t>
      </w:r>
      <w:r w:rsidR="00A069C9">
        <w:t>“</w:t>
      </w:r>
      <w:r w:rsidRPr="00B654DA">
        <w:t>y Amend.1</w:t>
      </w:r>
      <w:r w:rsidR="00A069C9">
        <w:t>”</w:t>
      </w:r>
      <w:r w:rsidRPr="00B654DA">
        <w:t>.</w:t>
      </w:r>
      <w:r w:rsidR="009B7702">
        <w:t xml:space="preserve"> </w:t>
      </w:r>
    </w:p>
    <w:p w:rsidR="00936F28" w:rsidRPr="00B654DA" w:rsidRDefault="00936F28" w:rsidP="00936F28">
      <w:pPr>
        <w:pStyle w:val="SingleTxtG"/>
      </w:pPr>
      <w:r w:rsidRPr="00B654DA">
        <w:t>Párrafo 11</w:t>
      </w:r>
      <w:r w:rsidRPr="00B654DA">
        <w:tab/>
        <w:t xml:space="preserve">En la primera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rPr>
          <w:b/>
          <w:bCs/>
        </w:rPr>
      </w:pPr>
      <w:r w:rsidRPr="00B654DA">
        <w:rPr>
          <w:bCs/>
        </w:rPr>
        <w:t>Párrafo 12</w:t>
      </w:r>
      <w:r w:rsidRPr="00B654DA">
        <w:rPr>
          <w:bCs/>
        </w:rPr>
        <w:tab/>
      </w:r>
      <w:r w:rsidRPr="00B654DA">
        <w:t xml:space="preserve">En la primera oración, sustitúyase </w:t>
      </w:r>
      <w:r w:rsidR="00A069C9">
        <w:t>“</w:t>
      </w:r>
      <w:r w:rsidRPr="00B654DA">
        <w:t>posibles riesgos</w:t>
      </w:r>
      <w:r w:rsidR="00A069C9">
        <w:t>”</w:t>
      </w:r>
      <w:r w:rsidRPr="00B654DA">
        <w:t xml:space="preserve"> por </w:t>
      </w:r>
      <w:r w:rsidR="00A069C9">
        <w:t>“</w:t>
      </w:r>
      <w:r w:rsidRPr="00B654DA">
        <w:t>peligros</w:t>
      </w:r>
      <w:r w:rsidR="00A069C9">
        <w:t>”</w:t>
      </w:r>
      <w:r w:rsidRPr="00B654DA">
        <w:t>.</w:t>
      </w:r>
      <w:r w:rsidRPr="00B654DA">
        <w:rPr>
          <w:bCs/>
        </w:rPr>
        <w:t xml:space="preserve"> En la segunda oración, </w:t>
      </w:r>
      <w:r w:rsidRPr="00B654DA">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H1G"/>
      </w:pPr>
      <w:r w:rsidRPr="00B654DA">
        <w:tab/>
      </w:r>
      <w:r w:rsidRPr="00B654DA">
        <w:tab/>
        <w:t>Capítulo 1.1</w:t>
      </w:r>
    </w:p>
    <w:p w:rsidR="00936F28" w:rsidRPr="00B654DA" w:rsidRDefault="00936F28" w:rsidP="00936F28">
      <w:pPr>
        <w:pStyle w:val="SingleTxtG"/>
      </w:pPr>
      <w:r w:rsidRPr="00B654DA">
        <w:t xml:space="preserve">En la Nota 1, después de </w:t>
      </w:r>
      <w:r w:rsidR="00A069C9">
        <w:t>“</w:t>
      </w:r>
      <w:r w:rsidRPr="00B654DA">
        <w:t>ST/SG/AC.10/11/Rev.6</w:t>
      </w:r>
      <w:r w:rsidR="00A069C9">
        <w:t>”</w:t>
      </w:r>
      <w:r w:rsidRPr="00B654DA">
        <w:t xml:space="preserve">, añádase </w:t>
      </w:r>
      <w:r w:rsidR="00A069C9">
        <w:t>“</w:t>
      </w:r>
      <w:r w:rsidRPr="00B654DA">
        <w:t>y Amend.1</w:t>
      </w:r>
      <w:r w:rsidR="00A069C9">
        <w:t>”</w:t>
      </w:r>
      <w:r w:rsidRPr="00B654DA">
        <w:t>.</w:t>
      </w:r>
    </w:p>
    <w:p w:rsidR="00936F28" w:rsidRPr="00B654DA" w:rsidRDefault="00936F28" w:rsidP="00936F28">
      <w:pPr>
        <w:pStyle w:val="H1G"/>
      </w:pPr>
      <w:r w:rsidRPr="00B654DA">
        <w:tab/>
      </w:r>
      <w:r w:rsidRPr="00B654DA">
        <w:tab/>
        <w:t>Capítulo 1.2</w:t>
      </w:r>
    </w:p>
    <w:p w:rsidR="00936F28" w:rsidRPr="00B654DA" w:rsidRDefault="00936F28" w:rsidP="00936F28">
      <w:pPr>
        <w:pStyle w:val="SingleTxtG"/>
      </w:pPr>
      <w:r w:rsidRPr="00B654DA">
        <w:t>1.2.1</w:t>
      </w:r>
      <w:r w:rsidRPr="00B654DA">
        <w:tab/>
      </w:r>
      <w:r w:rsidRPr="00B654DA">
        <w:tab/>
        <w:t xml:space="preserve">En la definición de </w:t>
      </w:r>
      <w:r w:rsidR="00A069C9" w:rsidRPr="00232FA4">
        <w:rPr>
          <w:i/>
        </w:rPr>
        <w:t>“</w:t>
      </w:r>
      <w:r w:rsidRPr="00232FA4">
        <w:rPr>
          <w:i/>
        </w:rPr>
        <w:t>material</w:t>
      </w:r>
      <w:r w:rsidRPr="00232FA4">
        <w:rPr>
          <w:i/>
          <w:spacing w:val="-7"/>
        </w:rPr>
        <w:t xml:space="preserve"> </w:t>
      </w:r>
      <w:r w:rsidRPr="00232FA4">
        <w:rPr>
          <w:i/>
        </w:rPr>
        <w:t>animal</w:t>
      </w:r>
      <w:r w:rsidR="00A069C9" w:rsidRPr="00232FA4">
        <w:rPr>
          <w:i/>
        </w:rPr>
        <w:t>”</w:t>
      </w:r>
      <w:r w:rsidRPr="00B654DA">
        <w:t xml:space="preserve">, sustitúyase </w:t>
      </w:r>
      <w:r w:rsidR="00A069C9">
        <w:t>“</w:t>
      </w:r>
      <w:r w:rsidRPr="00B654DA">
        <w:t>o</w:t>
      </w:r>
      <w:r w:rsidRPr="00B654DA">
        <w:rPr>
          <w:spacing w:val="-1"/>
        </w:rPr>
        <w:t xml:space="preserve"> </w:t>
      </w:r>
      <w:r w:rsidRPr="00B654DA">
        <w:t>ali</w:t>
      </w:r>
      <w:r w:rsidRPr="00B654DA">
        <w:rPr>
          <w:spacing w:val="-1"/>
        </w:rPr>
        <w:t>m</w:t>
      </w:r>
      <w:r w:rsidRPr="00B654DA">
        <w:t>ento</w:t>
      </w:r>
      <w:r w:rsidRPr="00B654DA">
        <w:rPr>
          <w:spacing w:val="-8"/>
        </w:rPr>
        <w:t xml:space="preserve"> </w:t>
      </w:r>
      <w:r w:rsidRPr="00B654DA">
        <w:t>para</w:t>
      </w:r>
      <w:r w:rsidRPr="00B654DA">
        <w:rPr>
          <w:spacing w:val="-4"/>
        </w:rPr>
        <w:t xml:space="preserve"> </w:t>
      </w:r>
      <w:r w:rsidRPr="00B654DA">
        <w:t>ani</w:t>
      </w:r>
      <w:r w:rsidRPr="00B654DA">
        <w:rPr>
          <w:spacing w:val="-1"/>
        </w:rPr>
        <w:t>m</w:t>
      </w:r>
      <w:r w:rsidRPr="00B654DA">
        <w:t>ales</w:t>
      </w:r>
      <w:r w:rsidR="00A069C9">
        <w:t>”</w:t>
      </w:r>
      <w:r w:rsidRPr="00B654DA">
        <w:t xml:space="preserve"> por </w:t>
      </w:r>
      <w:r w:rsidR="00A069C9">
        <w:t>“</w:t>
      </w:r>
      <w:r w:rsidRPr="00B654DA">
        <w:t>alimentos o piensos derivados de animales</w:t>
      </w:r>
      <w:r w:rsidR="00A069C9">
        <w:t>”</w:t>
      </w:r>
      <w:r w:rsidRPr="00B654DA">
        <w:t>.</w:t>
      </w:r>
    </w:p>
    <w:p w:rsidR="00936F28" w:rsidRPr="00B654DA" w:rsidRDefault="00936F28" w:rsidP="00936F28">
      <w:pPr>
        <w:pStyle w:val="SingleTxtG"/>
      </w:pPr>
      <w:r w:rsidRPr="00B654DA">
        <w:t>1.2.1</w:t>
      </w:r>
      <w:r w:rsidRPr="00B654DA">
        <w:tab/>
      </w:r>
      <w:r w:rsidRPr="00B654DA">
        <w:tab/>
        <w:t xml:space="preserve">En la definición de </w:t>
      </w:r>
      <w:r w:rsidR="00A069C9" w:rsidRPr="00232FA4">
        <w:rPr>
          <w:i/>
        </w:rPr>
        <w:t>“</w:t>
      </w:r>
      <w:r w:rsidRPr="00232FA4">
        <w:rPr>
          <w:i/>
        </w:rPr>
        <w:t>SGA</w:t>
      </w:r>
      <w:r w:rsidR="00A069C9" w:rsidRPr="00232FA4">
        <w:rPr>
          <w:i/>
        </w:rPr>
        <w:t>”</w:t>
      </w:r>
      <w:r w:rsidRPr="00B654DA">
        <w:t xml:space="preserve">, sustitúyase </w:t>
      </w:r>
      <w:r w:rsidR="00A069C9">
        <w:t>“</w:t>
      </w:r>
      <w:r w:rsidRPr="00B654DA">
        <w:t>sexta</w:t>
      </w:r>
      <w:r w:rsidR="00A069C9">
        <w:t>”</w:t>
      </w:r>
      <w:r w:rsidRPr="00B654DA">
        <w:t xml:space="preserve"> por </w:t>
      </w:r>
      <w:r w:rsidR="00A069C9">
        <w:t>“</w:t>
      </w:r>
      <w:r w:rsidRPr="00B654DA">
        <w:t>séptima</w:t>
      </w:r>
      <w:r w:rsidR="00A069C9">
        <w:t>”</w:t>
      </w:r>
      <w:r w:rsidRPr="00B654DA">
        <w:t xml:space="preserve"> y </w:t>
      </w:r>
      <w:r w:rsidR="00A069C9">
        <w:t>“</w:t>
      </w:r>
      <w:r w:rsidRPr="00B654DA">
        <w:t>ST/SG/AC.10/30/Rev.6</w:t>
      </w:r>
      <w:r w:rsidR="00A069C9">
        <w:t>”</w:t>
      </w:r>
      <w:r w:rsidRPr="00B654DA">
        <w:t xml:space="preserve"> por</w:t>
      </w:r>
      <w:r w:rsidR="00965478">
        <w:t xml:space="preserve"> </w:t>
      </w:r>
      <w:r w:rsidR="00A069C9">
        <w:t>“</w:t>
      </w:r>
      <w:r w:rsidRPr="00B654DA">
        <w:t>ST/SG/AC.10/30/Rev.7</w:t>
      </w:r>
      <w:r w:rsidR="00A069C9">
        <w:t>”</w:t>
      </w:r>
      <w:r w:rsidRPr="00B654DA">
        <w:t>.</w:t>
      </w:r>
    </w:p>
    <w:p w:rsidR="00936F28" w:rsidRPr="00B654DA" w:rsidRDefault="00936F28" w:rsidP="00936F28">
      <w:pPr>
        <w:pStyle w:val="SingleTxtG"/>
      </w:pPr>
      <w:r w:rsidRPr="00B654DA">
        <w:t>1.2.1</w:t>
      </w:r>
      <w:r w:rsidRPr="00B654DA">
        <w:tab/>
      </w:r>
      <w:r w:rsidRPr="00B654DA">
        <w:tab/>
        <w:t xml:space="preserve">En la definición de </w:t>
      </w:r>
      <w:r w:rsidR="00A069C9" w:rsidRPr="00AC5BC7">
        <w:rPr>
          <w:i/>
        </w:rPr>
        <w:t>“</w:t>
      </w:r>
      <w:r w:rsidRPr="00AC5BC7">
        <w:rPr>
          <w:i/>
        </w:rPr>
        <w:t>Líquido</w:t>
      </w:r>
      <w:r w:rsidR="00A069C9" w:rsidRPr="00AC5BC7">
        <w:rPr>
          <w:i/>
        </w:rPr>
        <w:t>”</w:t>
      </w:r>
      <w:r w:rsidRPr="00B654DA">
        <w:t xml:space="preserve">, en la nota de pie de página 1, sustitúyase </w:t>
      </w:r>
      <w:r w:rsidR="00A069C9" w:rsidRPr="00232FA4">
        <w:rPr>
          <w:i/>
        </w:rPr>
        <w:t>“</w:t>
      </w:r>
      <w:r w:rsidRPr="00232FA4">
        <w:rPr>
          <w:i/>
        </w:rPr>
        <w:t>ECE/TRANS/242 (Número de venta E.14.VIII.1)</w:t>
      </w:r>
      <w:r w:rsidR="00A069C9" w:rsidRPr="00232FA4">
        <w:rPr>
          <w:i/>
        </w:rPr>
        <w:t>”</w:t>
      </w:r>
      <w:r w:rsidRPr="00B654DA">
        <w:t xml:space="preserve"> por </w:t>
      </w:r>
      <w:r w:rsidR="00A069C9" w:rsidRPr="00232FA4">
        <w:rPr>
          <w:i/>
        </w:rPr>
        <w:t>“</w:t>
      </w:r>
      <w:r w:rsidRPr="00232FA4">
        <w:rPr>
          <w:i/>
        </w:rPr>
        <w:t>ECE/TRANS/257 (Número de venta E.16.VIII.1)</w:t>
      </w:r>
      <w:r w:rsidR="00A069C9" w:rsidRPr="00232FA4">
        <w:rPr>
          <w:i/>
        </w:rPr>
        <w:t>”</w:t>
      </w:r>
      <w:r w:rsidRPr="00B654DA">
        <w:t>.</w:t>
      </w:r>
    </w:p>
    <w:p w:rsidR="00936F28" w:rsidRPr="00B654DA" w:rsidRDefault="00936F28" w:rsidP="00936F28">
      <w:pPr>
        <w:pStyle w:val="SingleTxtG"/>
      </w:pPr>
      <w:r w:rsidRPr="00B654DA">
        <w:t>1.2.1</w:t>
      </w:r>
      <w:r w:rsidRPr="00B654DA">
        <w:tab/>
      </w:r>
      <w:r w:rsidRPr="00B654DA">
        <w:tab/>
        <w:t xml:space="preserve">En la definición de </w:t>
      </w:r>
      <w:r w:rsidR="00A069C9" w:rsidRPr="00232FA4">
        <w:rPr>
          <w:i/>
        </w:rPr>
        <w:t>“</w:t>
      </w:r>
      <w:r w:rsidRPr="00232FA4">
        <w:rPr>
          <w:i/>
          <w:spacing w:val="-1"/>
        </w:rPr>
        <w:t>Manual</w:t>
      </w:r>
      <w:r w:rsidRPr="00232FA4">
        <w:rPr>
          <w:i/>
          <w:spacing w:val="4"/>
        </w:rPr>
        <w:t xml:space="preserve"> </w:t>
      </w:r>
      <w:r w:rsidRPr="00232FA4">
        <w:rPr>
          <w:i/>
        </w:rPr>
        <w:t>de</w:t>
      </w:r>
      <w:r w:rsidRPr="00232FA4">
        <w:rPr>
          <w:i/>
          <w:spacing w:val="9"/>
        </w:rPr>
        <w:t xml:space="preserve"> </w:t>
      </w:r>
      <w:r w:rsidRPr="00232FA4">
        <w:rPr>
          <w:i/>
        </w:rPr>
        <w:t>Pruebas</w:t>
      </w:r>
      <w:r w:rsidRPr="00232FA4">
        <w:rPr>
          <w:i/>
          <w:spacing w:val="4"/>
        </w:rPr>
        <w:t xml:space="preserve"> </w:t>
      </w:r>
      <w:r w:rsidRPr="00232FA4">
        <w:rPr>
          <w:i/>
        </w:rPr>
        <w:t>y</w:t>
      </w:r>
      <w:r w:rsidRPr="00232FA4">
        <w:rPr>
          <w:i/>
          <w:spacing w:val="10"/>
        </w:rPr>
        <w:t xml:space="preserve"> </w:t>
      </w:r>
      <w:r w:rsidRPr="00232FA4">
        <w:rPr>
          <w:i/>
        </w:rPr>
        <w:t>Criterios</w:t>
      </w:r>
      <w:r w:rsidR="00A069C9" w:rsidRPr="00232FA4">
        <w:rPr>
          <w:i/>
        </w:rPr>
        <w:t>”</w:t>
      </w:r>
      <w:r w:rsidRPr="00B654DA">
        <w:t xml:space="preserve">, después de </w:t>
      </w:r>
      <w:r w:rsidR="00A069C9">
        <w:t>“</w:t>
      </w:r>
      <w:r w:rsidRPr="00B654DA">
        <w:t>ST/SG/AC.10/11/Rev.6</w:t>
      </w:r>
      <w:r w:rsidR="00A069C9">
        <w:t>”</w:t>
      </w:r>
      <w:r w:rsidRPr="00B654DA">
        <w:t xml:space="preserve">, añádase </w:t>
      </w:r>
      <w:r w:rsidR="00A069C9">
        <w:t>“</w:t>
      </w:r>
      <w:r w:rsidRPr="00B654DA">
        <w:t>y Amend.1</w:t>
      </w:r>
      <w:r w:rsidR="00A069C9">
        <w:t>”</w:t>
      </w:r>
      <w:r w:rsidRPr="00B654DA">
        <w:t>.</w:t>
      </w:r>
    </w:p>
    <w:p w:rsidR="00936F28" w:rsidRPr="00B654DA" w:rsidRDefault="00936F28" w:rsidP="00936F28">
      <w:pPr>
        <w:pStyle w:val="H1G"/>
      </w:pPr>
      <w:r w:rsidRPr="00B654DA">
        <w:tab/>
      </w:r>
      <w:r w:rsidRPr="00B654DA">
        <w:tab/>
        <w:t>Capítulo 1.3</w:t>
      </w:r>
    </w:p>
    <w:p w:rsidR="00936F28" w:rsidRPr="00B654DA" w:rsidRDefault="00936F28" w:rsidP="00936F28">
      <w:pPr>
        <w:pStyle w:val="SingleTxtG"/>
      </w:pPr>
      <w:r w:rsidRPr="00B654DA">
        <w:t>1.3.2 iii)</w:t>
      </w:r>
      <w:r w:rsidRPr="00B654DA">
        <w:tab/>
        <w:t>No se aplica al texto español.</w:t>
      </w:r>
    </w:p>
    <w:p w:rsidR="00936F28" w:rsidRPr="00B654DA" w:rsidRDefault="00936F28" w:rsidP="00936F28">
      <w:pPr>
        <w:pStyle w:val="H1G"/>
      </w:pPr>
      <w:r w:rsidRPr="00B654DA">
        <w:tab/>
      </w:r>
      <w:r w:rsidRPr="00B654DA">
        <w:tab/>
        <w:t>Capítulo 1.4</w:t>
      </w:r>
    </w:p>
    <w:p w:rsidR="00936F28" w:rsidRPr="00B654DA" w:rsidRDefault="00936F28" w:rsidP="00936F28">
      <w:pPr>
        <w:pStyle w:val="SingleTxtG"/>
      </w:pPr>
      <w:r w:rsidRPr="00B654DA">
        <w:t>1.4.3.1.5</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SingleTxtG"/>
      </w:pPr>
      <w:r w:rsidRPr="00B654DA">
        <w:t>1.4.3.2.1</w:t>
      </w:r>
      <w:r w:rsidRPr="00B654DA">
        <w:tab/>
        <w:t>Al final, insértese la siguiente nota:</w:t>
      </w:r>
    </w:p>
    <w:p w:rsidR="00936F28" w:rsidRPr="00B654DA" w:rsidRDefault="00A069C9" w:rsidP="00936F28">
      <w:pPr>
        <w:pStyle w:val="SingleTxtG"/>
        <w:rPr>
          <w:i/>
        </w:rPr>
      </w:pPr>
      <w:r w:rsidRPr="00232FA4">
        <w:rPr>
          <w:i/>
        </w:rPr>
        <w:t>“</w:t>
      </w:r>
      <w:r w:rsidR="00936F28" w:rsidRPr="00AA635E">
        <w:rPr>
          <w:b/>
          <w:i/>
        </w:rPr>
        <w:t>NOTA:</w:t>
      </w:r>
      <w:r>
        <w:rPr>
          <w:b/>
          <w:i/>
        </w:rPr>
        <w:tab/>
      </w:r>
      <w:r w:rsidR="00936F28" w:rsidRPr="00B654DA">
        <w:rPr>
          <w:i/>
        </w:rPr>
        <w:t>Además de las disposiciones de seguridad de la presente Reglamentación, las autoridades competentes podrán</w:t>
      </w:r>
      <w:r w:rsidR="00965478">
        <w:rPr>
          <w:i/>
        </w:rPr>
        <w:t xml:space="preserve"> </w:t>
      </w:r>
      <w:r w:rsidR="00936F28" w:rsidRPr="00B654DA">
        <w:rPr>
          <w:i/>
        </w:rPr>
        <w:t>aplicar otras disposiciones de seguridad por motivos distintos de la seguridad de las mercancías peligrosas durante el transporte.</w:t>
      </w:r>
      <w:r w:rsidR="00936F28" w:rsidRPr="00B654DA">
        <w:t xml:space="preserve"> </w:t>
      </w:r>
      <w:r w:rsidR="00936F28" w:rsidRPr="00B654DA">
        <w:rPr>
          <w:i/>
        </w:rPr>
        <w:t>A fin de no obstaculizar el transporte internacional y multimodal a causa de</w:t>
      </w:r>
      <w:r w:rsidR="00965478">
        <w:rPr>
          <w:i/>
        </w:rPr>
        <w:t xml:space="preserve"> </w:t>
      </w:r>
      <w:r w:rsidR="00936F28" w:rsidRPr="00B654DA">
        <w:rPr>
          <w:i/>
        </w:rPr>
        <w:t>diferentes marcas de seguridad de los explosivos, se recomienda que el formato de dichas marcas sea coherente con una norma internacionalmente armonizada (por ejemplo, la Directiva 2008/43/CE de la Comisión de la Unión Europea).</w:t>
      </w:r>
      <w:r w:rsidRPr="00232FA4">
        <w:rPr>
          <w:i/>
        </w:rPr>
        <w:t>”</w:t>
      </w:r>
      <w:r w:rsidR="00936F28" w:rsidRPr="00B654DA">
        <w:t>.</w:t>
      </w:r>
    </w:p>
    <w:p w:rsidR="00936F28" w:rsidRPr="00B654DA" w:rsidRDefault="00936F28" w:rsidP="00936F28">
      <w:pPr>
        <w:pStyle w:val="H1G"/>
      </w:pPr>
      <w:r w:rsidRPr="00B654DA">
        <w:tab/>
      </w:r>
      <w:r w:rsidRPr="00B654DA">
        <w:tab/>
        <w:t>Capítulo 1.5</w:t>
      </w:r>
    </w:p>
    <w:p w:rsidR="00936F28" w:rsidRPr="00B654DA" w:rsidRDefault="00936F28" w:rsidP="00936F28">
      <w:pPr>
        <w:pStyle w:val="SingleTxtG"/>
        <w:rPr>
          <w:rStyle w:val="Strong"/>
          <w:b w:val="0"/>
          <w:bCs w:val="0"/>
        </w:rPr>
      </w:pPr>
      <w:r w:rsidRPr="00B654DA">
        <w:t>1.5.1.1</w:t>
      </w:r>
      <w:r w:rsidRPr="00B654DA">
        <w:tab/>
      </w:r>
      <w:r w:rsidRPr="00B654DA">
        <w:tab/>
        <w:t xml:space="preserve">Sustitúyase </w:t>
      </w:r>
      <w:r w:rsidR="00A069C9">
        <w:t>“</w:t>
      </w:r>
      <w:r w:rsidRPr="00B654DA">
        <w:t>riesgos</w:t>
      </w:r>
      <w:r w:rsidR="00A069C9">
        <w:t>”</w:t>
      </w:r>
      <w:r w:rsidRPr="00B654DA">
        <w:t xml:space="preserve"> por </w:t>
      </w:r>
      <w:r w:rsidR="00A069C9">
        <w:t>“</w:t>
      </w:r>
      <w:r w:rsidRPr="00B654DA">
        <w:rPr>
          <w:spacing w:val="6"/>
        </w:rPr>
        <w:t>peligros</w:t>
      </w:r>
      <w:r w:rsidR="00A069C9">
        <w:t>”</w:t>
      </w:r>
      <w:r w:rsidRPr="00232FA4">
        <w:rPr>
          <w:rStyle w:val="Strong"/>
          <w:b w:val="0"/>
        </w:rPr>
        <w:t>.</w:t>
      </w:r>
      <w:r w:rsidRPr="00232FA4">
        <w:rPr>
          <w:b/>
        </w:rPr>
        <w:t xml:space="preserve"> </w:t>
      </w:r>
    </w:p>
    <w:p w:rsidR="00936F28" w:rsidRPr="00B654DA" w:rsidRDefault="00936F28" w:rsidP="00936F28">
      <w:pPr>
        <w:pStyle w:val="SingleTxtG"/>
        <w:rPr>
          <w:rStyle w:val="Strong"/>
          <w:b w:val="0"/>
          <w:bCs w:val="0"/>
        </w:rPr>
      </w:pPr>
      <w:r w:rsidRPr="00B654DA">
        <w:t>1.5.1.2</w:t>
      </w:r>
      <w:r w:rsidRPr="00B654DA">
        <w:tab/>
      </w:r>
      <w:r w:rsidRPr="00B654DA">
        <w:tab/>
        <w:t xml:space="preserve">En el último párrafo, sustitúyase </w:t>
      </w:r>
      <w:r w:rsidR="00A069C9">
        <w:t>“</w:t>
      </w:r>
      <w:r w:rsidRPr="00B654DA">
        <w:t>riesgo</w:t>
      </w:r>
      <w:r w:rsidR="00A069C9">
        <w:t>”</w:t>
      </w:r>
      <w:r w:rsidRPr="00B654DA">
        <w:t xml:space="preserve"> por </w:t>
      </w:r>
      <w:r w:rsidR="00A069C9">
        <w:t>“</w:t>
      </w:r>
      <w:r w:rsidRPr="00B654DA">
        <w:rPr>
          <w:spacing w:val="9"/>
        </w:rPr>
        <w:t>peligro</w:t>
      </w:r>
      <w:r w:rsidR="00A069C9">
        <w:t>”</w:t>
      </w:r>
      <w:r w:rsidRPr="00B654DA">
        <w:t>.</w:t>
      </w:r>
    </w:p>
    <w:p w:rsidR="00936F28" w:rsidRPr="00B654DA" w:rsidRDefault="00936F28" w:rsidP="00936F28">
      <w:pPr>
        <w:pStyle w:val="SingleTxtG"/>
      </w:pPr>
      <w:r w:rsidRPr="00B654DA">
        <w:t>Figura 1, 1.5.2</w:t>
      </w:r>
      <w:r w:rsidRPr="00B654DA">
        <w:tab/>
        <w:t xml:space="preserve">Sustitúyase </w:t>
      </w:r>
      <w:r w:rsidR="00A069C9">
        <w:t>“</w:t>
      </w:r>
      <w:r w:rsidRPr="00B654DA">
        <w:t>riesgo(s) secundario(s)</w:t>
      </w:r>
      <w:r w:rsidR="00A069C9">
        <w:t>”</w:t>
      </w:r>
      <w:r w:rsidRPr="00B654DA">
        <w:t xml:space="preserve"> por </w:t>
      </w:r>
      <w:r w:rsidR="00A069C9">
        <w:t>“</w:t>
      </w:r>
      <w:r w:rsidRPr="00B654DA">
        <w:t>peligro(s) secundario(s)</w:t>
      </w:r>
      <w:r w:rsidR="00A069C9">
        <w:t>”</w:t>
      </w:r>
      <w:r w:rsidRPr="00B654DA">
        <w:t>.</w:t>
      </w:r>
    </w:p>
    <w:p w:rsidR="00936F28" w:rsidRPr="00B654DA" w:rsidRDefault="00936F28" w:rsidP="00936F28">
      <w:pPr>
        <w:pStyle w:val="SingleTxtG"/>
      </w:pPr>
      <w:r w:rsidRPr="00B654DA">
        <w:t>1.5.5.1</w:t>
      </w:r>
      <w:r w:rsidRPr="00B654DA">
        <w:tab/>
      </w:r>
      <w:r w:rsidRPr="00B654DA">
        <w:tab/>
        <w:t xml:space="preserve">En la primera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H1G"/>
      </w:pPr>
      <w:r w:rsidRPr="00B654DA">
        <w:lastRenderedPageBreak/>
        <w:tab/>
      </w:r>
      <w:r w:rsidRPr="00B654DA">
        <w:tab/>
        <w:t>Capítulo 2.0</w:t>
      </w:r>
    </w:p>
    <w:p w:rsidR="00936F28" w:rsidRPr="00B654DA" w:rsidRDefault="00936F28" w:rsidP="00936F28">
      <w:pPr>
        <w:pStyle w:val="SingleTxtG"/>
      </w:pPr>
      <w:r w:rsidRPr="00B654DA">
        <w:t>2.0.0.2</w:t>
      </w:r>
      <w:r w:rsidRPr="00B654DA">
        <w:tab/>
      </w:r>
      <w:r w:rsidRPr="00B654DA">
        <w:tab/>
        <w:t xml:space="preserve">La enmienda relativa al primer apartado no se aplica al texto español. En el segundo apartado, 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AA635E">
      <w:pPr>
        <w:pStyle w:val="SingleTxtG"/>
      </w:pPr>
      <w:r w:rsidRPr="00B654DA">
        <w:t xml:space="preserve">2.0.1.1 </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232FA4">
        <w:t xml:space="preserve"> 11 veces</w:t>
      </w:r>
      <w:r w:rsidRPr="00B654DA">
        <w:t>.</w:t>
      </w:r>
    </w:p>
    <w:p w:rsidR="00936F28" w:rsidRPr="00B654DA" w:rsidRDefault="00936F28" w:rsidP="00936F28">
      <w:pPr>
        <w:pStyle w:val="SingleTxtG"/>
      </w:pPr>
      <w:r w:rsidRPr="00B654DA">
        <w:t xml:space="preserve">2.0.1.4 </w:t>
      </w:r>
      <w:r w:rsidRPr="00B654DA">
        <w:tab/>
        <w:t>No se aplica al texto español.</w:t>
      </w:r>
    </w:p>
    <w:p w:rsidR="00936F28" w:rsidRPr="00B654DA" w:rsidRDefault="00936F28" w:rsidP="00AA635E">
      <w:pPr>
        <w:pStyle w:val="SingleTxtG"/>
      </w:pPr>
      <w:r w:rsidRPr="00AA635E">
        <w:t>2.0.1.5</w:t>
      </w:r>
      <w:r w:rsidRPr="00AA635E">
        <w:tab/>
      </w:r>
      <w:r w:rsidRPr="00AA635E">
        <w:tab/>
      </w:r>
      <w:r w:rsidRPr="00B654DA">
        <w:t xml:space="preserve">Sustitúyase </w:t>
      </w:r>
      <w:r w:rsidR="00A069C9">
        <w:t>“</w:t>
      </w:r>
      <w:r w:rsidRPr="00B654DA">
        <w:t>riesgo(s) secundario(s)</w:t>
      </w:r>
      <w:r w:rsidR="00A069C9">
        <w:t>”</w:t>
      </w:r>
      <w:r w:rsidRPr="00B654DA">
        <w:t xml:space="preserve"> por </w:t>
      </w:r>
      <w:r w:rsidR="00A069C9">
        <w:t>“</w:t>
      </w:r>
      <w:r w:rsidRPr="00B654DA">
        <w:t>peligro(s) secundario(s)</w:t>
      </w:r>
      <w:r w:rsidR="00A069C9">
        <w:t>”</w:t>
      </w:r>
      <w:r w:rsidRPr="00B654DA">
        <w:t>.</w:t>
      </w:r>
    </w:p>
    <w:p w:rsidR="00936F28" w:rsidRPr="00B654DA" w:rsidRDefault="00936F28" w:rsidP="00AA635E">
      <w:pPr>
        <w:pStyle w:val="SingleTxtG"/>
      </w:pPr>
      <w:r w:rsidRPr="00B654DA">
        <w:t>2.0.1.6</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SingleTxtG"/>
      </w:pPr>
      <w:r w:rsidRPr="00B654DA">
        <w:t xml:space="preserve">2.0.2.1 </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AA635E">
      <w:pPr>
        <w:pStyle w:val="SingleTxtG"/>
      </w:pPr>
      <w:r w:rsidRPr="00B654DA">
        <w:t>2.0.2.2</w:t>
      </w:r>
      <w:r w:rsidRPr="00B654DA">
        <w:tab/>
      </w:r>
      <w:r w:rsidRPr="00B654DA">
        <w:tab/>
        <w:t xml:space="preserve">En el segundo párrafo, 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AA635E" w:rsidRDefault="00936F28" w:rsidP="00AA635E">
      <w:pPr>
        <w:pStyle w:val="SingleTxtG"/>
      </w:pPr>
      <w:r w:rsidRPr="00B654DA">
        <w:t>2.0.2.5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AA635E">
      <w:pPr>
        <w:pStyle w:val="SingleTxtG"/>
      </w:pPr>
      <w:r w:rsidRPr="00B654DA">
        <w:t>2.0.2.9</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SingleTxtG"/>
      </w:pPr>
      <w:r w:rsidRPr="00B654DA">
        <w:t>2.0.3.1</w:t>
      </w:r>
      <w:r w:rsidRPr="00B654DA">
        <w:tab/>
      </w:r>
      <w:r w:rsidRPr="00B654DA">
        <w:tab/>
        <w:t xml:space="preserve">En la primera oración, 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Al final de la primera oración, añádase </w:t>
      </w:r>
      <w:r w:rsidR="00A069C9">
        <w:t>“</w:t>
      </w:r>
      <w:r w:rsidRPr="00B654DA">
        <w:t>o para asignar la entrada apropiada para los artículos que contengan m</w:t>
      </w:r>
      <w:r w:rsidR="00232FA4">
        <w:t>ercancías peligrosas (N.E.P.) (n</w:t>
      </w:r>
      <w:r w:rsidRPr="00B654DA">
        <w:t>úmeros ONU 3537 a 3548, véase 2.0.5)</w:t>
      </w:r>
      <w:r w:rsidR="00A069C9">
        <w:t>”</w:t>
      </w:r>
      <w:r w:rsidRPr="00B654DA">
        <w:t xml:space="preserve">. En la segunda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pPr>
      <w:r w:rsidRPr="00B654DA">
        <w:t>2.0.3.2</w:t>
      </w:r>
      <w:r w:rsidRPr="00B654DA">
        <w:tab/>
      </w:r>
      <w:r w:rsidRPr="00B654DA">
        <w:tab/>
        <w:t xml:space="preserve">En la primera oración, sustitúyase </w:t>
      </w:r>
      <w:r w:rsidR="00A069C9">
        <w:t>“</w:t>
      </w:r>
      <w:r w:rsidRPr="00B654DA">
        <w:t>r</w:t>
      </w:r>
      <w:r w:rsidRPr="00B654DA">
        <w:rPr>
          <w:spacing w:val="1"/>
        </w:rPr>
        <w:t>i</w:t>
      </w:r>
      <w:r w:rsidRPr="00B654DA">
        <w:t>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SingleTxtG"/>
        <w:rPr>
          <w:iCs/>
        </w:rPr>
      </w:pPr>
      <w:r w:rsidRPr="00B654DA">
        <w:rPr>
          <w:iCs/>
        </w:rPr>
        <w:t>2.0.4</w:t>
      </w:r>
      <w:r w:rsidRPr="00B654DA">
        <w:rPr>
          <w:iCs/>
        </w:rPr>
        <w:tab/>
        <w:t>Añádase la nueva s</w:t>
      </w:r>
      <w:r w:rsidR="003B4E67">
        <w:rPr>
          <w:iCs/>
        </w:rPr>
        <w:t>ub</w:t>
      </w:r>
      <w:r w:rsidRPr="00B654DA">
        <w:rPr>
          <w:iCs/>
        </w:rPr>
        <w:t>sección 2.0.4.3 siguiente:</w:t>
      </w:r>
    </w:p>
    <w:p w:rsidR="00936F28" w:rsidRPr="00AA635E" w:rsidRDefault="00A069C9" w:rsidP="00936F28">
      <w:pPr>
        <w:pStyle w:val="SingleTxtG"/>
        <w:rPr>
          <w:b/>
        </w:rPr>
      </w:pPr>
      <w:r>
        <w:t>“</w:t>
      </w:r>
      <w:r w:rsidR="00936F28" w:rsidRPr="00B654DA">
        <w:rPr>
          <w:b/>
        </w:rPr>
        <w:t xml:space="preserve">2.0.4.3 </w:t>
      </w:r>
      <w:r w:rsidR="00936F28" w:rsidRPr="00B654DA">
        <w:tab/>
      </w:r>
      <w:r w:rsidR="00936F28" w:rsidRPr="00AA635E">
        <w:rPr>
          <w:b/>
          <w:i/>
        </w:rPr>
        <w:t>Muestras de materiales energéticos con fines de ensayo</w:t>
      </w:r>
    </w:p>
    <w:p w:rsidR="00936F28" w:rsidRPr="00B654DA" w:rsidRDefault="00936F28" w:rsidP="00936F28">
      <w:pPr>
        <w:pStyle w:val="SingleTxtG"/>
      </w:pPr>
      <w:r w:rsidRPr="00B654DA">
        <w:t>2.0.4.3.1</w:t>
      </w:r>
      <w:r w:rsidRPr="00B654DA">
        <w:tab/>
        <w:t>Podrán transportarse muestras de sustancias orgánicas que lleven grupos funcionales incluidos en las tablas A6.1 y/o A6.3 del apéndice 6 (Procedimientos de Examen) del Manual d</w:t>
      </w:r>
      <w:r w:rsidR="00232FA4">
        <w:t>e Pruebas y Criterios bajo los n</w:t>
      </w:r>
      <w:r w:rsidRPr="00B654DA">
        <w:t>úmeros ONU 3224 (sólido de reacción espontánea tipo C) o 3223 (líquido de reacción espontánea tipo C), según proceda, de la división 4.1 a condición de que:</w:t>
      </w:r>
    </w:p>
    <w:p w:rsidR="00936F28" w:rsidRPr="00B654DA" w:rsidRDefault="00936F28" w:rsidP="00936F28">
      <w:pPr>
        <w:pStyle w:val="SingleTxtG"/>
      </w:pPr>
      <w:r w:rsidRPr="00B654DA">
        <w:t>a)</w:t>
      </w:r>
      <w:r w:rsidRPr="00B654DA">
        <w:tab/>
        <w:t>Las muestras no contengan:</w:t>
      </w:r>
    </w:p>
    <w:p w:rsidR="00936F28" w:rsidRPr="00B654DA" w:rsidRDefault="00936F28" w:rsidP="00232FA4">
      <w:pPr>
        <w:pStyle w:val="SingleTxtG"/>
        <w:ind w:left="2268" w:hanging="567"/>
      </w:pPr>
      <w:r w:rsidRPr="00B654DA">
        <w:t>-</w:t>
      </w:r>
      <w:r w:rsidRPr="00B654DA">
        <w:tab/>
        <w:t>Explosivos conocidos;</w:t>
      </w:r>
    </w:p>
    <w:p w:rsidR="00936F28" w:rsidRPr="00B654DA" w:rsidRDefault="00936F28" w:rsidP="00232FA4">
      <w:pPr>
        <w:pStyle w:val="SingleTxtG"/>
        <w:ind w:left="2268" w:hanging="567"/>
      </w:pPr>
      <w:r w:rsidRPr="00B654DA">
        <w:t>-</w:t>
      </w:r>
      <w:r w:rsidRPr="00B654DA">
        <w:tab/>
        <w:t>Sustancias que muestren efectos explosivos en los ensayos;</w:t>
      </w:r>
    </w:p>
    <w:p w:rsidR="00936F28" w:rsidRPr="00B654DA" w:rsidRDefault="00936F28" w:rsidP="00232FA4">
      <w:pPr>
        <w:pStyle w:val="SingleTxtG"/>
        <w:ind w:left="2268" w:hanging="567"/>
      </w:pPr>
      <w:r w:rsidRPr="00B654DA">
        <w:t>-</w:t>
      </w:r>
      <w:r w:rsidRPr="00B654DA">
        <w:tab/>
        <w:t>Sustancias fabricadas con el propósito de producir un efecto práctico explosivo o pirotécnico; o</w:t>
      </w:r>
    </w:p>
    <w:p w:rsidR="00936F28" w:rsidRPr="00B654DA" w:rsidRDefault="00936F28" w:rsidP="00232FA4">
      <w:pPr>
        <w:pStyle w:val="SingleTxtG"/>
        <w:ind w:left="2268" w:hanging="567"/>
      </w:pPr>
      <w:r w:rsidRPr="00B654DA">
        <w:t>-</w:t>
      </w:r>
      <w:r w:rsidRPr="00B654DA">
        <w:tab/>
        <w:t>Componentes compuestos por precursores sintéticos de explosivos intencionales;</w:t>
      </w:r>
    </w:p>
    <w:p w:rsidR="00936F28" w:rsidRPr="00B654DA" w:rsidRDefault="00936F28" w:rsidP="00936F28">
      <w:pPr>
        <w:pStyle w:val="SingleTxtG"/>
      </w:pPr>
      <w:r w:rsidRPr="00B654DA">
        <w:t>b)</w:t>
      </w:r>
      <w:r w:rsidRPr="00B654DA">
        <w:tab/>
        <w:t>En el caso de mezclas, complejos o sales de sustancias oxidantes inorgánicas de la división 5.1 con materiales orgánicos, la concentración de sustancia oxidante inorgánica</w:t>
      </w:r>
      <w:r w:rsidR="00232FA4">
        <w:t> </w:t>
      </w:r>
      <w:r w:rsidRPr="00B654DA">
        <w:t>sea:</w:t>
      </w:r>
    </w:p>
    <w:p w:rsidR="00936F28" w:rsidRPr="00B654DA" w:rsidRDefault="00936F28" w:rsidP="00232FA4">
      <w:pPr>
        <w:pStyle w:val="SingleTxtG"/>
        <w:ind w:left="2268" w:hanging="567"/>
      </w:pPr>
      <w:r w:rsidRPr="00B654DA">
        <w:t>-</w:t>
      </w:r>
      <w:r w:rsidRPr="00B654DA">
        <w:tab/>
        <w:t>Inferior al 15%, en masa, si se ha asignado al grupo de embalaje/envase I (peligro elevado) o II (peligro medio); o</w:t>
      </w:r>
    </w:p>
    <w:p w:rsidR="00936F28" w:rsidRPr="00B654DA" w:rsidRDefault="00936F28" w:rsidP="00232FA4">
      <w:pPr>
        <w:pStyle w:val="SingleTxtG"/>
        <w:ind w:left="2268" w:hanging="567"/>
      </w:pPr>
      <w:r w:rsidRPr="00B654DA">
        <w:t>-</w:t>
      </w:r>
      <w:r w:rsidRPr="00B654DA">
        <w:tab/>
        <w:t>Inferior al 30%, en masa, si se ha asignado al grupo de embalaje/envase</w:t>
      </w:r>
      <w:r w:rsidR="00232FA4">
        <w:t xml:space="preserve"> III (peligro bajo);</w:t>
      </w:r>
    </w:p>
    <w:p w:rsidR="00936F28" w:rsidRPr="00B654DA" w:rsidRDefault="00936F28" w:rsidP="00936F28">
      <w:pPr>
        <w:pStyle w:val="SingleTxtG"/>
      </w:pPr>
      <w:r w:rsidRPr="00B654DA">
        <w:t>c)</w:t>
      </w:r>
      <w:r w:rsidRPr="00B654DA">
        <w:tab/>
        <w:t>Los datos disponibles no permitan una clasificación más precisa;</w:t>
      </w:r>
    </w:p>
    <w:p w:rsidR="00936F28" w:rsidRPr="00B654DA" w:rsidRDefault="00936F28" w:rsidP="00936F28">
      <w:pPr>
        <w:pStyle w:val="SingleTxtG"/>
      </w:pPr>
      <w:r w:rsidRPr="00B654DA">
        <w:t>d)</w:t>
      </w:r>
      <w:r w:rsidRPr="00B654DA">
        <w:tab/>
        <w:t>La muestra no esté embalada/envasada junto con otras mercancías; y</w:t>
      </w:r>
    </w:p>
    <w:p w:rsidR="00936F28" w:rsidRPr="00B654DA" w:rsidRDefault="00936F28" w:rsidP="00936F28">
      <w:pPr>
        <w:pStyle w:val="SingleTxtG"/>
        <w:rPr>
          <w:iCs/>
        </w:rPr>
      </w:pPr>
      <w:r w:rsidRPr="00B654DA">
        <w:t>e)</w:t>
      </w:r>
      <w:r w:rsidRPr="00B654DA">
        <w:tab/>
        <w:t>La muestra esté embalada/envasada de conformidad con la instrucción de embalaje/envasado P520 y las disposiciones especiales de embalaje/envasado PP94 o PP95 de 4.1.4.1, según proceda.</w:t>
      </w:r>
      <w:r w:rsidR="00A069C9">
        <w:t>”</w:t>
      </w:r>
      <w:r w:rsidRPr="00B654DA">
        <w:t>.</w:t>
      </w:r>
    </w:p>
    <w:p w:rsidR="00936F28" w:rsidRPr="00B654DA" w:rsidRDefault="00936F28" w:rsidP="00232FA4">
      <w:pPr>
        <w:pStyle w:val="SingleTxtG"/>
      </w:pPr>
      <w:r w:rsidRPr="00B654DA">
        <w:t>2.0.5</w:t>
      </w:r>
      <w:r w:rsidRPr="00B654DA">
        <w:tab/>
      </w:r>
      <w:r w:rsidRPr="00B654DA">
        <w:tab/>
        <w:t>Añádase la nueva sección 2.0.5 siguiente:</w:t>
      </w:r>
    </w:p>
    <w:p w:rsidR="00936F28" w:rsidRPr="00B654DA" w:rsidRDefault="00A069C9" w:rsidP="00232FA4">
      <w:pPr>
        <w:pStyle w:val="SingleTxtG"/>
        <w:tabs>
          <w:tab w:val="left" w:pos="2268"/>
        </w:tabs>
        <w:rPr>
          <w:b/>
          <w:i/>
        </w:rPr>
      </w:pPr>
      <w:r>
        <w:t>“</w:t>
      </w:r>
      <w:r w:rsidR="00936F28" w:rsidRPr="00B654DA">
        <w:rPr>
          <w:b/>
        </w:rPr>
        <w:t>2.0.5</w:t>
      </w:r>
      <w:r w:rsidR="00936F28" w:rsidRPr="00B654DA">
        <w:rPr>
          <w:b/>
        </w:rPr>
        <w:tab/>
        <w:t xml:space="preserve">Transporte de artículos que contengan mercancías peligrosas N.E.P. </w:t>
      </w:r>
    </w:p>
    <w:p w:rsidR="00936F28" w:rsidRPr="00B654DA" w:rsidRDefault="00936F28" w:rsidP="00936F28">
      <w:pPr>
        <w:pStyle w:val="SingleTxtG"/>
        <w:rPr>
          <w:i/>
        </w:rPr>
      </w:pPr>
      <w:r w:rsidRPr="00A069C9">
        <w:rPr>
          <w:b/>
          <w:i/>
        </w:rPr>
        <w:lastRenderedPageBreak/>
        <w:t>NOTA</w:t>
      </w:r>
      <w:r w:rsidR="00A069C9">
        <w:rPr>
          <w:b/>
          <w:i/>
        </w:rPr>
        <w:t>:</w:t>
      </w:r>
      <w:r w:rsidRPr="00B654DA">
        <w:rPr>
          <w:i/>
        </w:rPr>
        <w:tab/>
        <w:t xml:space="preserve">En el caso de los artículos que no tengan una designación oficial de transporte y que contengan mercancías peligrosas dentro de las cantidades limitadas permitidas que se especifican en la columna 7a de la lista de mercancías peligrosas, véase el </w:t>
      </w:r>
      <w:r w:rsidR="00232FA4">
        <w:rPr>
          <w:i/>
        </w:rPr>
        <w:t>n</w:t>
      </w:r>
      <w:r w:rsidRPr="00B654DA">
        <w:rPr>
          <w:i/>
        </w:rPr>
        <w:t xml:space="preserve">úmero ONU 3363 y la disposición especial 301 del capítulo 3.3. </w:t>
      </w:r>
    </w:p>
    <w:p w:rsidR="00936F28" w:rsidRPr="00B654DA" w:rsidRDefault="00936F28" w:rsidP="00A069C9">
      <w:pPr>
        <w:pStyle w:val="SingleTxtG"/>
      </w:pPr>
      <w:r w:rsidRPr="00B654DA">
        <w:t>2.0.5.1</w:t>
      </w:r>
      <w:r w:rsidRPr="00B654DA">
        <w:tab/>
      </w:r>
      <w:r w:rsidRPr="00B654DA">
        <w:tab/>
        <w:t xml:space="preserve">Los artículos que contengan mercancías peligrosas podrán transportarse según se disponga en la presente Reglamentación bajo la designación oficial de transporte de las mercancías peligrosas que contengan o de conformidad con la presente sección. A los fines de la presente sección se entiende por </w:t>
      </w:r>
      <w:r w:rsidR="00A069C9">
        <w:t>“</w:t>
      </w:r>
      <w:r w:rsidRPr="00B654DA">
        <w:t>artículo</w:t>
      </w:r>
      <w:r w:rsidR="00A069C9">
        <w:t>”</w:t>
      </w:r>
      <w:r w:rsidRPr="00B654DA">
        <w:t xml:space="preserve"> la maquinaria, aparatos u otros dispositivos que contengan una o más mercancías peligrosas (o residuos de ellas) como elemento integrante del artículo, necesario para su funcionamiento, y que no se pueda retirar para el transporte. Un embalaje/envase interior no se considerará un artículo.</w:t>
      </w:r>
    </w:p>
    <w:p w:rsidR="00936F28" w:rsidRPr="00B654DA" w:rsidRDefault="00936F28" w:rsidP="00A069C9">
      <w:pPr>
        <w:pStyle w:val="SingleTxtG"/>
      </w:pPr>
      <w:r w:rsidRPr="00B654DA">
        <w:t>2.0.5.2</w:t>
      </w:r>
      <w:r w:rsidRPr="00B654DA">
        <w:tab/>
      </w:r>
      <w:r w:rsidRPr="00B654DA">
        <w:tab/>
        <w:t>Esos artículos podrán contener también baterías. Las baterías de litio que formen parte integrante del artículo habrán de ser de un tipo que se haya demostrado que</w:t>
      </w:r>
      <w:r w:rsidR="00965478">
        <w:t xml:space="preserve"> </w:t>
      </w:r>
      <w:r w:rsidRPr="00B654DA">
        <w:t xml:space="preserve">cumple los requisitos en materia de ensayos del </w:t>
      </w:r>
      <w:r w:rsidR="00232FA4">
        <w:t>Manual de Pruebas y Criterios, p</w:t>
      </w:r>
      <w:r w:rsidRPr="00B654DA">
        <w:t>arte III, subsección 38.3, salvo que en la presente Reglamentación se disponga otra cosa (por ejemplo, para prototipos que contengan baterías de litio o artículos producidos en una serie pequeña de menos de 100 de esos artículos).</w:t>
      </w:r>
    </w:p>
    <w:p w:rsidR="00936F28" w:rsidRPr="00B654DA" w:rsidRDefault="00936F28" w:rsidP="00A069C9">
      <w:pPr>
        <w:pStyle w:val="SingleTxtG"/>
      </w:pPr>
      <w:r w:rsidRPr="00B654DA">
        <w:t>2.0.5.3</w:t>
      </w:r>
      <w:r w:rsidRPr="00B654DA">
        <w:tab/>
      </w:r>
      <w:r w:rsidRPr="00B654DA">
        <w:tab/>
        <w:t>La presente sección no se aplica a los artículos que ya tienen una designación oficial de transporte más específica en la lista de mercancías peligrosas del capítulo 3.2.</w:t>
      </w:r>
    </w:p>
    <w:p w:rsidR="00936F28" w:rsidRPr="00B654DA" w:rsidRDefault="00936F28" w:rsidP="00A069C9">
      <w:pPr>
        <w:pStyle w:val="SingleTxtG"/>
      </w:pPr>
      <w:r w:rsidRPr="00B654DA">
        <w:t>2.0.5.4</w:t>
      </w:r>
      <w:r w:rsidRPr="00B654DA">
        <w:tab/>
      </w:r>
      <w:r w:rsidRPr="00B654DA">
        <w:tab/>
        <w:t>La presente sección no se aplica a las mercancías peligrosas de la clase 1, división 6.2, clase 7 o a los materiales radiactivos que puedan contener los artículos.</w:t>
      </w:r>
    </w:p>
    <w:p w:rsidR="00936F28" w:rsidRPr="00B654DA" w:rsidRDefault="00936F28" w:rsidP="00A069C9">
      <w:pPr>
        <w:pStyle w:val="SingleTxtG"/>
      </w:pPr>
      <w:r w:rsidRPr="00B654DA">
        <w:t>2.0.5.5</w:t>
      </w:r>
      <w:r w:rsidRPr="00B654DA">
        <w:tab/>
      </w:r>
      <w:r w:rsidRPr="00B654DA">
        <w:tab/>
        <w:t>Los artículos que contengan mercancías peligrosas se asignarán a la clase o división determinada por los peligros que presenten, para lo que se utilizará, cuando proceda, la tabla 2.0.3.3 de preponderancia de las características de riesgo para cada una de las mercancías peligrosas que contengan. Si un artículo contuviera mercancías peligrosas de la clase 9, se considerará que todas las demás mercancías peligrosas contenidas en el artículo presentan un mayor peligro.</w:t>
      </w:r>
    </w:p>
    <w:p w:rsidR="00936F28" w:rsidRPr="00B654DA" w:rsidRDefault="00936F28" w:rsidP="00936F28">
      <w:pPr>
        <w:pStyle w:val="SingleTxtG"/>
      </w:pPr>
      <w:r w:rsidRPr="00B654DA">
        <w:t>2.0.5.6</w:t>
      </w:r>
      <w:r w:rsidRPr="00B654DA">
        <w:tab/>
      </w:r>
      <w:r w:rsidRPr="00B654DA">
        <w:tab/>
        <w:t>Los peligros secundarios deberán ser representativos de los principales peligros planteados por otras mercancías peligrosas contenidas en el artículo o, cuando el artículo solo contenga una mercancía peligrosa, se le asignarán los peligros secundarios indicados en la columna 4 de la lista de mercancías peligrosas. Si el artículo contiene dos o más mercancías peligrosas y estas pueden reaccionar peligrosamente entre sí durante el transporte, cada una de las mercancías peligrosas irá en un contenedor separado (véase</w:t>
      </w:r>
      <w:r w:rsidR="00232FA4">
        <w:t> </w:t>
      </w:r>
      <w:r w:rsidRPr="00B654DA">
        <w:t>4.1.1.6).</w:t>
      </w:r>
      <w:r w:rsidR="00A069C9">
        <w:t>”</w:t>
      </w:r>
      <w:r w:rsidRPr="00B654DA">
        <w:t>.</w:t>
      </w:r>
    </w:p>
    <w:p w:rsidR="00936F28" w:rsidRPr="00B654DA" w:rsidRDefault="00936F28" w:rsidP="00936F28">
      <w:pPr>
        <w:pStyle w:val="H1G"/>
      </w:pPr>
      <w:r w:rsidRPr="00B654DA">
        <w:tab/>
      </w:r>
      <w:r w:rsidRPr="00B654DA">
        <w:tab/>
        <w:t>Capítulo 2.1</w:t>
      </w:r>
    </w:p>
    <w:p w:rsidR="00936F28" w:rsidRPr="00B654DA" w:rsidRDefault="00936F28" w:rsidP="00936F28">
      <w:pPr>
        <w:pStyle w:val="SingleTxtG"/>
        <w:rPr>
          <w:rStyle w:val="Strong"/>
          <w:b w:val="0"/>
          <w:bCs w:val="0"/>
        </w:rPr>
      </w:pPr>
      <w:r w:rsidRPr="00B654DA">
        <w:t>En la Nota 4, sustitúyase</w:t>
      </w:r>
      <w:r w:rsidR="00965478">
        <w:t xml:space="preserv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rPr>
          <w:rStyle w:val="Strong"/>
          <w:b w:val="0"/>
          <w:bCs w:val="0"/>
        </w:rPr>
      </w:pPr>
      <w:r w:rsidRPr="00B654DA">
        <w:t>Figura 2.1.1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rPr>
          <w:rStyle w:val="Strong"/>
          <w:b w:val="0"/>
          <w:bCs w:val="0"/>
        </w:rPr>
      </w:pPr>
      <w:r w:rsidRPr="00B654DA">
        <w:t>2.1.1.1 a)</w:t>
      </w:r>
      <w:r w:rsidRPr="00B654DA">
        <w:tab/>
        <w:t>Sustitúyase</w:t>
      </w:r>
      <w:r w:rsidR="00965478">
        <w:t xml:space="preserv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pPr>
      <w:r w:rsidRPr="00B654DA">
        <w:t xml:space="preserve">2.1.1.1 c) </w:t>
      </w:r>
      <w:r w:rsidRPr="00B654DA">
        <w:tab/>
        <w:t xml:space="preserve">Suprímase la coma después de </w:t>
      </w:r>
      <w:r w:rsidR="00A069C9">
        <w:t>“</w:t>
      </w:r>
      <w:r w:rsidRPr="00B654DA">
        <w:t>un efecto práctico</w:t>
      </w:r>
      <w:r w:rsidR="00A069C9">
        <w:t>”</w:t>
      </w:r>
      <w:r w:rsidRPr="00B654DA">
        <w:t>.</w:t>
      </w:r>
    </w:p>
    <w:p w:rsidR="00936F28" w:rsidRPr="00B654DA" w:rsidRDefault="00936F28" w:rsidP="00936F28">
      <w:pPr>
        <w:pStyle w:val="SingleTxtG"/>
        <w:rPr>
          <w:rStyle w:val="Strong"/>
          <w:b w:val="0"/>
          <w:bCs w:val="0"/>
        </w:rPr>
      </w:pPr>
      <w:r w:rsidRPr="00B654DA">
        <w:t>2.1.1.4 a) a f)</w:t>
      </w:r>
      <w:r w:rsidRPr="00B654DA">
        <w:tab/>
      </w:r>
      <w:r w:rsidRPr="00B654DA">
        <w:tab/>
        <w:t xml:space="preserve">En los apartados a) à f) antes de la Nota, sustitúyase </w:t>
      </w:r>
      <w:r w:rsidR="00A069C9">
        <w:t>“</w:t>
      </w:r>
      <w:r w:rsidRPr="00B654DA">
        <w:t>riesgo</w:t>
      </w:r>
      <w:r w:rsidR="00A069C9">
        <w:t>”</w:t>
      </w:r>
      <w:r w:rsidRPr="00B654DA">
        <w:t xml:space="preserve"> por </w:t>
      </w:r>
      <w:r w:rsidR="00A069C9">
        <w:t>“</w:t>
      </w:r>
      <w:r w:rsidRPr="00B654DA">
        <w:t>peligro</w:t>
      </w:r>
      <w:r w:rsidR="00A069C9">
        <w:t>”</w:t>
      </w:r>
      <w:r w:rsidR="002A4CD5">
        <w:t xml:space="preserve"> 11 veces</w:t>
      </w:r>
      <w:r w:rsidRPr="00B654DA">
        <w:t>.</w:t>
      </w:r>
    </w:p>
    <w:p w:rsidR="00936F28" w:rsidRPr="00B654DA" w:rsidRDefault="00936F28" w:rsidP="00402B31">
      <w:pPr>
        <w:pStyle w:val="SingleTxtG"/>
        <w:spacing w:line="236" w:lineRule="atLeast"/>
      </w:pPr>
      <w:r w:rsidRPr="00B654DA">
        <w:t>2.1.1.4</w:t>
      </w:r>
      <w:r w:rsidR="00965478">
        <w:t xml:space="preserve"> </w:t>
      </w:r>
      <w:r w:rsidRPr="00B654DA">
        <w:t>f)</w:t>
      </w:r>
      <w:r w:rsidRPr="00B654DA">
        <w:tab/>
        <w:t xml:space="preserve">En la Nota,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2.1.2.1</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pPr>
      <w:r w:rsidRPr="00B654DA">
        <w:t xml:space="preserve">2.1.2.1.1 </w:t>
      </w:r>
      <w:r w:rsidRPr="00B654DA">
        <w:tab/>
        <w:t xml:space="preserve">En la primera columna de la tabla, para el grupo de compatibilidad L,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2.1.2.1.2</w:t>
      </w:r>
      <w:r w:rsidRPr="00B654DA">
        <w:tab/>
        <w:t xml:space="preserve">En el primer párrafo y en el título de la primera columna del cuadro, sustitúyase </w:t>
      </w:r>
      <w:r w:rsidR="00A069C9">
        <w:t>“</w:t>
      </w:r>
      <w:r w:rsidRPr="00B654DA">
        <w:t>riesgo</w:t>
      </w:r>
      <w:r w:rsidR="00A069C9">
        <w:t>”</w:t>
      </w:r>
      <w:r w:rsidRPr="00B654DA">
        <w:t xml:space="preserve"> por </w:t>
      </w:r>
      <w:r w:rsidR="00A069C9">
        <w:t>“</w:t>
      </w:r>
      <w:r w:rsidRPr="00B654DA">
        <w:t>peligro</w:t>
      </w:r>
      <w:r w:rsidR="00A069C9">
        <w:t>”</w:t>
      </w:r>
      <w:r w:rsidRPr="00B654DA">
        <w:t>.</w:t>
      </w:r>
      <w:r>
        <w:t xml:space="preserve"> </w:t>
      </w:r>
    </w:p>
    <w:p w:rsidR="00936F28" w:rsidRPr="00B654DA" w:rsidRDefault="00936F28" w:rsidP="00402B31">
      <w:pPr>
        <w:pStyle w:val="SingleTxtG"/>
        <w:spacing w:line="236" w:lineRule="atLeast"/>
      </w:pPr>
      <w:r w:rsidRPr="00B654DA">
        <w:t>2.1.3.1.2 c)</w:t>
      </w:r>
      <w:r w:rsidRPr="00B654DA">
        <w:tab/>
        <w:t xml:space="preserve">En la Nota, sustitúyase </w:t>
      </w:r>
      <w:r w:rsidR="00A069C9">
        <w:t>“</w:t>
      </w:r>
      <w:r w:rsidRPr="00B654DA">
        <w:t>riesgo</w:t>
      </w:r>
      <w:r w:rsidR="00A069C9">
        <w:t>”</w:t>
      </w:r>
      <w:r w:rsidRPr="00B654DA">
        <w:t xml:space="preserve"> por </w:t>
      </w:r>
      <w:r w:rsidR="00A069C9">
        <w:t>“</w:t>
      </w:r>
      <w:r w:rsidRPr="00B654DA">
        <w:t>peligro</w:t>
      </w:r>
      <w:r w:rsidR="00A069C9">
        <w:t>”</w:t>
      </w:r>
      <w:r w:rsidR="002A4CD5">
        <w:t xml:space="preserve"> 2 veces</w:t>
      </w:r>
      <w:r w:rsidRPr="00B654DA">
        <w:t>.</w:t>
      </w:r>
    </w:p>
    <w:p w:rsidR="00936F28" w:rsidRPr="00B654DA" w:rsidRDefault="00936F28" w:rsidP="00936F28">
      <w:pPr>
        <w:pStyle w:val="SingleTxtG"/>
        <w:rPr>
          <w:rStyle w:val="Strong"/>
          <w:b w:val="0"/>
          <w:bCs w:val="0"/>
        </w:rPr>
      </w:pPr>
      <w:r w:rsidRPr="00B654DA">
        <w:t>2.1.3.2.1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lastRenderedPageBreak/>
        <w:t>2.1.3.3.1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2.1.3.4</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2A4CD5">
        <w:t xml:space="preserve"> dos veces</w:t>
      </w:r>
      <w:r w:rsidRPr="00B654DA">
        <w:t>.</w:t>
      </w:r>
    </w:p>
    <w:p w:rsidR="00936F28" w:rsidRPr="00B654DA" w:rsidRDefault="00936F28" w:rsidP="00402B31">
      <w:pPr>
        <w:pStyle w:val="SingleTxtG"/>
        <w:spacing w:line="236" w:lineRule="atLeast"/>
        <w:rPr>
          <w:rStyle w:val="Strong"/>
          <w:b w:val="0"/>
          <w:bCs w:val="0"/>
        </w:rPr>
      </w:pPr>
      <w:r w:rsidRPr="00B654DA">
        <w:t>2.1.3.4.1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2.1.3.4.2</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2.1.3.5</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2.1.3.5.1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2A4CD5" w:rsidP="00402B31">
      <w:pPr>
        <w:pStyle w:val="SingleTxtG"/>
        <w:spacing w:before="120" w:line="236" w:lineRule="atLeast"/>
      </w:pPr>
      <w:r>
        <w:t xml:space="preserve">2.1.3.5.1 </w:t>
      </w:r>
      <w:r w:rsidR="00936F28" w:rsidRPr="00B654DA">
        <w:t>a)</w:t>
      </w:r>
      <w:r w:rsidR="00936F28" w:rsidRPr="00B654DA">
        <w:tab/>
        <w:t xml:space="preserve">Sustitúyase </w:t>
      </w:r>
      <w:r w:rsidR="00A069C9">
        <w:t>“</w:t>
      </w:r>
      <w:r w:rsidR="00936F28" w:rsidRPr="00B654DA">
        <w:t>Las cascadas que den un resultado positivo cuando se sometan a la prueba HSL de composiciones detonantes del apéndice 7 del Manual de Pruebas y Criterios</w:t>
      </w:r>
      <w:r w:rsidR="00A069C9">
        <w:t>”</w:t>
      </w:r>
      <w:r w:rsidR="00936F28" w:rsidRPr="00B654DA">
        <w:t xml:space="preserve"> por </w:t>
      </w:r>
      <w:r w:rsidR="00A069C9">
        <w:t>“</w:t>
      </w:r>
      <w:r w:rsidR="00936F28" w:rsidRPr="00B654DA">
        <w:t>Las cascadas con una composición detonante (véase la Nota 2 de</w:t>
      </w:r>
      <w:r>
        <w:t> </w:t>
      </w:r>
      <w:r w:rsidR="00936F28" w:rsidRPr="00B654DA">
        <w:t>2.1.3.5.5)</w:t>
      </w:r>
      <w:r w:rsidR="00A069C9">
        <w:t>”</w:t>
      </w:r>
      <w:r>
        <w:t>.</w:t>
      </w:r>
    </w:p>
    <w:p w:rsidR="00936F28" w:rsidRPr="00B654DA" w:rsidRDefault="00936F28" w:rsidP="00402B31">
      <w:pPr>
        <w:pStyle w:val="SingleTxtG"/>
        <w:spacing w:line="236" w:lineRule="atLeast"/>
        <w:rPr>
          <w:rStyle w:val="Strong"/>
          <w:b w:val="0"/>
          <w:bCs w:val="0"/>
        </w:rPr>
      </w:pPr>
      <w:r w:rsidRPr="00B654DA">
        <w:t>2.1.3.5.2</w:t>
      </w:r>
      <w:r w:rsidRPr="00B654DA">
        <w:tab/>
      </w:r>
      <w:r w:rsidR="002A4CD5">
        <w:t>En la Nota 2 s</w:t>
      </w:r>
      <w:r w:rsidRPr="00B654DA">
        <w:t xml:space="preserve">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2.1.3.5.3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2A4CD5">
        <w:t xml:space="preserve"> dos veces</w:t>
      </w:r>
      <w:r w:rsidRPr="00B654DA">
        <w:t>.</w:t>
      </w:r>
    </w:p>
    <w:p w:rsidR="00936F28" w:rsidRPr="00B654DA" w:rsidRDefault="00936F28" w:rsidP="00402B31">
      <w:pPr>
        <w:pStyle w:val="SingleTxtG"/>
        <w:spacing w:before="120" w:line="236" w:lineRule="atLeast"/>
      </w:pPr>
      <w:r w:rsidRPr="00B654DA">
        <w:t>2.1.3.5.5</w:t>
      </w:r>
      <w:r w:rsidRPr="00B654DA">
        <w:tab/>
        <w:t>Modifíquese la Nota 2 para que diga lo siguiente:</w:t>
      </w:r>
    </w:p>
    <w:p w:rsidR="00936F28" w:rsidRPr="00B654DA" w:rsidRDefault="00A069C9" w:rsidP="00402B31">
      <w:pPr>
        <w:pStyle w:val="SingleTxtG"/>
        <w:spacing w:before="120" w:line="236" w:lineRule="atLeast"/>
        <w:rPr>
          <w:i/>
          <w:iCs/>
        </w:rPr>
      </w:pPr>
      <w:r>
        <w:rPr>
          <w:i/>
        </w:rPr>
        <w:t>“</w:t>
      </w:r>
      <w:r w:rsidR="00936F28" w:rsidRPr="00A069C9">
        <w:rPr>
          <w:b/>
          <w:i/>
        </w:rPr>
        <w:t>NOTA 2:</w:t>
      </w:r>
      <w:r>
        <w:rPr>
          <w:b/>
          <w:i/>
        </w:rPr>
        <w:tab/>
      </w:r>
      <w:r w:rsidR="00936F28" w:rsidRPr="00B654DA">
        <w:rPr>
          <w:i/>
        </w:rPr>
        <w:t xml:space="preserve">Por </w:t>
      </w:r>
      <w:r w:rsidR="002A4CD5">
        <w:rPr>
          <w:i/>
        </w:rPr>
        <w:t>‘</w:t>
      </w:r>
      <w:r w:rsidR="00936F28" w:rsidRPr="00B654DA">
        <w:rPr>
          <w:i/>
        </w:rPr>
        <w:t>composición detonante</w:t>
      </w:r>
      <w:r w:rsidR="002A4CD5">
        <w:rPr>
          <w:i/>
        </w:rPr>
        <w:t>’</w:t>
      </w:r>
      <w:r w:rsidR="00936F28" w:rsidRPr="00B654DA">
        <w:rPr>
          <w:i/>
        </w:rPr>
        <w:t xml:space="preserve"> se entenderá en este cuadro las sustancias pirotécnicas en polvo o como componentes pirotécnicos elementales en artificios de pirotecnia, que se usan en cascadas o para producir un efecto sonoro o que se utilizan como carga explosiva o como carga propulsora, a menos que:</w:t>
      </w:r>
    </w:p>
    <w:p w:rsidR="00936F28" w:rsidRPr="00B654DA" w:rsidRDefault="00936F28" w:rsidP="00402B31">
      <w:pPr>
        <w:pStyle w:val="SingleTxtG"/>
        <w:spacing w:before="120" w:line="236" w:lineRule="atLeast"/>
        <w:rPr>
          <w:i/>
          <w:iCs/>
        </w:rPr>
      </w:pPr>
      <w:r w:rsidRPr="00B654DA">
        <w:rPr>
          <w:i/>
        </w:rPr>
        <w:t xml:space="preserve">a) </w:t>
      </w:r>
      <w:r w:rsidRPr="00B654DA">
        <w:rPr>
          <w:i/>
        </w:rPr>
        <w:tab/>
        <w:t>Se demuestre que el tiempo necesario para el incremento de la presión es superior a 6 ms para 0,5 g de sustancia pirotécnica en la prueba de composición detonante del apéndice 7 del Manual de Pruebas y Criterios; o</w:t>
      </w:r>
    </w:p>
    <w:p w:rsidR="00936F28" w:rsidRPr="00B654DA" w:rsidRDefault="00936F28" w:rsidP="00402B31">
      <w:pPr>
        <w:pStyle w:val="SingleTxtG"/>
        <w:spacing w:before="120" w:line="236" w:lineRule="atLeast"/>
      </w:pPr>
      <w:r w:rsidRPr="00B654DA">
        <w:rPr>
          <w:i/>
        </w:rPr>
        <w:t>b)</w:t>
      </w:r>
      <w:r w:rsidRPr="00B654DA">
        <w:rPr>
          <w:i/>
        </w:rPr>
        <w:tab/>
        <w:t xml:space="preserve">La sustancia pirotécnica de un resultado negativo </w:t>
      </w:r>
      <w:r w:rsidR="002A4CD5">
        <w:rPr>
          <w:i/>
        </w:rPr>
        <w:t>‘</w:t>
      </w:r>
      <w:r w:rsidRPr="00B654DA">
        <w:rPr>
          <w:i/>
        </w:rPr>
        <w:t>-</w:t>
      </w:r>
      <w:r w:rsidR="00EA15A5">
        <w:rPr>
          <w:i/>
        </w:rPr>
        <w:t>’</w:t>
      </w:r>
      <w:r w:rsidRPr="00B654DA">
        <w:rPr>
          <w:i/>
        </w:rPr>
        <w:t xml:space="preserve"> cuando se somete a la prueba de composición detonante del apéndice 7 del Manual de Pruebas y Criterios.</w:t>
      </w:r>
      <w:r w:rsidR="00A069C9">
        <w:rPr>
          <w:i/>
        </w:rPr>
        <w:t>”</w:t>
      </w:r>
      <w:r w:rsidRPr="00B654DA">
        <w:rPr>
          <w:i/>
        </w:rPr>
        <w:t>.</w:t>
      </w:r>
    </w:p>
    <w:p w:rsidR="00936F28" w:rsidRPr="00B654DA" w:rsidRDefault="00936F28" w:rsidP="00402B31">
      <w:pPr>
        <w:pStyle w:val="SingleTxtG"/>
        <w:spacing w:before="120" w:line="236" w:lineRule="atLeast"/>
        <w:rPr>
          <w:iCs/>
        </w:rPr>
      </w:pPr>
      <w:r w:rsidRPr="00B654DA">
        <w:t>2.1.3.5.5</w:t>
      </w:r>
      <w:r w:rsidRPr="00B654DA">
        <w:tab/>
        <w:t xml:space="preserve">En el cuadro, modifíquese la entrada </w:t>
      </w:r>
      <w:r w:rsidR="00A069C9">
        <w:t>“</w:t>
      </w:r>
      <w:r w:rsidRPr="00B654DA">
        <w:t>Cascadas</w:t>
      </w:r>
      <w:r w:rsidR="00A069C9">
        <w:t>”</w:t>
      </w:r>
      <w:r w:rsidRPr="00B654DA">
        <w:t xml:space="preserve"> como sigue: para la clasificación 1.1G, modifíquese el texto de la columna </w:t>
      </w:r>
      <w:r w:rsidR="00A069C9">
        <w:t>“</w:t>
      </w:r>
      <w:r w:rsidRPr="00B654DA">
        <w:t>Especificación</w:t>
      </w:r>
      <w:r w:rsidR="00A069C9">
        <w:t>”</w:t>
      </w:r>
      <w:r w:rsidRPr="00B654DA">
        <w:t xml:space="preserve"> para que diga </w:t>
      </w:r>
      <w:r w:rsidR="00A069C9">
        <w:t>“</w:t>
      </w:r>
      <w:r w:rsidRPr="00B654DA">
        <w:t>Contiene una composición detonante independientemente de los resultados de las pruebas de la serie 6 (véase 2.1.3.5.1 a))</w:t>
      </w:r>
      <w:r w:rsidR="00A069C9">
        <w:t>”</w:t>
      </w:r>
      <w:r w:rsidR="00AC5BC7">
        <w:t>.</w:t>
      </w:r>
      <w:r w:rsidRPr="00B654DA">
        <w:t xml:space="preserve"> Para la clasificación 1.3G, modifíquese el texto de la columna </w:t>
      </w:r>
      <w:r w:rsidR="00A069C9">
        <w:t>“</w:t>
      </w:r>
      <w:r w:rsidRPr="00B654DA">
        <w:t>Especificación</w:t>
      </w:r>
      <w:r w:rsidR="00A069C9">
        <w:t>”</w:t>
      </w:r>
      <w:r w:rsidRPr="00B654DA">
        <w:t xml:space="preserve"> para que diga </w:t>
      </w:r>
      <w:r w:rsidR="00A069C9">
        <w:t>“</w:t>
      </w:r>
      <w:r w:rsidR="00AC5BC7">
        <w:t>N</w:t>
      </w:r>
      <w:r w:rsidRPr="00B654DA">
        <w:t>o contiene una composición detonante</w:t>
      </w:r>
      <w:r w:rsidR="00A069C9">
        <w:t>”</w:t>
      </w:r>
      <w:r w:rsidRPr="00B654DA">
        <w:t>.</w:t>
      </w:r>
    </w:p>
    <w:p w:rsidR="00936F28" w:rsidRPr="00B654DA" w:rsidRDefault="00936F28" w:rsidP="00402B31">
      <w:pPr>
        <w:pStyle w:val="SingleTxtG"/>
        <w:spacing w:line="236" w:lineRule="atLeast"/>
        <w:rPr>
          <w:rStyle w:val="Strong"/>
          <w:b w:val="0"/>
          <w:bCs w:val="0"/>
        </w:rPr>
      </w:pPr>
      <w:r w:rsidRPr="00B654DA">
        <w:t>2.1.3.5.5</w:t>
      </w:r>
      <w:r w:rsidRPr="00B654DA">
        <w:tab/>
        <w:t xml:space="preserve">En la primera columna del cuadro, para la entrada </w:t>
      </w:r>
      <w:r w:rsidR="00A069C9">
        <w:t>“</w:t>
      </w:r>
      <w:r w:rsidRPr="00B654DA">
        <w:t>Artificios pirotécnicos de bajo riesgo y novedades</w:t>
      </w:r>
      <w:r w:rsidR="00A069C9">
        <w:t>”</w:t>
      </w:r>
      <w:r w:rsidRPr="00B654DA">
        <w:t xml:space="preserve">,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pPr>
      <w:r w:rsidRPr="00B654DA">
        <w:t>2.1.3.6.3</w:t>
      </w:r>
      <w:r w:rsidRPr="00B654DA">
        <w:tab/>
        <w:t xml:space="preserve">En la última oración, sustitúyase </w:t>
      </w:r>
      <w:r w:rsidR="00A069C9">
        <w:t>“</w:t>
      </w:r>
      <w:r w:rsidRPr="00B654DA">
        <w:t>riesgo</w:t>
      </w:r>
      <w:r w:rsidR="00F3652F">
        <w:t>s</w:t>
      </w:r>
      <w:r w:rsidR="00A069C9">
        <w:t>”</w:t>
      </w:r>
      <w:r w:rsidRPr="00B654DA">
        <w:t xml:space="preserve"> por </w:t>
      </w:r>
      <w:r w:rsidR="00A069C9">
        <w:t>“</w:t>
      </w:r>
      <w:r w:rsidRPr="00B654DA">
        <w:t>peligro</w:t>
      </w:r>
      <w:r w:rsidR="00F3652F">
        <w:t>s</w:t>
      </w:r>
      <w:r w:rsidR="00A069C9">
        <w:t>”</w:t>
      </w:r>
      <w:r w:rsidRPr="00B654DA">
        <w:t>.</w:t>
      </w:r>
    </w:p>
    <w:p w:rsidR="00936F28" w:rsidRPr="00B654DA" w:rsidRDefault="00936F28" w:rsidP="00402B31">
      <w:pPr>
        <w:pStyle w:val="SingleTxtG"/>
        <w:spacing w:line="236" w:lineRule="atLeast"/>
      </w:pPr>
      <w:r w:rsidRPr="00B654DA">
        <w:t>2.1.3.6.4</w:t>
      </w:r>
      <w:r w:rsidRPr="00B654DA">
        <w:tab/>
        <w:t xml:space="preserve">En la Nota 2, al final de la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rPr>
          <w:rStyle w:val="Strong"/>
          <w:b w:val="0"/>
          <w:bCs w:val="0"/>
        </w:rPr>
      </w:pPr>
      <w:r w:rsidRPr="00B654DA">
        <w:t>2.1.3.7.4 f)</w:t>
      </w:r>
      <w:r w:rsidRPr="00B654DA">
        <w:tab/>
        <w:t>No se aplica al texto español.</w:t>
      </w:r>
    </w:p>
    <w:p w:rsidR="00936F28" w:rsidRPr="00B654DA" w:rsidRDefault="00936F28" w:rsidP="00936F28">
      <w:pPr>
        <w:pStyle w:val="H1G"/>
      </w:pPr>
      <w:r w:rsidRPr="00B654DA">
        <w:tab/>
      </w:r>
      <w:r w:rsidRPr="00B654DA">
        <w:tab/>
        <w:t>Capítulo 2.2</w:t>
      </w:r>
    </w:p>
    <w:p w:rsidR="00936F28" w:rsidRPr="00402B31" w:rsidRDefault="00936F28" w:rsidP="00402B31">
      <w:pPr>
        <w:pStyle w:val="SingleTxtG"/>
        <w:spacing w:line="236" w:lineRule="atLeast"/>
      </w:pPr>
      <w:r w:rsidRPr="00B654DA">
        <w:t>2.2.2.1</w:t>
      </w:r>
      <w:r w:rsidRPr="00B654DA">
        <w:tab/>
      </w:r>
      <w:r w:rsidRPr="00B654DA">
        <w:tab/>
        <w:t xml:space="preserve">En la primera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402B31">
      <w:pPr>
        <w:pStyle w:val="SingleTxtG"/>
        <w:spacing w:line="236" w:lineRule="atLeast"/>
      </w:pPr>
      <w:r w:rsidRPr="00B654DA">
        <w:t>2.2.2.1 c)</w:t>
      </w:r>
      <w:r w:rsidRPr="00B654DA">
        <w:tab/>
        <w:t xml:space="preserve">En la Nota,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402B31" w:rsidRDefault="00936F28" w:rsidP="00402B31">
      <w:pPr>
        <w:pStyle w:val="SingleTxtG"/>
        <w:spacing w:line="236" w:lineRule="atLeast"/>
      </w:pPr>
      <w:r w:rsidRPr="00B654DA">
        <w:t>2.2.2.1 c) i)</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402B31" w:rsidRDefault="00936F28" w:rsidP="00402B31">
      <w:pPr>
        <w:pStyle w:val="SingleTxtG"/>
        <w:spacing w:line="236" w:lineRule="atLeast"/>
      </w:pPr>
      <w:r w:rsidRPr="00B654DA">
        <w:t>2.2.2.2</w:t>
      </w:r>
      <w:r w:rsidRPr="00B654DA">
        <w:tab/>
      </w:r>
      <w:r w:rsidRPr="00B654DA">
        <w:tab/>
        <w:t xml:space="preserve">En el encabezamiento, 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402B31">
      <w:pPr>
        <w:pStyle w:val="SingleTxtG"/>
        <w:spacing w:line="236" w:lineRule="atLeast"/>
      </w:pPr>
      <w:r w:rsidRPr="00B654DA">
        <w:t>2.2.3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H1G"/>
      </w:pPr>
      <w:r w:rsidRPr="00B654DA">
        <w:tab/>
      </w:r>
      <w:r w:rsidRPr="00B654DA">
        <w:tab/>
        <w:t>Capítulo 2.3</w:t>
      </w:r>
    </w:p>
    <w:p w:rsidR="00936F28" w:rsidRPr="00B654DA" w:rsidRDefault="00936F28" w:rsidP="00402B31">
      <w:pPr>
        <w:pStyle w:val="SingleTxtG"/>
        <w:spacing w:line="236" w:lineRule="atLeast"/>
      </w:pPr>
      <w:r w:rsidRPr="00B654DA">
        <w:t>2.3.2.1</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402B31">
        <w:t xml:space="preserve"> dos veces</w:t>
      </w:r>
      <w:r w:rsidRPr="00B654DA">
        <w:t>.</w:t>
      </w:r>
    </w:p>
    <w:p w:rsidR="00936F28" w:rsidRPr="00B654DA" w:rsidRDefault="00936F28" w:rsidP="00402B31">
      <w:pPr>
        <w:pStyle w:val="SingleTxtG"/>
        <w:spacing w:line="236" w:lineRule="atLeast"/>
      </w:pPr>
      <w:r w:rsidRPr="00B654DA">
        <w:t>2.3.2.1.1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936F28" w:rsidRPr="00B654DA" w:rsidRDefault="00936F28" w:rsidP="00936F28">
      <w:pPr>
        <w:pStyle w:val="SingleTxtG"/>
      </w:pPr>
      <w:r w:rsidRPr="00B654DA">
        <w:t>2.3.2.1.2</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 xml:space="preserve"> y </w:t>
      </w:r>
      <w:r w:rsidR="00A069C9">
        <w:t>“</w:t>
      </w:r>
      <w:r w:rsidRPr="00B654DA">
        <w:t>riesgo</w:t>
      </w:r>
      <w:r w:rsidR="00A069C9">
        <w:t>”</w:t>
      </w:r>
      <w:r w:rsidRPr="00B654DA">
        <w:t xml:space="preserve"> por </w:t>
      </w:r>
      <w:r w:rsidR="00A069C9">
        <w:t>“</w:t>
      </w:r>
      <w:r w:rsidRPr="00B654DA">
        <w:t>peligro</w:t>
      </w:r>
      <w:r w:rsidR="00A069C9">
        <w:t>”</w:t>
      </w:r>
      <w:r w:rsidR="00402B31">
        <w:t xml:space="preserve"> dos veces</w:t>
      </w:r>
      <w:r w:rsidRPr="00B654DA">
        <w:t>.</w:t>
      </w:r>
    </w:p>
    <w:p w:rsidR="00936F28" w:rsidRPr="00B654DA" w:rsidRDefault="00936F28" w:rsidP="00936F28">
      <w:pPr>
        <w:pStyle w:val="H1G"/>
      </w:pPr>
      <w:r w:rsidRPr="00B654DA">
        <w:lastRenderedPageBreak/>
        <w:tab/>
      </w:r>
      <w:r w:rsidRPr="00B654DA">
        <w:tab/>
        <w:t>Capítulo 2.4</w:t>
      </w:r>
    </w:p>
    <w:p w:rsidR="00936F28" w:rsidRPr="00B654DA" w:rsidRDefault="00936F28" w:rsidP="00936F28">
      <w:pPr>
        <w:pStyle w:val="SingleTxtG"/>
      </w:pPr>
      <w:r w:rsidRPr="00B654DA">
        <w:t xml:space="preserve">En las notas introductorias, en la Nota 3, 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SingleTxtG"/>
      </w:pPr>
      <w:r w:rsidRPr="00B654DA">
        <w:t>2.4.2.3.2.2</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936F28" w:rsidRPr="00B654DA" w:rsidRDefault="00936F28" w:rsidP="00936F28">
      <w:pPr>
        <w:pStyle w:val="SingleTxtG"/>
      </w:pPr>
      <w:r w:rsidRPr="00B654DA">
        <w:t>2.4.2.3.2.3</w:t>
      </w:r>
      <w:r w:rsidRPr="00B654DA">
        <w:tab/>
        <w:t xml:space="preserve">Al final del primer párrafo, añádase una nueva oración que diga lo siguiente: </w:t>
      </w:r>
      <w:r w:rsidR="00A069C9">
        <w:t>“</w:t>
      </w:r>
      <w:r w:rsidRPr="00B654DA">
        <w:t>Las formulaciones enumeradas en la instrucción de embalaje/envasado IBC520 de 4.1.4.2 y en la instrucción sobre cisternas portátiles T23 de 4.2.5.2.6 también podrán transportarse embaladas de conformidad con el método de embalaje/envasado OP8 de la instrucción de embalaje/envasado P520 de 4.1.4.1, con el mismo control y las mismas temperaturas de emergencia, si procede.</w:t>
      </w:r>
      <w:r w:rsidR="00A069C9">
        <w:t>”</w:t>
      </w:r>
      <w:r w:rsidRPr="00B654DA">
        <w:t>.</w:t>
      </w:r>
    </w:p>
    <w:p w:rsidR="007A3AD0" w:rsidRPr="00B654DA" w:rsidRDefault="007A3AD0" w:rsidP="007A3AD0">
      <w:pPr>
        <w:pStyle w:val="SingleTxtG"/>
      </w:pPr>
      <w:r w:rsidRPr="00B654DA">
        <w:t>2.4.2.3.2.3</w:t>
      </w:r>
      <w:r w:rsidRPr="00B654DA">
        <w:tab/>
        <w:t>En el cuadro, añádase una nueva entrada que diga lo siguiente:</w:t>
      </w:r>
    </w:p>
    <w:tbl>
      <w:tblPr>
        <w:tblW w:w="8511"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363"/>
        <w:gridCol w:w="1033"/>
        <w:gridCol w:w="744"/>
        <w:gridCol w:w="1109"/>
        <w:gridCol w:w="1148"/>
        <w:gridCol w:w="1050"/>
        <w:gridCol w:w="1064"/>
      </w:tblGrid>
      <w:tr w:rsidR="00A069C9" w:rsidRPr="00A069C9" w:rsidTr="00A069C9">
        <w:trPr>
          <w:trHeight w:val="360"/>
          <w:tblHeader/>
        </w:trPr>
        <w:tc>
          <w:tcPr>
            <w:tcW w:w="2363" w:type="dxa"/>
            <w:shd w:val="clear" w:color="auto" w:fill="auto"/>
            <w:vAlign w:val="bottom"/>
          </w:tcPr>
          <w:p w:rsidR="007A3AD0" w:rsidRPr="00A069C9" w:rsidRDefault="00A069C9" w:rsidP="00A069C9">
            <w:pPr>
              <w:pStyle w:val="SingleTxtG"/>
              <w:spacing w:before="80" w:after="80" w:line="200" w:lineRule="exact"/>
              <w:ind w:left="0" w:right="0"/>
              <w:jc w:val="left"/>
              <w:rPr>
                <w:i/>
                <w:sz w:val="16"/>
              </w:rPr>
            </w:pPr>
            <w:r>
              <w:rPr>
                <w:i/>
                <w:sz w:val="16"/>
              </w:rPr>
              <w:t>S</w:t>
            </w:r>
            <w:r w:rsidRPr="00A069C9">
              <w:rPr>
                <w:i/>
                <w:sz w:val="16"/>
              </w:rPr>
              <w:t>ustancias que reaccionan espontáneamente</w:t>
            </w:r>
          </w:p>
        </w:tc>
        <w:tc>
          <w:tcPr>
            <w:tcW w:w="1033" w:type="dxa"/>
            <w:shd w:val="clear" w:color="auto" w:fill="auto"/>
            <w:vAlign w:val="bottom"/>
          </w:tcPr>
          <w:p w:rsidR="007A3AD0" w:rsidRPr="00A069C9" w:rsidRDefault="00402B31" w:rsidP="00402B31">
            <w:pPr>
              <w:spacing w:before="80" w:after="80" w:line="200" w:lineRule="exact"/>
              <w:jc w:val="right"/>
              <w:rPr>
                <w:i/>
                <w:sz w:val="16"/>
                <w:szCs w:val="18"/>
              </w:rPr>
            </w:pPr>
            <w:r>
              <w:rPr>
                <w:bCs/>
                <w:i/>
                <w:sz w:val="16"/>
                <w:szCs w:val="18"/>
              </w:rPr>
              <w:t>Concentración (porcentaje)</w:t>
            </w:r>
          </w:p>
        </w:tc>
        <w:tc>
          <w:tcPr>
            <w:tcW w:w="744" w:type="dxa"/>
            <w:shd w:val="clear" w:color="auto" w:fill="auto"/>
            <w:vAlign w:val="bottom"/>
          </w:tcPr>
          <w:p w:rsidR="007A3AD0" w:rsidRPr="00A069C9" w:rsidRDefault="007A3AD0" w:rsidP="00A069C9">
            <w:pPr>
              <w:spacing w:before="80" w:after="80" w:line="200" w:lineRule="exact"/>
              <w:jc w:val="right"/>
              <w:rPr>
                <w:i/>
                <w:sz w:val="16"/>
                <w:szCs w:val="18"/>
              </w:rPr>
            </w:pPr>
            <w:r w:rsidRPr="00A069C9">
              <w:rPr>
                <w:bCs/>
                <w:i/>
                <w:sz w:val="16"/>
                <w:szCs w:val="18"/>
              </w:rPr>
              <w:t>Método de embalaje/ envasado</w:t>
            </w:r>
          </w:p>
        </w:tc>
        <w:tc>
          <w:tcPr>
            <w:tcW w:w="1109" w:type="dxa"/>
            <w:shd w:val="clear" w:color="auto" w:fill="auto"/>
            <w:vAlign w:val="bottom"/>
          </w:tcPr>
          <w:p w:rsidR="007A3AD0" w:rsidRPr="00A069C9" w:rsidRDefault="00402B31" w:rsidP="00EA15A5">
            <w:pPr>
              <w:spacing w:before="80" w:after="80" w:line="200" w:lineRule="exact"/>
              <w:jc w:val="right"/>
              <w:rPr>
                <w:i/>
                <w:sz w:val="16"/>
                <w:szCs w:val="18"/>
              </w:rPr>
            </w:pPr>
            <w:r>
              <w:rPr>
                <w:bCs/>
                <w:i/>
                <w:sz w:val="16"/>
                <w:szCs w:val="18"/>
              </w:rPr>
              <w:t>Temp</w:t>
            </w:r>
            <w:r w:rsidR="00EA15A5">
              <w:rPr>
                <w:bCs/>
                <w:i/>
                <w:sz w:val="16"/>
                <w:szCs w:val="18"/>
              </w:rPr>
              <w:t>eratura</w:t>
            </w:r>
            <w:r>
              <w:rPr>
                <w:bCs/>
                <w:i/>
                <w:sz w:val="16"/>
                <w:szCs w:val="18"/>
              </w:rPr>
              <w:t xml:space="preserve"> de regulación (º </w:t>
            </w:r>
            <w:r w:rsidR="007A3AD0" w:rsidRPr="00A069C9">
              <w:rPr>
                <w:bCs/>
                <w:i/>
                <w:sz w:val="16"/>
                <w:szCs w:val="18"/>
              </w:rPr>
              <w:t>C)</w:t>
            </w:r>
          </w:p>
        </w:tc>
        <w:tc>
          <w:tcPr>
            <w:tcW w:w="1148" w:type="dxa"/>
            <w:shd w:val="clear" w:color="auto" w:fill="auto"/>
            <w:vAlign w:val="bottom"/>
          </w:tcPr>
          <w:p w:rsidR="007A3AD0" w:rsidRPr="00A069C9" w:rsidRDefault="00402B31" w:rsidP="00EA15A5">
            <w:pPr>
              <w:spacing w:before="80" w:after="80" w:line="200" w:lineRule="exact"/>
              <w:jc w:val="right"/>
              <w:rPr>
                <w:i/>
                <w:sz w:val="16"/>
                <w:szCs w:val="18"/>
              </w:rPr>
            </w:pPr>
            <w:r>
              <w:rPr>
                <w:bCs/>
                <w:i/>
                <w:sz w:val="16"/>
                <w:szCs w:val="18"/>
              </w:rPr>
              <w:t>Temp</w:t>
            </w:r>
            <w:r w:rsidR="00EA15A5">
              <w:rPr>
                <w:bCs/>
                <w:i/>
                <w:sz w:val="16"/>
                <w:szCs w:val="18"/>
              </w:rPr>
              <w:t>eratura</w:t>
            </w:r>
            <w:r>
              <w:rPr>
                <w:bCs/>
                <w:i/>
                <w:sz w:val="16"/>
                <w:szCs w:val="18"/>
              </w:rPr>
              <w:t xml:space="preserve"> de emergencia (º </w:t>
            </w:r>
            <w:r w:rsidR="007A3AD0" w:rsidRPr="00A069C9">
              <w:rPr>
                <w:bCs/>
                <w:i/>
                <w:sz w:val="16"/>
                <w:szCs w:val="18"/>
              </w:rPr>
              <w:t>C)</w:t>
            </w:r>
          </w:p>
        </w:tc>
        <w:tc>
          <w:tcPr>
            <w:tcW w:w="1050" w:type="dxa"/>
            <w:shd w:val="clear" w:color="auto" w:fill="auto"/>
            <w:vAlign w:val="bottom"/>
          </w:tcPr>
          <w:p w:rsidR="007A3AD0" w:rsidRPr="00A069C9" w:rsidRDefault="007A3AD0" w:rsidP="00A069C9">
            <w:pPr>
              <w:spacing w:before="80" w:after="80" w:line="200" w:lineRule="exact"/>
              <w:jc w:val="right"/>
              <w:rPr>
                <w:i/>
                <w:sz w:val="16"/>
                <w:szCs w:val="18"/>
              </w:rPr>
            </w:pPr>
            <w:r w:rsidRPr="00A069C9">
              <w:rPr>
                <w:bCs/>
                <w:i/>
                <w:sz w:val="16"/>
                <w:szCs w:val="18"/>
              </w:rPr>
              <w:t>Epígrafe genérico ONU</w:t>
            </w:r>
          </w:p>
        </w:tc>
        <w:tc>
          <w:tcPr>
            <w:tcW w:w="1064" w:type="dxa"/>
            <w:shd w:val="clear" w:color="auto" w:fill="auto"/>
            <w:vAlign w:val="bottom"/>
          </w:tcPr>
          <w:p w:rsidR="007A3AD0" w:rsidRPr="00A069C9" w:rsidRDefault="007A3AD0" w:rsidP="00A069C9">
            <w:pPr>
              <w:spacing w:before="80" w:after="80" w:line="200" w:lineRule="exact"/>
              <w:jc w:val="right"/>
              <w:rPr>
                <w:i/>
                <w:sz w:val="16"/>
                <w:szCs w:val="18"/>
              </w:rPr>
            </w:pPr>
            <w:r w:rsidRPr="00A069C9">
              <w:rPr>
                <w:bCs/>
                <w:i/>
                <w:sz w:val="16"/>
                <w:szCs w:val="18"/>
              </w:rPr>
              <w:t>Observaciones</w:t>
            </w:r>
          </w:p>
        </w:tc>
      </w:tr>
      <w:tr w:rsidR="00A069C9" w:rsidRPr="00A069C9" w:rsidTr="00F3652F">
        <w:trPr>
          <w:trHeight w:val="360"/>
        </w:trPr>
        <w:tc>
          <w:tcPr>
            <w:tcW w:w="2363" w:type="dxa"/>
            <w:shd w:val="clear" w:color="auto" w:fill="auto"/>
          </w:tcPr>
          <w:p w:rsidR="007A3AD0" w:rsidRPr="00A069C9" w:rsidRDefault="00A069C9" w:rsidP="00A069C9">
            <w:pPr>
              <w:pStyle w:val="SingleTxtG"/>
              <w:spacing w:before="40" w:after="40" w:line="220" w:lineRule="exact"/>
              <w:ind w:left="0" w:right="0"/>
              <w:jc w:val="left"/>
              <w:rPr>
                <w:sz w:val="18"/>
              </w:rPr>
            </w:pPr>
            <w:r>
              <w:rPr>
                <w:sz w:val="18"/>
              </w:rPr>
              <w:t>Á</w:t>
            </w:r>
            <w:r w:rsidRPr="00A069C9">
              <w:rPr>
                <w:sz w:val="18"/>
              </w:rPr>
              <w:t>cido fosforotioico, o-[(cianofenil metileno) azanilo] o,o-dietil éster</w:t>
            </w:r>
          </w:p>
        </w:tc>
        <w:tc>
          <w:tcPr>
            <w:tcW w:w="1033" w:type="dxa"/>
            <w:shd w:val="clear" w:color="auto" w:fill="auto"/>
          </w:tcPr>
          <w:p w:rsidR="007A3AD0" w:rsidRPr="00A069C9" w:rsidRDefault="007A3AD0" w:rsidP="00A069C9">
            <w:pPr>
              <w:pStyle w:val="SingleTxtG"/>
              <w:spacing w:before="40" w:after="40" w:line="220" w:lineRule="exact"/>
              <w:ind w:left="0" w:right="0"/>
              <w:jc w:val="right"/>
              <w:rPr>
                <w:sz w:val="18"/>
              </w:rPr>
            </w:pPr>
            <w:r w:rsidRPr="00A069C9">
              <w:rPr>
                <w:sz w:val="18"/>
              </w:rPr>
              <w:t>82-91</w:t>
            </w:r>
          </w:p>
          <w:p w:rsidR="007A3AD0" w:rsidRPr="00A069C9" w:rsidRDefault="007A3AD0" w:rsidP="00A069C9">
            <w:pPr>
              <w:pStyle w:val="SingleTxtG"/>
              <w:spacing w:before="40" w:after="40" w:line="220" w:lineRule="exact"/>
              <w:ind w:left="0" w:right="0"/>
              <w:jc w:val="right"/>
              <w:rPr>
                <w:sz w:val="18"/>
              </w:rPr>
            </w:pPr>
            <w:r w:rsidRPr="00A069C9">
              <w:rPr>
                <w:sz w:val="18"/>
              </w:rPr>
              <w:t>(isómero Z)</w:t>
            </w:r>
          </w:p>
        </w:tc>
        <w:tc>
          <w:tcPr>
            <w:tcW w:w="744" w:type="dxa"/>
            <w:shd w:val="clear" w:color="auto" w:fill="auto"/>
          </w:tcPr>
          <w:p w:rsidR="007A3AD0" w:rsidRPr="00A069C9" w:rsidRDefault="007A3AD0" w:rsidP="00A069C9">
            <w:pPr>
              <w:pStyle w:val="SingleTxtG"/>
              <w:spacing w:before="40" w:after="40" w:line="220" w:lineRule="exact"/>
              <w:ind w:left="0" w:right="0"/>
              <w:jc w:val="right"/>
              <w:rPr>
                <w:sz w:val="18"/>
              </w:rPr>
            </w:pPr>
            <w:r w:rsidRPr="00A069C9">
              <w:rPr>
                <w:sz w:val="18"/>
              </w:rPr>
              <w:t>OP8</w:t>
            </w:r>
          </w:p>
        </w:tc>
        <w:tc>
          <w:tcPr>
            <w:tcW w:w="1109" w:type="dxa"/>
            <w:shd w:val="clear" w:color="auto" w:fill="auto"/>
          </w:tcPr>
          <w:p w:rsidR="007A3AD0" w:rsidRPr="00A069C9" w:rsidRDefault="007A3AD0" w:rsidP="00A069C9">
            <w:pPr>
              <w:pStyle w:val="SingleTxtG"/>
              <w:spacing w:before="40" w:after="40" w:line="220" w:lineRule="exact"/>
              <w:ind w:left="0" w:right="0"/>
              <w:jc w:val="right"/>
              <w:rPr>
                <w:sz w:val="18"/>
              </w:rPr>
            </w:pPr>
          </w:p>
        </w:tc>
        <w:tc>
          <w:tcPr>
            <w:tcW w:w="1148" w:type="dxa"/>
            <w:shd w:val="clear" w:color="auto" w:fill="auto"/>
          </w:tcPr>
          <w:p w:rsidR="007A3AD0" w:rsidRPr="00A069C9" w:rsidRDefault="007A3AD0" w:rsidP="00A069C9">
            <w:pPr>
              <w:pStyle w:val="SingleTxtG"/>
              <w:spacing w:before="40" w:after="40" w:line="220" w:lineRule="exact"/>
              <w:ind w:left="0" w:right="0"/>
              <w:jc w:val="right"/>
              <w:rPr>
                <w:sz w:val="18"/>
              </w:rPr>
            </w:pPr>
          </w:p>
        </w:tc>
        <w:tc>
          <w:tcPr>
            <w:tcW w:w="1050" w:type="dxa"/>
            <w:shd w:val="clear" w:color="auto" w:fill="auto"/>
          </w:tcPr>
          <w:p w:rsidR="007A3AD0" w:rsidRPr="00A069C9" w:rsidRDefault="007A3AD0" w:rsidP="00A069C9">
            <w:pPr>
              <w:pStyle w:val="SingleTxtG"/>
              <w:spacing w:before="40" w:after="40" w:line="220" w:lineRule="exact"/>
              <w:ind w:left="0" w:right="0"/>
              <w:jc w:val="right"/>
              <w:rPr>
                <w:sz w:val="18"/>
              </w:rPr>
            </w:pPr>
            <w:r w:rsidRPr="00A069C9">
              <w:rPr>
                <w:sz w:val="18"/>
              </w:rPr>
              <w:t>3227</w:t>
            </w:r>
          </w:p>
        </w:tc>
        <w:tc>
          <w:tcPr>
            <w:tcW w:w="1064" w:type="dxa"/>
            <w:shd w:val="clear" w:color="auto" w:fill="auto"/>
          </w:tcPr>
          <w:p w:rsidR="007A3AD0" w:rsidRPr="00A069C9" w:rsidRDefault="007A3AD0" w:rsidP="00A069C9">
            <w:pPr>
              <w:pStyle w:val="SingleTxtG"/>
              <w:spacing w:before="40" w:after="40" w:line="220" w:lineRule="exact"/>
              <w:ind w:left="0" w:right="0"/>
              <w:jc w:val="right"/>
              <w:rPr>
                <w:sz w:val="18"/>
              </w:rPr>
            </w:pPr>
            <w:r w:rsidRPr="00A069C9">
              <w:rPr>
                <w:sz w:val="18"/>
              </w:rPr>
              <w:t>(10)</w:t>
            </w:r>
          </w:p>
        </w:tc>
      </w:tr>
    </w:tbl>
    <w:p w:rsidR="007A3AD0" w:rsidRPr="00B654DA" w:rsidRDefault="007A3AD0" w:rsidP="00A069C9">
      <w:pPr>
        <w:pStyle w:val="SingleTxtG"/>
        <w:spacing w:before="240"/>
      </w:pPr>
      <w:r w:rsidRPr="00B654DA">
        <w:t>2.4.2.3.2.3</w:t>
      </w:r>
      <w:r w:rsidRPr="00B654DA">
        <w:tab/>
        <w:t>No se aplica al texto español.</w:t>
      </w:r>
    </w:p>
    <w:p w:rsidR="007A3AD0" w:rsidRPr="00B654DA" w:rsidRDefault="007A3AD0" w:rsidP="007A3AD0">
      <w:pPr>
        <w:pStyle w:val="SingleTxtG"/>
      </w:pPr>
      <w:r w:rsidRPr="00B654DA">
        <w:t>2.4.2.3.2.3</w:t>
      </w:r>
      <w:r w:rsidRPr="00B654DA">
        <w:tab/>
        <w:t xml:space="preserve">Después del cuadro, en la observación 2),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spacing w:before="120"/>
      </w:pPr>
      <w:r w:rsidRPr="00B654DA">
        <w:t>2.4.2.3.2.3</w:t>
      </w:r>
      <w:r w:rsidRPr="00B654DA">
        <w:tab/>
        <w:t>Después del cuadro, añádase una nueva observación 10) que diga lo siguiente:</w:t>
      </w:r>
    </w:p>
    <w:p w:rsidR="007A3AD0" w:rsidRPr="00B654DA" w:rsidRDefault="00A069C9" w:rsidP="007A3AD0">
      <w:pPr>
        <w:pStyle w:val="SingleTxtG"/>
        <w:spacing w:before="120"/>
        <w:rPr>
          <w:i/>
        </w:rPr>
      </w:pPr>
      <w:r>
        <w:rPr>
          <w:i/>
        </w:rPr>
        <w:t>“</w:t>
      </w:r>
      <w:r w:rsidR="007A3AD0" w:rsidRPr="00B654DA">
        <w:rPr>
          <w:i/>
        </w:rPr>
        <w:t>10)</w:t>
      </w:r>
      <w:r w:rsidR="00402B31">
        <w:rPr>
          <w:i/>
        </w:rPr>
        <w:tab/>
      </w:r>
      <w:r w:rsidR="007A3AD0" w:rsidRPr="00B654DA">
        <w:rPr>
          <w:i/>
        </w:rPr>
        <w:t>Esta entrada se aplica a la mezcla técnica en n-butanol dentro de los límites de concentración especificados del isómero Z.</w:t>
      </w:r>
      <w:r>
        <w:rPr>
          <w:i/>
        </w:rPr>
        <w:t>”</w:t>
      </w:r>
      <w:r w:rsidR="007A3AD0" w:rsidRPr="00B654DA">
        <w:rPr>
          <w:i/>
        </w:rPr>
        <w:t>.</w:t>
      </w:r>
    </w:p>
    <w:p w:rsidR="007A3AD0" w:rsidRPr="00B654DA" w:rsidRDefault="007A3AD0" w:rsidP="007A3AD0">
      <w:pPr>
        <w:pStyle w:val="SingleTxtG"/>
      </w:pPr>
      <w:r w:rsidRPr="00B654DA">
        <w:t>2.4.2.3.3.2 b)</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2.4.2.3.3.2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2.4.2.3.5.4</w:t>
      </w:r>
      <w:r w:rsidRPr="00B654DA">
        <w:tab/>
        <w:t xml:space="preserve">Al final, sustitúyase </w:t>
      </w:r>
      <w:r w:rsidR="00A069C9">
        <w:t>“</w:t>
      </w:r>
      <w:r w:rsidRPr="00B654DA">
        <w:t>7.1.5.3.1</w:t>
      </w:r>
      <w:r w:rsidR="00A069C9">
        <w:t>”</w:t>
      </w:r>
      <w:r w:rsidRPr="00B654DA">
        <w:t xml:space="preserve"> por </w:t>
      </w:r>
      <w:r w:rsidR="00A069C9">
        <w:t>“</w:t>
      </w:r>
      <w:r w:rsidRPr="00B654DA">
        <w:t>7.1.5.3</w:t>
      </w:r>
      <w:r w:rsidR="00A069C9">
        <w:t>”</w:t>
      </w:r>
      <w:r w:rsidRPr="00B654DA">
        <w:t>.</w:t>
      </w:r>
    </w:p>
    <w:p w:rsidR="007A3AD0" w:rsidRPr="00B654DA" w:rsidRDefault="007A3AD0" w:rsidP="007A3AD0">
      <w:pPr>
        <w:pStyle w:val="SingleTxtG"/>
      </w:pPr>
      <w:r w:rsidRPr="00B654DA">
        <w:t>2.4.2.5.2</w:t>
      </w:r>
      <w:r w:rsidRPr="00B654DA">
        <w:tab/>
        <w:t>Añádase al final la siguiente Nota:</w:t>
      </w:r>
    </w:p>
    <w:p w:rsidR="007A3AD0" w:rsidRPr="00B654DA" w:rsidRDefault="00A069C9" w:rsidP="007A3AD0">
      <w:pPr>
        <w:pStyle w:val="SingleTxtG"/>
        <w:rPr>
          <w:i/>
          <w:sz w:val="18"/>
          <w:szCs w:val="18"/>
          <w:bdr w:val="none" w:sz="0" w:space="0" w:color="auto" w:frame="1"/>
        </w:rPr>
      </w:pPr>
      <w:r>
        <w:rPr>
          <w:i/>
        </w:rPr>
        <w:t>“</w:t>
      </w:r>
      <w:r w:rsidR="007A3AD0" w:rsidRPr="00BD55EB">
        <w:rPr>
          <w:b/>
          <w:i/>
        </w:rPr>
        <w:t>NOTA:</w:t>
      </w:r>
      <w:r w:rsidR="007A3AD0" w:rsidRPr="00B654DA">
        <w:rPr>
          <w:i/>
        </w:rPr>
        <w:tab/>
        <w:t>Las sustancias que cumplan los criterios de clasificación como sustancia polimerizante y también los criterios para su inclusión en las clases 1 a 8 están sujetas a los requisitos de la disposición especial 386 del capítulo 3.3.</w:t>
      </w:r>
      <w:r>
        <w:rPr>
          <w:i/>
        </w:rPr>
        <w:t>”</w:t>
      </w:r>
      <w:r w:rsidR="007A3AD0" w:rsidRPr="00B654DA">
        <w:rPr>
          <w:i/>
        </w:rPr>
        <w:t>.</w:t>
      </w:r>
    </w:p>
    <w:p w:rsidR="007A3AD0" w:rsidRPr="00B654DA" w:rsidRDefault="007A3AD0" w:rsidP="007A3AD0">
      <w:pPr>
        <w:pStyle w:val="SingleTxtG"/>
        <w:rPr>
          <w:rStyle w:val="Strong"/>
          <w:b w:val="0"/>
          <w:bCs w:val="0"/>
        </w:rPr>
      </w:pPr>
      <w:r w:rsidRPr="00B654DA">
        <w:t>2.4.3.1.1 a)</w:t>
      </w:r>
      <w:r w:rsidRPr="00B654DA">
        <w:tab/>
        <w:t>No se aplica al texto español.</w:t>
      </w:r>
    </w:p>
    <w:p w:rsidR="007A3AD0" w:rsidRPr="00B654DA" w:rsidRDefault="007A3AD0" w:rsidP="007A3AD0">
      <w:pPr>
        <w:pStyle w:val="H1G"/>
      </w:pPr>
      <w:r w:rsidRPr="00B654DA">
        <w:tab/>
      </w:r>
      <w:r w:rsidRPr="00B654DA">
        <w:tab/>
        <w:t>Capítulo 2.5</w:t>
      </w:r>
    </w:p>
    <w:p w:rsidR="007A3AD0" w:rsidRPr="00B654DA" w:rsidRDefault="007A3AD0" w:rsidP="007A3AD0">
      <w:pPr>
        <w:pStyle w:val="SingleTxtG"/>
      </w:pPr>
      <w:r w:rsidRPr="00B654DA">
        <w:t>2.5.2.1.2</w:t>
      </w:r>
      <w:r w:rsidRPr="00B654DA">
        <w:tab/>
        <w:t xml:space="preserve">Cámbiese la numeración de 2.5.2.1.3 y 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SingleTxtG"/>
        <w:rPr>
          <w:iCs/>
        </w:rPr>
      </w:pPr>
      <w:r w:rsidRPr="00B654DA">
        <w:t>Introdúzcase un nuevo 2.5.2.1.2 con el texto siguiente:</w:t>
      </w:r>
    </w:p>
    <w:p w:rsidR="007A3AD0" w:rsidRPr="00B654DA" w:rsidRDefault="00A069C9" w:rsidP="007A3AD0">
      <w:pPr>
        <w:pStyle w:val="SingleTxtG"/>
      </w:pPr>
      <w:r>
        <w:t>“</w:t>
      </w:r>
      <w:r w:rsidR="007A3AD0" w:rsidRPr="00B654DA">
        <w:t>2.5.2.1.2</w:t>
      </w:r>
      <w:r w:rsidR="007A3AD0" w:rsidRPr="00B654DA">
        <w:tab/>
        <w:t>Como excepción, los fertilizantes sólidos basados en nitrato de amonio se clasificarán de conformidad con el procedimiento establecido en el Manual de Pruebas y Criterios, Parte III, sección 39.</w:t>
      </w:r>
      <w:r w:rsidR="00402B31">
        <w:t>”</w:t>
      </w:r>
      <w:r w:rsidR="007A3AD0" w:rsidRPr="00B654DA">
        <w:t>.</w:t>
      </w:r>
    </w:p>
    <w:p w:rsidR="007A3AD0" w:rsidRPr="00B654DA" w:rsidRDefault="007A3AD0" w:rsidP="007A3AD0">
      <w:pPr>
        <w:pStyle w:val="SingleTxtG"/>
      </w:pPr>
      <w:r w:rsidRPr="00B654DA">
        <w:t>2.5.3.2.3</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SingleTxtG"/>
      </w:pPr>
      <w:r w:rsidRPr="00B654DA">
        <w:t>2.5.3.2.4</w:t>
      </w:r>
      <w:r w:rsidRPr="00B654DA">
        <w:tab/>
        <w:t xml:space="preserve">En la última columna del encabezamiento del cuadro, 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SingleTxtG"/>
      </w:pPr>
      <w:r w:rsidRPr="00B654DA">
        <w:t>2.5.3.2.4</w:t>
      </w:r>
      <w:r w:rsidRPr="00B654DA">
        <w:tab/>
        <w:t xml:space="preserve">En las notas 3, 13, 18 y 27 del cuadro,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2.5.3.2.4</w:t>
      </w:r>
      <w:r w:rsidRPr="00B654DA">
        <w:tab/>
        <w:t xml:space="preserve">Al final del primer párrafo, añádase una nueva oración que diga lo siguiente: </w:t>
      </w:r>
      <w:r w:rsidR="00A069C9">
        <w:t>“</w:t>
      </w:r>
      <w:r w:rsidRPr="00B654DA">
        <w:t xml:space="preserve">Las formulaciones enumeradas en la instrucción de embalaje/envasado IBC520 de 4.1.4.2 y en la instrucción sobre cisternas portátiles T23 de 4.2.5.2.6 también podrán transportarse embaladas de conformidad con el método de embalaje/envasado OP8 de la instrucción de </w:t>
      </w:r>
      <w:r w:rsidRPr="00B654DA">
        <w:lastRenderedPageBreak/>
        <w:t>embalaje/envasado P520 de 4.1.4.1, con el mismo control y las mismas temperaturas de emergencia, si procede.</w:t>
      </w:r>
      <w:r w:rsidR="00A069C9">
        <w:t>”</w:t>
      </w:r>
      <w:r w:rsidRPr="00B654DA">
        <w:t>.</w:t>
      </w:r>
    </w:p>
    <w:p w:rsidR="007A3AD0" w:rsidRPr="00B654DA" w:rsidRDefault="007A3AD0" w:rsidP="007A3AD0">
      <w:pPr>
        <w:pStyle w:val="SingleTxtG"/>
      </w:pPr>
      <w:r w:rsidRPr="00B654DA">
        <w:t>2.5.3.2.4</w:t>
      </w:r>
      <w:r w:rsidRPr="00B654DA">
        <w:tab/>
        <w:t>Insértense en el cuadro las nuevas entradas siguientes:</w:t>
      </w:r>
    </w:p>
    <w:tbl>
      <w:tblPr>
        <w:tblW w:w="8525" w:type="dxa"/>
        <w:tblInd w:w="1134" w:type="dxa"/>
        <w:tblBorders>
          <w:top w:val="single" w:sz="4" w:space="0" w:color="auto"/>
        </w:tblBorders>
        <w:tblCellMar>
          <w:left w:w="0" w:type="dxa"/>
          <w:right w:w="0" w:type="dxa"/>
        </w:tblCellMar>
        <w:tblLook w:val="01E0" w:firstRow="1" w:lastRow="1" w:firstColumn="1" w:lastColumn="1" w:noHBand="0" w:noVBand="0"/>
      </w:tblPr>
      <w:tblGrid>
        <w:gridCol w:w="3122"/>
        <w:gridCol w:w="1511"/>
        <w:gridCol w:w="434"/>
        <w:gridCol w:w="448"/>
        <w:gridCol w:w="434"/>
        <w:gridCol w:w="378"/>
        <w:gridCol w:w="476"/>
        <w:gridCol w:w="420"/>
        <w:gridCol w:w="406"/>
        <w:gridCol w:w="490"/>
        <w:gridCol w:w="406"/>
      </w:tblGrid>
      <w:tr w:rsidR="00BD55EB" w:rsidRPr="00BD55EB" w:rsidTr="00EB568F">
        <w:trPr>
          <w:cantSplit/>
          <w:trHeight w:val="240"/>
          <w:tblHeader/>
        </w:trPr>
        <w:tc>
          <w:tcPr>
            <w:tcW w:w="3122"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rPr>
                <w:bCs/>
                <w:i/>
                <w:sz w:val="16"/>
                <w:szCs w:val="16"/>
              </w:rPr>
            </w:pPr>
            <w:r w:rsidRPr="00BD55EB">
              <w:rPr>
                <w:bCs/>
                <w:i/>
                <w:sz w:val="16"/>
                <w:szCs w:val="18"/>
              </w:rPr>
              <w:t>Peróxido orgánico</w:t>
            </w:r>
          </w:p>
        </w:tc>
        <w:tc>
          <w:tcPr>
            <w:tcW w:w="1511" w:type="dxa"/>
            <w:tcBorders>
              <w:top w:val="single" w:sz="4" w:space="0" w:color="auto"/>
              <w:bottom w:val="single" w:sz="12" w:space="0" w:color="auto"/>
            </w:tcBorders>
            <w:shd w:val="clear" w:color="auto" w:fill="auto"/>
            <w:vAlign w:val="bottom"/>
          </w:tcPr>
          <w:p w:rsidR="007A3AD0" w:rsidRPr="00BD55EB" w:rsidRDefault="007A3AD0" w:rsidP="00402B31">
            <w:pPr>
              <w:spacing w:before="80" w:after="80" w:line="200" w:lineRule="exact"/>
              <w:ind w:left="113"/>
              <w:rPr>
                <w:bCs/>
                <w:i/>
                <w:sz w:val="16"/>
                <w:szCs w:val="16"/>
              </w:rPr>
            </w:pPr>
            <w:r w:rsidRPr="00BD55EB">
              <w:rPr>
                <w:bCs/>
                <w:i/>
                <w:sz w:val="16"/>
                <w:szCs w:val="16"/>
              </w:rPr>
              <w:t>(2)</w:t>
            </w:r>
          </w:p>
        </w:tc>
        <w:tc>
          <w:tcPr>
            <w:tcW w:w="434"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(3)</w:t>
            </w:r>
          </w:p>
        </w:tc>
        <w:tc>
          <w:tcPr>
            <w:tcW w:w="448"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(4)</w:t>
            </w:r>
          </w:p>
        </w:tc>
        <w:tc>
          <w:tcPr>
            <w:tcW w:w="434"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(5)</w:t>
            </w:r>
          </w:p>
        </w:tc>
        <w:tc>
          <w:tcPr>
            <w:tcW w:w="378"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(6)</w:t>
            </w:r>
          </w:p>
        </w:tc>
        <w:tc>
          <w:tcPr>
            <w:tcW w:w="476"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(7)</w:t>
            </w:r>
          </w:p>
        </w:tc>
        <w:tc>
          <w:tcPr>
            <w:tcW w:w="420"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(8)</w:t>
            </w:r>
          </w:p>
        </w:tc>
        <w:tc>
          <w:tcPr>
            <w:tcW w:w="406"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(9)</w:t>
            </w:r>
          </w:p>
        </w:tc>
        <w:tc>
          <w:tcPr>
            <w:tcW w:w="490"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(10)</w:t>
            </w:r>
          </w:p>
        </w:tc>
        <w:tc>
          <w:tcPr>
            <w:tcW w:w="406" w:type="dxa"/>
            <w:tcBorders>
              <w:top w:val="single" w:sz="4" w:space="0" w:color="auto"/>
              <w:bottom w:val="single" w:sz="12" w:space="0" w:color="auto"/>
            </w:tcBorders>
            <w:shd w:val="clear" w:color="auto" w:fill="auto"/>
            <w:vAlign w:val="bottom"/>
          </w:tcPr>
          <w:p w:rsidR="007A3AD0" w:rsidRPr="00BD55EB" w:rsidRDefault="007A3AD0" w:rsidP="00BD55EB">
            <w:pPr>
              <w:spacing w:before="80" w:after="80" w:line="200" w:lineRule="exact"/>
              <w:ind w:left="113"/>
              <w:jc w:val="right"/>
              <w:rPr>
                <w:bCs/>
                <w:i/>
                <w:sz w:val="16"/>
                <w:szCs w:val="16"/>
              </w:rPr>
            </w:pPr>
            <w:r w:rsidRPr="00BD55EB">
              <w:rPr>
                <w:bCs/>
                <w:i/>
                <w:sz w:val="16"/>
                <w:szCs w:val="16"/>
              </w:rPr>
              <w:t>(11)</w:t>
            </w:r>
          </w:p>
        </w:tc>
      </w:tr>
      <w:tr w:rsidR="00BD55EB" w:rsidRPr="00BD55EB" w:rsidTr="00EB568F">
        <w:trPr>
          <w:cantSplit/>
          <w:trHeight w:hRule="exact" w:val="113"/>
        </w:trPr>
        <w:tc>
          <w:tcPr>
            <w:tcW w:w="3122" w:type="dxa"/>
            <w:tcBorders>
              <w:top w:val="single" w:sz="12" w:space="0" w:color="auto"/>
            </w:tcBorders>
            <w:shd w:val="clear" w:color="auto" w:fill="auto"/>
          </w:tcPr>
          <w:p w:rsidR="007A3AD0" w:rsidRPr="00BD55EB" w:rsidRDefault="007A3AD0" w:rsidP="00BD55EB">
            <w:pPr>
              <w:spacing w:before="40" w:after="40" w:line="220" w:lineRule="exact"/>
              <w:rPr>
                <w:bCs/>
                <w:sz w:val="18"/>
                <w:szCs w:val="18"/>
              </w:rPr>
            </w:pPr>
          </w:p>
        </w:tc>
        <w:tc>
          <w:tcPr>
            <w:tcW w:w="1511"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34"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48"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34"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378"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76"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20"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06"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90"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c>
          <w:tcPr>
            <w:tcW w:w="406" w:type="dxa"/>
            <w:tcBorders>
              <w:top w:val="single" w:sz="12" w:space="0" w:color="auto"/>
            </w:tcBorders>
            <w:shd w:val="clear" w:color="auto" w:fill="auto"/>
            <w:vAlign w:val="bottom"/>
          </w:tcPr>
          <w:p w:rsidR="007A3AD0" w:rsidRPr="00BD55EB" w:rsidRDefault="007A3AD0" w:rsidP="00BD55EB">
            <w:pPr>
              <w:spacing w:before="40" w:after="40" w:line="220" w:lineRule="exact"/>
              <w:ind w:left="113"/>
              <w:jc w:val="right"/>
              <w:rPr>
                <w:bCs/>
                <w:sz w:val="18"/>
                <w:szCs w:val="18"/>
              </w:rPr>
            </w:pPr>
          </w:p>
        </w:tc>
      </w:tr>
      <w:tr w:rsidR="00BD55EB" w:rsidRPr="00BD55EB" w:rsidTr="00402B31">
        <w:trPr>
          <w:cantSplit/>
          <w:trHeight w:val="240"/>
        </w:trPr>
        <w:tc>
          <w:tcPr>
            <w:tcW w:w="3122" w:type="dxa"/>
            <w:shd w:val="clear" w:color="auto" w:fill="auto"/>
          </w:tcPr>
          <w:p w:rsidR="007A3AD0" w:rsidRPr="00BD55EB" w:rsidRDefault="007A3AD0" w:rsidP="00BD55EB">
            <w:pPr>
              <w:spacing w:before="40" w:after="40" w:line="220" w:lineRule="exact"/>
              <w:rPr>
                <w:sz w:val="18"/>
                <w:szCs w:val="18"/>
              </w:rPr>
            </w:pPr>
            <w:r w:rsidRPr="00BD55EB">
              <w:rPr>
                <w:sz w:val="18"/>
                <w:szCs w:val="18"/>
              </w:rPr>
              <w:t>PERÓXIDO DE DIISOBUTIRILO</w:t>
            </w:r>
          </w:p>
        </w:tc>
        <w:tc>
          <w:tcPr>
            <w:tcW w:w="1511"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 42 en dispersión estable en agua)</w:t>
            </w:r>
          </w:p>
        </w:tc>
        <w:tc>
          <w:tcPr>
            <w:tcW w:w="434" w:type="dxa"/>
            <w:shd w:val="clear" w:color="auto" w:fill="auto"/>
          </w:tcPr>
          <w:p w:rsidR="007A3AD0" w:rsidRPr="00BD55EB" w:rsidRDefault="007A3AD0" w:rsidP="00BD55EB">
            <w:pPr>
              <w:spacing w:before="40" w:after="40" w:line="220" w:lineRule="exact"/>
              <w:ind w:left="113"/>
              <w:jc w:val="right"/>
              <w:rPr>
                <w:sz w:val="18"/>
                <w:szCs w:val="18"/>
              </w:rPr>
            </w:pPr>
          </w:p>
        </w:tc>
        <w:tc>
          <w:tcPr>
            <w:tcW w:w="448" w:type="dxa"/>
            <w:shd w:val="clear" w:color="auto" w:fill="auto"/>
          </w:tcPr>
          <w:p w:rsidR="007A3AD0" w:rsidRPr="00BD55EB" w:rsidRDefault="007A3AD0" w:rsidP="00BD55EB">
            <w:pPr>
              <w:spacing w:before="40" w:after="40" w:line="220" w:lineRule="exact"/>
              <w:ind w:left="113"/>
              <w:jc w:val="right"/>
              <w:rPr>
                <w:sz w:val="18"/>
                <w:szCs w:val="18"/>
              </w:rPr>
            </w:pPr>
          </w:p>
        </w:tc>
        <w:tc>
          <w:tcPr>
            <w:tcW w:w="434" w:type="dxa"/>
            <w:shd w:val="clear" w:color="auto" w:fill="auto"/>
          </w:tcPr>
          <w:p w:rsidR="007A3AD0" w:rsidRPr="00BD55EB" w:rsidRDefault="007A3AD0" w:rsidP="00BD55EB">
            <w:pPr>
              <w:spacing w:before="40" w:after="40" w:line="220" w:lineRule="exact"/>
              <w:ind w:left="113"/>
              <w:jc w:val="right"/>
              <w:rPr>
                <w:sz w:val="18"/>
                <w:szCs w:val="18"/>
              </w:rPr>
            </w:pPr>
          </w:p>
        </w:tc>
        <w:tc>
          <w:tcPr>
            <w:tcW w:w="378" w:type="dxa"/>
            <w:shd w:val="clear" w:color="auto" w:fill="auto"/>
          </w:tcPr>
          <w:p w:rsidR="007A3AD0" w:rsidRPr="00BD55EB" w:rsidRDefault="007A3AD0" w:rsidP="00BD55EB">
            <w:pPr>
              <w:spacing w:before="40" w:after="40" w:line="220" w:lineRule="exact"/>
              <w:ind w:left="113"/>
              <w:jc w:val="right"/>
              <w:rPr>
                <w:sz w:val="18"/>
                <w:szCs w:val="18"/>
              </w:rPr>
            </w:pPr>
          </w:p>
        </w:tc>
        <w:tc>
          <w:tcPr>
            <w:tcW w:w="476" w:type="dxa"/>
            <w:shd w:val="clear" w:color="auto" w:fill="auto"/>
          </w:tcPr>
          <w:p w:rsidR="007A3AD0" w:rsidRPr="00BD55EB" w:rsidRDefault="007A3AD0" w:rsidP="00BD55EB">
            <w:pPr>
              <w:spacing w:before="40" w:after="40" w:line="220" w:lineRule="exact"/>
              <w:ind w:left="113"/>
              <w:jc w:val="right"/>
              <w:rPr>
                <w:sz w:val="18"/>
              </w:rPr>
            </w:pPr>
            <w:r w:rsidRPr="00BD55EB">
              <w:rPr>
                <w:sz w:val="18"/>
                <w:szCs w:val="18"/>
              </w:rPr>
              <w:t>OP8</w:t>
            </w:r>
          </w:p>
        </w:tc>
        <w:tc>
          <w:tcPr>
            <w:tcW w:w="420"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-20</w:t>
            </w:r>
          </w:p>
        </w:tc>
        <w:tc>
          <w:tcPr>
            <w:tcW w:w="406"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-10</w:t>
            </w:r>
          </w:p>
        </w:tc>
        <w:tc>
          <w:tcPr>
            <w:tcW w:w="490"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3119</w:t>
            </w:r>
          </w:p>
        </w:tc>
        <w:tc>
          <w:tcPr>
            <w:tcW w:w="406" w:type="dxa"/>
            <w:shd w:val="clear" w:color="auto" w:fill="auto"/>
          </w:tcPr>
          <w:p w:rsidR="007A3AD0" w:rsidRPr="00BD55EB" w:rsidDel="00A9632D" w:rsidRDefault="007A3AD0" w:rsidP="00BD55EB">
            <w:pPr>
              <w:spacing w:before="40" w:after="40" w:line="220" w:lineRule="exact"/>
              <w:ind w:left="113"/>
              <w:jc w:val="right"/>
              <w:rPr>
                <w:sz w:val="18"/>
                <w:szCs w:val="18"/>
              </w:rPr>
            </w:pPr>
          </w:p>
        </w:tc>
      </w:tr>
      <w:tr w:rsidR="00BD55EB" w:rsidRPr="00BD55EB" w:rsidTr="00402B31">
        <w:trPr>
          <w:cantSplit/>
          <w:trHeight w:val="240"/>
        </w:trPr>
        <w:tc>
          <w:tcPr>
            <w:tcW w:w="3122" w:type="dxa"/>
            <w:shd w:val="clear" w:color="auto" w:fill="auto"/>
          </w:tcPr>
          <w:p w:rsidR="007A3AD0" w:rsidRPr="00BD55EB" w:rsidRDefault="007A3AD0" w:rsidP="00BD55EB">
            <w:pPr>
              <w:spacing w:before="40" w:after="40" w:line="220" w:lineRule="exact"/>
              <w:rPr>
                <w:sz w:val="18"/>
                <w:szCs w:val="18"/>
              </w:rPr>
            </w:pPr>
            <w:r w:rsidRPr="00BD55EB">
              <w:rPr>
                <w:sz w:val="18"/>
                <w:szCs w:val="18"/>
              </w:rPr>
              <w:t>PEROXIDICARBONATO DE DI-(4-terc-BUTILCICLOHEXILO)</w:t>
            </w:r>
          </w:p>
        </w:tc>
        <w:tc>
          <w:tcPr>
            <w:tcW w:w="1511" w:type="dxa"/>
            <w:shd w:val="clear" w:color="auto" w:fill="auto"/>
          </w:tcPr>
          <w:p w:rsidR="007A3AD0" w:rsidRPr="00BD55EB" w:rsidRDefault="007A3AD0" w:rsidP="00402B31">
            <w:pPr>
              <w:spacing w:before="40" w:after="40" w:line="220" w:lineRule="exact"/>
              <w:ind w:left="113"/>
              <w:rPr>
                <w:sz w:val="18"/>
                <w:szCs w:val="18"/>
              </w:rPr>
            </w:pPr>
            <w:r w:rsidRPr="00BD55EB">
              <w:rPr>
                <w:sz w:val="18"/>
                <w:szCs w:val="18"/>
              </w:rPr>
              <w:t>≤ 42 (pasta de)</w:t>
            </w:r>
          </w:p>
        </w:tc>
        <w:tc>
          <w:tcPr>
            <w:tcW w:w="434" w:type="dxa"/>
            <w:shd w:val="clear" w:color="auto" w:fill="auto"/>
          </w:tcPr>
          <w:p w:rsidR="007A3AD0" w:rsidRPr="00BD55EB" w:rsidRDefault="007A3AD0" w:rsidP="00BD55EB">
            <w:pPr>
              <w:spacing w:before="40" w:after="40" w:line="220" w:lineRule="exact"/>
              <w:ind w:left="113"/>
              <w:jc w:val="right"/>
              <w:rPr>
                <w:sz w:val="18"/>
                <w:szCs w:val="18"/>
              </w:rPr>
            </w:pPr>
          </w:p>
        </w:tc>
        <w:tc>
          <w:tcPr>
            <w:tcW w:w="448" w:type="dxa"/>
            <w:shd w:val="clear" w:color="auto" w:fill="auto"/>
          </w:tcPr>
          <w:p w:rsidR="007A3AD0" w:rsidRPr="00BD55EB" w:rsidRDefault="007A3AD0" w:rsidP="00BD55EB">
            <w:pPr>
              <w:spacing w:before="40" w:after="40" w:line="220" w:lineRule="exact"/>
              <w:ind w:left="113"/>
              <w:jc w:val="right"/>
              <w:rPr>
                <w:sz w:val="18"/>
                <w:szCs w:val="18"/>
              </w:rPr>
            </w:pPr>
          </w:p>
        </w:tc>
        <w:tc>
          <w:tcPr>
            <w:tcW w:w="434" w:type="dxa"/>
            <w:shd w:val="clear" w:color="auto" w:fill="auto"/>
          </w:tcPr>
          <w:p w:rsidR="007A3AD0" w:rsidRPr="00BD55EB" w:rsidRDefault="007A3AD0" w:rsidP="00BD55EB">
            <w:pPr>
              <w:spacing w:before="40" w:after="40" w:line="220" w:lineRule="exact"/>
              <w:ind w:left="113"/>
              <w:jc w:val="right"/>
              <w:rPr>
                <w:sz w:val="18"/>
                <w:szCs w:val="18"/>
              </w:rPr>
            </w:pPr>
          </w:p>
        </w:tc>
        <w:tc>
          <w:tcPr>
            <w:tcW w:w="378" w:type="dxa"/>
            <w:shd w:val="clear" w:color="auto" w:fill="auto"/>
          </w:tcPr>
          <w:p w:rsidR="007A3AD0" w:rsidRPr="00BD55EB" w:rsidRDefault="007A3AD0" w:rsidP="00BD55EB">
            <w:pPr>
              <w:spacing w:before="40" w:after="40" w:line="220" w:lineRule="exact"/>
              <w:ind w:left="113"/>
              <w:jc w:val="right"/>
              <w:rPr>
                <w:sz w:val="18"/>
                <w:szCs w:val="18"/>
              </w:rPr>
            </w:pPr>
          </w:p>
        </w:tc>
        <w:tc>
          <w:tcPr>
            <w:tcW w:w="476"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OP7</w:t>
            </w:r>
          </w:p>
        </w:tc>
        <w:tc>
          <w:tcPr>
            <w:tcW w:w="420"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35</w:t>
            </w:r>
          </w:p>
        </w:tc>
        <w:tc>
          <w:tcPr>
            <w:tcW w:w="406"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40</w:t>
            </w:r>
          </w:p>
        </w:tc>
        <w:tc>
          <w:tcPr>
            <w:tcW w:w="490" w:type="dxa"/>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3116</w:t>
            </w:r>
          </w:p>
        </w:tc>
        <w:tc>
          <w:tcPr>
            <w:tcW w:w="406" w:type="dxa"/>
            <w:shd w:val="clear" w:color="auto" w:fill="auto"/>
          </w:tcPr>
          <w:p w:rsidR="007A3AD0" w:rsidRPr="00BD55EB" w:rsidDel="00A9632D" w:rsidRDefault="007A3AD0" w:rsidP="00BD55EB">
            <w:pPr>
              <w:spacing w:before="40" w:after="40" w:line="220" w:lineRule="exact"/>
              <w:ind w:left="113"/>
              <w:jc w:val="right"/>
              <w:rPr>
                <w:sz w:val="18"/>
                <w:szCs w:val="18"/>
              </w:rPr>
            </w:pPr>
          </w:p>
        </w:tc>
      </w:tr>
      <w:tr w:rsidR="00BD55EB" w:rsidRPr="00BD55EB" w:rsidTr="00402B31">
        <w:trPr>
          <w:cantSplit/>
          <w:trHeight w:val="240"/>
        </w:trPr>
        <w:tc>
          <w:tcPr>
            <w:tcW w:w="3122" w:type="dxa"/>
            <w:tcBorders>
              <w:bottom w:val="single" w:sz="12" w:space="0" w:color="auto"/>
            </w:tcBorders>
            <w:shd w:val="clear" w:color="auto" w:fill="auto"/>
          </w:tcPr>
          <w:p w:rsidR="007A3AD0" w:rsidRPr="00BD55EB" w:rsidRDefault="007A3AD0" w:rsidP="00BD55EB">
            <w:pPr>
              <w:spacing w:before="40" w:after="40" w:line="220" w:lineRule="exact"/>
              <w:rPr>
                <w:sz w:val="18"/>
                <w:szCs w:val="18"/>
              </w:rPr>
            </w:pPr>
            <w:r w:rsidRPr="00BD55EB">
              <w:rPr>
                <w:sz w:val="18"/>
                <w:szCs w:val="18"/>
                <w:lang w:eastAsia="zh-CN"/>
              </w:rPr>
              <w:t>1-</w:t>
            </w:r>
            <w:r w:rsidRPr="00BD55EB">
              <w:rPr>
                <w:sz w:val="18"/>
                <w:szCs w:val="18"/>
              </w:rPr>
              <w:t xml:space="preserve">HIDROPERÓXIDO </w:t>
            </w:r>
            <w:r w:rsidRPr="00BD55EB">
              <w:rPr>
                <w:sz w:val="18"/>
                <w:szCs w:val="18"/>
              </w:rPr>
              <w:br/>
              <w:t>DE 1-FENILETILO</w:t>
            </w:r>
          </w:p>
        </w:tc>
        <w:tc>
          <w:tcPr>
            <w:tcW w:w="1511" w:type="dxa"/>
            <w:tcBorders>
              <w:bottom w:val="single" w:sz="12" w:space="0" w:color="auto"/>
            </w:tcBorders>
            <w:shd w:val="clear" w:color="auto" w:fill="auto"/>
          </w:tcPr>
          <w:p w:rsidR="007A3AD0" w:rsidRPr="00BD55EB" w:rsidRDefault="007A3AD0" w:rsidP="00402B31">
            <w:pPr>
              <w:spacing w:before="40" w:after="40" w:line="220" w:lineRule="exact"/>
              <w:ind w:left="113"/>
              <w:rPr>
                <w:sz w:val="18"/>
                <w:szCs w:val="18"/>
              </w:rPr>
            </w:pPr>
            <w:r w:rsidRPr="00BD55EB">
              <w:rPr>
                <w:sz w:val="18"/>
                <w:szCs w:val="18"/>
              </w:rPr>
              <w:t>≤ 38</w:t>
            </w:r>
          </w:p>
        </w:tc>
        <w:tc>
          <w:tcPr>
            <w:tcW w:w="434"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p>
        </w:tc>
        <w:tc>
          <w:tcPr>
            <w:tcW w:w="448"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 62</w:t>
            </w:r>
          </w:p>
        </w:tc>
        <w:tc>
          <w:tcPr>
            <w:tcW w:w="434"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p>
        </w:tc>
        <w:tc>
          <w:tcPr>
            <w:tcW w:w="378"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p>
        </w:tc>
        <w:tc>
          <w:tcPr>
            <w:tcW w:w="476"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OP8</w:t>
            </w:r>
          </w:p>
        </w:tc>
        <w:tc>
          <w:tcPr>
            <w:tcW w:w="420"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p>
        </w:tc>
        <w:tc>
          <w:tcPr>
            <w:tcW w:w="406"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p>
        </w:tc>
        <w:tc>
          <w:tcPr>
            <w:tcW w:w="490" w:type="dxa"/>
            <w:tcBorders>
              <w:bottom w:val="single" w:sz="12" w:space="0" w:color="auto"/>
            </w:tcBorders>
            <w:shd w:val="clear" w:color="auto" w:fill="auto"/>
          </w:tcPr>
          <w:p w:rsidR="007A3AD0" w:rsidRPr="00BD55EB" w:rsidRDefault="007A3AD0" w:rsidP="00BD55EB">
            <w:pPr>
              <w:spacing w:before="40" w:after="40" w:line="220" w:lineRule="exact"/>
              <w:ind w:left="113"/>
              <w:jc w:val="right"/>
              <w:rPr>
                <w:sz w:val="18"/>
                <w:szCs w:val="18"/>
              </w:rPr>
            </w:pPr>
            <w:r w:rsidRPr="00BD55EB">
              <w:rPr>
                <w:sz w:val="18"/>
                <w:szCs w:val="18"/>
              </w:rPr>
              <w:t>3109</w:t>
            </w:r>
          </w:p>
        </w:tc>
        <w:tc>
          <w:tcPr>
            <w:tcW w:w="406" w:type="dxa"/>
            <w:tcBorders>
              <w:bottom w:val="single" w:sz="12" w:space="0" w:color="auto"/>
            </w:tcBorders>
            <w:shd w:val="clear" w:color="auto" w:fill="auto"/>
          </w:tcPr>
          <w:p w:rsidR="007A3AD0" w:rsidRPr="00BD55EB" w:rsidDel="00A9632D" w:rsidRDefault="007A3AD0" w:rsidP="00BD55EB">
            <w:pPr>
              <w:spacing w:before="40" w:after="40" w:line="220" w:lineRule="exact"/>
              <w:ind w:left="113"/>
              <w:jc w:val="right"/>
              <w:rPr>
                <w:sz w:val="18"/>
                <w:szCs w:val="18"/>
              </w:rPr>
            </w:pPr>
          </w:p>
        </w:tc>
      </w:tr>
    </w:tbl>
    <w:p w:rsidR="007A3AD0" w:rsidRPr="00B654DA" w:rsidRDefault="007A3AD0" w:rsidP="00402B31">
      <w:pPr>
        <w:pStyle w:val="SingleTxtG"/>
        <w:spacing w:before="240" w:line="236" w:lineRule="atLeast"/>
      </w:pPr>
      <w:r w:rsidRPr="00B654DA">
        <w:t>2.5.3.3.2 b)</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02B31">
      <w:pPr>
        <w:pStyle w:val="SingleTxtG"/>
        <w:spacing w:line="236" w:lineRule="atLeast"/>
      </w:pPr>
      <w:r w:rsidRPr="00B654DA">
        <w:t>2.5.3.3.2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H1G"/>
      </w:pPr>
      <w:r w:rsidRPr="00B654DA">
        <w:tab/>
      </w:r>
      <w:r w:rsidRPr="00B654DA">
        <w:tab/>
        <w:t>Capítulo 2.6</w:t>
      </w:r>
    </w:p>
    <w:p w:rsidR="007A3AD0" w:rsidRPr="00B654DA" w:rsidRDefault="007A3AD0" w:rsidP="00402B31">
      <w:pPr>
        <w:pStyle w:val="SingleTxtG"/>
        <w:spacing w:line="236" w:lineRule="atLeast"/>
      </w:pPr>
      <w:r w:rsidRPr="00B654DA">
        <w:t>2.6.2.2.1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02B31">
      <w:pPr>
        <w:pStyle w:val="SingleTxtG"/>
        <w:spacing w:line="236" w:lineRule="atLeast"/>
      </w:pPr>
      <w:r w:rsidRPr="00B654DA">
        <w:t>2.6.2.2.1 a), b) y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02B31">
      <w:pPr>
        <w:pStyle w:val="SingleTxtG"/>
        <w:spacing w:line="236" w:lineRule="atLeast"/>
      </w:pPr>
      <w:r w:rsidRPr="00B654DA">
        <w:t>2.6.2.4.1</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402B31">
      <w:pPr>
        <w:pStyle w:val="SingleTxtG"/>
        <w:spacing w:line="236" w:lineRule="atLeast"/>
      </w:pPr>
      <w:r w:rsidRPr="00B654DA">
        <w:t>2.6.2.4.3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02B31">
      <w:pPr>
        <w:pStyle w:val="SingleTxtG"/>
        <w:spacing w:line="236" w:lineRule="atLeast"/>
      </w:pPr>
      <w:r w:rsidRPr="00B654DA">
        <w:t>2.6.3.1.4</w:t>
      </w:r>
      <w:r w:rsidRPr="00B654DA">
        <w:tab/>
        <w:t xml:space="preserve">En la definición de </w:t>
      </w:r>
      <w:r w:rsidR="00A069C9" w:rsidRPr="00402B31">
        <w:rPr>
          <w:i/>
        </w:rPr>
        <w:t>“</w:t>
      </w:r>
      <w:r w:rsidRPr="00402B31">
        <w:rPr>
          <w:i/>
        </w:rPr>
        <w:t>Especí</w:t>
      </w:r>
      <w:r w:rsidRPr="00402B31">
        <w:rPr>
          <w:i/>
          <w:spacing w:val="1"/>
        </w:rPr>
        <w:t>m</w:t>
      </w:r>
      <w:r w:rsidRPr="00402B31">
        <w:rPr>
          <w:i/>
        </w:rPr>
        <w:t>enes de</w:t>
      </w:r>
      <w:r w:rsidRPr="00402B31">
        <w:rPr>
          <w:i/>
          <w:spacing w:val="9"/>
        </w:rPr>
        <w:t xml:space="preserve"> </w:t>
      </w:r>
      <w:r w:rsidRPr="00402B31">
        <w:rPr>
          <w:i/>
        </w:rPr>
        <w:t>pacientes</w:t>
      </w:r>
      <w:r w:rsidR="00A069C9" w:rsidRPr="00402B31">
        <w:rPr>
          <w:i/>
        </w:rPr>
        <w:t>”</w:t>
      </w:r>
      <w:r w:rsidRPr="00B654DA">
        <w:t xml:space="preserve">, sustitúyase </w:t>
      </w:r>
      <w:r w:rsidR="00A069C9">
        <w:t>“</w:t>
      </w:r>
      <w:r w:rsidRPr="00B654DA">
        <w:t>los</w:t>
      </w:r>
      <w:r w:rsidRPr="00B654DA">
        <w:rPr>
          <w:spacing w:val="9"/>
        </w:rPr>
        <w:t xml:space="preserve"> </w:t>
      </w:r>
      <w:r w:rsidRPr="00B654DA">
        <w:rPr>
          <w:spacing w:val="-2"/>
        </w:rPr>
        <w:t>m</w:t>
      </w:r>
      <w:r w:rsidRPr="00B654DA">
        <w:t>ate</w:t>
      </w:r>
      <w:r w:rsidRPr="00B654DA">
        <w:rPr>
          <w:spacing w:val="1"/>
        </w:rPr>
        <w:t>r</w:t>
      </w:r>
      <w:r w:rsidRPr="00B654DA">
        <w:t>iales</w:t>
      </w:r>
      <w:r w:rsidRPr="00B654DA">
        <w:rPr>
          <w:spacing w:val="2"/>
        </w:rPr>
        <w:t xml:space="preserve"> </w:t>
      </w:r>
      <w:r w:rsidRPr="00B654DA">
        <w:t>h</w:t>
      </w:r>
      <w:r w:rsidRPr="00B654DA">
        <w:rPr>
          <w:spacing w:val="2"/>
        </w:rPr>
        <w:t>u</w:t>
      </w:r>
      <w:r w:rsidRPr="00B654DA">
        <w:rPr>
          <w:spacing w:val="-2"/>
        </w:rPr>
        <w:t>m</w:t>
      </w:r>
      <w:r w:rsidRPr="00B654DA">
        <w:t>anos</w:t>
      </w:r>
      <w:r w:rsidRPr="00B654DA">
        <w:rPr>
          <w:spacing w:val="3"/>
        </w:rPr>
        <w:t xml:space="preserve"> </w:t>
      </w:r>
      <w:r w:rsidRPr="00B654DA">
        <w:t>o</w:t>
      </w:r>
      <w:r w:rsidRPr="00B654DA">
        <w:rPr>
          <w:spacing w:val="10"/>
        </w:rPr>
        <w:t xml:space="preserve"> </w:t>
      </w:r>
      <w:r w:rsidRPr="00B654DA">
        <w:t>animales</w:t>
      </w:r>
      <w:r w:rsidRPr="00B654DA">
        <w:rPr>
          <w:spacing w:val="4"/>
        </w:rPr>
        <w:t xml:space="preserve"> </w:t>
      </w:r>
      <w:r w:rsidRPr="00B654DA">
        <w:t>extraídos</w:t>
      </w:r>
      <w:r w:rsidRPr="00B654DA">
        <w:rPr>
          <w:spacing w:val="3"/>
        </w:rPr>
        <w:t xml:space="preserve"> </w:t>
      </w:r>
      <w:r w:rsidRPr="00B654DA">
        <w:t>direct</w:t>
      </w:r>
      <w:r w:rsidRPr="00B654DA">
        <w:rPr>
          <w:spacing w:val="1"/>
        </w:rPr>
        <w:t>a</w:t>
      </w:r>
      <w:r w:rsidRPr="00B654DA">
        <w:t>mente</w:t>
      </w:r>
      <w:r w:rsidR="00A069C9">
        <w:t>”</w:t>
      </w:r>
      <w:r w:rsidRPr="00B654DA">
        <w:t xml:space="preserve"> por </w:t>
      </w:r>
      <w:r w:rsidR="00A069C9">
        <w:t>“</w:t>
      </w:r>
      <w:r w:rsidRPr="00B654DA">
        <w:t>los</w:t>
      </w:r>
      <w:r w:rsidRPr="00B654DA">
        <w:rPr>
          <w:spacing w:val="9"/>
        </w:rPr>
        <w:t xml:space="preserve"> </w:t>
      </w:r>
      <w:r w:rsidRPr="00B654DA">
        <w:t>extraídos</w:t>
      </w:r>
      <w:r w:rsidRPr="00B654DA">
        <w:rPr>
          <w:spacing w:val="3"/>
        </w:rPr>
        <w:t xml:space="preserve"> </w:t>
      </w:r>
      <w:r w:rsidRPr="00B654DA">
        <w:t>direct</w:t>
      </w:r>
      <w:r w:rsidRPr="00B654DA">
        <w:rPr>
          <w:spacing w:val="1"/>
        </w:rPr>
        <w:t>a</w:t>
      </w:r>
      <w:r w:rsidRPr="00B654DA">
        <w:t>mente</w:t>
      </w:r>
      <w:r w:rsidR="00A069C9">
        <w:t>”</w:t>
      </w:r>
      <w:r w:rsidRPr="00B654DA">
        <w:t>.</w:t>
      </w:r>
    </w:p>
    <w:p w:rsidR="007A3AD0" w:rsidRPr="00B654DA" w:rsidRDefault="007A3AD0" w:rsidP="00402B31">
      <w:pPr>
        <w:pStyle w:val="SingleTxtG"/>
        <w:spacing w:line="236" w:lineRule="atLeast"/>
      </w:pPr>
      <w:r w:rsidRPr="00B654DA">
        <w:t>2.6.3.6.2</w:t>
      </w:r>
      <w:r w:rsidRPr="00B654DA">
        <w:tab/>
        <w:t xml:space="preserve">Suprímase la subsección y añádase </w:t>
      </w:r>
      <w:r w:rsidR="00A069C9">
        <w:t>“</w:t>
      </w:r>
      <w:r w:rsidRPr="00B654DA">
        <w:t xml:space="preserve">2.6.3.6.2 </w:t>
      </w:r>
      <w:r w:rsidRPr="00B654DA">
        <w:tab/>
      </w:r>
      <w:r w:rsidRPr="00B654DA">
        <w:rPr>
          <w:i/>
        </w:rPr>
        <w:t>Suprimido</w:t>
      </w:r>
      <w:r w:rsidR="00A069C9">
        <w:t>”</w:t>
      </w:r>
      <w:r w:rsidRPr="00B654DA">
        <w:t>.</w:t>
      </w:r>
    </w:p>
    <w:p w:rsidR="007A3AD0" w:rsidRPr="00B654DA" w:rsidRDefault="007A3AD0" w:rsidP="00A1689D">
      <w:pPr>
        <w:pStyle w:val="H1G"/>
      </w:pPr>
      <w:r w:rsidRPr="00B654DA">
        <w:tab/>
      </w:r>
      <w:r w:rsidRPr="00B654DA">
        <w:tab/>
        <w:t>Capítulo 2.8</w:t>
      </w:r>
    </w:p>
    <w:p w:rsidR="007A3AD0" w:rsidRPr="00B654DA" w:rsidRDefault="007A3AD0" w:rsidP="00A1689D">
      <w:pPr>
        <w:pStyle w:val="SingleTxtG"/>
        <w:ind w:left="1701" w:hanging="567"/>
      </w:pPr>
      <w:r w:rsidRPr="00B654DA">
        <w:t>Modifí</w:t>
      </w:r>
      <w:r w:rsidR="00402B31">
        <w:t>quese el c</w:t>
      </w:r>
      <w:r w:rsidRPr="00B654DA">
        <w:t>apítulo 2.8 para que diga lo siguiente:</w:t>
      </w:r>
    </w:p>
    <w:p w:rsidR="007A3AD0" w:rsidRPr="00B654DA" w:rsidRDefault="00A069C9" w:rsidP="00A1689D">
      <w:pPr>
        <w:pStyle w:val="SingleTxtG"/>
        <w:rPr>
          <w:b/>
        </w:rPr>
      </w:pPr>
      <w:r>
        <w:t>“</w:t>
      </w:r>
      <w:r w:rsidR="007A3AD0" w:rsidRPr="00B654DA">
        <w:rPr>
          <w:b/>
        </w:rPr>
        <w:t>CAPÍTULO 2.8</w:t>
      </w:r>
    </w:p>
    <w:p w:rsidR="007A3AD0" w:rsidRPr="00B654DA" w:rsidRDefault="007A3AD0" w:rsidP="00A1689D">
      <w:pPr>
        <w:pStyle w:val="SingleTxtG"/>
        <w:rPr>
          <w:b/>
        </w:rPr>
      </w:pPr>
      <w:r w:rsidRPr="00B654DA">
        <w:rPr>
          <w:b/>
        </w:rPr>
        <w:t xml:space="preserve">CLASE 8 </w:t>
      </w:r>
      <w:r w:rsidR="00402B31">
        <w:rPr>
          <w:b/>
        </w:rPr>
        <w:t>–</w:t>
      </w:r>
      <w:r w:rsidRPr="00B654DA">
        <w:rPr>
          <w:b/>
        </w:rPr>
        <w:t xml:space="preserve"> SUSTANCIAS CORROSIVAS</w:t>
      </w:r>
    </w:p>
    <w:p w:rsidR="007A3AD0" w:rsidRPr="00B654DA" w:rsidRDefault="007A3AD0" w:rsidP="00A1689D">
      <w:pPr>
        <w:pStyle w:val="SingleTxtG"/>
        <w:rPr>
          <w:b/>
          <w:u w:val="single"/>
        </w:rPr>
      </w:pPr>
      <w:r w:rsidRPr="00B654DA">
        <w:rPr>
          <w:b/>
        </w:rPr>
        <w:t>2.8.1</w:t>
      </w:r>
      <w:r w:rsidRPr="00B654DA">
        <w:rPr>
          <w:b/>
        </w:rPr>
        <w:tab/>
      </w:r>
      <w:r w:rsidRPr="00B654DA">
        <w:rPr>
          <w:b/>
        </w:rPr>
        <w:tab/>
        <w:t>Definición y disposiciones generales</w:t>
      </w:r>
      <w:r w:rsidRPr="00B654DA">
        <w:rPr>
          <w:b/>
          <w:u w:val="single"/>
        </w:rPr>
        <w:t xml:space="preserve"> </w:t>
      </w:r>
    </w:p>
    <w:p w:rsidR="007A3AD0" w:rsidRPr="00B654DA" w:rsidRDefault="007A3AD0" w:rsidP="00A1689D">
      <w:pPr>
        <w:pStyle w:val="SingleTxtG"/>
      </w:pPr>
      <w:r w:rsidRPr="00B654DA">
        <w:t xml:space="preserve">2.8.1.1 </w:t>
      </w:r>
      <w:r w:rsidRPr="00B654DA">
        <w:tab/>
        <w:t xml:space="preserve">Las </w:t>
      </w:r>
      <w:r w:rsidRPr="00B654DA">
        <w:rPr>
          <w:i/>
        </w:rPr>
        <w:t>sustancias corrosivas</w:t>
      </w:r>
      <w:r w:rsidRPr="00B654DA">
        <w:t xml:space="preserve"> son sustancias que, por su acción química, causan lesiones irreversibles en la piel o que, si se produce un escape, pueden causar daños de consideración a otras mercancías o a los medios de transporte.</w:t>
      </w:r>
    </w:p>
    <w:p w:rsidR="007A3AD0" w:rsidRPr="00B654DA" w:rsidRDefault="007A3AD0" w:rsidP="00A1689D">
      <w:pPr>
        <w:pStyle w:val="SingleTxtG"/>
      </w:pPr>
      <w:r w:rsidRPr="00B654DA">
        <w:t xml:space="preserve">2.8.1.2 </w:t>
      </w:r>
      <w:r w:rsidRPr="00B654DA">
        <w:tab/>
        <w:t>En la sección 2.8.2 figuran las disposiciones generales para la clasificación de</w:t>
      </w:r>
      <w:r w:rsidR="00965478">
        <w:t xml:space="preserve"> </w:t>
      </w:r>
      <w:r w:rsidRPr="00B654DA">
        <w:t>las sustancias y mezclas que provocan corrosión cutánea. Por corrosión cutánea se entiende la formación de una lesión irreversible de la piel; tal como necrosis visible a través de la epidermis hasta la dermis, que ocurre después de la exposición a una sustancia o mezcla.</w:t>
      </w:r>
    </w:p>
    <w:p w:rsidR="007A3AD0" w:rsidRPr="00B654DA" w:rsidRDefault="007A3AD0" w:rsidP="00A1689D">
      <w:pPr>
        <w:pStyle w:val="SingleTxtG"/>
      </w:pPr>
      <w:r w:rsidRPr="00B654DA">
        <w:t xml:space="preserve">2.8.1.3 </w:t>
      </w:r>
      <w:r w:rsidRPr="00B654DA">
        <w:tab/>
        <w:t>Los líquidos, y los sólidos que pueden fundirse durante el transporte que se considere que no causan corrosión cutánea, se seguirán tomando en consideración debido a la capacidad que tienen de corroer la superficie de ciertos metales co</w:t>
      </w:r>
      <w:r w:rsidR="00402B31">
        <w:t>nforme a los criterios del 2.8.3</w:t>
      </w:r>
      <w:r w:rsidRPr="00B654DA">
        <w:t>.</w:t>
      </w:r>
      <w:r w:rsidR="00402B31">
        <w:t>3</w:t>
      </w:r>
      <w:r w:rsidRPr="00B654DA">
        <w:t xml:space="preserve"> c) ii). </w:t>
      </w:r>
    </w:p>
    <w:p w:rsidR="007A3AD0" w:rsidRPr="00B654DA" w:rsidRDefault="007A3AD0" w:rsidP="00A1689D">
      <w:pPr>
        <w:pStyle w:val="SingleTxtG"/>
        <w:rPr>
          <w:b/>
        </w:rPr>
      </w:pPr>
      <w:r w:rsidRPr="00B654DA">
        <w:rPr>
          <w:b/>
        </w:rPr>
        <w:t>2.8.2</w:t>
      </w:r>
      <w:r w:rsidRPr="00B654DA">
        <w:rPr>
          <w:b/>
        </w:rPr>
        <w:tab/>
      </w:r>
      <w:r w:rsidRPr="00B654DA">
        <w:rPr>
          <w:b/>
        </w:rPr>
        <w:tab/>
        <w:t>Disposiciones generales para la clasificación</w:t>
      </w:r>
    </w:p>
    <w:p w:rsidR="007A3AD0" w:rsidRPr="00B654DA" w:rsidRDefault="007A3AD0" w:rsidP="00A1689D">
      <w:pPr>
        <w:pStyle w:val="SingleTxtG"/>
      </w:pPr>
      <w:r w:rsidRPr="00B654DA">
        <w:t xml:space="preserve">2.8.2.1 </w:t>
      </w:r>
      <w:r w:rsidRPr="00B654DA">
        <w:tab/>
        <w:t xml:space="preserve">Las sustancias y mezclas de la clase 8 se dividen en los siguientes tres grupos de embalaje/envase según su grado de peligro durante el transporte: </w:t>
      </w:r>
    </w:p>
    <w:p w:rsidR="007A3AD0" w:rsidRPr="00B654DA" w:rsidRDefault="007A3AD0" w:rsidP="00A1689D">
      <w:pPr>
        <w:pStyle w:val="SingleTxtG"/>
        <w:ind w:left="2268"/>
      </w:pPr>
      <w:r w:rsidRPr="00B654DA">
        <w:t>a)</w:t>
      </w:r>
      <w:r w:rsidRPr="00B654DA">
        <w:tab/>
      </w:r>
      <w:r w:rsidRPr="00B654DA">
        <w:rPr>
          <w:i/>
        </w:rPr>
        <w:t xml:space="preserve">Grupo de embalaje/envase I: </w:t>
      </w:r>
      <w:r w:rsidRPr="00B654DA">
        <w:t xml:space="preserve">Sustancias y mezclas muy peligrosas; </w:t>
      </w:r>
    </w:p>
    <w:p w:rsidR="007A3AD0" w:rsidRPr="00B654DA" w:rsidRDefault="007A3AD0" w:rsidP="00A1689D">
      <w:pPr>
        <w:pStyle w:val="SingleTxtG"/>
        <w:ind w:left="2268"/>
      </w:pPr>
      <w:r w:rsidRPr="00B654DA">
        <w:t xml:space="preserve">b) </w:t>
      </w:r>
      <w:r w:rsidRPr="00B654DA">
        <w:tab/>
      </w:r>
      <w:r w:rsidRPr="00B654DA">
        <w:rPr>
          <w:i/>
        </w:rPr>
        <w:t xml:space="preserve">Grupo de embalaje/envase II: </w:t>
      </w:r>
      <w:r w:rsidRPr="00B654DA">
        <w:t>Sustancias y mezclas moderadamente peligrosas;</w:t>
      </w:r>
    </w:p>
    <w:p w:rsidR="007A3AD0" w:rsidRPr="00B654DA" w:rsidRDefault="007A3AD0" w:rsidP="007A3AD0">
      <w:pPr>
        <w:pStyle w:val="SingleTxtG"/>
        <w:ind w:left="2268"/>
        <w:rPr>
          <w:i/>
        </w:rPr>
      </w:pPr>
      <w:r w:rsidRPr="00B654DA">
        <w:lastRenderedPageBreak/>
        <w:t xml:space="preserve">c) </w:t>
      </w:r>
      <w:r w:rsidRPr="00B654DA">
        <w:tab/>
      </w:r>
      <w:r w:rsidRPr="00B654DA">
        <w:rPr>
          <w:i/>
        </w:rPr>
        <w:t xml:space="preserve">Grupo de embalaje/envase III: </w:t>
      </w:r>
      <w:r w:rsidRPr="00B654DA">
        <w:t xml:space="preserve">Sustancias y mezclas poco peligrosas. </w:t>
      </w:r>
    </w:p>
    <w:p w:rsidR="007A3AD0" w:rsidRPr="00B654DA" w:rsidRDefault="007A3AD0" w:rsidP="007A3AD0">
      <w:pPr>
        <w:pStyle w:val="SingleTxtG"/>
      </w:pPr>
      <w:r w:rsidRPr="00B654DA">
        <w:t xml:space="preserve">2.8.2.2 </w:t>
      </w:r>
      <w:r w:rsidRPr="00B654DA">
        <w:tab/>
        <w:t xml:space="preserve">La adscripción de las sustancias de la lista de mercancías peligrosas del capítulo 3.2 a uno u otro de los grupos de embalaje/envase de la clase 8 se ha basado en la experiencia adquirida, teniendo asimismo en cuenta otros factores tales como el riesgo por inhalación (véase 2.8.2.4) y la capacidad de reacción con el agua (incluida la formación de productos de descomposición peligrosos). </w:t>
      </w:r>
    </w:p>
    <w:p w:rsidR="007A3AD0" w:rsidRPr="00B654DA" w:rsidRDefault="007A3AD0" w:rsidP="007A3AD0">
      <w:pPr>
        <w:pStyle w:val="SingleTxtG"/>
      </w:pPr>
      <w:r w:rsidRPr="00B654DA">
        <w:t>2.8.2.3</w:t>
      </w:r>
      <w:r w:rsidRPr="00B654DA">
        <w:tab/>
      </w:r>
      <w:r w:rsidRPr="00B654DA">
        <w:tab/>
        <w:t xml:space="preserve">Las sustancias y las mezclas nuevas podrán asignarse a los grupos de embalaje/envase en función de la duración del contacto necesaria para causar lesiones irreversibles en un tejido cutáneo intacto según los criterios de 2.8.3. En el caso de las mezclas, podrán emplearse los criterios de 2.8.4. </w:t>
      </w:r>
    </w:p>
    <w:p w:rsidR="007A3AD0" w:rsidRPr="00B654DA" w:rsidRDefault="007A3AD0" w:rsidP="007A3AD0">
      <w:pPr>
        <w:pStyle w:val="SingleTxtG"/>
      </w:pPr>
      <w:r w:rsidRPr="00B654DA">
        <w:t xml:space="preserve">2.8.2.4 </w:t>
      </w:r>
      <w:r w:rsidRPr="00B654DA">
        <w:tab/>
        <w:t>Las sustancias o mezclas que respondan a los criterios establecidos para la clase 8 y cuya toxicidad por inhalación de polvos o nieblas (CL</w:t>
      </w:r>
      <w:r w:rsidRPr="00B654DA">
        <w:rPr>
          <w:vertAlign w:val="subscript"/>
        </w:rPr>
        <w:t>50</w:t>
      </w:r>
      <w:r w:rsidRPr="00B654DA">
        <w:t>) requeriría su adscripción al grupo de embalaje/envase I, pero cuya toxicidad por ingestión o por absorción cutánea esté dentro de la escala de valores del grupo de embalaje/envase III solamente o no llegue a entrar en ella, se asignarán a la clase 8 (véase la Nota al pie de 2.6.2.2.4.1).</w:t>
      </w:r>
    </w:p>
    <w:p w:rsidR="007A3AD0" w:rsidRPr="00B654DA" w:rsidRDefault="007A3AD0" w:rsidP="007A3AD0">
      <w:pPr>
        <w:pStyle w:val="SingleTxtG"/>
        <w:rPr>
          <w:b/>
        </w:rPr>
      </w:pPr>
      <w:r w:rsidRPr="00B654DA">
        <w:rPr>
          <w:b/>
        </w:rPr>
        <w:t>2.8.3</w:t>
      </w:r>
      <w:r w:rsidRPr="00B654DA">
        <w:rPr>
          <w:b/>
        </w:rPr>
        <w:tab/>
      </w:r>
      <w:r w:rsidRPr="00B654DA">
        <w:rPr>
          <w:b/>
        </w:rPr>
        <w:tab/>
        <w:t>Asignación del grupo de embalaje/envase a las sustancias o mezclas</w:t>
      </w:r>
    </w:p>
    <w:p w:rsidR="007A3AD0" w:rsidRPr="00B654DA" w:rsidRDefault="007A3AD0" w:rsidP="007A3AD0">
      <w:pPr>
        <w:pStyle w:val="SingleTxtG"/>
      </w:pPr>
      <w:r w:rsidRPr="00B654DA">
        <w:t>2.8.3.1</w:t>
      </w:r>
      <w:r w:rsidRPr="00B654DA">
        <w:tab/>
      </w:r>
      <w:r w:rsidRPr="00B654DA">
        <w:tab/>
        <w:t>Los datos existentes sobre animales y humanos, incluida la información relativa a la exposición única o repetida, serán la primera línea de la evaluación, ya que aportan información directamente relacionada con los efectos en la piel.</w:t>
      </w:r>
    </w:p>
    <w:p w:rsidR="007A3AD0" w:rsidRPr="00B654DA" w:rsidRDefault="007A3AD0" w:rsidP="007A3AD0">
      <w:pPr>
        <w:pStyle w:val="SingleTxtG"/>
      </w:pPr>
      <w:r w:rsidRPr="00B654DA">
        <w:t>2.8.3.2</w:t>
      </w:r>
      <w:r w:rsidRPr="00B654DA">
        <w:tab/>
      </w:r>
      <w:r w:rsidRPr="00B654DA">
        <w:tab/>
        <w:t>Al realizar la asignación a un grupo de embalaje/envase de conformidad con</w:t>
      </w:r>
      <w:r w:rsidR="00A1689D">
        <w:t> </w:t>
      </w:r>
      <w:r w:rsidRPr="00B654DA">
        <w:t>2.8.2.3 se tendrá en cuenta la experiencia en casos de exposición accidental de humanos. Cuando no exista tal experiencia, esa adscripción se basará en los datos obtenidos mediante experimentación con arreglo a las directrices de la OCDE para los ensayos 404</w:t>
      </w:r>
      <w:r w:rsidRPr="00B654DA">
        <w:rPr>
          <w:rStyle w:val="FootnoteReference"/>
        </w:rPr>
        <w:footnoteReference w:id="2"/>
      </w:r>
      <w:r w:rsidRPr="00B654DA">
        <w:t xml:space="preserve"> o</w:t>
      </w:r>
      <w:r w:rsidR="00A1689D">
        <w:t> </w:t>
      </w:r>
      <w:r w:rsidRPr="00B654DA">
        <w:t>435</w:t>
      </w:r>
      <w:r w:rsidRPr="00B654DA">
        <w:rPr>
          <w:rStyle w:val="FootnoteReference"/>
        </w:rPr>
        <w:footnoteReference w:id="3"/>
      </w:r>
      <w:r w:rsidRPr="00B654DA">
        <w:t>. Toda sustancia que se clasifique como no corrosiva de conformidad con las directrices de la OCDE para los ensayos 430</w:t>
      </w:r>
      <w:r w:rsidRPr="00B654DA">
        <w:rPr>
          <w:rStyle w:val="FootnoteReference"/>
        </w:rPr>
        <w:footnoteReference w:id="4"/>
      </w:r>
      <w:r w:rsidRPr="00B654DA">
        <w:t xml:space="preserve"> o 431</w:t>
      </w:r>
      <w:r w:rsidRPr="00B654DA">
        <w:rPr>
          <w:rStyle w:val="FootnoteReference"/>
        </w:rPr>
        <w:footnoteReference w:id="5"/>
      </w:r>
      <w:r w:rsidRPr="00B654DA">
        <w:t>, podrá considerarse no corrosiva para la piel a los efectos de la presente Reglamentación sin necesidad de nuevos ensayos.</w:t>
      </w:r>
    </w:p>
    <w:p w:rsidR="007A3AD0" w:rsidRPr="00B654DA" w:rsidRDefault="007A3AD0" w:rsidP="007A3AD0">
      <w:pPr>
        <w:pStyle w:val="SingleTxtG"/>
      </w:pPr>
      <w:r w:rsidRPr="00B654DA">
        <w:t>2.8.3.3</w:t>
      </w:r>
      <w:r w:rsidRPr="00B654DA">
        <w:tab/>
      </w:r>
      <w:r w:rsidRPr="00B654DA">
        <w:tab/>
        <w:t>Los grupos de embalaje/envase se asignan a las sustancias corrosivas de conformidad con los siguientes criterios (véase el cuadro 2.8.3.4):</w:t>
      </w:r>
      <w:r w:rsidRPr="00B654DA" w:rsidDel="00A03489">
        <w:t xml:space="preserve"> </w:t>
      </w:r>
    </w:p>
    <w:p w:rsidR="007A3AD0" w:rsidRPr="00B654DA" w:rsidRDefault="007A3AD0" w:rsidP="007A3AD0">
      <w:pPr>
        <w:pStyle w:val="SingleTxtG"/>
        <w:ind w:left="2268"/>
      </w:pPr>
      <w:r w:rsidRPr="00B654DA">
        <w:t>a)</w:t>
      </w:r>
      <w:r w:rsidRPr="00B654DA">
        <w:tab/>
        <w:t xml:space="preserve">El grupo de embalaje/envase I se asigna a las sustancias que causan lesiones irreversibles en un tejido cutáneo intacto, durante un período de observación de 60 minutos iniciado inmediatamente después de un período de exposición de </w:t>
      </w:r>
      <w:r w:rsidR="00AC5BC7">
        <w:t>3 minutos o menos;</w:t>
      </w:r>
    </w:p>
    <w:p w:rsidR="007A3AD0" w:rsidRPr="00B654DA" w:rsidRDefault="007A3AD0" w:rsidP="007A3AD0">
      <w:pPr>
        <w:pStyle w:val="SingleTxtG"/>
        <w:ind w:left="2268"/>
      </w:pPr>
      <w:r w:rsidRPr="00B654DA">
        <w:t>b)</w:t>
      </w:r>
      <w:r w:rsidRPr="00B654DA">
        <w:tab/>
        <w:t xml:space="preserve">El grupo de embalaje/envase II se asigna a las sustancias que causan lesiones irreversibles en un tejido cutáneo intacto, durante un período de observación de 14 días iniciado inmediatamente después de un período de exposición de más de </w:t>
      </w:r>
      <w:r w:rsidR="00EA15A5">
        <w:t>3</w:t>
      </w:r>
      <w:r w:rsidRPr="00B654DA">
        <w:t xml:space="preserve"> minut</w:t>
      </w:r>
      <w:r w:rsidR="00AC5BC7">
        <w:t>os pero de no más de 60 minutos;</w:t>
      </w:r>
    </w:p>
    <w:p w:rsidR="007A3AD0" w:rsidRPr="00B654DA" w:rsidRDefault="007A3AD0" w:rsidP="007A3AD0">
      <w:pPr>
        <w:pStyle w:val="SingleTxtG"/>
        <w:ind w:left="2268"/>
      </w:pPr>
      <w:r w:rsidRPr="00B654DA">
        <w:t xml:space="preserve">c) </w:t>
      </w:r>
      <w:r w:rsidRPr="00B654DA">
        <w:tab/>
        <w:t>El grupo de embalaje/envase III se asigna a las sustancias:</w:t>
      </w:r>
    </w:p>
    <w:p w:rsidR="007A3AD0" w:rsidRPr="00B654DA" w:rsidRDefault="007A3AD0" w:rsidP="007A3AD0">
      <w:pPr>
        <w:pStyle w:val="SingleTxtG"/>
        <w:ind w:left="2835"/>
      </w:pPr>
      <w:r w:rsidRPr="00B654DA">
        <w:t>i)</w:t>
      </w:r>
      <w:r w:rsidRPr="00B654DA">
        <w:tab/>
        <w:t xml:space="preserve">Que causan lesiones irreversibles en un tejido cutáneo intacto durante un período de observación de 14 días iniciado inmediatamente después de un período de exposición de más de 60 minutos pero de no más de </w:t>
      </w:r>
      <w:r w:rsidR="00A1689D">
        <w:t>4</w:t>
      </w:r>
      <w:r w:rsidRPr="00B654DA">
        <w:t xml:space="preserve"> horas; o</w:t>
      </w:r>
    </w:p>
    <w:p w:rsidR="007A3AD0" w:rsidRPr="00B654DA" w:rsidRDefault="007A3AD0" w:rsidP="007A3AD0">
      <w:pPr>
        <w:pStyle w:val="SingleTxtG"/>
        <w:ind w:left="2835"/>
      </w:pPr>
      <w:r w:rsidRPr="00B654DA">
        <w:t>ii)</w:t>
      </w:r>
      <w:r w:rsidRPr="00B654DA">
        <w:tab/>
        <w:t xml:space="preserve">Respecto de las cuales se considera que no causan lesiones irreversibles en un tejido cutáneo intacto, pero cuya velocidad de corrosión en superficies de acero o de aluminio sobrepasa los 6,25 mm </w:t>
      </w:r>
      <w:r w:rsidRPr="00B654DA">
        <w:lastRenderedPageBreak/>
        <w:t xml:space="preserve">por año a la temperatura de ensayo de 55 </w:t>
      </w:r>
      <w:r w:rsidR="00A1689D">
        <w:t>º</w:t>
      </w:r>
      <w:r w:rsidRPr="00B654DA">
        <w:t>C, cuando la prueba se realiza en ambos materiales. Para los ensayos con acero, el metal utilizado deberá ser del tipo S235JR + CR (1.0037 respectivamente St</w:t>
      </w:r>
      <w:r w:rsidR="00A1689D">
        <w:t> </w:t>
      </w:r>
      <w:r w:rsidRPr="00B654DA">
        <w:t>37-2), S275J2G3 + CR (1.0144 respectivamente St 44-3), ISO</w:t>
      </w:r>
      <w:r w:rsidR="00A1689D">
        <w:t> </w:t>
      </w:r>
      <w:r w:rsidRPr="00B654DA">
        <w:t xml:space="preserve">3574, G10200 del </w:t>
      </w:r>
      <w:r w:rsidR="00A069C9">
        <w:t>“</w:t>
      </w:r>
      <w:r w:rsidRPr="00B654DA">
        <w:t>Unified Numbering System</w:t>
      </w:r>
      <w:r w:rsidR="00A069C9">
        <w:t>”</w:t>
      </w:r>
      <w:r w:rsidRPr="00B654DA">
        <w:t xml:space="preserve"> (UNS) o SAE</w:t>
      </w:r>
      <w:r w:rsidR="00A1689D">
        <w:t> </w:t>
      </w:r>
      <w:r w:rsidRPr="00B654DA">
        <w:t xml:space="preserve">1020, y para los ensayos con aluminio se usarán los tipos no revestidos 7075-T6 o AZ5GU-T6. Se prescribe un ensayo aceptable en el </w:t>
      </w:r>
      <w:r w:rsidR="00A1689D">
        <w:t>Manual de Pruebas y Criterios, p</w:t>
      </w:r>
      <w:r w:rsidRPr="00B654DA">
        <w:t xml:space="preserve">arte III, </w:t>
      </w:r>
      <w:r w:rsidR="00A1689D">
        <w:t>s</w:t>
      </w:r>
      <w:r w:rsidRPr="00B654DA">
        <w:t>ección 37.</w:t>
      </w:r>
    </w:p>
    <w:p w:rsidR="007A3AD0" w:rsidRPr="00B654DA" w:rsidRDefault="007A3AD0" w:rsidP="007A3AD0">
      <w:pPr>
        <w:pStyle w:val="SingleTxtG"/>
        <w:ind w:left="2835"/>
        <w:rPr>
          <w:i/>
        </w:rPr>
      </w:pPr>
      <w:r w:rsidRPr="00EB568F">
        <w:rPr>
          <w:b/>
          <w:i/>
        </w:rPr>
        <w:t>NOTA:</w:t>
      </w:r>
      <w:r w:rsidRPr="00B654DA">
        <w:rPr>
          <w:i/>
        </w:rPr>
        <w:t xml:space="preserve"> Cuando una prueba inicial realizada con acero o aluminio indique que la sustancia objeto del ensayo es corrosiva, no será necesario realizar la prueba con el otro metal.</w:t>
      </w:r>
    </w:p>
    <w:p w:rsidR="007A3AD0" w:rsidRPr="00B654DA" w:rsidRDefault="007A3AD0" w:rsidP="00A1689D">
      <w:pPr>
        <w:pStyle w:val="SingleTxtG"/>
        <w:ind w:right="0"/>
        <w:jc w:val="center"/>
        <w:rPr>
          <w:b/>
        </w:rPr>
      </w:pPr>
      <w:r w:rsidRPr="00B654DA">
        <w:rPr>
          <w:b/>
        </w:rPr>
        <w:t>Cuadro 2.8.3.4: Resumen de los criterios expuestos en 2.8.3.3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1533"/>
        <w:gridCol w:w="1267"/>
        <w:gridCol w:w="4305"/>
      </w:tblGrid>
      <w:tr w:rsidR="007A3AD0" w:rsidRPr="00B654DA" w:rsidTr="00EB568F">
        <w:tc>
          <w:tcPr>
            <w:tcW w:w="1410" w:type="dxa"/>
          </w:tcPr>
          <w:p w:rsidR="007A3AD0" w:rsidRPr="00EB568F" w:rsidRDefault="007A3AD0" w:rsidP="00EB568F">
            <w:pPr>
              <w:keepNext/>
              <w:keepLines/>
              <w:spacing w:before="40" w:after="40"/>
              <w:jc w:val="center"/>
              <w:rPr>
                <w:b/>
                <w:sz w:val="18"/>
                <w:szCs w:val="18"/>
              </w:rPr>
            </w:pPr>
            <w:r w:rsidRPr="00EB568F">
              <w:rPr>
                <w:b/>
                <w:sz w:val="18"/>
                <w:szCs w:val="18"/>
              </w:rPr>
              <w:t>Grupo de embalaje/envase</w:t>
            </w:r>
          </w:p>
        </w:tc>
        <w:tc>
          <w:tcPr>
            <w:tcW w:w="1533" w:type="dxa"/>
          </w:tcPr>
          <w:p w:rsidR="007A3AD0" w:rsidRPr="00EB568F" w:rsidRDefault="007A3AD0" w:rsidP="00EB568F">
            <w:pPr>
              <w:keepNext/>
              <w:keepLines/>
              <w:spacing w:before="40" w:after="40"/>
              <w:jc w:val="center"/>
              <w:rPr>
                <w:b/>
                <w:sz w:val="18"/>
                <w:szCs w:val="18"/>
              </w:rPr>
            </w:pPr>
            <w:r w:rsidRPr="00EB568F">
              <w:rPr>
                <w:b/>
                <w:sz w:val="18"/>
                <w:szCs w:val="18"/>
              </w:rPr>
              <w:t>Período de exposición</w:t>
            </w:r>
          </w:p>
        </w:tc>
        <w:tc>
          <w:tcPr>
            <w:tcW w:w="1267" w:type="dxa"/>
          </w:tcPr>
          <w:p w:rsidR="007A3AD0" w:rsidRPr="00EB568F" w:rsidRDefault="007A3AD0" w:rsidP="00EB568F">
            <w:pPr>
              <w:keepNext/>
              <w:keepLines/>
              <w:spacing w:before="40" w:after="40"/>
              <w:jc w:val="center"/>
              <w:rPr>
                <w:b/>
                <w:sz w:val="18"/>
                <w:szCs w:val="18"/>
              </w:rPr>
            </w:pPr>
            <w:r w:rsidRPr="00EB568F">
              <w:rPr>
                <w:b/>
                <w:sz w:val="18"/>
                <w:szCs w:val="18"/>
              </w:rPr>
              <w:t>Período de observación</w:t>
            </w:r>
          </w:p>
        </w:tc>
        <w:tc>
          <w:tcPr>
            <w:tcW w:w="4305" w:type="dxa"/>
          </w:tcPr>
          <w:p w:rsidR="007A3AD0" w:rsidRPr="00EB568F" w:rsidRDefault="007A3AD0" w:rsidP="00EB568F">
            <w:pPr>
              <w:keepNext/>
              <w:keepLines/>
              <w:spacing w:before="40" w:after="40"/>
              <w:jc w:val="center"/>
              <w:rPr>
                <w:b/>
                <w:sz w:val="18"/>
                <w:szCs w:val="18"/>
              </w:rPr>
            </w:pPr>
            <w:r w:rsidRPr="00EB568F">
              <w:rPr>
                <w:b/>
                <w:sz w:val="18"/>
                <w:szCs w:val="18"/>
              </w:rPr>
              <w:t>Efecto</w:t>
            </w:r>
          </w:p>
        </w:tc>
      </w:tr>
      <w:tr w:rsidR="007A3AD0" w:rsidRPr="00B654DA" w:rsidTr="00EB568F">
        <w:tc>
          <w:tcPr>
            <w:tcW w:w="1410" w:type="dxa"/>
            <w:vAlign w:val="center"/>
          </w:tcPr>
          <w:p w:rsidR="007A3AD0" w:rsidRPr="00B654DA" w:rsidRDefault="007A3AD0" w:rsidP="00EB568F">
            <w:pPr>
              <w:spacing w:before="40" w:after="40"/>
              <w:jc w:val="center"/>
              <w:rPr>
                <w:color w:val="000000"/>
              </w:rPr>
            </w:pPr>
            <w:r w:rsidRPr="00B654DA">
              <w:rPr>
                <w:color w:val="000000"/>
              </w:rPr>
              <w:t>I</w:t>
            </w:r>
          </w:p>
        </w:tc>
        <w:tc>
          <w:tcPr>
            <w:tcW w:w="1533" w:type="dxa"/>
            <w:vAlign w:val="center"/>
          </w:tcPr>
          <w:p w:rsidR="007A3AD0" w:rsidRPr="00B654DA" w:rsidRDefault="007A3AD0" w:rsidP="00EB568F">
            <w:pPr>
              <w:spacing w:before="40" w:after="40"/>
              <w:jc w:val="center"/>
              <w:rPr>
                <w:color w:val="000000"/>
              </w:rPr>
            </w:pPr>
            <w:r w:rsidRPr="00B654DA">
              <w:rPr>
                <w:color w:val="000000"/>
              </w:rPr>
              <w:t>≤ 3 min</w:t>
            </w:r>
          </w:p>
        </w:tc>
        <w:tc>
          <w:tcPr>
            <w:tcW w:w="1267" w:type="dxa"/>
            <w:vAlign w:val="center"/>
          </w:tcPr>
          <w:p w:rsidR="007A3AD0" w:rsidRPr="00B654DA" w:rsidRDefault="007A3AD0" w:rsidP="00EB568F">
            <w:pPr>
              <w:spacing w:before="40" w:after="40"/>
              <w:jc w:val="center"/>
              <w:rPr>
                <w:color w:val="000000"/>
              </w:rPr>
            </w:pPr>
            <w:r w:rsidRPr="00B654DA">
              <w:rPr>
                <w:color w:val="000000"/>
              </w:rPr>
              <w:t>≤ 60 min</w:t>
            </w:r>
          </w:p>
        </w:tc>
        <w:tc>
          <w:tcPr>
            <w:tcW w:w="4305" w:type="dxa"/>
          </w:tcPr>
          <w:p w:rsidR="007A3AD0" w:rsidRPr="00B654DA" w:rsidRDefault="007A3AD0" w:rsidP="00EB568F">
            <w:pPr>
              <w:spacing w:before="40" w:after="40"/>
              <w:ind w:left="26" w:right="150"/>
              <w:rPr>
                <w:color w:val="000000"/>
              </w:rPr>
            </w:pPr>
            <w:r w:rsidRPr="00B654DA">
              <w:t>Lesiones irreversibles en un teji</w:t>
            </w:r>
            <w:r w:rsidRPr="00B654DA">
              <w:rPr>
                <w:spacing w:val="-1"/>
              </w:rPr>
              <w:t>d</w:t>
            </w:r>
            <w:r w:rsidRPr="00B654DA">
              <w:t>o cután</w:t>
            </w:r>
            <w:r w:rsidRPr="00B654DA">
              <w:rPr>
                <w:spacing w:val="-1"/>
              </w:rPr>
              <w:t>e</w:t>
            </w:r>
            <w:r w:rsidRPr="00B654DA">
              <w:t>o</w:t>
            </w:r>
            <w:r w:rsidRPr="00B654DA">
              <w:rPr>
                <w:spacing w:val="1"/>
              </w:rPr>
              <w:t xml:space="preserve"> </w:t>
            </w:r>
            <w:r w:rsidRPr="00B654DA">
              <w:rPr>
                <w:spacing w:val="-2"/>
              </w:rPr>
              <w:t>i</w:t>
            </w:r>
            <w:r w:rsidRPr="00B654DA">
              <w:rPr>
                <w:spacing w:val="1"/>
              </w:rPr>
              <w:t>n</w:t>
            </w:r>
            <w:r w:rsidRPr="00B654DA">
              <w:t>tacto</w:t>
            </w:r>
          </w:p>
        </w:tc>
      </w:tr>
      <w:tr w:rsidR="007A3AD0" w:rsidRPr="00B654DA" w:rsidTr="00EB568F">
        <w:tc>
          <w:tcPr>
            <w:tcW w:w="1410" w:type="dxa"/>
            <w:vAlign w:val="center"/>
          </w:tcPr>
          <w:p w:rsidR="007A3AD0" w:rsidRPr="00B654DA" w:rsidRDefault="007A3AD0" w:rsidP="00EB568F">
            <w:pPr>
              <w:spacing w:before="40" w:after="40"/>
              <w:jc w:val="center"/>
              <w:rPr>
                <w:color w:val="000000"/>
              </w:rPr>
            </w:pPr>
            <w:r w:rsidRPr="00B654DA">
              <w:rPr>
                <w:color w:val="000000"/>
              </w:rPr>
              <w:t>II</w:t>
            </w:r>
          </w:p>
        </w:tc>
        <w:tc>
          <w:tcPr>
            <w:tcW w:w="1533" w:type="dxa"/>
            <w:vAlign w:val="center"/>
          </w:tcPr>
          <w:p w:rsidR="007A3AD0" w:rsidRPr="00B654DA" w:rsidRDefault="007A3AD0" w:rsidP="00EB568F">
            <w:pPr>
              <w:spacing w:before="40" w:after="40"/>
              <w:jc w:val="center"/>
              <w:rPr>
                <w:color w:val="000000"/>
              </w:rPr>
            </w:pPr>
            <w:r w:rsidRPr="00B654DA">
              <w:rPr>
                <w:color w:val="000000"/>
              </w:rPr>
              <w:t>&gt; 3 min ≤ 1 h</w:t>
            </w:r>
          </w:p>
        </w:tc>
        <w:tc>
          <w:tcPr>
            <w:tcW w:w="1267" w:type="dxa"/>
            <w:vAlign w:val="center"/>
          </w:tcPr>
          <w:p w:rsidR="007A3AD0" w:rsidRPr="00B654DA" w:rsidRDefault="007A3AD0" w:rsidP="00EB568F">
            <w:pPr>
              <w:spacing w:before="40" w:after="40"/>
              <w:jc w:val="center"/>
              <w:rPr>
                <w:color w:val="000000"/>
              </w:rPr>
            </w:pPr>
            <w:r w:rsidRPr="00B654DA">
              <w:rPr>
                <w:color w:val="000000"/>
              </w:rPr>
              <w:t>≤ 14 d</w:t>
            </w:r>
          </w:p>
        </w:tc>
        <w:tc>
          <w:tcPr>
            <w:tcW w:w="4305" w:type="dxa"/>
          </w:tcPr>
          <w:p w:rsidR="007A3AD0" w:rsidRPr="00B654DA" w:rsidRDefault="007A3AD0" w:rsidP="00EB568F">
            <w:pPr>
              <w:spacing w:before="40" w:after="40"/>
              <w:ind w:left="26" w:right="150"/>
              <w:rPr>
                <w:color w:val="000000"/>
              </w:rPr>
            </w:pPr>
            <w:r w:rsidRPr="00B654DA">
              <w:t>Lesiones irreversibles en un teji</w:t>
            </w:r>
            <w:r w:rsidRPr="00B654DA">
              <w:rPr>
                <w:spacing w:val="-1"/>
              </w:rPr>
              <w:t>d</w:t>
            </w:r>
            <w:r w:rsidRPr="00B654DA">
              <w:t>o cután</w:t>
            </w:r>
            <w:r w:rsidRPr="00B654DA">
              <w:rPr>
                <w:spacing w:val="-1"/>
              </w:rPr>
              <w:t>e</w:t>
            </w:r>
            <w:r w:rsidRPr="00B654DA">
              <w:t>o</w:t>
            </w:r>
            <w:r w:rsidRPr="00B654DA">
              <w:rPr>
                <w:spacing w:val="1"/>
              </w:rPr>
              <w:t xml:space="preserve"> </w:t>
            </w:r>
            <w:r w:rsidRPr="00B654DA">
              <w:rPr>
                <w:spacing w:val="-2"/>
              </w:rPr>
              <w:t>i</w:t>
            </w:r>
            <w:r w:rsidRPr="00B654DA">
              <w:rPr>
                <w:spacing w:val="1"/>
              </w:rPr>
              <w:t>n</w:t>
            </w:r>
            <w:r w:rsidRPr="00B654DA">
              <w:t>tacto</w:t>
            </w:r>
          </w:p>
        </w:tc>
      </w:tr>
      <w:tr w:rsidR="007A3AD0" w:rsidRPr="00B654DA" w:rsidTr="00EB568F">
        <w:tc>
          <w:tcPr>
            <w:tcW w:w="1410" w:type="dxa"/>
            <w:vAlign w:val="center"/>
          </w:tcPr>
          <w:p w:rsidR="007A3AD0" w:rsidRPr="00B654DA" w:rsidRDefault="007A3AD0" w:rsidP="00EB568F">
            <w:pPr>
              <w:spacing w:before="40" w:after="40"/>
              <w:jc w:val="center"/>
              <w:rPr>
                <w:color w:val="000000"/>
              </w:rPr>
            </w:pPr>
            <w:r w:rsidRPr="00B654DA">
              <w:rPr>
                <w:color w:val="000000"/>
              </w:rPr>
              <w:t>III</w:t>
            </w:r>
          </w:p>
        </w:tc>
        <w:tc>
          <w:tcPr>
            <w:tcW w:w="1533" w:type="dxa"/>
            <w:vAlign w:val="center"/>
          </w:tcPr>
          <w:p w:rsidR="007A3AD0" w:rsidRPr="00B654DA" w:rsidRDefault="007A3AD0" w:rsidP="00EB568F">
            <w:pPr>
              <w:spacing w:before="40" w:after="40"/>
              <w:jc w:val="center"/>
              <w:rPr>
                <w:color w:val="000000"/>
              </w:rPr>
            </w:pPr>
            <w:r w:rsidRPr="00B654DA">
              <w:rPr>
                <w:color w:val="000000"/>
              </w:rPr>
              <w:t>&gt; 1 h ≤ 4 h</w:t>
            </w:r>
          </w:p>
        </w:tc>
        <w:tc>
          <w:tcPr>
            <w:tcW w:w="1267" w:type="dxa"/>
            <w:vAlign w:val="center"/>
          </w:tcPr>
          <w:p w:rsidR="007A3AD0" w:rsidRPr="00B654DA" w:rsidRDefault="007A3AD0" w:rsidP="00EB568F">
            <w:pPr>
              <w:spacing w:before="40" w:after="40"/>
              <w:jc w:val="center"/>
              <w:rPr>
                <w:color w:val="000000"/>
              </w:rPr>
            </w:pPr>
            <w:r w:rsidRPr="00B654DA">
              <w:rPr>
                <w:color w:val="000000"/>
              </w:rPr>
              <w:t>≤ 14 d</w:t>
            </w:r>
          </w:p>
        </w:tc>
        <w:tc>
          <w:tcPr>
            <w:tcW w:w="4305" w:type="dxa"/>
          </w:tcPr>
          <w:p w:rsidR="007A3AD0" w:rsidRPr="00B654DA" w:rsidRDefault="007A3AD0" w:rsidP="00EB568F">
            <w:pPr>
              <w:spacing w:before="40" w:after="40"/>
              <w:ind w:left="26" w:right="150"/>
              <w:rPr>
                <w:color w:val="000000"/>
              </w:rPr>
            </w:pPr>
            <w:r w:rsidRPr="00B654DA">
              <w:t>Lesiones irreversibles en un teji</w:t>
            </w:r>
            <w:r w:rsidRPr="00B654DA">
              <w:rPr>
                <w:spacing w:val="-1"/>
              </w:rPr>
              <w:t>d</w:t>
            </w:r>
            <w:r w:rsidRPr="00B654DA">
              <w:t>o cután</w:t>
            </w:r>
            <w:r w:rsidRPr="00B654DA">
              <w:rPr>
                <w:spacing w:val="-1"/>
              </w:rPr>
              <w:t>e</w:t>
            </w:r>
            <w:r w:rsidRPr="00B654DA">
              <w:t>o</w:t>
            </w:r>
            <w:r w:rsidRPr="00B654DA">
              <w:rPr>
                <w:spacing w:val="1"/>
              </w:rPr>
              <w:t xml:space="preserve"> </w:t>
            </w:r>
            <w:r w:rsidRPr="00B654DA">
              <w:rPr>
                <w:spacing w:val="-2"/>
              </w:rPr>
              <w:t>i</w:t>
            </w:r>
            <w:r w:rsidRPr="00B654DA">
              <w:rPr>
                <w:spacing w:val="1"/>
              </w:rPr>
              <w:t>n</w:t>
            </w:r>
            <w:r w:rsidRPr="00B654DA">
              <w:t>tacto</w:t>
            </w:r>
          </w:p>
        </w:tc>
      </w:tr>
      <w:tr w:rsidR="007A3AD0" w:rsidRPr="00B654DA" w:rsidTr="00EB568F">
        <w:tc>
          <w:tcPr>
            <w:tcW w:w="1410" w:type="dxa"/>
          </w:tcPr>
          <w:p w:rsidR="007A3AD0" w:rsidRPr="00B654DA" w:rsidRDefault="007A3AD0" w:rsidP="00EB568F">
            <w:pPr>
              <w:spacing w:before="40" w:after="40"/>
              <w:jc w:val="center"/>
              <w:rPr>
                <w:color w:val="000000"/>
              </w:rPr>
            </w:pPr>
            <w:r w:rsidRPr="00B654DA">
              <w:rPr>
                <w:color w:val="000000"/>
              </w:rPr>
              <w:t>III</w:t>
            </w:r>
          </w:p>
        </w:tc>
        <w:tc>
          <w:tcPr>
            <w:tcW w:w="1533" w:type="dxa"/>
          </w:tcPr>
          <w:p w:rsidR="007A3AD0" w:rsidRPr="00B654DA" w:rsidRDefault="007A3AD0" w:rsidP="00EB568F">
            <w:pPr>
              <w:spacing w:before="40" w:after="40"/>
              <w:jc w:val="center"/>
              <w:rPr>
                <w:color w:val="000000"/>
              </w:rPr>
            </w:pPr>
            <w:r w:rsidRPr="00B654DA">
              <w:rPr>
                <w:color w:val="000000"/>
              </w:rPr>
              <w:t>-</w:t>
            </w:r>
          </w:p>
        </w:tc>
        <w:tc>
          <w:tcPr>
            <w:tcW w:w="1267" w:type="dxa"/>
          </w:tcPr>
          <w:p w:rsidR="007A3AD0" w:rsidRPr="00B654DA" w:rsidRDefault="007A3AD0" w:rsidP="00EB568F">
            <w:pPr>
              <w:spacing w:before="40" w:after="40"/>
              <w:jc w:val="center"/>
              <w:rPr>
                <w:color w:val="000000"/>
              </w:rPr>
            </w:pPr>
            <w:r w:rsidRPr="00B654DA">
              <w:rPr>
                <w:color w:val="000000"/>
              </w:rPr>
              <w:t>-</w:t>
            </w:r>
          </w:p>
        </w:tc>
        <w:tc>
          <w:tcPr>
            <w:tcW w:w="4305" w:type="dxa"/>
          </w:tcPr>
          <w:p w:rsidR="007A3AD0" w:rsidRPr="00B654DA" w:rsidRDefault="007A3AD0" w:rsidP="00EB568F">
            <w:pPr>
              <w:spacing w:before="40" w:after="40"/>
              <w:ind w:left="26" w:right="150"/>
              <w:jc w:val="both"/>
              <w:rPr>
                <w:color w:val="000000"/>
              </w:rPr>
            </w:pPr>
            <w:r w:rsidRPr="00B654DA">
              <w:t>Vel</w:t>
            </w:r>
            <w:r w:rsidRPr="00B654DA">
              <w:rPr>
                <w:spacing w:val="1"/>
              </w:rPr>
              <w:t>o</w:t>
            </w:r>
            <w:r w:rsidRPr="00B654DA">
              <w:t>cid</w:t>
            </w:r>
            <w:r w:rsidRPr="00B654DA">
              <w:rPr>
                <w:spacing w:val="-1"/>
              </w:rPr>
              <w:t>a</w:t>
            </w:r>
            <w:r w:rsidRPr="00B654DA">
              <w:t>d</w:t>
            </w:r>
            <w:r w:rsidRPr="00B654DA">
              <w:rPr>
                <w:spacing w:val="28"/>
              </w:rPr>
              <w:t xml:space="preserve"> </w:t>
            </w:r>
            <w:r w:rsidRPr="00B654DA">
              <w:t>de</w:t>
            </w:r>
            <w:r w:rsidRPr="00B654DA">
              <w:rPr>
                <w:spacing w:val="28"/>
              </w:rPr>
              <w:t xml:space="preserve"> </w:t>
            </w:r>
            <w:r w:rsidRPr="00B654DA">
              <w:t>co</w:t>
            </w:r>
            <w:r w:rsidRPr="00B654DA">
              <w:rPr>
                <w:spacing w:val="-1"/>
              </w:rPr>
              <w:t>r</w:t>
            </w:r>
            <w:r w:rsidRPr="00B654DA">
              <w:t>r</w:t>
            </w:r>
            <w:r w:rsidRPr="00B654DA">
              <w:rPr>
                <w:spacing w:val="-1"/>
              </w:rPr>
              <w:t>o</w:t>
            </w:r>
            <w:r w:rsidRPr="00B654DA">
              <w:t>si</w:t>
            </w:r>
            <w:r w:rsidRPr="00B654DA">
              <w:rPr>
                <w:spacing w:val="-1"/>
              </w:rPr>
              <w:t>ó</w:t>
            </w:r>
            <w:r w:rsidRPr="00B654DA">
              <w:t>n</w:t>
            </w:r>
            <w:r w:rsidRPr="00B654DA">
              <w:rPr>
                <w:spacing w:val="29"/>
              </w:rPr>
              <w:t xml:space="preserve"> </w:t>
            </w:r>
            <w:r w:rsidRPr="00B654DA">
              <w:t>en</w:t>
            </w:r>
            <w:r w:rsidRPr="00B654DA">
              <w:rPr>
                <w:spacing w:val="30"/>
              </w:rPr>
              <w:t xml:space="preserve"> </w:t>
            </w:r>
            <w:r w:rsidRPr="00B654DA">
              <w:rPr>
                <w:spacing w:val="-1"/>
              </w:rPr>
              <w:t>s</w:t>
            </w:r>
            <w:r w:rsidRPr="00B654DA">
              <w:t>up</w:t>
            </w:r>
            <w:r w:rsidRPr="00B654DA">
              <w:rPr>
                <w:spacing w:val="-1"/>
              </w:rPr>
              <w:t>e</w:t>
            </w:r>
            <w:r w:rsidRPr="00B654DA">
              <w:t>rficies</w:t>
            </w:r>
            <w:r w:rsidRPr="00B654DA">
              <w:rPr>
                <w:spacing w:val="28"/>
              </w:rPr>
              <w:t xml:space="preserve"> </w:t>
            </w:r>
            <w:r w:rsidRPr="00B654DA">
              <w:t>de</w:t>
            </w:r>
            <w:r w:rsidRPr="00B654DA">
              <w:rPr>
                <w:spacing w:val="30"/>
              </w:rPr>
              <w:t xml:space="preserve"> </w:t>
            </w:r>
            <w:r w:rsidRPr="00B654DA">
              <w:rPr>
                <w:spacing w:val="-1"/>
              </w:rPr>
              <w:t>a</w:t>
            </w:r>
            <w:r w:rsidRPr="00B654DA">
              <w:t>cero</w:t>
            </w:r>
            <w:r w:rsidRPr="00B654DA">
              <w:rPr>
                <w:spacing w:val="28"/>
              </w:rPr>
              <w:t xml:space="preserve"> </w:t>
            </w:r>
            <w:r w:rsidRPr="00B654DA">
              <w:t>o</w:t>
            </w:r>
            <w:r w:rsidRPr="00B654DA">
              <w:rPr>
                <w:spacing w:val="28"/>
              </w:rPr>
              <w:t xml:space="preserve"> </w:t>
            </w:r>
            <w:r w:rsidRPr="00B654DA">
              <w:t>de</w:t>
            </w:r>
            <w:r w:rsidRPr="00B654DA">
              <w:rPr>
                <w:spacing w:val="30"/>
              </w:rPr>
              <w:t xml:space="preserve"> </w:t>
            </w:r>
            <w:r w:rsidRPr="00B654DA">
              <w:t>al</w:t>
            </w:r>
            <w:r w:rsidRPr="00B654DA">
              <w:rPr>
                <w:spacing w:val="-1"/>
              </w:rPr>
              <w:t>um</w:t>
            </w:r>
            <w:r w:rsidRPr="00B654DA">
              <w:t>i</w:t>
            </w:r>
            <w:r w:rsidRPr="00B654DA">
              <w:rPr>
                <w:spacing w:val="1"/>
              </w:rPr>
              <w:t>n</w:t>
            </w:r>
            <w:r w:rsidRPr="00B654DA">
              <w:t>io su</w:t>
            </w:r>
            <w:r w:rsidRPr="00B654DA">
              <w:rPr>
                <w:spacing w:val="-1"/>
              </w:rPr>
              <w:t>p</w:t>
            </w:r>
            <w:r w:rsidRPr="00B654DA">
              <w:t>eri</w:t>
            </w:r>
            <w:r w:rsidRPr="00B654DA">
              <w:rPr>
                <w:spacing w:val="-1"/>
              </w:rPr>
              <w:t>o</w:t>
            </w:r>
            <w:r w:rsidRPr="00B654DA">
              <w:t>r</w:t>
            </w:r>
            <w:r w:rsidRPr="00B654DA">
              <w:rPr>
                <w:spacing w:val="34"/>
              </w:rPr>
              <w:t xml:space="preserve"> </w:t>
            </w:r>
            <w:r w:rsidRPr="00B654DA">
              <w:t>a</w:t>
            </w:r>
            <w:r w:rsidRPr="00B654DA">
              <w:rPr>
                <w:spacing w:val="34"/>
              </w:rPr>
              <w:t xml:space="preserve"> </w:t>
            </w:r>
            <w:r w:rsidRPr="00B654DA">
              <w:t>6</w:t>
            </w:r>
            <w:r w:rsidRPr="00B654DA">
              <w:rPr>
                <w:spacing w:val="-1"/>
              </w:rPr>
              <w:t>,2</w:t>
            </w:r>
            <w:r w:rsidRPr="00B654DA">
              <w:t>5</w:t>
            </w:r>
            <w:r w:rsidRPr="00B654DA">
              <w:rPr>
                <w:spacing w:val="35"/>
              </w:rPr>
              <w:t xml:space="preserve"> </w:t>
            </w:r>
            <w:r w:rsidRPr="00B654DA">
              <w:rPr>
                <w:spacing w:val="-1"/>
              </w:rPr>
              <w:t>m</w:t>
            </w:r>
            <w:r w:rsidRPr="00B654DA">
              <w:t>m</w:t>
            </w:r>
            <w:r w:rsidRPr="00B654DA">
              <w:rPr>
                <w:spacing w:val="33"/>
              </w:rPr>
              <w:t xml:space="preserve"> </w:t>
            </w:r>
            <w:r w:rsidRPr="00B654DA">
              <w:t>por</w:t>
            </w:r>
            <w:r w:rsidRPr="00B654DA">
              <w:rPr>
                <w:spacing w:val="34"/>
              </w:rPr>
              <w:t xml:space="preserve"> </w:t>
            </w:r>
            <w:r w:rsidRPr="00B654DA">
              <w:t>año</w:t>
            </w:r>
            <w:r w:rsidRPr="00B654DA">
              <w:rPr>
                <w:spacing w:val="33"/>
              </w:rPr>
              <w:t xml:space="preserve"> </w:t>
            </w:r>
            <w:r w:rsidRPr="00B654DA">
              <w:t>a</w:t>
            </w:r>
            <w:r w:rsidRPr="00B654DA">
              <w:rPr>
                <w:spacing w:val="34"/>
              </w:rPr>
              <w:t xml:space="preserve"> </w:t>
            </w:r>
            <w:r w:rsidRPr="00B654DA">
              <w:t>una</w:t>
            </w:r>
            <w:r w:rsidRPr="00B654DA">
              <w:rPr>
                <w:spacing w:val="34"/>
              </w:rPr>
              <w:t xml:space="preserve"> </w:t>
            </w:r>
            <w:r w:rsidRPr="00B654DA">
              <w:t>t</w:t>
            </w:r>
            <w:r w:rsidRPr="00B654DA">
              <w:rPr>
                <w:spacing w:val="1"/>
              </w:rPr>
              <w:t>e</w:t>
            </w:r>
            <w:r w:rsidRPr="00B654DA">
              <w:rPr>
                <w:spacing w:val="-2"/>
              </w:rPr>
              <w:t>m</w:t>
            </w:r>
            <w:r w:rsidRPr="00B654DA">
              <w:rPr>
                <w:spacing w:val="1"/>
              </w:rPr>
              <w:t>p</w:t>
            </w:r>
            <w:r w:rsidRPr="00B654DA">
              <w:t>e</w:t>
            </w:r>
            <w:r w:rsidRPr="00B654DA">
              <w:rPr>
                <w:spacing w:val="-1"/>
              </w:rPr>
              <w:t>r</w:t>
            </w:r>
            <w:r w:rsidRPr="00B654DA">
              <w:t>atura</w:t>
            </w:r>
            <w:r w:rsidRPr="00B654DA">
              <w:rPr>
                <w:spacing w:val="34"/>
              </w:rPr>
              <w:t xml:space="preserve"> </w:t>
            </w:r>
            <w:r w:rsidRPr="00B654DA">
              <w:t>de</w:t>
            </w:r>
            <w:r w:rsidRPr="00B654DA">
              <w:rPr>
                <w:spacing w:val="34"/>
              </w:rPr>
              <w:t xml:space="preserve"> </w:t>
            </w:r>
            <w:r w:rsidRPr="00B654DA">
              <w:rPr>
                <w:spacing w:val="-1"/>
              </w:rPr>
              <w:t>e</w:t>
            </w:r>
            <w:r w:rsidRPr="00B654DA">
              <w:rPr>
                <w:spacing w:val="1"/>
              </w:rPr>
              <w:t>n</w:t>
            </w:r>
            <w:r w:rsidRPr="00B654DA">
              <w:t>sa</w:t>
            </w:r>
            <w:r w:rsidRPr="00B654DA">
              <w:rPr>
                <w:spacing w:val="-1"/>
              </w:rPr>
              <w:t>y</w:t>
            </w:r>
            <w:r w:rsidRPr="00B654DA">
              <w:t>o</w:t>
            </w:r>
            <w:r w:rsidRPr="00B654DA">
              <w:rPr>
                <w:spacing w:val="35"/>
              </w:rPr>
              <w:t xml:space="preserve"> </w:t>
            </w:r>
            <w:r w:rsidRPr="00B654DA">
              <w:t>de 55</w:t>
            </w:r>
            <w:r w:rsidR="00744132">
              <w:t xml:space="preserve"> </w:t>
            </w:r>
            <w:r w:rsidRPr="00B654DA">
              <w:t xml:space="preserve">ºC, </w:t>
            </w:r>
            <w:r w:rsidRPr="00B654DA">
              <w:rPr>
                <w:spacing w:val="-1"/>
              </w:rPr>
              <w:t>c</w:t>
            </w:r>
            <w:r w:rsidRPr="00B654DA">
              <w:rPr>
                <w:spacing w:val="1"/>
              </w:rPr>
              <w:t>u</w:t>
            </w:r>
            <w:r w:rsidRPr="00B654DA">
              <w:rPr>
                <w:spacing w:val="-1"/>
              </w:rPr>
              <w:t>a</w:t>
            </w:r>
            <w:r w:rsidRPr="00B654DA">
              <w:rPr>
                <w:spacing w:val="1"/>
              </w:rPr>
              <w:t>n</w:t>
            </w:r>
            <w:r w:rsidRPr="00B654DA">
              <w:t xml:space="preserve">do </w:t>
            </w:r>
            <w:r w:rsidRPr="00B654DA">
              <w:rPr>
                <w:spacing w:val="-2"/>
              </w:rPr>
              <w:t>l</w:t>
            </w:r>
            <w:r w:rsidRPr="00B654DA">
              <w:t>a pru</w:t>
            </w:r>
            <w:r w:rsidRPr="00B654DA">
              <w:rPr>
                <w:spacing w:val="-1"/>
              </w:rPr>
              <w:t>e</w:t>
            </w:r>
            <w:r w:rsidRPr="00B654DA">
              <w:t>ba se</w:t>
            </w:r>
            <w:r w:rsidRPr="00B654DA">
              <w:rPr>
                <w:spacing w:val="-1"/>
              </w:rPr>
              <w:t xml:space="preserve"> </w:t>
            </w:r>
            <w:r w:rsidRPr="00B654DA">
              <w:t>re</w:t>
            </w:r>
            <w:r w:rsidRPr="00B654DA">
              <w:rPr>
                <w:spacing w:val="-1"/>
              </w:rPr>
              <w:t>a</w:t>
            </w:r>
            <w:r w:rsidRPr="00B654DA">
              <w:t>liza</w:t>
            </w:r>
            <w:r w:rsidRPr="00B654DA">
              <w:rPr>
                <w:spacing w:val="1"/>
              </w:rPr>
              <w:t xml:space="preserve"> </w:t>
            </w:r>
            <w:r w:rsidRPr="00B654DA">
              <w:t>en a</w:t>
            </w:r>
            <w:r w:rsidRPr="00B654DA">
              <w:rPr>
                <w:spacing w:val="-2"/>
              </w:rPr>
              <w:t>m</w:t>
            </w:r>
            <w:r w:rsidRPr="00B654DA">
              <w:t>bos</w:t>
            </w:r>
            <w:r w:rsidRPr="00B654DA">
              <w:rPr>
                <w:spacing w:val="-1"/>
              </w:rPr>
              <w:t xml:space="preserve"> </w:t>
            </w:r>
            <w:r w:rsidRPr="00B654DA">
              <w:t>materiales</w:t>
            </w:r>
          </w:p>
        </w:tc>
      </w:tr>
    </w:tbl>
    <w:p w:rsidR="007A3AD0" w:rsidRPr="00B654DA" w:rsidRDefault="007A3AD0" w:rsidP="00744132">
      <w:pPr>
        <w:pStyle w:val="SingleTxtG"/>
        <w:spacing w:before="240"/>
        <w:jc w:val="left"/>
        <w:rPr>
          <w:b/>
        </w:rPr>
      </w:pPr>
      <w:r w:rsidRPr="00B654DA">
        <w:rPr>
          <w:b/>
        </w:rPr>
        <w:t xml:space="preserve">2.8.4 </w:t>
      </w:r>
      <w:r w:rsidRPr="00B654DA">
        <w:rPr>
          <w:b/>
        </w:rPr>
        <w:tab/>
      </w:r>
      <w:r w:rsidRPr="00B654DA">
        <w:rPr>
          <w:b/>
        </w:rPr>
        <w:tab/>
        <w:t xml:space="preserve">Métodos alternativos para la asignación del grupo de </w:t>
      </w:r>
      <w:r w:rsidR="00744132">
        <w:rPr>
          <w:b/>
        </w:rPr>
        <w:br/>
      </w:r>
      <w:r w:rsidRPr="00B654DA">
        <w:rPr>
          <w:b/>
        </w:rPr>
        <w:t>embalaje/envase a las mezclas: procedimiento por etapas</w:t>
      </w:r>
    </w:p>
    <w:p w:rsidR="007A3AD0" w:rsidRPr="00B654DA" w:rsidRDefault="007A3AD0" w:rsidP="007A3AD0">
      <w:pPr>
        <w:pStyle w:val="SingleTxtG"/>
        <w:rPr>
          <w:b/>
        </w:rPr>
      </w:pPr>
      <w:r w:rsidRPr="00B654DA">
        <w:rPr>
          <w:b/>
          <w:bCs/>
        </w:rPr>
        <w:t xml:space="preserve">2.8.4.1 </w:t>
      </w:r>
      <w:r w:rsidRPr="00B654DA">
        <w:rPr>
          <w:b/>
          <w:bCs/>
        </w:rPr>
        <w:tab/>
      </w:r>
      <w:r w:rsidRPr="00B654DA">
        <w:rPr>
          <w:b/>
          <w:i/>
        </w:rPr>
        <w:t>Disposiciones generales</w:t>
      </w:r>
    </w:p>
    <w:p w:rsidR="007A3AD0" w:rsidRPr="00B654DA" w:rsidRDefault="007A3AD0" w:rsidP="007A3AD0">
      <w:pPr>
        <w:pStyle w:val="SingleTxtG"/>
      </w:pPr>
      <w:r w:rsidRPr="00B654DA">
        <w:t xml:space="preserve">2.8.4.1.1 </w:t>
      </w:r>
      <w:r w:rsidRPr="00B654DA">
        <w:tab/>
        <w:t>En el caso de las mezclas, es necesario obtener o interpretar información que permita aplicar los criterios de clasificación y asignación de los grupos de embalaje. El procedimiento de clasificación y asignación de los grupos de embalaje se hace por etapas y dependerá de la cantidad de información disponible sobre la propia mezcla y sobre sus componentes. En el diagrama de la figura 2.8.4.1 siguiente se indica el proceso que hay que seguir:</w:t>
      </w:r>
    </w:p>
    <w:p w:rsidR="007A3AD0" w:rsidRPr="00B654DA" w:rsidRDefault="007A3AD0" w:rsidP="009016CA">
      <w:pPr>
        <w:pStyle w:val="SingleTxtG"/>
        <w:ind w:right="0"/>
        <w:jc w:val="center"/>
        <w:rPr>
          <w:b/>
        </w:rPr>
      </w:pPr>
      <w:r w:rsidRPr="00B654DA">
        <w:rPr>
          <w:b/>
        </w:rPr>
        <w:t>Figura 2.8.4.1: Procedimiento por etapas para clasificar y asignar</w:t>
      </w:r>
      <w:r w:rsidR="009016CA">
        <w:rPr>
          <w:b/>
        </w:rPr>
        <w:br/>
      </w:r>
      <w:r w:rsidRPr="00B654DA">
        <w:rPr>
          <w:b/>
        </w:rPr>
        <w:t>los grupos de</w:t>
      </w:r>
      <w:r w:rsidR="00EB568F">
        <w:rPr>
          <w:b/>
        </w:rPr>
        <w:t xml:space="preserve"> </w:t>
      </w:r>
      <w:r w:rsidRPr="00B654DA">
        <w:rPr>
          <w:b/>
        </w:rPr>
        <w:t>embalaje para las mezclas corrosivas</w:t>
      </w:r>
    </w:p>
    <w:p w:rsidR="007A3AD0" w:rsidRPr="00B654DA" w:rsidRDefault="007A3AD0" w:rsidP="009016CA">
      <w:pPr>
        <w:pStyle w:val="SingleTxtG"/>
        <w:spacing w:after="0"/>
        <w:ind w:left="1120"/>
        <w:rPr>
          <w:b/>
          <w:lang w:eastAsia="en-GB"/>
        </w:rPr>
      </w:pPr>
      <w:r>
        <w:rPr>
          <w:b/>
          <w:noProof/>
          <w:lang w:val="en-GB" w:eastAsia="en-GB"/>
        </w:rPr>
        <mc:AlternateContent>
          <mc:Choice Requires="wpg">
            <w:drawing>
              <wp:inline distT="0" distB="0" distL="0" distR="0">
                <wp:extent cx="5328285" cy="2200790"/>
                <wp:effectExtent l="0" t="0" r="24765" b="952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2200790"/>
                          <a:chOff x="0" y="0"/>
                          <a:chExt cx="53282" cy="22010"/>
                        </a:xfrm>
                      </wpg:grpSpPr>
                      <wpg:grpSp>
                        <wpg:cNvPr id="6" name="Groep 4"/>
                        <wpg:cNvGrpSpPr>
                          <a:grpSpLocks/>
                        </wpg:cNvGrpSpPr>
                        <wpg:grpSpPr bwMode="auto">
                          <a:xfrm>
                            <a:off x="0" y="0"/>
                            <a:ext cx="53282" cy="22010"/>
                            <a:chOff x="0" y="0"/>
                            <a:chExt cx="53285" cy="22010"/>
                          </a:xfrm>
                        </wpg:grpSpPr>
                        <wps:wsp>
                          <wps:cNvPr id="7" name="Rechthoek 60"/>
                          <wps:cNvSpPr>
                            <a:spLocks noChangeArrowheads="1"/>
                          </wps:cNvSpPr>
                          <wps:spPr bwMode="auto">
                            <a:xfrm>
                              <a:off x="0" y="0"/>
                              <a:ext cx="53285" cy="218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Tekstvak 9"/>
                          <wps:cNvSpPr txBox="1">
                            <a:spLocks noChangeArrowheads="1"/>
                          </wps:cNvSpPr>
                          <wps:spPr bwMode="auto">
                            <a:xfrm>
                              <a:off x="9372" y="5255"/>
                              <a:ext cx="431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rPr>
                                    <w:sz w:val="18"/>
                                    <w:szCs w:val="18"/>
                                  </w:rPr>
                                </w:pPr>
                                <w:r w:rsidRPr="00EB568F">
                                  <w:rPr>
                                    <w:rFonts w:eastAsia="+mn-ea"/>
                                    <w:color w:val="000000"/>
                                    <w:kern w:val="24"/>
                                    <w:sz w:val="18"/>
                                    <w:szCs w:val="18"/>
                                  </w:rPr>
                                  <w:t>No</w:t>
                                </w:r>
                              </w:p>
                            </w:txbxContent>
                          </wps:txbx>
                          <wps:bodyPr rot="0" vert="horz" wrap="square" lIns="91440" tIns="45720" rIns="91440" bIns="45720" anchor="t" anchorCtr="0" upright="1">
                            <a:spAutoFit/>
                          </wps:bodyPr>
                        </wps:wsp>
                        <wps:wsp>
                          <wps:cNvPr id="9" name="Tekstvak 16"/>
                          <wps:cNvSpPr txBox="1">
                            <a:spLocks noChangeArrowheads="1"/>
                          </wps:cNvSpPr>
                          <wps:spPr bwMode="auto">
                            <a:xfrm>
                              <a:off x="381" y="7847"/>
                              <a:ext cx="17997"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Datos suficientes disponibles sobre mezclas similares para estimar el peligro de corrosión cutánea</w:t>
                                </w:r>
                                <w:r w:rsidRPr="00EB568F" w:rsidDel="00BE4850">
                                  <w:rPr>
                                    <w:rFonts w:eastAsia="+mn-ea"/>
                                    <w:color w:val="000000"/>
                                    <w:kern w:val="24"/>
                                    <w:sz w:val="18"/>
                                    <w:szCs w:val="18"/>
                                  </w:rPr>
                                  <w:t xml:space="preserve"> </w:t>
                                </w:r>
                              </w:p>
                            </w:txbxContent>
                          </wps:txbx>
                          <wps:bodyPr rot="0" vert="horz" wrap="square" lIns="91440" tIns="45720" rIns="91440" bIns="45720" anchor="t" anchorCtr="0" upright="1">
                            <a:spAutoFit/>
                          </wps:bodyPr>
                        </wps:wsp>
                        <wps:wsp>
                          <wps:cNvPr id="10" name="Tekstvak 17"/>
                          <wps:cNvSpPr txBox="1">
                            <a:spLocks noChangeArrowheads="1"/>
                          </wps:cNvSpPr>
                          <wps:spPr bwMode="auto">
                            <a:xfrm>
                              <a:off x="381" y="16523"/>
                              <a:ext cx="17997"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Datos disponibles</w:t>
                                </w:r>
                                <w:r>
                                  <w:rPr>
                                    <w:rFonts w:eastAsia="+mn-ea"/>
                                    <w:color w:val="000000"/>
                                    <w:kern w:val="24"/>
                                    <w:sz w:val="18"/>
                                    <w:szCs w:val="18"/>
                                  </w:rPr>
                                  <w:t xml:space="preserve"> sobre corrosión cutánea</w:t>
                                </w:r>
                                <w:r w:rsidRPr="00EB568F">
                                  <w:rPr>
                                    <w:rFonts w:eastAsia="+mn-ea"/>
                                    <w:color w:val="000000"/>
                                    <w:kern w:val="24"/>
                                    <w:sz w:val="18"/>
                                    <w:szCs w:val="18"/>
                                  </w:rPr>
                                  <w:t xml:space="preserve"> para todos los componentes</w:t>
                                </w:r>
                              </w:p>
                            </w:txbxContent>
                          </wps:txbx>
                          <wps:bodyPr rot="0" vert="horz" wrap="square" lIns="91440" tIns="45720" rIns="91440" bIns="45720" anchor="t" anchorCtr="0" upright="1">
                            <a:spAutoFit/>
                          </wps:bodyPr>
                        </wps:wsp>
                        <wpg:grpSp>
                          <wpg:cNvPr id="11" name="Groep 20"/>
                          <wpg:cNvGrpSpPr>
                            <a:grpSpLocks/>
                          </wpg:cNvGrpSpPr>
                          <wpg:grpSpPr bwMode="auto">
                            <a:xfrm>
                              <a:off x="9525" y="13627"/>
                              <a:ext cx="4318" cy="2590"/>
                              <a:chOff x="9361" y="13637"/>
                              <a:chExt cx="4318" cy="2590"/>
                            </a:xfrm>
                          </wpg:grpSpPr>
                          <wps:wsp>
                            <wps:cNvPr id="12" name="Tekstvak 18"/>
                            <wps:cNvSpPr txBox="1">
                              <a:spLocks noChangeArrowheads="1"/>
                            </wps:cNvSpPr>
                            <wps:spPr bwMode="auto">
                              <a:xfrm>
                                <a:off x="9361" y="13637"/>
                                <a:ext cx="431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rPr>
                                      <w:sz w:val="18"/>
                                      <w:szCs w:val="18"/>
                                    </w:rPr>
                                  </w:pPr>
                                  <w:r w:rsidRPr="00EB568F">
                                    <w:rPr>
                                      <w:color w:val="000000"/>
                                      <w:kern w:val="24"/>
                                      <w:sz w:val="18"/>
                                      <w:szCs w:val="18"/>
                                    </w:rPr>
                                    <w:t>No</w:t>
                                  </w:r>
                                </w:p>
                              </w:txbxContent>
                            </wps:txbx>
                            <wps:bodyPr rot="0" vert="horz" wrap="square" lIns="91440" tIns="45720" rIns="91440" bIns="45720" anchor="t" anchorCtr="0" upright="1">
                              <a:spAutoFit/>
                            </wps:bodyPr>
                          </wps:wsp>
                          <wps:wsp>
                            <wps:cNvPr id="13" name="Rechte verbindingslijn met pijl 15"/>
                            <wps:cNvCnPr>
                              <a:cxnSpLocks noChangeShapeType="1"/>
                            </wps:cNvCnPr>
                            <wps:spPr bwMode="auto">
                              <a:xfrm>
                                <a:off x="9361" y="13649"/>
                                <a:ext cx="0" cy="2578"/>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5" name="Tekstvak 23"/>
                          <wps:cNvSpPr txBox="1">
                            <a:spLocks noChangeArrowheads="1"/>
                          </wps:cNvSpPr>
                          <wps:spPr bwMode="auto">
                            <a:xfrm>
                              <a:off x="17298" y="8296"/>
                              <a:ext cx="4318"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Sí</w:t>
                                </w:r>
                              </w:p>
                              <w:p w:rsidR="00AC5BC7" w:rsidRPr="00EB568F" w:rsidRDefault="00AC5BC7" w:rsidP="009016CA">
                                <w:pPr>
                                  <w:pStyle w:val="NormalWeb"/>
                                  <w:rPr>
                                    <w:sz w:val="18"/>
                                    <w:szCs w:val="18"/>
                                  </w:rPr>
                                </w:pPr>
                              </w:p>
                            </w:txbxContent>
                          </wps:txbx>
                          <wps:bodyPr rot="0" vert="horz" wrap="square" lIns="91440" tIns="45720" rIns="91440" bIns="45720" anchor="t" anchorCtr="0" upright="1">
                            <a:spAutoFit/>
                          </wps:bodyPr>
                        </wps:wsp>
                        <wps:wsp>
                          <wps:cNvPr id="16" name="Tekstvak 31"/>
                          <wps:cNvSpPr txBox="1">
                            <a:spLocks noChangeArrowheads="1"/>
                          </wps:cNvSpPr>
                          <wps:spPr bwMode="auto">
                            <a:xfrm>
                              <a:off x="17298" y="16447"/>
                              <a:ext cx="4318"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Sí</w:t>
                                </w:r>
                              </w:p>
                              <w:p w:rsidR="00AC5BC7" w:rsidRPr="00EB568F" w:rsidRDefault="00AC5BC7" w:rsidP="009016CA">
                                <w:pPr>
                                  <w:pStyle w:val="NormalWeb"/>
                                  <w:rPr>
                                    <w:sz w:val="18"/>
                                    <w:szCs w:val="18"/>
                                  </w:rPr>
                                </w:pPr>
                              </w:p>
                            </w:txbxContent>
                          </wps:txbx>
                          <wps:bodyPr rot="0" vert="horz" wrap="square" lIns="91440" tIns="45720" rIns="91440" bIns="45720" anchor="t" anchorCtr="0" upright="1">
                            <a:spAutoFit/>
                          </wps:bodyPr>
                        </wps:wsp>
                        <wps:wsp>
                          <wps:cNvPr id="43" name="Tekstvak 32"/>
                          <wps:cNvSpPr txBox="1">
                            <a:spLocks noChangeArrowheads="1"/>
                          </wps:cNvSpPr>
                          <wps:spPr bwMode="auto">
                            <a:xfrm>
                              <a:off x="21642" y="8601"/>
                              <a:ext cx="15838"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Aplíquense los principios de extrapolación de</w:t>
                                </w:r>
                                <w:r>
                                  <w:rPr>
                                    <w:rFonts w:eastAsia="+mn-ea"/>
                                    <w:color w:val="000000"/>
                                    <w:kern w:val="24"/>
                                    <w:sz w:val="18"/>
                                    <w:szCs w:val="18"/>
                                  </w:rPr>
                                  <w:t xml:space="preserve"> </w:t>
                                </w:r>
                                <w:r w:rsidRPr="00EB568F">
                                  <w:rPr>
                                    <w:rFonts w:eastAsia="+mn-ea"/>
                                    <w:color w:val="000000"/>
                                    <w:kern w:val="24"/>
                                    <w:sz w:val="18"/>
                                    <w:szCs w:val="18"/>
                                  </w:rPr>
                                  <w:t>2.8.4.2</w:t>
                                </w:r>
                              </w:p>
                            </w:txbxContent>
                          </wps:txbx>
                          <wps:bodyPr rot="0" vert="horz" wrap="square" lIns="91440" tIns="45720" rIns="91440" bIns="45720" anchor="t" anchorCtr="0" upright="1">
                            <a:spAutoFit/>
                          </wps:bodyPr>
                        </wps:wsp>
                        <wps:wsp>
                          <wps:cNvPr id="44" name="Tekstvak 36"/>
                          <wps:cNvSpPr txBox="1">
                            <a:spLocks noChangeArrowheads="1"/>
                          </wps:cNvSpPr>
                          <wps:spPr bwMode="auto">
                            <a:xfrm>
                              <a:off x="43207" y="8597"/>
                              <a:ext cx="10078"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9016CA">
                                  <w:rPr>
                                    <w:rFonts w:eastAsia="+mn-ea"/>
                                    <w:bCs/>
                                    <w:color w:val="000000"/>
                                    <w:kern w:val="24"/>
                                    <w:sz w:val="18"/>
                                    <w:szCs w:val="18"/>
                                  </w:rPr>
                                  <w:t>Clasificar y asignar grupo de embalaje</w:t>
                                </w:r>
                              </w:p>
                            </w:txbxContent>
                          </wps:txbx>
                          <wps:bodyPr rot="0" vert="horz" wrap="square" lIns="91440" tIns="45720" rIns="91440" bIns="45720" anchor="t" anchorCtr="0" upright="1">
                            <a:spAutoFit/>
                          </wps:bodyPr>
                        </wps:wsp>
                        <wps:wsp>
                          <wps:cNvPr id="45" name="Tekstvak 38"/>
                          <wps:cNvSpPr txBox="1">
                            <a:spLocks noChangeArrowheads="1"/>
                          </wps:cNvSpPr>
                          <wps:spPr bwMode="auto">
                            <a:xfrm>
                              <a:off x="21642" y="16829"/>
                              <a:ext cx="15838"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Aplíquese el método de cálculo de 2.8.4.3</w:t>
                                </w:r>
                              </w:p>
                            </w:txbxContent>
                          </wps:txbx>
                          <wps:bodyPr rot="0" vert="horz" wrap="square" lIns="91440" tIns="45720" rIns="91440" bIns="45720" anchor="t" anchorCtr="0" upright="1">
                            <a:spAutoFit/>
                          </wps:bodyPr>
                        </wps:wsp>
                        <wps:wsp>
                          <wps:cNvPr id="46" name="Tekstvak 40"/>
                          <wps:cNvSpPr txBox="1">
                            <a:spLocks noChangeArrowheads="1"/>
                          </wps:cNvSpPr>
                          <wps:spPr bwMode="auto">
                            <a:xfrm>
                              <a:off x="43207" y="16214"/>
                              <a:ext cx="10078" cy="5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9016CA">
                                  <w:rPr>
                                    <w:rFonts w:eastAsia="+mn-ea"/>
                                    <w:bCs/>
                                    <w:color w:val="000000"/>
                                    <w:kern w:val="24"/>
                                    <w:sz w:val="18"/>
                                    <w:szCs w:val="18"/>
                                  </w:rPr>
                                  <w:t>Clasificar y asignar grupo de embalaje</w:t>
                                </w:r>
                              </w:p>
                            </w:txbxContent>
                          </wps:txbx>
                          <wps:bodyPr rot="0" vert="horz" wrap="square" lIns="91440" tIns="45720" rIns="91440" bIns="45720" anchor="t" anchorCtr="0" upright="1">
                            <a:noAutofit/>
                          </wps:bodyPr>
                        </wps:wsp>
                        <wps:wsp>
                          <wps:cNvPr id="47" name="Tekstvak 53"/>
                          <wps:cNvSpPr txBox="1">
                            <a:spLocks noChangeArrowheads="1"/>
                          </wps:cNvSpPr>
                          <wps:spPr bwMode="auto">
                            <a:xfrm>
                              <a:off x="381" y="762"/>
                              <a:ext cx="17997"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Datos de ensayo disponibles sobre el conjunto de la mezcla</w:t>
                                </w:r>
                                <w:r w:rsidRPr="00EB568F" w:rsidDel="00DE112F">
                                  <w:rPr>
                                    <w:rFonts w:eastAsia="+mn-ea"/>
                                    <w:color w:val="000000"/>
                                    <w:kern w:val="24"/>
                                    <w:sz w:val="18"/>
                                    <w:szCs w:val="18"/>
                                  </w:rPr>
                                  <w:t xml:space="preserve"> </w:t>
                                </w:r>
                              </w:p>
                            </w:txbxContent>
                          </wps:txbx>
                          <wps:bodyPr rot="0" vert="horz" wrap="square" lIns="91440" tIns="45720" rIns="91440" bIns="45720" anchor="t" anchorCtr="0" upright="1">
                            <a:spAutoFit/>
                          </wps:bodyPr>
                        </wps:wsp>
                        <wps:wsp>
                          <wps:cNvPr id="48" name="Tekstvak 55"/>
                          <wps:cNvSpPr txBox="1">
                            <a:spLocks noChangeArrowheads="1"/>
                          </wps:cNvSpPr>
                          <wps:spPr bwMode="auto">
                            <a:xfrm>
                              <a:off x="17298" y="686"/>
                              <a:ext cx="431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Sí</w:t>
                                </w:r>
                              </w:p>
                            </w:txbxContent>
                          </wps:txbx>
                          <wps:bodyPr rot="0" vert="horz" wrap="square" lIns="91440" tIns="45720" rIns="91440" bIns="45720" anchor="t" anchorCtr="0" upright="1">
                            <a:spAutoFit/>
                          </wps:bodyPr>
                        </wps:wsp>
                        <wps:wsp>
                          <wps:cNvPr id="49" name="Tekstvak 56"/>
                          <wps:cNvSpPr txBox="1">
                            <a:spLocks noChangeArrowheads="1"/>
                          </wps:cNvSpPr>
                          <wps:spPr bwMode="auto">
                            <a:xfrm>
                              <a:off x="21642" y="1829"/>
                              <a:ext cx="15838" cy="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EB568F" w:rsidRDefault="00AC5BC7" w:rsidP="009016CA">
                                <w:pPr>
                                  <w:pStyle w:val="NormalWeb"/>
                                  <w:jc w:val="center"/>
                                  <w:rPr>
                                    <w:sz w:val="18"/>
                                    <w:szCs w:val="18"/>
                                  </w:rPr>
                                </w:pPr>
                                <w:r w:rsidRPr="00EB568F">
                                  <w:rPr>
                                    <w:rFonts w:eastAsia="+mn-ea"/>
                                    <w:color w:val="000000"/>
                                    <w:kern w:val="24"/>
                                    <w:sz w:val="18"/>
                                    <w:szCs w:val="18"/>
                                  </w:rPr>
                                  <w:t>Aplíquense los criterios de</w:t>
                                </w:r>
                                <w:r>
                                  <w:rPr>
                                    <w:rFonts w:eastAsia="+mn-ea"/>
                                    <w:color w:val="000000"/>
                                    <w:kern w:val="24"/>
                                    <w:sz w:val="18"/>
                                    <w:szCs w:val="18"/>
                                  </w:rPr>
                                  <w:t> 2</w:t>
                                </w:r>
                                <w:r w:rsidRPr="00EB568F">
                                  <w:rPr>
                                    <w:rFonts w:eastAsia="+mn-ea"/>
                                    <w:color w:val="000000"/>
                                    <w:kern w:val="24"/>
                                    <w:sz w:val="18"/>
                                    <w:szCs w:val="18"/>
                                  </w:rPr>
                                  <w:t>.8.3</w:t>
                                </w:r>
                              </w:p>
                            </w:txbxContent>
                          </wps:txbx>
                          <wps:bodyPr rot="0" vert="horz" wrap="square" lIns="91440" tIns="45720" rIns="91440" bIns="45720" anchor="t" anchorCtr="0" upright="1">
                            <a:spAutoFit/>
                          </wps:bodyPr>
                        </wps:wsp>
                        <wps:wsp>
                          <wps:cNvPr id="50" name="Rechte verbindingslijn met pijl 57"/>
                          <wps:cNvCnPr>
                            <a:cxnSpLocks noChangeShapeType="1"/>
                          </wps:cNvCnPr>
                          <wps:spPr bwMode="auto">
                            <a:xfrm flipV="1">
                              <a:off x="37490" y="3810"/>
                              <a:ext cx="5759" cy="1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Tekstvak 58"/>
                          <wps:cNvSpPr txBox="1">
                            <a:spLocks noChangeArrowheads="1"/>
                          </wps:cNvSpPr>
                          <wps:spPr bwMode="auto">
                            <a:xfrm>
                              <a:off x="43207" y="1067"/>
                              <a:ext cx="10078"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BC7" w:rsidRPr="009016CA" w:rsidRDefault="00AC5BC7" w:rsidP="009016CA">
                                <w:pPr>
                                  <w:pStyle w:val="NormalWeb"/>
                                  <w:jc w:val="center"/>
                                  <w:rPr>
                                    <w:sz w:val="18"/>
                                    <w:szCs w:val="18"/>
                                  </w:rPr>
                                </w:pPr>
                                <w:r w:rsidRPr="009016CA">
                                  <w:rPr>
                                    <w:rFonts w:eastAsia="+mn-ea"/>
                                    <w:bCs/>
                                    <w:color w:val="000000"/>
                                    <w:kern w:val="24"/>
                                    <w:sz w:val="18"/>
                                    <w:szCs w:val="18"/>
                                  </w:rPr>
                                  <w:t xml:space="preserve">Clasificar y asignar </w:t>
                                </w:r>
                                <w:r>
                                  <w:rPr>
                                    <w:rFonts w:eastAsia="+mn-ea"/>
                                    <w:bCs/>
                                    <w:color w:val="000000"/>
                                    <w:kern w:val="24"/>
                                    <w:sz w:val="18"/>
                                    <w:szCs w:val="18"/>
                                  </w:rPr>
                                  <w:t>grupo de embalaje</w:t>
                                </w:r>
                              </w:p>
                            </w:txbxContent>
                          </wps:txbx>
                          <wps:bodyPr rot="0" vert="horz" wrap="square" lIns="91440" tIns="45720" rIns="91440" bIns="45720" anchor="t" anchorCtr="0" upright="1">
                            <a:spAutoFit/>
                          </wps:bodyPr>
                        </wps:wsp>
                      </wpg:grpSp>
                      <wps:wsp>
                        <wps:cNvPr id="52" name="Rechte verbindingslijn met pijl 7"/>
                        <wps:cNvCnPr>
                          <a:cxnSpLocks noChangeShapeType="1"/>
                        </wps:cNvCnPr>
                        <wps:spPr bwMode="auto">
                          <a:xfrm>
                            <a:off x="9525" y="5257"/>
                            <a:ext cx="0" cy="2578"/>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Rechte verbindingslijn met pijl 22"/>
                        <wps:cNvCnPr>
                          <a:cxnSpLocks noChangeShapeType="1"/>
                        </wps:cNvCnPr>
                        <wps:spPr bwMode="auto">
                          <a:xfrm>
                            <a:off x="18364" y="11430"/>
                            <a:ext cx="3238"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Rechte verbindingslijn met pijl 30"/>
                        <wps:cNvCnPr>
                          <a:cxnSpLocks noChangeShapeType="1"/>
                        </wps:cNvCnPr>
                        <wps:spPr bwMode="auto">
                          <a:xfrm>
                            <a:off x="18364" y="19583"/>
                            <a:ext cx="3238"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Rechte verbindingslijn met pijl 54"/>
                        <wps:cNvCnPr>
                          <a:cxnSpLocks noChangeShapeType="1"/>
                        </wps:cNvCnPr>
                        <wps:spPr bwMode="auto">
                          <a:xfrm>
                            <a:off x="18364" y="3810"/>
                            <a:ext cx="3238"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Rechte verbindingslijn met pijl 34"/>
                        <wps:cNvCnPr>
                          <a:cxnSpLocks noChangeShapeType="1"/>
                        </wps:cNvCnPr>
                        <wps:spPr bwMode="auto">
                          <a:xfrm>
                            <a:off x="37490" y="11430"/>
                            <a:ext cx="5759"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Rechte verbindingslijn met pijl 39"/>
                        <wps:cNvCnPr>
                          <a:cxnSpLocks noChangeShapeType="1"/>
                        </wps:cNvCnPr>
                        <wps:spPr bwMode="auto">
                          <a:xfrm>
                            <a:off x="37490" y="19583"/>
                            <a:ext cx="5759"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upo 5" o:spid="_x0000_s1026" style="width:419.55pt;height:173.3pt;mso-position-horizontal-relative:char;mso-position-vertical-relative:line" coordsize="53282,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">
                <v:group id="Groep 4" o:spid="_x0000_s1027" style="position:absolute;width:53282;height:22010" coordsize="53285,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60" o:spid="_x0000_s1028"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" filled="f"/>
                  <v:shapetype id="_x0000_t202" coordsize="21600,21600" o:spt="202" path="m,l,21600r21600,l21600,xe">
                    <v:stroke joinstyle="miter"/>
                    <v:path gradientshapeok="t" o:connecttype="rect"/>
                  </v:shapetype>
                  <v:shape id="Tekstvak 9" o:spid="_x0000_s1029" type="#_x0000_t202" style="position:absolute;left:9372;top:5255;width:431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AC5BC7" w:rsidRPr="00EB568F" w:rsidRDefault="00AC5BC7" w:rsidP="009016CA">
                          <w:pPr>
                            <w:pStyle w:val="NormalWeb"/>
                            <w:rPr>
                              <w:sz w:val="18"/>
                              <w:szCs w:val="18"/>
                            </w:rPr>
                          </w:pPr>
                          <w:r w:rsidRPr="00EB568F">
                            <w:rPr>
                              <w:rFonts w:eastAsia="+mn-ea"/>
                              <w:color w:val="000000"/>
                              <w:kern w:val="24"/>
                              <w:sz w:val="18"/>
                              <w:szCs w:val="18"/>
                            </w:rPr>
                            <w:t>No</w:t>
                          </w:r>
                        </w:p>
                      </w:txbxContent>
                    </v:textbox>
                  </v:shape>
                  <v:shape id="Tekstvak 16" o:spid="_x0000_s1030" type="#_x0000_t202" style="position:absolute;left:381;top:7847;width:17997;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Datos suficientes disponibles sobre mezclas similares para estimar el peligro de corrosión cutánea</w:t>
                          </w:r>
                          <w:r w:rsidRPr="00EB568F" w:rsidDel="00BE4850">
                            <w:rPr>
                              <w:rFonts w:eastAsia="+mn-ea"/>
                              <w:color w:val="000000"/>
                              <w:kern w:val="24"/>
                              <w:sz w:val="18"/>
                              <w:szCs w:val="18"/>
                            </w:rPr>
                            <w:t xml:space="preserve"> </w:t>
                          </w:r>
                        </w:p>
                      </w:txbxContent>
                    </v:textbox>
                  </v:shape>
                  <v:shape id="Tekstvak 17" o:spid="_x0000_s1031" type="#_x0000_t202" style="position:absolute;left:381;top:16523;width:17997;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Datos disponibles</w:t>
                          </w:r>
                          <w:r>
                            <w:rPr>
                              <w:rFonts w:eastAsia="+mn-ea"/>
                              <w:color w:val="000000"/>
                              <w:kern w:val="24"/>
                              <w:sz w:val="18"/>
                              <w:szCs w:val="18"/>
                            </w:rPr>
                            <w:t xml:space="preserve"> sobre corrosión cutánea</w:t>
                          </w:r>
                          <w:r w:rsidRPr="00EB568F">
                            <w:rPr>
                              <w:rFonts w:eastAsia="+mn-ea"/>
                              <w:color w:val="000000"/>
                              <w:kern w:val="24"/>
                              <w:sz w:val="18"/>
                              <w:szCs w:val="18"/>
                            </w:rPr>
                            <w:t xml:space="preserve"> para todos los componentes</w:t>
                          </w:r>
                        </w:p>
                      </w:txbxContent>
                    </v:textbox>
                  </v:shape>
                  <v:group id="Groep 20" o:spid="_x0000_s1032" style="position:absolute;left:9525;top:13627;width:4318;height:2590" coordorigin="9361,13637" coordsize="4318,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kstvak 18" o:spid="_x0000_s1033" type="#_x0000_t202" style="position:absolute;left:9361;top:13637;width:431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AC5BC7" w:rsidRPr="00EB568F" w:rsidRDefault="00AC5BC7" w:rsidP="009016CA">
                            <w:pPr>
                              <w:pStyle w:val="NormalWeb"/>
                              <w:rPr>
                                <w:sz w:val="18"/>
                                <w:szCs w:val="18"/>
                              </w:rPr>
                            </w:pPr>
                            <w:r w:rsidRPr="00EB568F">
                              <w:rPr>
                                <w:color w:val="000000"/>
                                <w:kern w:val="24"/>
                                <w:sz w:val="18"/>
                                <w:szCs w:val="18"/>
                              </w:rPr>
                              <w:t>No</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3649;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" strokeweight="1pt">
                      <v:stroke endarrow="open"/>
                    </v:shape>
                  </v:group>
                  <v:shape id="Tekstvak 23" o:spid="_x0000_s1035" type="#_x0000_t202" style="position:absolute;left:17298;top:8296;width:431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Sí</w:t>
                          </w:r>
                        </w:p>
                        <w:p w:rsidR="00AC5BC7" w:rsidRPr="00EB568F" w:rsidRDefault="00AC5BC7" w:rsidP="009016CA">
                          <w:pPr>
                            <w:pStyle w:val="NormalWeb"/>
                            <w:rPr>
                              <w:sz w:val="18"/>
                              <w:szCs w:val="18"/>
                            </w:rPr>
                          </w:pPr>
                        </w:p>
                      </w:txbxContent>
                    </v:textbox>
                  </v:shape>
                  <v:shape id="Tekstvak 31" o:spid="_x0000_s1036" type="#_x0000_t202" style="position:absolute;left:17298;top:16447;width:431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Sí</w:t>
                          </w:r>
                        </w:p>
                        <w:p w:rsidR="00AC5BC7" w:rsidRPr="00EB568F" w:rsidRDefault="00AC5BC7" w:rsidP="009016CA">
                          <w:pPr>
                            <w:pStyle w:val="NormalWeb"/>
                            <w:rPr>
                              <w:sz w:val="18"/>
                              <w:szCs w:val="18"/>
                            </w:rPr>
                          </w:pPr>
                        </w:p>
                      </w:txbxContent>
                    </v:textbox>
                  </v:shape>
                  <v:shape id="Tekstvak 32" o:spid="_x0000_s1037" type="#_x0000_t202" style="position:absolute;left:21642;top:8601;width:1583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Aplíquense los principios de extrapolación de</w:t>
                          </w:r>
                          <w:r>
                            <w:rPr>
                              <w:rFonts w:eastAsia="+mn-ea"/>
                              <w:color w:val="000000"/>
                              <w:kern w:val="24"/>
                              <w:sz w:val="18"/>
                              <w:szCs w:val="18"/>
                            </w:rPr>
                            <w:t xml:space="preserve"> </w:t>
                          </w:r>
                          <w:r w:rsidRPr="00EB568F">
                            <w:rPr>
                              <w:rFonts w:eastAsia="+mn-ea"/>
                              <w:color w:val="000000"/>
                              <w:kern w:val="24"/>
                              <w:sz w:val="18"/>
                              <w:szCs w:val="18"/>
                            </w:rPr>
                            <w:t>2.8.4.2</w:t>
                          </w:r>
                        </w:p>
                      </w:txbxContent>
                    </v:textbox>
                  </v:shape>
                  <v:shape id="Tekstvak 36" o:spid="_x0000_s1038" type="#_x0000_t202" style="position:absolute;left:43207;top:8597;width:10078;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AC5BC7" w:rsidRPr="00EB568F" w:rsidRDefault="00AC5BC7" w:rsidP="009016CA">
                          <w:pPr>
                            <w:pStyle w:val="NormalWeb"/>
                            <w:jc w:val="center"/>
                            <w:rPr>
                              <w:sz w:val="18"/>
                              <w:szCs w:val="18"/>
                            </w:rPr>
                          </w:pPr>
                          <w:r w:rsidRPr="009016CA">
                            <w:rPr>
                              <w:rFonts w:eastAsia="+mn-ea"/>
                              <w:bCs/>
                              <w:color w:val="000000"/>
                              <w:kern w:val="24"/>
                              <w:sz w:val="18"/>
                              <w:szCs w:val="18"/>
                            </w:rPr>
                            <w:t>Clasificar y asignar grupo de embalaje</w:t>
                          </w:r>
                        </w:p>
                      </w:txbxContent>
                    </v:textbox>
                  </v:shape>
                  <v:shape id="Tekstvak 38" o:spid="_x0000_s1039" type="#_x0000_t202" style="position:absolute;left:21642;top:16829;width:1583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Aplíquese el método de cálculo de 2.8.4.3</w:t>
                          </w:r>
                        </w:p>
                      </w:txbxContent>
                    </v:textbox>
                  </v:shape>
                  <v:shape id="Tekstvak 40" o:spid="_x0000_s1040" type="#_x0000_t202" style="position:absolute;left:43207;top:16214;width:10078;height:5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AC5BC7" w:rsidRPr="00EB568F" w:rsidRDefault="00AC5BC7" w:rsidP="009016CA">
                          <w:pPr>
                            <w:pStyle w:val="NormalWeb"/>
                            <w:jc w:val="center"/>
                            <w:rPr>
                              <w:sz w:val="18"/>
                              <w:szCs w:val="18"/>
                            </w:rPr>
                          </w:pPr>
                          <w:r w:rsidRPr="009016CA">
                            <w:rPr>
                              <w:rFonts w:eastAsia="+mn-ea"/>
                              <w:bCs/>
                              <w:color w:val="000000"/>
                              <w:kern w:val="24"/>
                              <w:sz w:val="18"/>
                              <w:szCs w:val="18"/>
                            </w:rPr>
                            <w:t>Clasificar y asignar grupo de embalaje</w:t>
                          </w:r>
                        </w:p>
                      </w:txbxContent>
                    </v:textbox>
                  </v:shape>
                  <v:shape id="Tekstvak 53" o:spid="_x0000_s1041" type="#_x0000_t202" style="position:absolute;left:381;top:762;width:17997;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Datos de ensayo disponibles sobre el conjunto de la mezcla</w:t>
                          </w:r>
                          <w:r w:rsidRPr="00EB568F" w:rsidDel="00DE112F">
                            <w:rPr>
                              <w:rFonts w:eastAsia="+mn-ea"/>
                              <w:color w:val="000000"/>
                              <w:kern w:val="24"/>
                              <w:sz w:val="18"/>
                              <w:szCs w:val="18"/>
                            </w:rPr>
                            <w:t xml:space="preserve"> </w:t>
                          </w:r>
                        </w:p>
                      </w:txbxContent>
                    </v:textbox>
                  </v:shape>
                  <v:shape id="Tekstvak 55" o:spid="_x0000_s1042" type="#_x0000_t202" style="position:absolute;left:17298;top:686;width:431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Sí</w:t>
                          </w:r>
                        </w:p>
                      </w:txbxContent>
                    </v:textbox>
                  </v:shape>
                  <v:shape id="Tekstvak 56" o:spid="_x0000_s1043" type="#_x0000_t202" style="position:absolute;left:21642;top:1829;width:1583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AC5BC7" w:rsidRPr="00EB568F" w:rsidRDefault="00AC5BC7" w:rsidP="009016CA">
                          <w:pPr>
                            <w:pStyle w:val="NormalWeb"/>
                            <w:jc w:val="center"/>
                            <w:rPr>
                              <w:sz w:val="18"/>
                              <w:szCs w:val="18"/>
                            </w:rPr>
                          </w:pPr>
                          <w:r w:rsidRPr="00EB568F">
                            <w:rPr>
                              <w:rFonts w:eastAsia="+mn-ea"/>
                              <w:color w:val="000000"/>
                              <w:kern w:val="24"/>
                              <w:sz w:val="18"/>
                              <w:szCs w:val="18"/>
                            </w:rPr>
                            <w:t>Aplíquense los criterios de</w:t>
                          </w:r>
                          <w:r>
                            <w:rPr>
                              <w:rFonts w:eastAsia="+mn-ea"/>
                              <w:color w:val="000000"/>
                              <w:kern w:val="24"/>
                              <w:sz w:val="18"/>
                              <w:szCs w:val="18"/>
                            </w:rPr>
                            <w:t> 2</w:t>
                          </w:r>
                          <w:r w:rsidRPr="00EB568F">
                            <w:rPr>
                              <w:rFonts w:eastAsia="+mn-ea"/>
                              <w:color w:val="000000"/>
                              <w:kern w:val="24"/>
                              <w:sz w:val="18"/>
                              <w:szCs w:val="18"/>
                            </w:rPr>
                            <w:t>.8.3</w:t>
                          </w:r>
                        </w:p>
                      </w:txbxContent>
                    </v:textbox>
                  </v:shape>
                  <v:shape id="Rechte verbindingslijn met pijl 57" o:spid="_x0000_s1044"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" strokeweight="1pt">
                    <v:stroke endarrow="open"/>
                  </v:shape>
                  <v:shape id="Tekstvak 58" o:spid="_x0000_s1045" type="#_x0000_t202" style="position:absolute;left:43207;top:1067;width:10078;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AC5BC7" w:rsidRPr="009016CA" w:rsidRDefault="00AC5BC7" w:rsidP="009016CA">
                          <w:pPr>
                            <w:pStyle w:val="NormalWeb"/>
                            <w:jc w:val="center"/>
                            <w:rPr>
                              <w:sz w:val="18"/>
                              <w:szCs w:val="18"/>
                            </w:rPr>
                          </w:pPr>
                          <w:r w:rsidRPr="009016CA">
                            <w:rPr>
                              <w:rFonts w:eastAsia="+mn-ea"/>
                              <w:bCs/>
                              <w:color w:val="000000"/>
                              <w:kern w:val="24"/>
                              <w:sz w:val="18"/>
                              <w:szCs w:val="18"/>
                            </w:rPr>
                            <w:t xml:space="preserve">Clasificar y asignar </w:t>
                          </w:r>
                          <w:r>
                            <w:rPr>
                              <w:rFonts w:eastAsia="+mn-ea"/>
                              <w:bCs/>
                              <w:color w:val="000000"/>
                              <w:kern w:val="24"/>
                              <w:sz w:val="18"/>
                              <w:szCs w:val="18"/>
                            </w:rPr>
                            <w:t>grupo de embalaje</w:t>
                          </w:r>
                        </w:p>
                      </w:txbxContent>
                    </v:textbox>
                  </v:shape>
                </v:group>
                <v:shape id="Rechte verbindingslijn met pijl 7" o:spid="_x0000_s1046" type="#_x0000_t32" style="position:absolute;left:9525;top:525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" strokeweight="1pt">
                  <v:stroke endarrow="open"/>
                </v:shape>
                <v:shape id="Rechte verbindingslijn met pijl 22" o:spid="_x0000_s1047" type="#_x0000_t32" style="position:absolute;left:18364;top:1143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" strokeweight="1pt">
                  <v:stroke endarrow="open"/>
                </v:shape>
                <v:shape id="Rechte verbindingslijn met pijl 30" o:spid="_x0000_s1048"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" strokeweight="1pt">
                  <v:stroke endarrow="open"/>
                </v:shape>
                <v:shape id="Rechte verbindingslijn met pijl 54" o:spid="_x0000_s1049"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" strokeweight="1pt">
                  <v:stroke endarrow="open"/>
                </v:shape>
                <v:shape id="Rechte verbindingslijn met pijl 34" o:spid="_x0000_s1050"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" strokeweight="1pt">
                  <v:stroke endarrow="open"/>
                </v:shape>
                <v:shape id="Rechte verbindingslijn met pijl 39" o:spid="_x0000_s1051"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" strokeweight="1pt">
                  <v:stroke endarrow="open"/>
                </v:shape>
                <w10:anchorlock/>
              </v:group>
            </w:pict>
          </mc:Fallback>
        </mc:AlternateContent>
      </w:r>
    </w:p>
    <w:p w:rsidR="007A3AD0" w:rsidRPr="00B654DA" w:rsidRDefault="007A3AD0" w:rsidP="00EB568F">
      <w:pPr>
        <w:pStyle w:val="SingleTxtG"/>
        <w:spacing w:before="240"/>
        <w:rPr>
          <w:b/>
        </w:rPr>
      </w:pPr>
      <w:r w:rsidRPr="00B654DA">
        <w:rPr>
          <w:b/>
        </w:rPr>
        <w:t>2.8.4.2</w:t>
      </w:r>
      <w:r w:rsidRPr="00B654DA">
        <w:rPr>
          <w:b/>
        </w:rPr>
        <w:tab/>
      </w:r>
      <w:r w:rsidRPr="00B654DA">
        <w:rPr>
          <w:b/>
        </w:rPr>
        <w:tab/>
      </w:r>
      <w:r w:rsidRPr="00B654DA">
        <w:rPr>
          <w:b/>
          <w:i/>
        </w:rPr>
        <w:t>Principios de extrapolación</w:t>
      </w:r>
    </w:p>
    <w:p w:rsidR="007A3AD0" w:rsidRPr="00B654DA" w:rsidRDefault="007A3AD0" w:rsidP="007A3AD0">
      <w:pPr>
        <w:pStyle w:val="SingleTxtG"/>
        <w:rPr>
          <w:i/>
        </w:rPr>
      </w:pPr>
      <w:r w:rsidRPr="00B654DA">
        <w:t>2.8.4.2.1</w:t>
      </w:r>
      <w:r w:rsidRPr="00B654DA">
        <w:tab/>
        <w:t xml:space="preserve">Cuando no se hayan realizado ensayos sobre una mezcla para determinar su potencial de corrosión cutánea, pero se disponga de datos suficientes tanto sobre sus componentes individuales como sobre mezclas similares sometidas a ensayo para clasificarla y asignarle debidamente un grupo de embalaje, se usarán esos datos de </w:t>
      </w:r>
      <w:r w:rsidRPr="00B654DA">
        <w:lastRenderedPageBreak/>
        <w:t>conformidad con los principios de extrapolación descritos a continuación. De esa manera se asegura la utilización del mayor número posible de datos disponibles durante el proceso de clasificación con el fin de caracterizar los peligros de la mezcla.</w:t>
      </w:r>
    </w:p>
    <w:p w:rsidR="007A3AD0" w:rsidRPr="00B654DA" w:rsidRDefault="007A3AD0" w:rsidP="007A3AD0">
      <w:pPr>
        <w:pStyle w:val="SingleTxtG"/>
        <w:ind w:left="2268"/>
        <w:rPr>
          <w:i/>
        </w:rPr>
      </w:pPr>
      <w:r w:rsidRPr="00B654DA">
        <w:t>a)</w:t>
      </w:r>
      <w:r w:rsidRPr="00B654DA">
        <w:tab/>
      </w:r>
      <w:r w:rsidRPr="00B654DA">
        <w:rPr>
          <w:b/>
        </w:rPr>
        <w:t>Dilución:</w:t>
      </w:r>
      <w:r w:rsidRPr="00B654DA">
        <w:t xml:space="preserve"> Si una mezcla sometida a ensayos se diluye con un diluyente que no satisfaga los criterios para su clasificación en la clase 8 y no afecte al grupo de embalaje de otros componentes, la mezcla diluida podrá asignarse al mismo grupo de embalaje que la mezcla original sometida a ensayo.</w:t>
      </w:r>
    </w:p>
    <w:p w:rsidR="007A3AD0" w:rsidRPr="00B654DA" w:rsidRDefault="007A3AD0" w:rsidP="007A3AD0">
      <w:pPr>
        <w:pStyle w:val="SingleTxtG"/>
        <w:ind w:left="2268"/>
        <w:rPr>
          <w:i/>
        </w:rPr>
      </w:pPr>
      <w:r w:rsidRPr="00B654DA">
        <w:rPr>
          <w:b/>
          <w:i/>
        </w:rPr>
        <w:t>NOTA:</w:t>
      </w:r>
      <w:r w:rsidR="008B39CF">
        <w:rPr>
          <w:b/>
          <w:i/>
        </w:rPr>
        <w:tab/>
      </w:r>
      <w:r w:rsidR="008B39CF">
        <w:rPr>
          <w:i/>
        </w:rPr>
        <w:t>E</w:t>
      </w:r>
      <w:r w:rsidRPr="00B654DA">
        <w:rPr>
          <w:i/>
        </w:rPr>
        <w:t>n algunos casos, la dilución de una mezcla o sustancia puede provocar un aumento de sus propiedades corrosivas. Si ese fuera el caso, no podrá utilizarse el principio de extrapolación.</w:t>
      </w:r>
    </w:p>
    <w:p w:rsidR="007A3AD0" w:rsidRPr="00B654DA" w:rsidRDefault="007A3AD0" w:rsidP="007A3AD0">
      <w:pPr>
        <w:pStyle w:val="SingleTxtG"/>
        <w:ind w:left="2268"/>
        <w:rPr>
          <w:i/>
        </w:rPr>
      </w:pPr>
      <w:r w:rsidRPr="00B654DA">
        <w:t>b)</w:t>
      </w:r>
      <w:r w:rsidRPr="00B654DA">
        <w:tab/>
      </w:r>
      <w:r w:rsidRPr="00B654DA">
        <w:rPr>
          <w:b/>
        </w:rPr>
        <w:t xml:space="preserve">Variación entre lotes: </w:t>
      </w:r>
      <w:r w:rsidRPr="00B654DA">
        <w:t>El potencial de corrosión cutánea de un lote de una mezcla sometido a ensayo se considerará equivalente al de otro lote del mismo producto comercial no sometido a ensayo que haya sido obtenido por el mismo fabricante o bajo su control, a menos que haya motivos para creer que se han producido cambios que pueden provocar modificaciones en el potencial de corrosión cutánea del lote no sometido a ensayo. Cuando eso ocurra, será necesaria una nueva clasificación.</w:t>
      </w:r>
    </w:p>
    <w:p w:rsidR="007A3AD0" w:rsidRPr="00B654DA" w:rsidRDefault="007A3AD0" w:rsidP="007A3AD0">
      <w:pPr>
        <w:pStyle w:val="SingleTxtG"/>
        <w:ind w:left="2268"/>
      </w:pPr>
      <w:r w:rsidRPr="00B654DA">
        <w:t>c)</w:t>
      </w:r>
      <w:r w:rsidRPr="00B654DA">
        <w:tab/>
      </w:r>
      <w:r w:rsidRPr="00B654DA">
        <w:rPr>
          <w:b/>
        </w:rPr>
        <w:t>Concentración de mezclas del grupo de embalaje I:</w:t>
      </w:r>
      <w:r w:rsidRPr="00B654DA">
        <w:t xml:space="preserve"> Si una mezcla sometida a ensayo satisface los criterios para su inclusión en el grupo de embalaje I y se aumenta su concentración, la mezcla más concentrada no sometida a ensayo podrá asignarse al grupo de embalaje I sin necesidad de efectuar ensayos adicionales. </w:t>
      </w:r>
    </w:p>
    <w:p w:rsidR="007A3AD0" w:rsidRPr="00B654DA" w:rsidRDefault="007A3AD0" w:rsidP="007A3AD0">
      <w:pPr>
        <w:pStyle w:val="SingleTxtG"/>
        <w:ind w:left="2268"/>
      </w:pPr>
      <w:r w:rsidRPr="00B654DA">
        <w:t>d)</w:t>
      </w:r>
      <w:r w:rsidRPr="00B654DA">
        <w:tab/>
      </w:r>
      <w:r w:rsidRPr="00B654DA">
        <w:rPr>
          <w:b/>
        </w:rPr>
        <w:t xml:space="preserve">Interpolación dentro de un grupo de embalaje: </w:t>
      </w:r>
      <w:r w:rsidRPr="00B654DA">
        <w:t>En el caso de tres mezclas (A, B y C) con componentes idénticos, en que las mezclas A y B hayan sido sometidas a ensayo y clasificadas en la misma categoría de peligro por corrosión cutánea, y la mezcla C, no sometida a ensayo, tenga los mismos componentes de la clase 8 que las mezclas A y B, pero con concentraciones de esos componentes intermedias entre las de las mezclas A y B, se considerará que la mezcla C pertenece a la misma categoría de corrosión cutánea que A y B.</w:t>
      </w:r>
    </w:p>
    <w:p w:rsidR="007A3AD0" w:rsidRPr="00B654DA" w:rsidRDefault="007A3AD0" w:rsidP="007A3AD0">
      <w:pPr>
        <w:pStyle w:val="SingleTxtG"/>
        <w:ind w:left="2268"/>
      </w:pPr>
      <w:r w:rsidRPr="00B654DA" w:rsidDel="00414206">
        <w:rPr>
          <w:i/>
        </w:rPr>
        <w:t xml:space="preserve"> </w:t>
      </w:r>
      <w:r w:rsidRPr="00B654DA">
        <w:t>e)</w:t>
      </w:r>
      <w:r w:rsidRPr="00B654DA">
        <w:tab/>
      </w:r>
      <w:r w:rsidRPr="00B654DA">
        <w:rPr>
          <w:b/>
        </w:rPr>
        <w:t>Mezclas esencialmente similares:</w:t>
      </w:r>
      <w:r w:rsidRPr="00B654DA">
        <w:t xml:space="preserve"> Cuando se tenga lo siguiente:</w:t>
      </w:r>
    </w:p>
    <w:p w:rsidR="007A3AD0" w:rsidRPr="00B654DA" w:rsidRDefault="007A3AD0" w:rsidP="007A3AD0">
      <w:pPr>
        <w:pStyle w:val="SingleTxtG"/>
        <w:ind w:left="2835"/>
      </w:pPr>
      <w:r w:rsidRPr="00B654DA">
        <w:t>i)</w:t>
      </w:r>
      <w:r w:rsidRPr="00B654DA">
        <w:tab/>
        <w:t>Dos mezclas: (A+B) y (C+B);</w:t>
      </w:r>
    </w:p>
    <w:p w:rsidR="007A3AD0" w:rsidRPr="00B654DA" w:rsidRDefault="007A3AD0" w:rsidP="007A3AD0">
      <w:pPr>
        <w:pStyle w:val="SingleTxtG"/>
        <w:ind w:left="2835"/>
      </w:pPr>
      <w:r w:rsidRPr="00B654DA">
        <w:t>ii)</w:t>
      </w:r>
      <w:r w:rsidRPr="00B654DA">
        <w:tab/>
        <w:t>La concentración del componente B sea la misma en ambas mezclas;</w:t>
      </w:r>
    </w:p>
    <w:p w:rsidR="007A3AD0" w:rsidRPr="00B654DA" w:rsidRDefault="007A3AD0" w:rsidP="007A3AD0">
      <w:pPr>
        <w:pStyle w:val="SingleTxtG"/>
        <w:ind w:left="2835"/>
      </w:pPr>
      <w:r w:rsidRPr="00B654DA">
        <w:t>iii)</w:t>
      </w:r>
      <w:r w:rsidRPr="00B654DA">
        <w:tab/>
        <w:t>La concentración del componente A en la mezcla (A+B)</w:t>
      </w:r>
      <w:r w:rsidR="00965478">
        <w:t xml:space="preserve"> </w:t>
      </w:r>
      <w:r w:rsidRPr="00B654DA">
        <w:t>sea igual a la del componente C en la mezcla (C+B);</w:t>
      </w:r>
    </w:p>
    <w:p w:rsidR="007A3AD0" w:rsidRPr="00B654DA" w:rsidRDefault="007A3AD0" w:rsidP="007A3AD0">
      <w:pPr>
        <w:pStyle w:val="SingleTxtG"/>
        <w:ind w:left="2835"/>
      </w:pPr>
      <w:r w:rsidRPr="00B654DA">
        <w:t>iv)</w:t>
      </w:r>
      <w:r w:rsidRPr="00B654DA">
        <w:tab/>
        <w:t>Se disponga de datos sobre corrosión cutáneas para A y C y sean esencialmente equivalentes, es decir, ambos figuren en el mismo grupo de embalaje por corrosión cutánea y no afecten al potencial de corrosión cutánea de B.</w:t>
      </w:r>
    </w:p>
    <w:p w:rsidR="007A3AD0" w:rsidRPr="00B654DA" w:rsidRDefault="007A3AD0" w:rsidP="007A3AD0">
      <w:pPr>
        <w:pStyle w:val="SingleTxtG"/>
        <w:ind w:left="2835"/>
      </w:pPr>
      <w:r w:rsidRPr="00B654DA">
        <w:t xml:space="preserve">Si la mezcla </w:t>
      </w:r>
      <w:r w:rsidR="009016CA">
        <w:t>(</w:t>
      </w:r>
      <w:r w:rsidRPr="00B654DA">
        <w:t>A+B) o (C+B) está ya clasificada con los datos de los ensayos, entonces la otra mezcla podrá asignarse al mismo grupo de embalaje.</w:t>
      </w:r>
    </w:p>
    <w:p w:rsidR="007A3AD0" w:rsidRPr="00B654DA" w:rsidRDefault="007A3AD0" w:rsidP="007A3AD0">
      <w:pPr>
        <w:pStyle w:val="SingleTxtG"/>
        <w:rPr>
          <w:b/>
        </w:rPr>
      </w:pPr>
      <w:r w:rsidRPr="00B654DA">
        <w:rPr>
          <w:b/>
        </w:rPr>
        <w:t xml:space="preserve">2.8.4.3 </w:t>
      </w:r>
      <w:r w:rsidRPr="00B654DA">
        <w:rPr>
          <w:b/>
        </w:rPr>
        <w:tab/>
      </w:r>
      <w:r w:rsidRPr="00B654DA">
        <w:rPr>
          <w:b/>
          <w:i/>
        </w:rPr>
        <w:t>Método de cálculo basado en la clasificación de las sustancias</w:t>
      </w:r>
    </w:p>
    <w:p w:rsidR="007A3AD0" w:rsidRPr="00B654DA" w:rsidRDefault="007A3AD0" w:rsidP="007A3AD0">
      <w:pPr>
        <w:pStyle w:val="SingleTxtG"/>
      </w:pPr>
      <w:r w:rsidRPr="00B654DA">
        <w:t xml:space="preserve">2.8.4.3.1 </w:t>
      </w:r>
      <w:r w:rsidRPr="00B654DA">
        <w:tab/>
        <w:t>Cuando una mezcla no se ha sometido a ensayos para determinar su potencial de corrosión cutánea, ni se dispone de datos suficientes sobre mezclas similares, se tendrán en cuenta las propiedades corrosivas de las sustancias presentes en la mezcla para clasificarla y asignarle un grupo de embalaje.</w:t>
      </w:r>
    </w:p>
    <w:p w:rsidR="007A3AD0" w:rsidRPr="00B654DA" w:rsidRDefault="007A3AD0" w:rsidP="007A3AD0">
      <w:pPr>
        <w:pStyle w:val="SingleTxtG"/>
      </w:pPr>
      <w:r w:rsidRPr="00B654DA">
        <w:tab/>
      </w:r>
      <w:r w:rsidRPr="00B654DA">
        <w:tab/>
        <w:t xml:space="preserve">El método de cálculo solo podrá aplicarse si no hay efectos sinérgicos que hagan que la mezcla sea más corrosiva que la suma de las sustancias que la componen. Esa </w:t>
      </w:r>
      <w:r w:rsidRPr="00B654DA">
        <w:lastRenderedPageBreak/>
        <w:t>restricción se aplica únicamente si correspondería asignar a la mezcla el grupo de embalaje</w:t>
      </w:r>
      <w:r w:rsidR="009016CA">
        <w:t> </w:t>
      </w:r>
      <w:r w:rsidRPr="00B654DA">
        <w:t>II o III.</w:t>
      </w:r>
    </w:p>
    <w:p w:rsidR="007A3AD0" w:rsidRPr="00B654DA" w:rsidRDefault="007A3AD0" w:rsidP="007A3AD0">
      <w:pPr>
        <w:pStyle w:val="SingleTxtG"/>
      </w:pPr>
      <w:r w:rsidRPr="00B654DA">
        <w:t>2.8.4.3.2</w:t>
      </w:r>
      <w:r w:rsidRPr="00B654DA">
        <w:tab/>
        <w:t>Cuando se utilice el método de cálculo, se tendrán en cuenta todos los componentes de la clase 8 presentes en una concentración ≥ 1%, o &lt; 1% si esos componentes siguen influyendo en la clasificación de la mezcla como corrosiva para la piel.</w:t>
      </w:r>
    </w:p>
    <w:p w:rsidR="007A3AD0" w:rsidRPr="00B654DA" w:rsidRDefault="007A3AD0" w:rsidP="007A3AD0">
      <w:pPr>
        <w:pStyle w:val="SingleTxtG"/>
        <w:rPr>
          <w:strike/>
        </w:rPr>
      </w:pPr>
      <w:r w:rsidRPr="00B654DA">
        <w:t>2.8.4.3.3</w:t>
      </w:r>
      <w:r w:rsidRPr="00B654DA">
        <w:tab/>
        <w:t xml:space="preserve">Para determinar si una mezcla que contiene sustancias corrosivas ha de considerarse como una mezcla corrosiva y asignarle un grupo de embalaje, se aplicará el método de cálculo que aparece en el diagrama de la figura 2.8.4.3. </w:t>
      </w:r>
    </w:p>
    <w:p w:rsidR="007A3AD0" w:rsidRPr="00B654DA" w:rsidRDefault="007A3AD0" w:rsidP="007A3AD0">
      <w:pPr>
        <w:pStyle w:val="SingleTxtG"/>
      </w:pPr>
      <w:r w:rsidRPr="00B654DA">
        <w:t>2.8.4.3.4</w:t>
      </w:r>
      <w:r w:rsidRPr="00B654DA">
        <w:tab/>
        <w:t>Cuando se asigne a una sustancia un límite de concentración especifico (SCL) tras su entrada en la lista de mercancías peligrosas o en una disposición especial, se utilizará ese límite en lugar de los límites de concentración genéricos (GCL)</w:t>
      </w:r>
      <w:r w:rsidR="009016CA">
        <w:t>.</w:t>
      </w:r>
      <w:r w:rsidRPr="00B654DA">
        <w:t xml:space="preserve"> Eso sucede cuando se utiliza el 1% en el primer paso para la evaluación de las sustancias del grupo de embalaje I, y cuando se utiliza el 5% para los demás pasos, respectivamente en la figura 2.8.4.3.</w:t>
      </w:r>
    </w:p>
    <w:p w:rsidR="007A3AD0" w:rsidRPr="008B39CF" w:rsidRDefault="007A3AD0" w:rsidP="007A3AD0">
      <w:pPr>
        <w:pStyle w:val="SingleTxtG"/>
      </w:pPr>
      <w:r w:rsidRPr="00B654DA">
        <w:t>2.8.4.3.5</w:t>
      </w:r>
      <w:r w:rsidRPr="00B654DA">
        <w:tab/>
        <w:t>Para ese fin,</w:t>
      </w:r>
      <w:r w:rsidR="00965478">
        <w:t xml:space="preserve"> </w:t>
      </w:r>
      <w:r w:rsidRPr="00B654DA">
        <w:t xml:space="preserve">se adaptará la fórmula sumatoria para cada paso del método de cálculo. Esto significa que, cuando proceda, la matriz genérica del límite de concentración se sustituirá por el límite de concentración asignado a cada sustancia (SCLi), y la fórmula adaptada es una media ponderada de los distintos límites de concentración asignados a las distintas sustancias en la </w:t>
      </w:r>
      <w:r w:rsidRPr="008B39CF">
        <w:t>mezcla:</w:t>
      </w:r>
    </w:p>
    <w:p w:rsidR="007A3AD0" w:rsidRPr="008B39CF" w:rsidRDefault="00610E46" w:rsidP="007A3AD0">
      <w:pPr>
        <w:pStyle w:val="SingleTxtG"/>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PGx1</m:t>
              </m:r>
            </m:num>
            <m:den>
              <m:r>
                <w:rPr>
                  <w:rFonts w:ascii="Cambria Math" w:hAnsi="Cambria Math"/>
                  <w:color w:val="000000" w:themeColor="text1"/>
                </w:rPr>
                <m:t>GCL</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PGx</m:t>
              </m:r>
              <m:r>
                <w:rPr>
                  <w:rFonts w:ascii="Cambria Math" w:hAnsi="Cambria Math"/>
                  <w:color w:val="000000" w:themeColor="text1"/>
                  <w:vertAlign w:val="subscript"/>
                </w:rPr>
                <m:t>2</m:t>
              </m:r>
            </m:num>
            <m:den>
              <m:r>
                <w:rPr>
                  <w:rFonts w:ascii="Cambria Math" w:hAnsi="Cambria Math"/>
                  <w:color w:val="000000" w:themeColor="text1"/>
                </w:rPr>
                <m:t>SCL</m:t>
              </m:r>
              <m:r>
                <w:rPr>
                  <w:rFonts w:ascii="Cambria Math" w:hAnsi="Cambria Math"/>
                  <w:color w:val="000000" w:themeColor="text1"/>
                  <w:vertAlign w:val="subscript"/>
                </w:rPr>
                <m:t>2</m:t>
              </m:r>
            </m:den>
          </m:f>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PGxi</m:t>
              </m:r>
            </m:num>
            <m:den>
              <m:r>
                <w:rPr>
                  <w:rFonts w:ascii="Cambria Math" w:hAnsi="Cambria Math"/>
                  <w:color w:val="000000" w:themeColor="text1"/>
                </w:rPr>
                <m:t>SCLi</m:t>
              </m:r>
            </m:den>
          </m:f>
          <m:r>
            <w:rPr>
              <w:rFonts w:ascii="Cambria Math" w:hAnsi="Cambria Math"/>
              <w:color w:val="000000" w:themeColor="text1"/>
            </w:rPr>
            <m:t xml:space="preserve"> ≥1</m:t>
          </m:r>
        </m:oMath>
      </m:oMathPara>
    </w:p>
    <w:p w:rsidR="007A3AD0" w:rsidRPr="008B39CF" w:rsidRDefault="007A3AD0" w:rsidP="007A3AD0">
      <w:pPr>
        <w:pStyle w:val="SingleTxtG"/>
        <w:ind w:left="1440"/>
      </w:pPr>
      <w:r w:rsidRPr="008B39CF">
        <w:t>Siendo:</w:t>
      </w:r>
    </w:p>
    <w:p w:rsidR="007A3AD0" w:rsidRPr="008B39CF" w:rsidRDefault="007A3AD0" w:rsidP="007A3AD0">
      <w:pPr>
        <w:pStyle w:val="SingleTxtG"/>
        <w:ind w:left="1440"/>
      </w:pPr>
      <w:r w:rsidRPr="008B39CF">
        <w:t>PG xi = concentración de la sustancia 1, 2 …i en la mezcla, asignada al grupo de embalaje x (I, II o III)</w:t>
      </w:r>
      <w:r w:rsidR="009016CA">
        <w:t>.</w:t>
      </w:r>
    </w:p>
    <w:p w:rsidR="007A3AD0" w:rsidRPr="008B39CF" w:rsidRDefault="007A3AD0" w:rsidP="007A3AD0">
      <w:pPr>
        <w:pStyle w:val="SingleTxtG"/>
        <w:ind w:left="1440"/>
      </w:pPr>
      <w:r w:rsidRPr="008B39CF">
        <w:t>GCL = límite de concentración genérico</w:t>
      </w:r>
      <w:r w:rsidR="009016CA">
        <w:t>.</w:t>
      </w:r>
    </w:p>
    <w:p w:rsidR="007A3AD0" w:rsidRPr="008B39CF" w:rsidRDefault="007A3AD0" w:rsidP="007A3AD0">
      <w:pPr>
        <w:pStyle w:val="SingleTxtG"/>
        <w:ind w:left="1440"/>
      </w:pPr>
      <w:r w:rsidRPr="008B39CF">
        <w:t>SCLi = límite de concentración espec</w:t>
      </w:r>
      <w:r w:rsidR="006470EE">
        <w:t>ífico asignado a la sustancia i.</w:t>
      </w:r>
    </w:p>
    <w:p w:rsidR="007A3AD0" w:rsidRPr="008B39CF" w:rsidRDefault="007A3AD0" w:rsidP="007A3AD0">
      <w:pPr>
        <w:pStyle w:val="SingleTxtG"/>
        <w:ind w:left="1440"/>
      </w:pPr>
      <w:r w:rsidRPr="008B39CF">
        <w:t>El criterio para la asignación a un grupo de embalaje se cumple cuando el resultado del cálculo es ≥ 1. Los límites de concentración genéricos que habrán de utilizarse para la evaluación en cada paso del método de cálculo son los que figuran en la figura 2.8.4.3.</w:t>
      </w:r>
    </w:p>
    <w:p w:rsidR="007A3AD0" w:rsidRPr="008B39CF" w:rsidRDefault="007A3AD0" w:rsidP="007A3AD0">
      <w:pPr>
        <w:pStyle w:val="SingleTxtG"/>
      </w:pPr>
      <w:r w:rsidRPr="008B39CF">
        <w:t>En la nota que figura a continuación pueden verse ejemplos de la aplicación de la fórmula.</w:t>
      </w:r>
    </w:p>
    <w:p w:rsidR="007A3AD0" w:rsidRPr="00B654DA" w:rsidRDefault="007A3AD0" w:rsidP="007A3AD0">
      <w:pPr>
        <w:pStyle w:val="SingleTxtG"/>
        <w:rPr>
          <w:i/>
        </w:rPr>
      </w:pPr>
      <w:r w:rsidRPr="008B39CF">
        <w:rPr>
          <w:b/>
          <w:i/>
        </w:rPr>
        <w:t>NOTA:</w:t>
      </w:r>
      <w:r w:rsidRPr="00B654DA">
        <w:rPr>
          <w:i/>
        </w:rPr>
        <w:tab/>
        <w:t>Ejemplos de la aplicación de la fórmula</w:t>
      </w:r>
    </w:p>
    <w:p w:rsidR="007A3AD0" w:rsidRPr="00B654DA" w:rsidRDefault="007A3AD0" w:rsidP="007A3AD0">
      <w:pPr>
        <w:pStyle w:val="SingleTxtG"/>
        <w:rPr>
          <w:i/>
        </w:rPr>
      </w:pPr>
      <w:r w:rsidRPr="00B654DA">
        <w:rPr>
          <w:i/>
        </w:rPr>
        <w:t xml:space="preserve">Ejemplo 1: </w:t>
      </w:r>
      <w:r w:rsidR="006470EE">
        <w:rPr>
          <w:i/>
        </w:rPr>
        <w:t>U</w:t>
      </w:r>
      <w:r w:rsidRPr="00B654DA">
        <w:rPr>
          <w:i/>
        </w:rPr>
        <w:t>na mezcla contiene una sustancia corrosiva en una concentración del 5% asignada al grupo de embalaje I sin un límite de concentración específico:</w:t>
      </w:r>
    </w:p>
    <w:p w:rsidR="007A3AD0" w:rsidRPr="00B654DA" w:rsidRDefault="007A3AD0" w:rsidP="007A3AD0">
      <w:pPr>
        <w:pStyle w:val="SingleTxtG"/>
        <w:rPr>
          <w:i/>
        </w:rPr>
      </w:pPr>
      <w:r w:rsidRPr="00B654DA">
        <w:rPr>
          <w:i/>
        </w:rPr>
        <w:t>Cálculo para el grupo de embalaje I:</w:t>
      </w:r>
      <w:r w:rsidR="00965478">
        <w:rPr>
          <w:i/>
        </w:rPr>
        <w:t xml:space="preserve">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965478">
        <w:rPr>
          <w:i/>
        </w:rPr>
        <w:t xml:space="preserve"> </w:t>
      </w:r>
      <w:r w:rsidRPr="00B654DA">
        <w:rPr>
          <w:i/>
        </w:rPr>
        <w:t xml:space="preserve"> </w:t>
      </w:r>
      <w:r w:rsidRPr="00B654DA">
        <w:rPr>
          <w:i/>
        </w:rPr>
        <w:sym w:font="Wingdings" w:char="F0E8"/>
      </w:r>
      <w:r w:rsidRPr="00B654DA">
        <w:rPr>
          <w:i/>
        </w:rPr>
        <w:t xml:space="preserve"> asignar a </w:t>
      </w:r>
      <w:r w:rsidR="00402521">
        <w:rPr>
          <w:i/>
        </w:rPr>
        <w:t>la clase 8, grupo de embalaje I.</w:t>
      </w:r>
    </w:p>
    <w:p w:rsidR="007A3AD0" w:rsidRPr="00B654DA" w:rsidRDefault="007A3AD0" w:rsidP="007A3AD0">
      <w:pPr>
        <w:pStyle w:val="SingleTxtG"/>
        <w:rPr>
          <w:i/>
        </w:rPr>
      </w:pPr>
      <w:r w:rsidRPr="00B654DA">
        <w:rPr>
          <w:i/>
        </w:rPr>
        <w:t xml:space="preserve">Ejemplo 2: </w:t>
      </w:r>
      <w:r w:rsidR="006470EE">
        <w:rPr>
          <w:i/>
        </w:rPr>
        <w:t>U</w:t>
      </w:r>
      <w:r w:rsidRPr="00B654DA">
        <w:rPr>
          <w:i/>
        </w:rPr>
        <w:t>na mezcla contiene tres sustancias corrosivas para la piel; dos de ellas (A y B) tienen límites de concentración específicos; para la tercera (C) se aplican límites de concentración genéricos. No es necesario tener en cuenta el resto de la mezcla.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2"/>
        <w:gridCol w:w="1192"/>
        <w:gridCol w:w="1559"/>
        <w:gridCol w:w="1559"/>
        <w:gridCol w:w="1560"/>
      </w:tblGrid>
      <w:tr w:rsidR="007A3AD0" w:rsidRPr="008B39CF" w:rsidTr="007A3AD0">
        <w:tc>
          <w:tcPr>
            <w:tcW w:w="1922" w:type="dxa"/>
            <w:vAlign w:val="center"/>
          </w:tcPr>
          <w:p w:rsidR="007A3AD0" w:rsidRPr="008B39CF" w:rsidRDefault="007A3AD0" w:rsidP="008B39CF">
            <w:pPr>
              <w:spacing w:before="40" w:after="40"/>
              <w:jc w:val="center"/>
              <w:rPr>
                <w:sz w:val="18"/>
                <w:szCs w:val="18"/>
              </w:rPr>
            </w:pPr>
            <w:r w:rsidRPr="008B39CF">
              <w:rPr>
                <w:sz w:val="18"/>
                <w:szCs w:val="18"/>
              </w:rPr>
              <w:t>Sustancia X en la mezcla y su asignación a un grupo de embalaje dentro</w:t>
            </w:r>
            <w:r w:rsidR="008B39CF">
              <w:rPr>
                <w:sz w:val="18"/>
                <w:szCs w:val="18"/>
              </w:rPr>
              <w:t> </w:t>
            </w:r>
            <w:r w:rsidRPr="008B39CF">
              <w:rPr>
                <w:sz w:val="18"/>
                <w:szCs w:val="18"/>
              </w:rPr>
              <w:t>de la clase 8</w:t>
            </w:r>
          </w:p>
        </w:tc>
        <w:tc>
          <w:tcPr>
            <w:tcW w:w="1192" w:type="dxa"/>
            <w:vAlign w:val="center"/>
          </w:tcPr>
          <w:p w:rsidR="007A3AD0" w:rsidRPr="008B39CF" w:rsidRDefault="007A3AD0" w:rsidP="008B39CF">
            <w:pPr>
              <w:spacing w:before="40" w:after="40"/>
              <w:jc w:val="center"/>
              <w:rPr>
                <w:sz w:val="18"/>
                <w:szCs w:val="18"/>
              </w:rPr>
            </w:pPr>
            <w:r w:rsidRPr="008B39CF">
              <w:rPr>
                <w:sz w:val="18"/>
                <w:szCs w:val="18"/>
              </w:rPr>
              <w:t>Concen</w:t>
            </w:r>
            <w:r w:rsidR="006470EE">
              <w:rPr>
                <w:sz w:val="18"/>
                <w:szCs w:val="18"/>
              </w:rPr>
              <w:t>tración (conc) en la mezcla en porcentaje</w:t>
            </w:r>
          </w:p>
        </w:tc>
        <w:tc>
          <w:tcPr>
            <w:tcW w:w="1559" w:type="dxa"/>
            <w:vAlign w:val="center"/>
          </w:tcPr>
          <w:p w:rsidR="007A3AD0" w:rsidRPr="008B39CF" w:rsidRDefault="006470EE" w:rsidP="008B39CF">
            <w:pPr>
              <w:spacing w:before="40" w:after="40"/>
              <w:jc w:val="center"/>
              <w:rPr>
                <w:sz w:val="18"/>
                <w:szCs w:val="18"/>
              </w:rPr>
            </w:pPr>
            <w:r>
              <w:rPr>
                <w:sz w:val="18"/>
                <w:szCs w:val="18"/>
              </w:rPr>
              <w:t>L</w:t>
            </w:r>
            <w:r w:rsidR="007A3AD0" w:rsidRPr="008B39CF">
              <w:rPr>
                <w:sz w:val="18"/>
                <w:szCs w:val="18"/>
              </w:rPr>
              <w:t>ímite de concentración específico (SCL) grupo de embalaje I</w:t>
            </w:r>
          </w:p>
        </w:tc>
        <w:tc>
          <w:tcPr>
            <w:tcW w:w="1559" w:type="dxa"/>
            <w:vAlign w:val="center"/>
          </w:tcPr>
          <w:p w:rsidR="007A3AD0" w:rsidRPr="008B39CF" w:rsidRDefault="006470EE" w:rsidP="008B39CF">
            <w:pPr>
              <w:spacing w:before="40" w:after="40"/>
              <w:jc w:val="center"/>
              <w:rPr>
                <w:sz w:val="18"/>
                <w:szCs w:val="18"/>
              </w:rPr>
            </w:pPr>
            <w:r>
              <w:rPr>
                <w:sz w:val="18"/>
                <w:szCs w:val="18"/>
              </w:rPr>
              <w:t>L</w:t>
            </w:r>
            <w:r w:rsidR="007A3AD0" w:rsidRPr="008B39CF">
              <w:rPr>
                <w:sz w:val="18"/>
                <w:szCs w:val="18"/>
              </w:rPr>
              <w:t>ímite de concentración específico (SCL) grupo de embalaje II</w:t>
            </w:r>
          </w:p>
        </w:tc>
        <w:tc>
          <w:tcPr>
            <w:tcW w:w="1560" w:type="dxa"/>
            <w:vAlign w:val="center"/>
          </w:tcPr>
          <w:p w:rsidR="007A3AD0" w:rsidRPr="008B39CF" w:rsidRDefault="006470EE" w:rsidP="008B39CF">
            <w:pPr>
              <w:spacing w:before="40" w:after="40"/>
              <w:jc w:val="center"/>
              <w:rPr>
                <w:sz w:val="18"/>
                <w:szCs w:val="18"/>
              </w:rPr>
            </w:pPr>
            <w:r>
              <w:rPr>
                <w:sz w:val="18"/>
                <w:szCs w:val="18"/>
              </w:rPr>
              <w:t>L</w:t>
            </w:r>
            <w:r w:rsidR="007A3AD0" w:rsidRPr="008B39CF">
              <w:rPr>
                <w:sz w:val="18"/>
                <w:szCs w:val="18"/>
              </w:rPr>
              <w:t>ímite de concentración específico (SCL) grupo de embalaje</w:t>
            </w:r>
            <w:r w:rsidR="008B39CF">
              <w:rPr>
                <w:sz w:val="18"/>
                <w:szCs w:val="18"/>
              </w:rPr>
              <w:t> </w:t>
            </w:r>
            <w:r w:rsidR="007A3AD0" w:rsidRPr="008B39CF">
              <w:rPr>
                <w:sz w:val="18"/>
                <w:szCs w:val="18"/>
              </w:rPr>
              <w:t>III</w:t>
            </w:r>
          </w:p>
        </w:tc>
      </w:tr>
      <w:tr w:rsidR="007A3AD0" w:rsidRPr="008B39CF" w:rsidTr="007A3AD0">
        <w:tc>
          <w:tcPr>
            <w:tcW w:w="1922" w:type="dxa"/>
            <w:vAlign w:val="center"/>
          </w:tcPr>
          <w:p w:rsidR="007A3AD0" w:rsidRPr="008B39CF" w:rsidRDefault="007A3AD0" w:rsidP="008B39CF">
            <w:pPr>
              <w:spacing w:before="40" w:after="40"/>
              <w:jc w:val="center"/>
              <w:rPr>
                <w:sz w:val="18"/>
                <w:szCs w:val="18"/>
              </w:rPr>
            </w:pPr>
            <w:r w:rsidRPr="008B39CF">
              <w:rPr>
                <w:sz w:val="18"/>
                <w:szCs w:val="18"/>
              </w:rPr>
              <w:t>A, asignada al grupo de embalaje I</w:t>
            </w:r>
          </w:p>
        </w:tc>
        <w:tc>
          <w:tcPr>
            <w:tcW w:w="1192" w:type="dxa"/>
            <w:vAlign w:val="center"/>
          </w:tcPr>
          <w:p w:rsidR="007A3AD0" w:rsidRPr="008B39CF" w:rsidRDefault="007A3AD0" w:rsidP="008B39CF">
            <w:pPr>
              <w:spacing w:before="40" w:after="40"/>
              <w:jc w:val="center"/>
              <w:rPr>
                <w:sz w:val="18"/>
                <w:szCs w:val="18"/>
              </w:rPr>
            </w:pPr>
            <w:r w:rsidRPr="008B39CF">
              <w:rPr>
                <w:sz w:val="18"/>
                <w:szCs w:val="18"/>
              </w:rPr>
              <w:t>3</w:t>
            </w:r>
          </w:p>
        </w:tc>
        <w:tc>
          <w:tcPr>
            <w:tcW w:w="1559" w:type="dxa"/>
            <w:vAlign w:val="center"/>
          </w:tcPr>
          <w:p w:rsidR="007A3AD0" w:rsidRPr="008B39CF" w:rsidRDefault="007A3AD0" w:rsidP="008B39CF">
            <w:pPr>
              <w:spacing w:before="40" w:after="40"/>
              <w:jc w:val="center"/>
              <w:rPr>
                <w:sz w:val="18"/>
                <w:szCs w:val="18"/>
              </w:rPr>
            </w:pPr>
            <w:r w:rsidRPr="008B39CF">
              <w:rPr>
                <w:sz w:val="18"/>
                <w:szCs w:val="18"/>
              </w:rPr>
              <w:t>30%</w:t>
            </w:r>
          </w:p>
        </w:tc>
        <w:tc>
          <w:tcPr>
            <w:tcW w:w="1559" w:type="dxa"/>
            <w:vAlign w:val="center"/>
          </w:tcPr>
          <w:p w:rsidR="007A3AD0" w:rsidRPr="008B39CF" w:rsidRDefault="007A3AD0" w:rsidP="008B39CF">
            <w:pPr>
              <w:spacing w:before="40" w:after="40"/>
              <w:jc w:val="center"/>
              <w:rPr>
                <w:sz w:val="18"/>
                <w:szCs w:val="18"/>
              </w:rPr>
            </w:pPr>
            <w:r w:rsidRPr="008B39CF">
              <w:rPr>
                <w:sz w:val="18"/>
                <w:szCs w:val="18"/>
              </w:rPr>
              <w:t>no</w:t>
            </w:r>
          </w:p>
        </w:tc>
        <w:tc>
          <w:tcPr>
            <w:tcW w:w="1560" w:type="dxa"/>
            <w:vAlign w:val="center"/>
          </w:tcPr>
          <w:p w:rsidR="007A3AD0" w:rsidRPr="008B39CF" w:rsidRDefault="007A3AD0" w:rsidP="008B39CF">
            <w:pPr>
              <w:spacing w:before="40" w:after="40"/>
              <w:jc w:val="center"/>
              <w:rPr>
                <w:sz w:val="18"/>
                <w:szCs w:val="18"/>
              </w:rPr>
            </w:pPr>
            <w:r w:rsidRPr="008B39CF">
              <w:rPr>
                <w:sz w:val="18"/>
                <w:szCs w:val="18"/>
              </w:rPr>
              <w:t>no</w:t>
            </w:r>
          </w:p>
        </w:tc>
      </w:tr>
      <w:tr w:rsidR="007A3AD0" w:rsidRPr="008B39CF" w:rsidTr="007A3AD0">
        <w:tc>
          <w:tcPr>
            <w:tcW w:w="1922" w:type="dxa"/>
            <w:vAlign w:val="center"/>
          </w:tcPr>
          <w:p w:rsidR="007A3AD0" w:rsidRPr="008B39CF" w:rsidRDefault="007A3AD0" w:rsidP="008B39CF">
            <w:pPr>
              <w:spacing w:before="40" w:after="40"/>
              <w:jc w:val="center"/>
              <w:rPr>
                <w:sz w:val="18"/>
                <w:szCs w:val="18"/>
              </w:rPr>
            </w:pPr>
            <w:r w:rsidRPr="008B39CF">
              <w:rPr>
                <w:sz w:val="18"/>
                <w:szCs w:val="18"/>
              </w:rPr>
              <w:t>B, asignada al grupo de embalaje I</w:t>
            </w:r>
          </w:p>
        </w:tc>
        <w:tc>
          <w:tcPr>
            <w:tcW w:w="1192" w:type="dxa"/>
            <w:vAlign w:val="center"/>
          </w:tcPr>
          <w:p w:rsidR="007A3AD0" w:rsidRPr="008B39CF" w:rsidRDefault="007A3AD0" w:rsidP="008B39CF">
            <w:pPr>
              <w:spacing w:before="40" w:after="40"/>
              <w:jc w:val="center"/>
              <w:rPr>
                <w:sz w:val="18"/>
                <w:szCs w:val="18"/>
              </w:rPr>
            </w:pPr>
            <w:r w:rsidRPr="008B39CF">
              <w:rPr>
                <w:sz w:val="18"/>
                <w:szCs w:val="18"/>
              </w:rPr>
              <w:t>2</w:t>
            </w:r>
          </w:p>
        </w:tc>
        <w:tc>
          <w:tcPr>
            <w:tcW w:w="1559" w:type="dxa"/>
            <w:vAlign w:val="center"/>
          </w:tcPr>
          <w:p w:rsidR="007A3AD0" w:rsidRPr="008B39CF" w:rsidRDefault="007A3AD0" w:rsidP="008B39CF">
            <w:pPr>
              <w:spacing w:before="40" w:after="40"/>
              <w:jc w:val="center"/>
              <w:rPr>
                <w:sz w:val="18"/>
                <w:szCs w:val="18"/>
              </w:rPr>
            </w:pPr>
            <w:r w:rsidRPr="008B39CF">
              <w:rPr>
                <w:sz w:val="18"/>
                <w:szCs w:val="18"/>
              </w:rPr>
              <w:t>20%</w:t>
            </w:r>
          </w:p>
        </w:tc>
        <w:tc>
          <w:tcPr>
            <w:tcW w:w="1559" w:type="dxa"/>
            <w:vAlign w:val="center"/>
          </w:tcPr>
          <w:p w:rsidR="007A3AD0" w:rsidRPr="008B39CF" w:rsidRDefault="007A3AD0" w:rsidP="008B39CF">
            <w:pPr>
              <w:spacing w:before="40" w:after="40"/>
              <w:jc w:val="center"/>
              <w:rPr>
                <w:sz w:val="18"/>
                <w:szCs w:val="18"/>
              </w:rPr>
            </w:pPr>
            <w:r w:rsidRPr="008B39CF">
              <w:rPr>
                <w:sz w:val="18"/>
                <w:szCs w:val="18"/>
              </w:rPr>
              <w:t>10%</w:t>
            </w:r>
          </w:p>
        </w:tc>
        <w:tc>
          <w:tcPr>
            <w:tcW w:w="1560" w:type="dxa"/>
            <w:vAlign w:val="center"/>
          </w:tcPr>
          <w:p w:rsidR="007A3AD0" w:rsidRPr="008B39CF" w:rsidRDefault="007A3AD0" w:rsidP="008B39CF">
            <w:pPr>
              <w:spacing w:before="40" w:after="40"/>
              <w:jc w:val="center"/>
              <w:rPr>
                <w:sz w:val="18"/>
                <w:szCs w:val="18"/>
              </w:rPr>
            </w:pPr>
            <w:r w:rsidRPr="008B39CF">
              <w:rPr>
                <w:sz w:val="18"/>
                <w:szCs w:val="18"/>
              </w:rPr>
              <w:t>no</w:t>
            </w:r>
          </w:p>
        </w:tc>
      </w:tr>
      <w:tr w:rsidR="007A3AD0" w:rsidRPr="008B39CF" w:rsidTr="007A3AD0">
        <w:tc>
          <w:tcPr>
            <w:tcW w:w="1922" w:type="dxa"/>
            <w:vAlign w:val="center"/>
          </w:tcPr>
          <w:p w:rsidR="007A3AD0" w:rsidRPr="008B39CF" w:rsidRDefault="007A3AD0" w:rsidP="008B39CF">
            <w:pPr>
              <w:spacing w:before="40" w:after="40"/>
              <w:jc w:val="center"/>
              <w:rPr>
                <w:sz w:val="18"/>
                <w:szCs w:val="18"/>
              </w:rPr>
            </w:pPr>
            <w:r w:rsidRPr="008B39CF">
              <w:rPr>
                <w:sz w:val="18"/>
                <w:szCs w:val="18"/>
              </w:rPr>
              <w:t>C, asignada al grupo de embalaje III</w:t>
            </w:r>
          </w:p>
        </w:tc>
        <w:tc>
          <w:tcPr>
            <w:tcW w:w="1192" w:type="dxa"/>
            <w:vAlign w:val="center"/>
          </w:tcPr>
          <w:p w:rsidR="007A3AD0" w:rsidRPr="008B39CF" w:rsidRDefault="007A3AD0" w:rsidP="008B39CF">
            <w:pPr>
              <w:spacing w:before="40" w:after="40"/>
              <w:jc w:val="center"/>
              <w:rPr>
                <w:sz w:val="18"/>
                <w:szCs w:val="18"/>
              </w:rPr>
            </w:pPr>
            <w:r w:rsidRPr="008B39CF">
              <w:rPr>
                <w:sz w:val="18"/>
                <w:szCs w:val="18"/>
              </w:rPr>
              <w:t>10</w:t>
            </w:r>
          </w:p>
        </w:tc>
        <w:tc>
          <w:tcPr>
            <w:tcW w:w="1559" w:type="dxa"/>
            <w:vAlign w:val="center"/>
          </w:tcPr>
          <w:p w:rsidR="007A3AD0" w:rsidRPr="008B39CF" w:rsidRDefault="007A3AD0" w:rsidP="008B39CF">
            <w:pPr>
              <w:spacing w:before="40" w:after="40"/>
              <w:jc w:val="center"/>
              <w:rPr>
                <w:sz w:val="18"/>
                <w:szCs w:val="18"/>
              </w:rPr>
            </w:pPr>
            <w:r w:rsidRPr="008B39CF">
              <w:rPr>
                <w:sz w:val="18"/>
                <w:szCs w:val="18"/>
              </w:rPr>
              <w:t>no</w:t>
            </w:r>
          </w:p>
        </w:tc>
        <w:tc>
          <w:tcPr>
            <w:tcW w:w="1559" w:type="dxa"/>
            <w:vAlign w:val="center"/>
          </w:tcPr>
          <w:p w:rsidR="007A3AD0" w:rsidRPr="008B39CF" w:rsidRDefault="007A3AD0" w:rsidP="008B39CF">
            <w:pPr>
              <w:spacing w:before="40" w:after="40"/>
              <w:jc w:val="center"/>
              <w:rPr>
                <w:sz w:val="18"/>
                <w:szCs w:val="18"/>
              </w:rPr>
            </w:pPr>
            <w:r w:rsidRPr="008B39CF">
              <w:rPr>
                <w:sz w:val="18"/>
                <w:szCs w:val="18"/>
              </w:rPr>
              <w:t>no</w:t>
            </w:r>
          </w:p>
        </w:tc>
        <w:tc>
          <w:tcPr>
            <w:tcW w:w="1560" w:type="dxa"/>
            <w:vAlign w:val="center"/>
          </w:tcPr>
          <w:p w:rsidR="007A3AD0" w:rsidRPr="008B39CF" w:rsidRDefault="007A3AD0" w:rsidP="008B39CF">
            <w:pPr>
              <w:spacing w:before="40" w:after="40"/>
              <w:jc w:val="center"/>
              <w:rPr>
                <w:sz w:val="18"/>
                <w:szCs w:val="18"/>
              </w:rPr>
            </w:pPr>
            <w:r w:rsidRPr="008B39CF">
              <w:rPr>
                <w:sz w:val="18"/>
                <w:szCs w:val="18"/>
              </w:rPr>
              <w:t>no</w:t>
            </w:r>
          </w:p>
        </w:tc>
      </w:tr>
    </w:tbl>
    <w:p w:rsidR="007A3AD0" w:rsidRPr="00B654DA" w:rsidRDefault="007A3AD0" w:rsidP="007A3AD0">
      <w:pPr>
        <w:pStyle w:val="SingleTxtG"/>
        <w:spacing w:before="120"/>
        <w:rPr>
          <w:i/>
        </w:rPr>
      </w:pPr>
      <w:r w:rsidRPr="00B654DA">
        <w:rPr>
          <w:i/>
        </w:rPr>
        <w:lastRenderedPageBreak/>
        <w:t>Cálculo para el grupo de embalaje I:</w:t>
      </w:r>
      <w:r w:rsidRPr="00B654DA">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rsidR="007A3AD0" w:rsidRPr="00B654DA" w:rsidRDefault="007A3AD0" w:rsidP="007A3AD0">
      <w:pPr>
        <w:pStyle w:val="SingleTxtG"/>
        <w:spacing w:before="120"/>
        <w:rPr>
          <w:i/>
        </w:rPr>
      </w:pPr>
      <w:r w:rsidRPr="00B654DA">
        <w:rPr>
          <w:i/>
        </w:rPr>
        <w:t>No se cumple el criterio para el grupo de embalaje I.</w:t>
      </w:r>
    </w:p>
    <w:p w:rsidR="007A3AD0" w:rsidRPr="00B654DA" w:rsidRDefault="007A3AD0" w:rsidP="007A3AD0">
      <w:pPr>
        <w:pStyle w:val="SingleTxtG"/>
        <w:rPr>
          <w:i/>
        </w:rPr>
      </w:pPr>
      <w:r w:rsidRPr="00B654DA">
        <w:rPr>
          <w:i/>
        </w:rPr>
        <w:t>Cálculo para el grupo de embalaje II:</w:t>
      </w:r>
      <w:r w:rsidRPr="00B654DA">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rsidR="007A3AD0" w:rsidRPr="00B654DA" w:rsidRDefault="007A3AD0" w:rsidP="007A3AD0">
      <w:pPr>
        <w:pStyle w:val="SingleTxtG"/>
        <w:rPr>
          <w:i/>
        </w:rPr>
      </w:pPr>
      <w:r w:rsidRPr="00B654DA">
        <w:rPr>
          <w:i/>
        </w:rPr>
        <w:t>No se cumple el criterio para el grupo de embalaje II.</w:t>
      </w:r>
    </w:p>
    <w:p w:rsidR="007A3AD0" w:rsidRPr="00B654DA" w:rsidRDefault="007A3AD0" w:rsidP="007A3AD0">
      <w:pPr>
        <w:pStyle w:val="SingleTxtG"/>
        <w:rPr>
          <w:i/>
        </w:rPr>
      </w:pPr>
      <w:r w:rsidRPr="00B654DA">
        <w:rPr>
          <w:i/>
        </w:rPr>
        <w:t>Cálculo para el grupo de embalaje III:</w:t>
      </w:r>
      <w:r w:rsidR="00965478">
        <w:rPr>
          <w:i/>
        </w:rPr>
        <w:t xml:space="preserve"> </w:t>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rsidR="007A3AD0" w:rsidRPr="006470EE" w:rsidRDefault="007A3AD0" w:rsidP="007A3AD0">
      <w:pPr>
        <w:pStyle w:val="SingleTxtG"/>
        <w:rPr>
          <w:i/>
        </w:rPr>
      </w:pPr>
      <w:r w:rsidRPr="006470EE">
        <w:rPr>
          <w:i/>
        </w:rPr>
        <w:t>Se cumple el criterio para el grupo de embalaje III, por lo que la mezcla se asignará a la clase 8, grupo de embalaje III.</w:t>
      </w:r>
    </w:p>
    <w:p w:rsidR="007A3AD0" w:rsidRPr="00953AA5" w:rsidRDefault="006470EE" w:rsidP="007A3AD0">
      <w:pPr>
        <w:pStyle w:val="SingleTxtG"/>
        <w:jc w:val="center"/>
        <w:rPr>
          <w:b/>
        </w:rPr>
      </w:pPr>
      <w:r>
        <w:rPr>
          <w:b/>
        </w:rPr>
        <w:t>Figura 2.8.4.3: M</w:t>
      </w:r>
      <w:r w:rsidR="007A3AD0" w:rsidRPr="00953AA5">
        <w:rPr>
          <w:b/>
        </w:rPr>
        <w:t>étodo de cálculo</w:t>
      </w:r>
    </w:p>
    <w:p w:rsidR="009659A8" w:rsidRDefault="009659A8" w:rsidP="009659A8">
      <w:pPr>
        <w:ind w:left="1134"/>
        <w:rPr>
          <w:b/>
        </w:rPr>
      </w:pPr>
      <w:r>
        <w:rPr>
          <w:b/>
          <w:noProof/>
          <w:lang w:val="en-GB" w:eastAsia="en-GB"/>
        </w:rPr>
        <mc:AlternateContent>
          <mc:Choice Requires="wps">
            <w:drawing>
              <wp:anchor distT="0" distB="0" distL="114300" distR="114300" simplePos="0" relativeHeight="251636736" behindDoc="0" locked="0" layoutInCell="1" allowOverlap="1" wp14:anchorId="7226E711" wp14:editId="597B6492">
                <wp:simplePos x="0" y="0"/>
                <wp:positionH relativeFrom="column">
                  <wp:posOffset>813740</wp:posOffset>
                </wp:positionH>
                <wp:positionV relativeFrom="paragraph">
                  <wp:posOffset>3381375</wp:posOffset>
                </wp:positionV>
                <wp:extent cx="869950" cy="372110"/>
                <wp:effectExtent l="0" t="0" r="6350" b="8890"/>
                <wp:wrapNone/>
                <wp:docPr id="70" name="Cuadro de texto 70"/>
                <wp:cNvGraphicFramePr/>
                <a:graphic xmlns:a="http://schemas.openxmlformats.org/drawingml/2006/main">
                  <a:graphicData uri="http://schemas.microsoft.com/office/word/2010/wordprocessingShape">
                    <wps:wsp>
                      <wps:cNvSpPr txBox="1"/>
                      <wps:spPr>
                        <a:xfrm>
                          <a:off x="0" y="0"/>
                          <a:ext cx="869950" cy="372110"/>
                        </a:xfrm>
                        <a:prstGeom prst="rect">
                          <a:avLst/>
                        </a:prstGeom>
                        <a:solidFill>
                          <a:schemeClr val="lt1"/>
                        </a:solidFill>
                        <a:ln w="6350">
                          <a:noFill/>
                        </a:ln>
                      </wps:spPr>
                      <wps:txbx>
                        <w:txbxContent>
                          <w:p w:rsidR="00AC5BC7" w:rsidRDefault="00AC5BC7" w:rsidP="009659A8">
                            <w:pPr>
                              <w:spacing w:line="240" w:lineRule="auto"/>
                              <w:jc w:val="center"/>
                            </w:pPr>
                            <w:r>
                              <w:t>Clase 8, grupo de embalaje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26E711" id="Cuadro de texto 70" o:spid="_x0000_s1052" type="#_x0000_t202" style="position:absolute;left:0;text-align:left;margin-left:64.05pt;margin-top:266.25pt;width:68.5pt;height:29.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" fillcolor="white [3201]" stroked="f" strokeweight=".5pt">
                <v:textbox inset="0,0,0,0">
                  <w:txbxContent>
                    <w:p w:rsidR="00AC5BC7" w:rsidRDefault="00AC5BC7" w:rsidP="009659A8">
                      <w:pPr>
                        <w:spacing w:line="240" w:lineRule="auto"/>
                        <w:jc w:val="center"/>
                      </w:pPr>
                      <w:r>
                        <w:t>Clase 8, grupo de embalaje I</w:t>
                      </w:r>
                    </w:p>
                  </w:txbxContent>
                </v:textbox>
              </v:shape>
            </w:pict>
          </mc:Fallback>
        </mc:AlternateContent>
      </w:r>
      <w:r>
        <w:rPr>
          <w:b/>
          <w:noProof/>
          <w:lang w:val="en-GB" w:eastAsia="en-GB"/>
        </w:rPr>
        <mc:AlternateContent>
          <mc:Choice Requires="wps">
            <w:drawing>
              <wp:anchor distT="0" distB="0" distL="114300" distR="114300" simplePos="0" relativeHeight="251640832" behindDoc="0" locked="0" layoutInCell="1" allowOverlap="1" wp14:anchorId="390FD842" wp14:editId="2FE83E22">
                <wp:simplePos x="0" y="0"/>
                <wp:positionH relativeFrom="column">
                  <wp:posOffset>2162505</wp:posOffset>
                </wp:positionH>
                <wp:positionV relativeFrom="paragraph">
                  <wp:posOffset>3383280</wp:posOffset>
                </wp:positionV>
                <wp:extent cx="869950" cy="372110"/>
                <wp:effectExtent l="0" t="0" r="6350" b="8890"/>
                <wp:wrapNone/>
                <wp:docPr id="69" name="Cuadro de texto 69"/>
                <wp:cNvGraphicFramePr/>
                <a:graphic xmlns:a="http://schemas.openxmlformats.org/drawingml/2006/main">
                  <a:graphicData uri="http://schemas.microsoft.com/office/word/2010/wordprocessingShape">
                    <wps:wsp>
                      <wps:cNvSpPr txBox="1"/>
                      <wps:spPr>
                        <a:xfrm>
                          <a:off x="0" y="0"/>
                          <a:ext cx="869950" cy="372110"/>
                        </a:xfrm>
                        <a:prstGeom prst="rect">
                          <a:avLst/>
                        </a:prstGeom>
                        <a:solidFill>
                          <a:schemeClr val="lt1"/>
                        </a:solidFill>
                        <a:ln w="6350">
                          <a:noFill/>
                        </a:ln>
                      </wps:spPr>
                      <wps:txbx>
                        <w:txbxContent>
                          <w:p w:rsidR="00AC5BC7" w:rsidRDefault="00AC5BC7" w:rsidP="009659A8">
                            <w:pPr>
                              <w:spacing w:line="240" w:lineRule="auto"/>
                              <w:jc w:val="center"/>
                            </w:pPr>
                            <w:r>
                              <w:t>Clase 8, grupo de embalaje II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0FD842" id="Cuadro de texto 69" o:spid="_x0000_s1053" type="#_x0000_t202" style="position:absolute;left:0;text-align:left;margin-left:170.3pt;margin-top:266.4pt;width:68.5pt;height:2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" fillcolor="white [3201]" stroked="f" strokeweight=".5pt">
                <v:textbox inset="0,0,0,0">
                  <w:txbxContent>
                    <w:p w:rsidR="00AC5BC7" w:rsidRDefault="00AC5BC7" w:rsidP="009659A8">
                      <w:pPr>
                        <w:spacing w:line="240" w:lineRule="auto"/>
                        <w:jc w:val="center"/>
                      </w:pPr>
                      <w:r>
                        <w:t>Clase 8, grupo de embalaje II</w:t>
                      </w:r>
                    </w:p>
                  </w:txbxContent>
                </v:textbox>
              </v:shape>
            </w:pict>
          </mc:Fallback>
        </mc:AlternateContent>
      </w:r>
      <w:r>
        <w:rPr>
          <w:b/>
          <w:noProof/>
          <w:lang w:val="en-GB" w:eastAsia="en-GB"/>
        </w:rPr>
        <mc:AlternateContent>
          <mc:Choice Requires="wps">
            <w:drawing>
              <wp:anchor distT="0" distB="0" distL="114300" distR="114300" simplePos="0" relativeHeight="251645952" behindDoc="0" locked="0" layoutInCell="1" allowOverlap="1" wp14:anchorId="7BA4763D" wp14:editId="6F5904D5">
                <wp:simplePos x="0" y="0"/>
                <wp:positionH relativeFrom="column">
                  <wp:posOffset>3347415</wp:posOffset>
                </wp:positionH>
                <wp:positionV relativeFrom="paragraph">
                  <wp:posOffset>3388360</wp:posOffset>
                </wp:positionV>
                <wp:extent cx="906145" cy="372110"/>
                <wp:effectExtent l="0" t="0" r="8255" b="8890"/>
                <wp:wrapNone/>
                <wp:docPr id="68" name="Cuadro de texto 68"/>
                <wp:cNvGraphicFramePr/>
                <a:graphic xmlns:a="http://schemas.openxmlformats.org/drawingml/2006/main">
                  <a:graphicData uri="http://schemas.microsoft.com/office/word/2010/wordprocessingShape">
                    <wps:wsp>
                      <wps:cNvSpPr txBox="1"/>
                      <wps:spPr>
                        <a:xfrm>
                          <a:off x="0" y="0"/>
                          <a:ext cx="906145" cy="372110"/>
                        </a:xfrm>
                        <a:prstGeom prst="rect">
                          <a:avLst/>
                        </a:prstGeom>
                        <a:solidFill>
                          <a:schemeClr val="lt1"/>
                        </a:solidFill>
                        <a:ln w="6350">
                          <a:noFill/>
                        </a:ln>
                      </wps:spPr>
                      <wps:txbx>
                        <w:txbxContent>
                          <w:p w:rsidR="00AC5BC7" w:rsidRDefault="00AC5BC7" w:rsidP="009659A8">
                            <w:pPr>
                              <w:spacing w:line="240" w:lineRule="auto"/>
                              <w:jc w:val="center"/>
                            </w:pPr>
                            <w:r>
                              <w:t>Clase 8, grupo de embalaje III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A4763D" id="Cuadro de texto 68" o:spid="_x0000_s1054" type="#_x0000_t202" style="position:absolute;left:0;text-align:left;margin-left:263.6pt;margin-top:266.8pt;width:71.35pt;height:2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" fillcolor="white [3201]" stroked="f" strokeweight=".5pt">
                <v:textbox inset="0,0,0,0">
                  <w:txbxContent>
                    <w:p w:rsidR="00AC5BC7" w:rsidRDefault="00AC5BC7" w:rsidP="009659A8">
                      <w:pPr>
                        <w:spacing w:line="240" w:lineRule="auto"/>
                        <w:jc w:val="center"/>
                      </w:pPr>
                      <w:r>
                        <w:t>Clase 8, grupo de embalaje III</w:t>
                      </w:r>
                    </w:p>
                  </w:txbxContent>
                </v:textbox>
              </v:shape>
            </w:pict>
          </mc:Fallback>
        </mc:AlternateContent>
      </w:r>
      <w:r>
        <w:rPr>
          <w:b/>
          <w:noProof/>
          <w:lang w:val="en-GB" w:eastAsia="en-GB"/>
        </w:rPr>
        <mc:AlternateContent>
          <mc:Choice Requires="wps">
            <w:drawing>
              <wp:anchor distT="0" distB="0" distL="114300" distR="114300" simplePos="0" relativeHeight="251652096" behindDoc="0" locked="0" layoutInCell="1" allowOverlap="1" wp14:anchorId="451B5730" wp14:editId="44ECB75C">
                <wp:simplePos x="0" y="0"/>
                <wp:positionH relativeFrom="column">
                  <wp:posOffset>4814900</wp:posOffset>
                </wp:positionH>
                <wp:positionV relativeFrom="paragraph">
                  <wp:posOffset>3387090</wp:posOffset>
                </wp:positionV>
                <wp:extent cx="869950" cy="372110"/>
                <wp:effectExtent l="0" t="0" r="6350" b="8890"/>
                <wp:wrapNone/>
                <wp:docPr id="67" name="Cuadro de texto 67"/>
                <wp:cNvGraphicFramePr/>
                <a:graphic xmlns:a="http://schemas.openxmlformats.org/drawingml/2006/main">
                  <a:graphicData uri="http://schemas.microsoft.com/office/word/2010/wordprocessingShape">
                    <wps:wsp>
                      <wps:cNvSpPr txBox="1"/>
                      <wps:spPr>
                        <a:xfrm>
                          <a:off x="0" y="0"/>
                          <a:ext cx="869950" cy="372110"/>
                        </a:xfrm>
                        <a:prstGeom prst="rect">
                          <a:avLst/>
                        </a:prstGeom>
                        <a:solidFill>
                          <a:schemeClr val="lt1"/>
                        </a:solidFill>
                        <a:ln w="6350">
                          <a:noFill/>
                        </a:ln>
                      </wps:spPr>
                      <wps:txbx>
                        <w:txbxContent>
                          <w:p w:rsidR="00AC5BC7" w:rsidRDefault="00AC5BC7" w:rsidP="009659A8">
                            <w:pPr>
                              <w:spacing w:line="240" w:lineRule="auto"/>
                              <w:jc w:val="center"/>
                            </w:pPr>
                            <w:r>
                              <w:t>No es aplicable la clase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1B5730" id="Cuadro de texto 67" o:spid="_x0000_s1055" type="#_x0000_t202" style="position:absolute;left:0;text-align:left;margin-left:379.15pt;margin-top:266.7pt;width:68.5pt;height: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" fillcolor="white [3201]" stroked="f" strokeweight=".5pt">
                <v:textbox inset="0,0,0,0">
                  <w:txbxContent>
                    <w:p w:rsidR="00AC5BC7" w:rsidRDefault="00AC5BC7" w:rsidP="009659A8">
                      <w:pPr>
                        <w:spacing w:line="240" w:lineRule="auto"/>
                        <w:jc w:val="center"/>
                      </w:pPr>
                      <w:r>
                        <w:t>No es aplicable la clase 8</w:t>
                      </w:r>
                    </w:p>
                  </w:txbxContent>
                </v:textbox>
              </v:shape>
            </w:pict>
          </mc:Fallback>
        </mc:AlternateContent>
      </w:r>
      <w:r>
        <w:rPr>
          <w:b/>
          <w:noProof/>
          <w:lang w:val="en-GB" w:eastAsia="en-GB"/>
        </w:rPr>
        <mc:AlternateContent>
          <mc:Choice Requires="wps">
            <w:drawing>
              <wp:anchor distT="0" distB="0" distL="114300" distR="114300" simplePos="0" relativeHeight="251710464" behindDoc="0" locked="0" layoutInCell="1" allowOverlap="1" wp14:anchorId="484325FA" wp14:editId="5314D4B1">
                <wp:simplePos x="0" y="0"/>
                <wp:positionH relativeFrom="column">
                  <wp:posOffset>3386150</wp:posOffset>
                </wp:positionH>
                <wp:positionV relativeFrom="paragraph">
                  <wp:posOffset>2918460</wp:posOffset>
                </wp:positionV>
                <wp:extent cx="292100" cy="262255"/>
                <wp:effectExtent l="0" t="0" r="0" b="4445"/>
                <wp:wrapNone/>
                <wp:docPr id="62" name="Cuadro de texto 62"/>
                <wp:cNvGraphicFramePr/>
                <a:graphic xmlns:a="http://schemas.openxmlformats.org/drawingml/2006/main">
                  <a:graphicData uri="http://schemas.microsoft.com/office/word/2010/wordprocessingShape">
                    <wps:wsp>
                      <wps:cNvSpPr txBox="1"/>
                      <wps:spPr>
                        <a:xfrm>
                          <a:off x="0" y="0"/>
                          <a:ext cx="292100" cy="262255"/>
                        </a:xfrm>
                        <a:prstGeom prst="rect">
                          <a:avLst/>
                        </a:prstGeom>
                        <a:solidFill>
                          <a:schemeClr val="lt1"/>
                        </a:solidFill>
                        <a:ln w="6350">
                          <a:noFill/>
                        </a:ln>
                      </wps:spPr>
                      <wps:txbx>
                        <w:txbxContent>
                          <w:p w:rsidR="00AC5BC7" w:rsidRDefault="00AC5BC7" w:rsidP="009659A8">
                            <w:pPr>
                              <w:spacing w:line="240" w:lineRule="auto"/>
                              <w:jc w:val="center"/>
                            </w:pPr>
                            <w:r>
                              <w:t>Sí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4325FA" id="Cuadro de texto 62" o:spid="_x0000_s1056" type="#_x0000_t202" style="position:absolute;left:0;text-align:left;margin-left:266.65pt;margin-top:229.8pt;width:23pt;height:2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" fillcolor="white [3201]" stroked="f" strokeweight=".5pt">
                <v:textbox inset="0,0,0,0">
                  <w:txbxContent>
                    <w:p w:rsidR="00AC5BC7" w:rsidRDefault="00AC5BC7" w:rsidP="009659A8">
                      <w:pPr>
                        <w:spacing w:line="240" w:lineRule="auto"/>
                        <w:jc w:val="center"/>
                      </w:pPr>
                      <w:r>
                        <w:t>Sí</w:t>
                      </w:r>
                    </w:p>
                  </w:txbxContent>
                </v:textbox>
              </v:shape>
            </w:pict>
          </mc:Fallback>
        </mc:AlternateContent>
      </w:r>
      <w:r>
        <w:rPr>
          <w:b/>
          <w:noProof/>
          <w:lang w:val="en-GB" w:eastAsia="en-GB"/>
        </w:rPr>
        <mc:AlternateContent>
          <mc:Choice Requires="wps">
            <w:drawing>
              <wp:anchor distT="0" distB="0" distL="114300" distR="114300" simplePos="0" relativeHeight="251699200" behindDoc="0" locked="0" layoutInCell="1" allowOverlap="1" wp14:anchorId="61306137" wp14:editId="180E6FCC">
                <wp:simplePos x="0" y="0"/>
                <wp:positionH relativeFrom="column">
                  <wp:posOffset>2932532</wp:posOffset>
                </wp:positionH>
                <wp:positionV relativeFrom="paragraph">
                  <wp:posOffset>2437765</wp:posOffset>
                </wp:positionV>
                <wp:extent cx="292100" cy="262255"/>
                <wp:effectExtent l="0" t="0" r="0" b="4445"/>
                <wp:wrapNone/>
                <wp:docPr id="63" name="Cuadro de texto 63"/>
                <wp:cNvGraphicFramePr/>
                <a:graphic xmlns:a="http://schemas.openxmlformats.org/drawingml/2006/main">
                  <a:graphicData uri="http://schemas.microsoft.com/office/word/2010/wordprocessingShape">
                    <wps:wsp>
                      <wps:cNvSpPr txBox="1"/>
                      <wps:spPr>
                        <a:xfrm>
                          <a:off x="0" y="0"/>
                          <a:ext cx="292100" cy="262255"/>
                        </a:xfrm>
                        <a:prstGeom prst="rect">
                          <a:avLst/>
                        </a:prstGeom>
                        <a:solidFill>
                          <a:schemeClr val="lt1"/>
                        </a:solidFill>
                        <a:ln w="6350">
                          <a:noFill/>
                        </a:ln>
                      </wps:spPr>
                      <wps:txbx>
                        <w:txbxContent>
                          <w:p w:rsidR="00AC5BC7" w:rsidRDefault="00AC5BC7" w:rsidP="009659A8">
                            <w:pPr>
                              <w:spacing w:line="240" w:lineRule="auto"/>
                              <w:jc w:val="center"/>
                            </w:pPr>
                            <w:r>
                              <w:t>Sí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306137" id="Cuadro de texto 63" o:spid="_x0000_s1057" type="#_x0000_t202" style="position:absolute;left:0;text-align:left;margin-left:230.9pt;margin-top:191.95pt;width:23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" fillcolor="white [3201]" stroked="f" strokeweight=".5pt">
                <v:textbox inset="0,0,0,0">
                  <w:txbxContent>
                    <w:p w:rsidR="00AC5BC7" w:rsidRDefault="00AC5BC7" w:rsidP="009659A8">
                      <w:pPr>
                        <w:spacing w:line="240" w:lineRule="auto"/>
                        <w:jc w:val="center"/>
                      </w:pPr>
                      <w:r>
                        <w:t>Sí</w:t>
                      </w:r>
                    </w:p>
                  </w:txbxContent>
                </v:textbox>
              </v:shape>
            </w:pict>
          </mc:Fallback>
        </mc:AlternateContent>
      </w:r>
      <w:r>
        <w:rPr>
          <w:b/>
          <w:noProof/>
          <w:lang w:val="en-GB" w:eastAsia="en-GB"/>
        </w:rPr>
        <mc:AlternateContent>
          <mc:Choice Requires="wps">
            <w:drawing>
              <wp:anchor distT="0" distB="0" distL="114300" distR="114300" simplePos="0" relativeHeight="251687936" behindDoc="0" locked="0" layoutInCell="1" allowOverlap="1" wp14:anchorId="7CE39F66" wp14:editId="43671865">
                <wp:simplePos x="0" y="0"/>
                <wp:positionH relativeFrom="column">
                  <wp:posOffset>867105</wp:posOffset>
                </wp:positionH>
                <wp:positionV relativeFrom="paragraph">
                  <wp:posOffset>2436495</wp:posOffset>
                </wp:positionV>
                <wp:extent cx="292100" cy="262255"/>
                <wp:effectExtent l="0" t="0" r="0" b="4445"/>
                <wp:wrapNone/>
                <wp:docPr id="64" name="Cuadro de texto 64"/>
                <wp:cNvGraphicFramePr/>
                <a:graphic xmlns:a="http://schemas.openxmlformats.org/drawingml/2006/main">
                  <a:graphicData uri="http://schemas.microsoft.com/office/word/2010/wordprocessingShape">
                    <wps:wsp>
                      <wps:cNvSpPr txBox="1"/>
                      <wps:spPr>
                        <a:xfrm>
                          <a:off x="0" y="0"/>
                          <a:ext cx="292100" cy="262255"/>
                        </a:xfrm>
                        <a:prstGeom prst="rect">
                          <a:avLst/>
                        </a:prstGeom>
                        <a:solidFill>
                          <a:schemeClr val="lt1"/>
                        </a:solidFill>
                        <a:ln w="6350">
                          <a:noFill/>
                        </a:ln>
                      </wps:spPr>
                      <wps:txbx>
                        <w:txbxContent>
                          <w:p w:rsidR="00AC5BC7" w:rsidRDefault="00AC5BC7" w:rsidP="009659A8">
                            <w:pPr>
                              <w:spacing w:line="240" w:lineRule="auto"/>
                              <w:jc w:val="center"/>
                            </w:pPr>
                            <w:r>
                              <w:t>Sí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E39F66" id="Cuadro de texto 64" o:spid="_x0000_s1058" type="#_x0000_t202" style="position:absolute;left:0;text-align:left;margin-left:68.3pt;margin-top:191.85pt;width:23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" fillcolor="white [3201]" stroked="f" strokeweight=".5pt">
                <v:textbox inset="0,0,0,0">
                  <w:txbxContent>
                    <w:p w:rsidR="00AC5BC7" w:rsidRDefault="00AC5BC7" w:rsidP="009659A8">
                      <w:pPr>
                        <w:spacing w:line="240" w:lineRule="auto"/>
                        <w:jc w:val="center"/>
                      </w:pPr>
                      <w:r>
                        <w:t>Sí</w:t>
                      </w:r>
                    </w:p>
                  </w:txbxContent>
                </v:textbox>
              </v:shape>
            </w:pict>
          </mc:Fallback>
        </mc:AlternateContent>
      </w:r>
      <w:r>
        <w:rPr>
          <w:b/>
          <w:noProof/>
          <w:lang w:val="en-GB" w:eastAsia="en-GB"/>
        </w:rPr>
        <mc:AlternateContent>
          <mc:Choice Requires="wps">
            <w:drawing>
              <wp:anchor distT="0" distB="0" distL="114300" distR="114300" simplePos="0" relativeHeight="251663360" behindDoc="0" locked="0" layoutInCell="1" allowOverlap="1" wp14:anchorId="651FBCC5" wp14:editId="0D99C8DB">
                <wp:simplePos x="0" y="0"/>
                <wp:positionH relativeFrom="column">
                  <wp:posOffset>1582115</wp:posOffset>
                </wp:positionH>
                <wp:positionV relativeFrom="paragraph">
                  <wp:posOffset>1209675</wp:posOffset>
                </wp:positionV>
                <wp:extent cx="292100" cy="262255"/>
                <wp:effectExtent l="0" t="0" r="0" b="4445"/>
                <wp:wrapNone/>
                <wp:docPr id="65" name="Cuadro de texto 65"/>
                <wp:cNvGraphicFramePr/>
                <a:graphic xmlns:a="http://schemas.openxmlformats.org/drawingml/2006/main">
                  <a:graphicData uri="http://schemas.microsoft.com/office/word/2010/wordprocessingShape">
                    <wps:wsp>
                      <wps:cNvSpPr txBox="1"/>
                      <wps:spPr>
                        <a:xfrm>
                          <a:off x="0" y="0"/>
                          <a:ext cx="292100" cy="262255"/>
                        </a:xfrm>
                        <a:prstGeom prst="rect">
                          <a:avLst/>
                        </a:prstGeom>
                        <a:solidFill>
                          <a:schemeClr val="lt1"/>
                        </a:solidFill>
                        <a:ln w="6350">
                          <a:noFill/>
                        </a:ln>
                      </wps:spPr>
                      <wps:txbx>
                        <w:txbxContent>
                          <w:p w:rsidR="00AC5BC7" w:rsidRDefault="00AC5BC7" w:rsidP="009659A8">
                            <w:pPr>
                              <w:spacing w:line="240" w:lineRule="auto"/>
                              <w:jc w:val="center"/>
                            </w:pPr>
                            <w:r>
                              <w:t>Sí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1FBCC5" id="Cuadro de texto 65" o:spid="_x0000_s1059" type="#_x0000_t202" style="position:absolute;left:0;text-align:left;margin-left:124.6pt;margin-top:95.25pt;width:23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" fillcolor="white [3201]" stroked="f" strokeweight=".5pt">
                <v:textbox inset="0,0,0,0">
                  <w:txbxContent>
                    <w:p w:rsidR="00AC5BC7" w:rsidRDefault="00AC5BC7" w:rsidP="009659A8">
                      <w:pPr>
                        <w:spacing w:line="240" w:lineRule="auto"/>
                        <w:jc w:val="center"/>
                      </w:pPr>
                      <w:r>
                        <w:t>Sí</w:t>
                      </w:r>
                    </w:p>
                  </w:txbxContent>
                </v:textbox>
              </v:shape>
            </w:pict>
          </mc:Fallback>
        </mc:AlternateContent>
      </w:r>
      <w:r>
        <w:rPr>
          <w:b/>
          <w:noProof/>
          <w:lang w:val="en-GB" w:eastAsia="en-GB"/>
        </w:rPr>
        <mc:AlternateContent>
          <mc:Choice Requires="wps">
            <w:drawing>
              <wp:anchor distT="0" distB="0" distL="114300" distR="114300" simplePos="0" relativeHeight="251676672" behindDoc="0" locked="0" layoutInCell="1" allowOverlap="1" wp14:anchorId="5FBB33A0" wp14:editId="2BB87890">
                <wp:simplePos x="0" y="0"/>
                <wp:positionH relativeFrom="column">
                  <wp:posOffset>2775890</wp:posOffset>
                </wp:positionH>
                <wp:positionV relativeFrom="paragraph">
                  <wp:posOffset>508635</wp:posOffset>
                </wp:positionV>
                <wp:extent cx="255270" cy="182880"/>
                <wp:effectExtent l="0" t="0" r="0" b="7620"/>
                <wp:wrapNone/>
                <wp:docPr id="66" name="Cuadro de texto 66"/>
                <wp:cNvGraphicFramePr/>
                <a:graphic xmlns:a="http://schemas.openxmlformats.org/drawingml/2006/main">
                  <a:graphicData uri="http://schemas.microsoft.com/office/word/2010/wordprocessingShape">
                    <wps:wsp>
                      <wps:cNvSpPr txBox="1"/>
                      <wps:spPr>
                        <a:xfrm>
                          <a:off x="0" y="0"/>
                          <a:ext cx="255270" cy="182880"/>
                        </a:xfrm>
                        <a:prstGeom prst="rect">
                          <a:avLst/>
                        </a:prstGeom>
                        <a:solidFill>
                          <a:schemeClr val="lt1"/>
                        </a:solidFill>
                        <a:ln w="6350">
                          <a:noFill/>
                        </a:ln>
                      </wps:spPr>
                      <wps:txbx>
                        <w:txbxContent>
                          <w:p w:rsidR="00AC5BC7" w:rsidRDefault="00AC5BC7" w:rsidP="009659A8">
                            <w:pPr>
                              <w:spacing w:line="240" w:lineRule="auto"/>
                              <w:jc w:val="center"/>
                            </w:pPr>
                            <w:r>
                              <w:t>Sí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BB33A0" id="Cuadro de texto 66" o:spid="_x0000_s1060" type="#_x0000_t202" style="position:absolute;left:0;text-align:left;margin-left:218.55pt;margin-top:40.05pt;width:20.1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" fillcolor="white [3201]" stroked="f" strokeweight=".5pt">
                <v:textbox inset="0,0,0,0">
                  <w:txbxContent>
                    <w:p w:rsidR="00AC5BC7" w:rsidRDefault="00AC5BC7" w:rsidP="009659A8">
                      <w:pPr>
                        <w:spacing w:line="240" w:lineRule="auto"/>
                        <w:jc w:val="center"/>
                      </w:pPr>
                      <w:r>
                        <w:t>Sí</w:t>
                      </w:r>
                    </w:p>
                  </w:txbxContent>
                </v:textbox>
              </v:shape>
            </w:pict>
          </mc:Fallback>
        </mc:AlternateContent>
      </w:r>
      <w:r>
        <w:rPr>
          <w:b/>
          <w:noProof/>
          <w:lang w:val="en-GB" w:eastAsia="en-GB"/>
        </w:rPr>
        <mc:AlternateContent>
          <mc:Choice Requires="wps">
            <w:drawing>
              <wp:anchor distT="0" distB="0" distL="114300" distR="114300" simplePos="0" relativeHeight="251633664" behindDoc="0" locked="0" layoutInCell="1" allowOverlap="1" wp14:anchorId="5EF5F451" wp14:editId="1CAAB69F">
                <wp:simplePos x="0" y="0"/>
                <wp:positionH relativeFrom="column">
                  <wp:posOffset>1624000</wp:posOffset>
                </wp:positionH>
                <wp:positionV relativeFrom="paragraph">
                  <wp:posOffset>59690</wp:posOffset>
                </wp:positionV>
                <wp:extent cx="2237740" cy="379730"/>
                <wp:effectExtent l="0" t="0" r="0" b="1270"/>
                <wp:wrapNone/>
                <wp:docPr id="71" name="Cuadro de texto 71"/>
                <wp:cNvGraphicFramePr/>
                <a:graphic xmlns:a="http://schemas.openxmlformats.org/drawingml/2006/main">
                  <a:graphicData uri="http://schemas.microsoft.com/office/word/2010/wordprocessingShape">
                    <wps:wsp>
                      <wps:cNvSpPr txBox="1"/>
                      <wps:spPr>
                        <a:xfrm>
                          <a:off x="0" y="0"/>
                          <a:ext cx="2237740" cy="379730"/>
                        </a:xfrm>
                        <a:prstGeom prst="rect">
                          <a:avLst/>
                        </a:prstGeom>
                        <a:solidFill>
                          <a:schemeClr val="lt1"/>
                        </a:solidFill>
                        <a:ln w="6350">
                          <a:noFill/>
                        </a:ln>
                      </wps:spPr>
                      <wps:txbx>
                        <w:txbxContent>
                          <w:p w:rsidR="00AC5BC7" w:rsidRDefault="00AC5BC7" w:rsidP="009659A8">
                            <w:pPr>
                              <w:jc w:val="center"/>
                            </w:pPr>
                            <w:r w:rsidRPr="00EE4706">
                              <w:t>Mezc</w:t>
                            </w:r>
                            <w:r>
                              <w:t>la</w:t>
                            </w:r>
                            <w:r w:rsidRPr="00EE4706">
                              <w:t xml:space="preserve"> que contiene sustancias </w:t>
                            </w:r>
                            <w:r>
                              <w:br/>
                            </w:r>
                            <w:r w:rsidRPr="00EE4706">
                              <w:t>de la clase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F5F451" id="Cuadro de texto 71" o:spid="_x0000_s1061" type="#_x0000_t202" style="position:absolute;left:0;text-align:left;margin-left:127.85pt;margin-top:4.7pt;width:176.2pt;height:2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" fillcolor="white [3201]" stroked="f" strokeweight=".5pt">
                <v:textbox>
                  <w:txbxContent>
                    <w:p w:rsidR="00AC5BC7" w:rsidRDefault="00AC5BC7" w:rsidP="009659A8">
                      <w:pPr>
                        <w:jc w:val="center"/>
                      </w:pPr>
                      <w:r w:rsidRPr="00EE4706">
                        <w:t>Mezc</w:t>
                      </w:r>
                      <w:r>
                        <w:t>la</w:t>
                      </w:r>
                      <w:r w:rsidRPr="00EE4706">
                        <w:t xml:space="preserve"> que contiene sustancias </w:t>
                      </w:r>
                      <w:r>
                        <w:br/>
                      </w:r>
                      <w:r w:rsidRPr="00EE4706">
                        <w:t>de la clase 8</w:t>
                      </w:r>
                    </w:p>
                  </w:txbxContent>
                </v:textbox>
              </v:shape>
            </w:pict>
          </mc:Fallback>
        </mc:AlternateContent>
      </w:r>
      <w:r w:rsidRPr="00EE4706">
        <w:rPr>
          <w:b/>
        </w:rPr>
        <w:object w:dxaOrig="9891" w:dyaOrig="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25pt;height:304.6pt" o:ole="">
            <v:imagedata r:id="rId10" o:title=""/>
          </v:shape>
          <o:OLEObject Type="Embed" ProgID="Visio.Drawing.15" ShapeID="_x0000_i1025" DrawAspect="Content" ObjectID="_1560318623" r:id="rId11"/>
        </w:object>
      </w:r>
    </w:p>
    <w:p w:rsidR="007A3AD0" w:rsidRPr="00B654DA" w:rsidRDefault="007A3AD0" w:rsidP="007A3AD0">
      <w:pPr>
        <w:pStyle w:val="SingleTxtG"/>
        <w:spacing w:before="240"/>
        <w:rPr>
          <w:b/>
        </w:rPr>
      </w:pPr>
      <w:r w:rsidRPr="00D10B0B">
        <w:rPr>
          <w:b/>
        </w:rPr>
        <w:t xml:space="preserve">2.8.5 </w:t>
      </w:r>
      <w:r w:rsidRPr="00D10B0B">
        <w:rPr>
          <w:b/>
        </w:rPr>
        <w:tab/>
      </w:r>
      <w:r w:rsidRPr="00B654DA">
        <w:tab/>
      </w:r>
      <w:r w:rsidRPr="00B654DA">
        <w:rPr>
          <w:b/>
          <w:bCs/>
        </w:rPr>
        <w:t>Sustancias</w:t>
      </w:r>
      <w:r w:rsidRPr="00B654DA">
        <w:rPr>
          <w:b/>
          <w:bCs/>
          <w:spacing w:val="-10"/>
        </w:rPr>
        <w:t xml:space="preserve"> </w:t>
      </w:r>
      <w:r w:rsidRPr="00B654DA">
        <w:rPr>
          <w:b/>
          <w:bCs/>
        </w:rPr>
        <w:t>no</w:t>
      </w:r>
      <w:r w:rsidRPr="00B654DA">
        <w:rPr>
          <w:b/>
          <w:bCs/>
          <w:spacing w:val="-2"/>
        </w:rPr>
        <w:t xml:space="preserve"> </w:t>
      </w:r>
      <w:r w:rsidRPr="00B654DA">
        <w:rPr>
          <w:b/>
          <w:bCs/>
        </w:rPr>
        <w:t>acept</w:t>
      </w:r>
      <w:r w:rsidRPr="00B654DA">
        <w:rPr>
          <w:b/>
          <w:bCs/>
          <w:spacing w:val="2"/>
        </w:rPr>
        <w:t>a</w:t>
      </w:r>
      <w:r w:rsidRPr="00B654DA">
        <w:rPr>
          <w:b/>
          <w:bCs/>
        </w:rPr>
        <w:t>das</w:t>
      </w:r>
      <w:r w:rsidRPr="00B654DA">
        <w:rPr>
          <w:b/>
          <w:bCs/>
          <w:spacing w:val="-10"/>
        </w:rPr>
        <w:t xml:space="preserve"> </w:t>
      </w:r>
      <w:r w:rsidRPr="00B654DA">
        <w:rPr>
          <w:b/>
          <w:bCs/>
        </w:rPr>
        <w:t>para</w:t>
      </w:r>
      <w:r w:rsidRPr="00B654DA">
        <w:rPr>
          <w:b/>
          <w:bCs/>
          <w:spacing w:val="-4"/>
        </w:rPr>
        <w:t xml:space="preserve"> </w:t>
      </w:r>
      <w:r w:rsidRPr="00B654DA">
        <w:rPr>
          <w:b/>
          <w:bCs/>
        </w:rPr>
        <w:t>el</w:t>
      </w:r>
      <w:r w:rsidRPr="00B654DA">
        <w:rPr>
          <w:b/>
          <w:bCs/>
          <w:spacing w:val="-2"/>
        </w:rPr>
        <w:t xml:space="preserve"> </w:t>
      </w:r>
      <w:r w:rsidRPr="00B654DA">
        <w:rPr>
          <w:b/>
          <w:bCs/>
        </w:rPr>
        <w:t>transporte</w:t>
      </w:r>
    </w:p>
    <w:p w:rsidR="007A3AD0" w:rsidRPr="00B654DA" w:rsidRDefault="007A3AD0" w:rsidP="007A3AD0">
      <w:pPr>
        <w:pStyle w:val="SingleTxtG"/>
      </w:pPr>
      <w:r w:rsidRPr="00B654DA">
        <w:t>Las sustancias químicamente inestables de la clase 8 no se aceptarán para el transporte a menos que se hayan tomado las precauciones necesarias para evitar la posibilidad de que se produzca una descomposición o polimerización peligrosa en las condiciones normales de transporte. Con respecto a las precauciones necesarias para evitar la polimerización, véase la disposición especial 386 del capítulo 3.3. A tal fin, se pondrá especial cuidado en asegurarse de que los recipientes y cisternas no contengan ninguna sustancia que pueda promover esas reacciones.</w:t>
      </w:r>
      <w:r w:rsidR="00A069C9">
        <w:t>”</w:t>
      </w:r>
      <w:r w:rsidRPr="00B654DA">
        <w:t>.</w:t>
      </w:r>
    </w:p>
    <w:p w:rsidR="007A3AD0" w:rsidRPr="00B654DA" w:rsidRDefault="007A3AD0" w:rsidP="007A3AD0">
      <w:pPr>
        <w:pStyle w:val="H1G"/>
        <w:ind w:left="0" w:firstLine="0"/>
      </w:pPr>
      <w:r w:rsidRPr="00B654DA">
        <w:tab/>
      </w:r>
      <w:r w:rsidRPr="00B654DA">
        <w:tab/>
        <w:t>Capítulo 2.9</w:t>
      </w:r>
    </w:p>
    <w:p w:rsidR="007A3AD0" w:rsidRPr="00B654DA" w:rsidRDefault="007A3AD0" w:rsidP="007A3AD0">
      <w:pPr>
        <w:pStyle w:val="SingleTxtG"/>
      </w:pPr>
      <w:r w:rsidRPr="00B654DA">
        <w:t>2.9.2</w:t>
      </w:r>
      <w:r w:rsidRPr="00B654DA">
        <w:tab/>
      </w:r>
      <w:r w:rsidR="006470EE">
        <w:tab/>
      </w:r>
      <w:r w:rsidRPr="00B654DA">
        <w:t xml:space="preserve">En el epígrafe </w:t>
      </w:r>
      <w:r w:rsidR="00A069C9" w:rsidRPr="006470EE">
        <w:rPr>
          <w:b/>
          <w:i/>
        </w:rPr>
        <w:t>“</w:t>
      </w:r>
      <w:r w:rsidRPr="006470EE">
        <w:rPr>
          <w:b/>
          <w:i/>
        </w:rPr>
        <w:t>Baterías de litio</w:t>
      </w:r>
      <w:r w:rsidR="00A069C9" w:rsidRPr="006470EE">
        <w:rPr>
          <w:b/>
          <w:i/>
        </w:rPr>
        <w:t>”</w:t>
      </w:r>
      <w:r w:rsidRPr="00B654DA">
        <w:t>, añádase la nueva entrada siguiente:</w:t>
      </w:r>
    </w:p>
    <w:p w:rsidR="007A3AD0" w:rsidRPr="00B654DA" w:rsidRDefault="00A069C9" w:rsidP="007A3AD0">
      <w:pPr>
        <w:pStyle w:val="SingleTxtG"/>
      </w:pPr>
      <w:r>
        <w:t>“</w:t>
      </w:r>
      <w:r w:rsidR="007A3AD0" w:rsidRPr="00B654DA">
        <w:t>3536</w:t>
      </w:r>
      <w:r w:rsidR="007A3AD0" w:rsidRPr="00B654DA">
        <w:tab/>
        <w:t>BATERÍAS</w:t>
      </w:r>
      <w:r w:rsidR="007A3AD0" w:rsidRPr="00B654DA">
        <w:rPr>
          <w:spacing w:val="-8"/>
        </w:rPr>
        <w:t xml:space="preserve"> </w:t>
      </w:r>
      <w:r w:rsidR="007A3AD0" w:rsidRPr="00B654DA">
        <w:t>DE</w:t>
      </w:r>
      <w:r w:rsidR="007A3AD0" w:rsidRPr="00B654DA">
        <w:rPr>
          <w:spacing w:val="-1"/>
        </w:rPr>
        <w:t xml:space="preserve"> </w:t>
      </w:r>
      <w:r w:rsidR="007A3AD0" w:rsidRPr="00B654DA">
        <w:t>LITIO</w:t>
      </w:r>
      <w:r w:rsidR="007A3AD0" w:rsidRPr="00B654DA">
        <w:rPr>
          <w:spacing w:val="-4"/>
        </w:rPr>
        <w:t xml:space="preserve"> </w:t>
      </w:r>
      <w:r w:rsidR="007A3AD0" w:rsidRPr="00B654DA">
        <w:t>INS</w:t>
      </w:r>
      <w:r w:rsidR="007A3AD0" w:rsidRPr="00B654DA">
        <w:rPr>
          <w:spacing w:val="-1"/>
        </w:rPr>
        <w:t>T</w:t>
      </w:r>
      <w:r w:rsidR="007A3AD0" w:rsidRPr="00B654DA">
        <w:t>ALADAS</w:t>
      </w:r>
      <w:r w:rsidR="007A3AD0" w:rsidRPr="00B654DA">
        <w:rPr>
          <w:spacing w:val="-12"/>
        </w:rPr>
        <w:t xml:space="preserve"> </w:t>
      </w:r>
      <w:r w:rsidR="007A3AD0" w:rsidRPr="00B654DA">
        <w:t>EN</w:t>
      </w:r>
      <w:r w:rsidR="007A3AD0" w:rsidRPr="00B654DA">
        <w:rPr>
          <w:spacing w:val="-1"/>
        </w:rPr>
        <w:t xml:space="preserve"> LA UNIDAD DE TRANSPORTE</w:t>
      </w:r>
      <w:r>
        <w:t>”</w:t>
      </w:r>
      <w:r w:rsidR="007A3AD0" w:rsidRPr="00B654DA">
        <w:t>.</w:t>
      </w:r>
    </w:p>
    <w:p w:rsidR="007A3AD0" w:rsidRPr="00B654DA" w:rsidRDefault="007A3AD0" w:rsidP="007A3AD0">
      <w:pPr>
        <w:pStyle w:val="SingleTxtG"/>
        <w:rPr>
          <w:iCs/>
        </w:rPr>
      </w:pPr>
      <w:r w:rsidRPr="00B654DA">
        <w:rPr>
          <w:iCs/>
        </w:rPr>
        <w:t>2.9.2</w:t>
      </w:r>
      <w:r w:rsidRPr="00B654DA">
        <w:rPr>
          <w:iCs/>
        </w:rPr>
        <w:tab/>
      </w:r>
      <w:r w:rsidR="006470EE">
        <w:rPr>
          <w:iCs/>
        </w:rPr>
        <w:tab/>
      </w:r>
      <w:r w:rsidRPr="00B654DA">
        <w:rPr>
          <w:iCs/>
        </w:rPr>
        <w:t xml:space="preserve">Antes de </w:t>
      </w:r>
      <w:r w:rsidR="00A069C9">
        <w:rPr>
          <w:bCs/>
          <w:iCs/>
          <w:szCs w:val="22"/>
        </w:rPr>
        <w:t>“</w:t>
      </w:r>
      <w:r w:rsidRPr="00B654DA">
        <w:rPr>
          <w:bCs/>
          <w:iCs/>
          <w:szCs w:val="22"/>
        </w:rPr>
        <w:t>Otras sustancias u objetos que presentan un peligro durante el transporte pero que no responden a las definiciones de otra clase</w:t>
      </w:r>
      <w:r w:rsidR="00A069C9">
        <w:rPr>
          <w:iCs/>
        </w:rPr>
        <w:t>”</w:t>
      </w:r>
      <w:r w:rsidRPr="00B654DA">
        <w:rPr>
          <w:iCs/>
        </w:rPr>
        <w:t>, insértese la nueva subdivisión siguiente:</w:t>
      </w:r>
    </w:p>
    <w:p w:rsidR="007A3AD0" w:rsidRPr="00B654DA" w:rsidRDefault="00A069C9" w:rsidP="00D10B0B">
      <w:pPr>
        <w:pStyle w:val="SingleTxtG"/>
        <w:keepNext/>
        <w:rPr>
          <w:b/>
          <w:i/>
        </w:rPr>
      </w:pPr>
      <w:r>
        <w:lastRenderedPageBreak/>
        <w:t>“</w:t>
      </w:r>
      <w:r w:rsidR="007A3AD0" w:rsidRPr="00B654DA">
        <w:rPr>
          <w:b/>
          <w:i/>
        </w:rPr>
        <w:t>Fertilizantes a base de nitrato amónico</w:t>
      </w:r>
    </w:p>
    <w:p w:rsidR="007A3AD0" w:rsidRPr="00B654DA" w:rsidRDefault="007A3AD0" w:rsidP="007A3AD0">
      <w:pPr>
        <w:pStyle w:val="SingleTxtG"/>
      </w:pPr>
      <w:r w:rsidRPr="00B654DA">
        <w:t>2071</w:t>
      </w:r>
      <w:r w:rsidRPr="00B654DA">
        <w:tab/>
        <w:t>FERTILIZANTES A BASE DE NITRATO AMÓNICO</w:t>
      </w:r>
    </w:p>
    <w:p w:rsidR="007A3AD0" w:rsidRPr="00B654DA" w:rsidRDefault="007A3AD0" w:rsidP="007A3AD0">
      <w:pPr>
        <w:pStyle w:val="SingleTxtG"/>
        <w:rPr>
          <w:iCs/>
        </w:rPr>
      </w:pPr>
      <w:r w:rsidRPr="00B654DA">
        <w:t xml:space="preserve">Los fertilizantes sólidos a base de nitrato amónico se clasificarán de conformidad con el procedimiento establecido en el </w:t>
      </w:r>
      <w:r w:rsidR="006470EE">
        <w:t>Manual de Pruebas y Criterios, p</w:t>
      </w:r>
      <w:r w:rsidRPr="00B654DA">
        <w:t>arte III, sección 39.</w:t>
      </w:r>
      <w:r w:rsidR="00A069C9">
        <w:t>”</w:t>
      </w:r>
      <w:r w:rsidRPr="00B654DA">
        <w:t>.</w:t>
      </w:r>
    </w:p>
    <w:p w:rsidR="007A3AD0" w:rsidRPr="00B654DA" w:rsidRDefault="007A3AD0" w:rsidP="007A3AD0">
      <w:pPr>
        <w:pStyle w:val="SingleTxtG"/>
        <w:rPr>
          <w:iCs/>
        </w:rPr>
      </w:pPr>
      <w:r w:rsidRPr="00B654DA">
        <w:t>2.9.2</w:t>
      </w:r>
      <w:r w:rsidRPr="00B654DA">
        <w:tab/>
      </w:r>
      <w:r w:rsidR="006470EE">
        <w:tab/>
      </w:r>
      <w:r w:rsidRPr="00B654DA">
        <w:t xml:space="preserve">La modificación del encabezamiento de la última subdivisión (Otras sustancias u objetos que presentan un peligro durante el transporte pero que no responden a las definiciones de otra clase) no se aplica a la versión en español. Bajo ese encabezamiento, suprímase la entrada </w:t>
      </w:r>
      <w:r w:rsidR="00A069C9">
        <w:t>“</w:t>
      </w:r>
      <w:r w:rsidRPr="00B654DA">
        <w:t>2071</w:t>
      </w:r>
      <w:r w:rsidRPr="00B654DA">
        <w:tab/>
        <w:t>FERTILIZANTES A BASE DE NITRATO AMÓNICO</w:t>
      </w:r>
      <w:r w:rsidR="00A069C9">
        <w:t>”</w:t>
      </w:r>
      <w:r w:rsidRPr="00B654DA">
        <w:t xml:space="preserve"> y añádase la nueva entrada siguiente:</w:t>
      </w:r>
    </w:p>
    <w:p w:rsidR="007A3AD0" w:rsidRPr="00B654DA" w:rsidRDefault="00A069C9" w:rsidP="007A3AD0">
      <w:pPr>
        <w:pStyle w:val="SingleTxtG"/>
        <w:rPr>
          <w:iCs/>
        </w:rPr>
      </w:pPr>
      <w:r>
        <w:t>“</w:t>
      </w:r>
      <w:r w:rsidR="007A3AD0" w:rsidRPr="00B654DA">
        <w:t>3548</w:t>
      </w:r>
      <w:r w:rsidR="007A3AD0" w:rsidRPr="00B654DA">
        <w:tab/>
        <w:t>ARTÍCULOS QUE CONTENGAN MERCANCÍAS PELIGROSAS DIVERSAS N.E.P.</w:t>
      </w:r>
      <w:r>
        <w:t>”</w:t>
      </w:r>
    </w:p>
    <w:p w:rsidR="007A3AD0" w:rsidRPr="00B654DA" w:rsidRDefault="007A3AD0" w:rsidP="007A3AD0">
      <w:pPr>
        <w:pStyle w:val="SingleTxtG"/>
      </w:pPr>
      <w:r w:rsidRPr="00B654DA">
        <w:t>2.9.3.4.6.5.1</w:t>
      </w:r>
      <w:r w:rsidRPr="00B654DA">
        <w:tab/>
        <w:t xml:space="preserve">Al final, suprímase </w:t>
      </w:r>
      <w:r w:rsidR="00A069C9">
        <w:t>“</w:t>
      </w:r>
      <w:r w:rsidRPr="00B654DA">
        <w:t xml:space="preserve">con la mención adicional de que: </w:t>
      </w:r>
      <w:r w:rsidR="006470EE">
        <w:t>‘x</w:t>
      </w:r>
      <w:r w:rsidRPr="00B654DA">
        <w:t>% de la mezcla está constituida por uno o varios componentes de peligro desconocido para el medio acuático</w:t>
      </w:r>
      <w:r w:rsidR="006470EE">
        <w:t>’</w:t>
      </w:r>
      <w:r w:rsidR="003B4E67">
        <w:t>”</w:t>
      </w:r>
      <w:r w:rsidRPr="00B654DA">
        <w:t>.</w:t>
      </w:r>
    </w:p>
    <w:p w:rsidR="007A3AD0" w:rsidRPr="00B654DA" w:rsidRDefault="007A3AD0" w:rsidP="007A3AD0">
      <w:pPr>
        <w:pStyle w:val="SingleTxtG"/>
      </w:pPr>
      <w:r w:rsidRPr="00B654DA">
        <w:t>2.9.4</w:t>
      </w:r>
      <w:r w:rsidRPr="00B654DA">
        <w:tab/>
      </w:r>
      <w:r w:rsidR="006470EE">
        <w:tab/>
      </w:r>
      <w:r w:rsidRPr="00B654DA">
        <w:t>Añádanse los nuevos apartados f) y g) siguientes:</w:t>
      </w:r>
    </w:p>
    <w:p w:rsidR="007A3AD0" w:rsidRPr="00B654DA" w:rsidRDefault="00A069C9" w:rsidP="007A3AD0">
      <w:pPr>
        <w:pStyle w:val="SingleTxtG"/>
      </w:pPr>
      <w:r>
        <w:t>“</w:t>
      </w:r>
      <w:r w:rsidR="007A3AD0" w:rsidRPr="00B654DA">
        <w:t>f)</w:t>
      </w:r>
      <w:r w:rsidR="007A3AD0" w:rsidRPr="00B654DA">
        <w:tab/>
        <w:t>Las baterías de litio, que contienen pilas primarias de litio metálico y pilas</w:t>
      </w:r>
      <w:r w:rsidR="00965478">
        <w:t xml:space="preserve"> </w:t>
      </w:r>
      <w:r w:rsidR="007A3AD0" w:rsidRPr="00B654DA">
        <w:t>de ión litio recargables, que no están diseñadas para ser cargadas de forma</w:t>
      </w:r>
      <w:r w:rsidR="00965478">
        <w:t xml:space="preserve"> </w:t>
      </w:r>
      <w:r w:rsidR="007A3AD0" w:rsidRPr="00B654DA">
        <w:t>externa (véase la disposición especial 387 del capítulo 3.3) deben cumplir las siguientes condiciones:</w:t>
      </w:r>
    </w:p>
    <w:p w:rsidR="007A3AD0" w:rsidRPr="00B654DA" w:rsidRDefault="007A3AD0" w:rsidP="007A3AD0">
      <w:pPr>
        <w:pStyle w:val="SingleTxtG"/>
        <w:ind w:left="1701"/>
      </w:pPr>
      <w:r w:rsidRPr="00B654DA">
        <w:t>i)</w:t>
      </w:r>
      <w:r w:rsidRPr="00B654DA">
        <w:tab/>
        <w:t>Las pilas de ión litio recargables solo pueden ser cargadas por las pilas primarias de litio metálico;</w:t>
      </w:r>
    </w:p>
    <w:p w:rsidR="007A3AD0" w:rsidRPr="00B654DA" w:rsidRDefault="007A3AD0" w:rsidP="007A3AD0">
      <w:pPr>
        <w:pStyle w:val="SingleTxtG"/>
        <w:ind w:left="1701"/>
      </w:pPr>
      <w:r w:rsidRPr="00B654DA">
        <w:t>ii)</w:t>
      </w:r>
      <w:r w:rsidRPr="00B654DA">
        <w:tab/>
        <w:t>La sobrecarga de las pilas de ión litio recargables queda excluida por el diseño;</w:t>
      </w:r>
    </w:p>
    <w:p w:rsidR="007A3AD0" w:rsidRPr="00B654DA" w:rsidRDefault="007A3AD0" w:rsidP="007A3AD0">
      <w:pPr>
        <w:pStyle w:val="SingleTxtG"/>
        <w:ind w:left="1701"/>
      </w:pPr>
      <w:r w:rsidRPr="00B654DA">
        <w:t>iii)</w:t>
      </w:r>
      <w:r w:rsidRPr="00B654DA">
        <w:tab/>
        <w:t>La batería se ha sometido a ensayo como una batería de litio primaria;</w:t>
      </w:r>
    </w:p>
    <w:p w:rsidR="007A3AD0" w:rsidRPr="00B654DA" w:rsidRDefault="007A3AD0" w:rsidP="007A3AD0">
      <w:pPr>
        <w:pStyle w:val="SingleTxtG"/>
        <w:ind w:left="1701"/>
      </w:pPr>
      <w:r w:rsidRPr="00B654DA">
        <w:t>iv)</w:t>
      </w:r>
      <w:r w:rsidRPr="00B654DA">
        <w:tab/>
        <w:t xml:space="preserve">Las pilas que componen la batería son de un tipo que está demostrado que cumple las prescripciones de cada una de las pruebas que figuran en el </w:t>
      </w:r>
      <w:r w:rsidR="006470EE">
        <w:t>Manual de Pruebas y Criterios, p</w:t>
      </w:r>
      <w:r w:rsidRPr="00B654DA">
        <w:t>arte III, subsección 38.3.</w:t>
      </w:r>
    </w:p>
    <w:p w:rsidR="007A3AD0" w:rsidRPr="00B654DA" w:rsidRDefault="007A3AD0" w:rsidP="007A3AD0">
      <w:pPr>
        <w:pStyle w:val="SingleTxtG"/>
      </w:pPr>
      <w:r w:rsidRPr="00B654DA">
        <w:t>g)</w:t>
      </w:r>
      <w:r w:rsidRPr="00B654DA">
        <w:tab/>
        <w:t>Los fabricantes y distribuidores de pilas o baterías facilitarán el resumen de las pruebas, como se especifica en el Manual de Pruebas y Criterios, Parte III, subsección 38.3, párrafo 38.3.5.</w:t>
      </w:r>
      <w:r w:rsidR="00A069C9">
        <w:t>”</w:t>
      </w:r>
      <w:r w:rsidRPr="00B654DA">
        <w:t>.</w:t>
      </w:r>
    </w:p>
    <w:p w:rsidR="007A3AD0" w:rsidRPr="00B654DA" w:rsidRDefault="007A3AD0" w:rsidP="007A3AD0">
      <w:pPr>
        <w:pStyle w:val="H1G"/>
      </w:pPr>
      <w:r w:rsidRPr="00B654DA">
        <w:tab/>
      </w:r>
      <w:r w:rsidRPr="00B654DA">
        <w:tab/>
        <w:t>Capítulo 3.1</w:t>
      </w:r>
    </w:p>
    <w:p w:rsidR="007A3AD0" w:rsidRPr="00B654DA" w:rsidRDefault="007A3AD0" w:rsidP="007A3AD0">
      <w:pPr>
        <w:pStyle w:val="SingleTxtG"/>
      </w:pPr>
      <w:r w:rsidRPr="00B654DA">
        <w:t>3.1.1.2</w:t>
      </w:r>
      <w:r w:rsidRPr="00B654DA">
        <w:tab/>
      </w:r>
      <w:r w:rsidRPr="00B654DA">
        <w:tab/>
        <w:t xml:space="preserve">Al final de la última oración, 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SingleTxtG"/>
      </w:pPr>
      <w:r w:rsidRPr="00B654DA">
        <w:t>3.1.2.2</w:t>
      </w:r>
      <w:r w:rsidRPr="00B654DA">
        <w:tab/>
      </w:r>
      <w:r w:rsidRPr="00B654DA">
        <w:tab/>
        <w:t xml:space="preserve">Modifíquese la primera frase para que diga: </w:t>
      </w:r>
      <w:r w:rsidR="00A069C9">
        <w:t>“</w:t>
      </w:r>
      <w:r w:rsidRPr="00B654DA">
        <w:t>Cuando una combinación de diversas designaciones oficiales de tran</w:t>
      </w:r>
      <w:r w:rsidR="006470EE">
        <w:t>sporte aparezcan bajo un único n</w:t>
      </w:r>
      <w:r w:rsidRPr="00B654DA">
        <w:t xml:space="preserve">úmero ONU y estén separadas por las conjunciones </w:t>
      </w:r>
      <w:r w:rsidR="006470EE">
        <w:t>‘</w:t>
      </w:r>
      <w:r w:rsidRPr="00B654DA">
        <w:t>y</w:t>
      </w:r>
      <w:r w:rsidR="006470EE">
        <w:t>’</w:t>
      </w:r>
      <w:r w:rsidRPr="00B654DA">
        <w:t xml:space="preserve"> u </w:t>
      </w:r>
      <w:r w:rsidR="006470EE">
        <w:t>‘</w:t>
      </w:r>
      <w:r w:rsidRPr="00B654DA">
        <w:t>o</w:t>
      </w:r>
      <w:r w:rsidR="006470EE">
        <w:t>’</w:t>
      </w:r>
      <w:r w:rsidRPr="00B654DA">
        <w:t xml:space="preserve"> en minúsculas, o separados por comas, solo se mostrará en el documento de transporte y en las marcas de los bultos la designación más apropiada.</w:t>
      </w:r>
      <w:r w:rsidR="00A069C9">
        <w:t>”</w:t>
      </w:r>
      <w:r w:rsidRPr="00B654DA">
        <w:t>. Suprímase la segunda oración.</w:t>
      </w:r>
    </w:p>
    <w:p w:rsidR="007A3AD0" w:rsidRPr="00B654DA" w:rsidRDefault="007A3AD0" w:rsidP="007A3AD0">
      <w:pPr>
        <w:pStyle w:val="SingleTxtG"/>
      </w:pPr>
      <w:r w:rsidRPr="00B654DA">
        <w:t>3.1.2.6 a)</w:t>
      </w:r>
      <w:r w:rsidRPr="00B654DA">
        <w:tab/>
        <w:t xml:space="preserve">Sustitúyase </w:t>
      </w:r>
      <w:r w:rsidR="00A069C9">
        <w:t>“</w:t>
      </w:r>
      <w:r w:rsidRPr="00B654DA">
        <w:t>7.1.6</w:t>
      </w:r>
      <w:r w:rsidR="00A069C9">
        <w:t>”</w:t>
      </w:r>
      <w:r w:rsidRPr="00B654DA">
        <w:t xml:space="preserve"> por </w:t>
      </w:r>
      <w:r w:rsidR="00A069C9">
        <w:t>“</w:t>
      </w:r>
      <w:r w:rsidRPr="00B654DA">
        <w:t>7.1.5</w:t>
      </w:r>
      <w:r w:rsidR="00A069C9">
        <w:t>”</w:t>
      </w:r>
    </w:p>
    <w:p w:rsidR="007A3AD0" w:rsidRPr="00B654DA" w:rsidRDefault="007A3AD0" w:rsidP="007A3AD0">
      <w:pPr>
        <w:pStyle w:val="SingleTxtG"/>
      </w:pPr>
      <w:r w:rsidRPr="00B654DA">
        <w:t>3.1.2.6</w:t>
      </w:r>
      <w:r w:rsidRPr="00B654DA">
        <w:tab/>
      </w:r>
      <w:r w:rsidRPr="00B654DA">
        <w:tab/>
        <w:t>El apartado b) se convierte en el apartado c). Añádase el nuevo apartado b):</w:t>
      </w:r>
    </w:p>
    <w:p w:rsidR="007A3AD0" w:rsidRPr="00B654DA" w:rsidRDefault="00A069C9" w:rsidP="007A3AD0">
      <w:pPr>
        <w:pStyle w:val="SingleTxtG"/>
      </w:pPr>
      <w:r>
        <w:t>“</w:t>
      </w:r>
      <w:r w:rsidR="007A3AD0" w:rsidRPr="00B654DA">
        <w:t>b)</w:t>
      </w:r>
      <w:r w:rsidR="007A3AD0" w:rsidRPr="00B654DA">
        <w:tab/>
        <w:t xml:space="preserve">A menos que ya está incluido en mayúsculas en la designación que se indica en la lista de mercancías peligrosas, las palabras </w:t>
      </w:r>
      <w:r w:rsidR="006470EE">
        <w:t>‘</w:t>
      </w:r>
      <w:r w:rsidR="007A3AD0" w:rsidRPr="00B654DA">
        <w:t>TEMPERATURA CONTROLADA</w:t>
      </w:r>
      <w:r w:rsidR="006470EE">
        <w:t>’</w:t>
      </w:r>
      <w:r w:rsidR="007A3AD0" w:rsidRPr="00B654DA">
        <w:t xml:space="preserve"> se añadirá como parte de la designación oficial de transporte.</w:t>
      </w:r>
      <w:r>
        <w:t>”</w:t>
      </w:r>
      <w:r w:rsidR="007A3AD0" w:rsidRPr="00B654DA">
        <w:t>.</w:t>
      </w:r>
    </w:p>
    <w:p w:rsidR="007A3AD0" w:rsidRPr="00B654DA" w:rsidRDefault="007A3AD0" w:rsidP="007A3AD0">
      <w:pPr>
        <w:pStyle w:val="SingleTxtG"/>
        <w:rPr>
          <w:rStyle w:val="Strong"/>
          <w:b w:val="0"/>
          <w:bCs w:val="0"/>
        </w:rPr>
      </w:pPr>
      <w:r w:rsidRPr="00B654DA">
        <w:t>3.1.2.8.1.1</w:t>
      </w:r>
      <w:r w:rsidRPr="00B654DA">
        <w:tab/>
        <w:t>No se aplica al texto español.</w:t>
      </w:r>
    </w:p>
    <w:p w:rsidR="007A3AD0" w:rsidRPr="00B654DA" w:rsidRDefault="007A3AD0" w:rsidP="007A3AD0">
      <w:pPr>
        <w:pStyle w:val="SingleTxtG"/>
      </w:pPr>
      <w:r w:rsidRPr="00B654DA">
        <w:t>3.1.2.8.1.2</w:t>
      </w:r>
      <w:r w:rsidRPr="00B654DA">
        <w:tab/>
        <w:t xml:space="preserve">Modifíquese la primera oración para que diga lo siguiente: </w:t>
      </w:r>
      <w:r w:rsidR="00A069C9">
        <w:t>“</w:t>
      </w:r>
      <w:r w:rsidRPr="00B654DA">
        <w:t xml:space="preserve">En el caso de mezclas de mercancías o artículos peligrosos descritas con una de las </w:t>
      </w:r>
      <w:r w:rsidR="006470EE">
        <w:t>‘</w:t>
      </w:r>
      <w:r w:rsidRPr="00B654DA">
        <w:t>denominaciones genéricas</w:t>
      </w:r>
      <w:r w:rsidR="006470EE">
        <w:t>’</w:t>
      </w:r>
      <w:r w:rsidRPr="00B654DA">
        <w:t xml:space="preserve"> o </w:t>
      </w:r>
      <w:r w:rsidR="006470EE">
        <w:t>‘</w:t>
      </w:r>
      <w:r w:rsidRPr="00B654DA">
        <w:t>N.E.P.</w:t>
      </w:r>
      <w:r w:rsidR="006470EE">
        <w:t>’</w:t>
      </w:r>
      <w:r w:rsidRPr="00B654DA">
        <w:t xml:space="preserve"> a las que se ha asignado la disposición especial 274 en la li</w:t>
      </w:r>
      <w:r w:rsidR="006470EE">
        <w:t>sta de mercancías peligrosas, so</w:t>
      </w:r>
      <w:r w:rsidRPr="00B654DA">
        <w:t xml:space="preserve">lo será necesario indicar los dos componentes que más contribuyan a crear el peligro o peligros de la mezcla o los artículos, excluidas las sustancias sometidas a control siempre y cuando su divulgación esté prohibida por una ley </w:t>
      </w:r>
      <w:r w:rsidRPr="00B654DA">
        <w:lastRenderedPageBreak/>
        <w:t>nacional o un convenio internacional.</w:t>
      </w:r>
      <w:r w:rsidR="00A069C9">
        <w:t>”</w:t>
      </w:r>
      <w:r w:rsidRPr="00B654DA">
        <w:t xml:space="preserve">. En la segunda oración, sustitúyase </w:t>
      </w:r>
      <w:r w:rsidR="00A069C9">
        <w:t>“</w:t>
      </w:r>
      <w:r w:rsidRPr="00B654DA">
        <w:t>riesgo</w:t>
      </w:r>
      <w:r w:rsidR="00A069C9">
        <w:t>”</w:t>
      </w:r>
      <w:r w:rsidRPr="00B654DA">
        <w:t xml:space="preserve"> por </w:t>
      </w:r>
      <w:r w:rsidR="00A069C9">
        <w:t>“</w:t>
      </w:r>
      <w:r w:rsidRPr="00B654DA">
        <w:t>peligro</w:t>
      </w:r>
      <w:r w:rsidR="00A069C9">
        <w:t>”</w:t>
      </w:r>
      <w:r w:rsidR="006470EE">
        <w:t xml:space="preserve"> dos veces</w:t>
      </w:r>
      <w:r w:rsidRPr="00B654DA">
        <w:t>.</w:t>
      </w:r>
    </w:p>
    <w:p w:rsidR="007A3AD0" w:rsidRPr="00B654DA" w:rsidRDefault="007A3AD0" w:rsidP="007A3AD0">
      <w:pPr>
        <w:pStyle w:val="SingleTxtG"/>
      </w:pPr>
      <w:r w:rsidRPr="00B654DA">
        <w:t>3.1.2.8.1.3</w:t>
      </w:r>
      <w:r w:rsidRPr="00B654DA">
        <w:tab/>
        <w:t>Añádase al final el nuevo ejemplo siguiente:</w:t>
      </w:r>
    </w:p>
    <w:p w:rsidR="007A3AD0" w:rsidRPr="00B654DA" w:rsidRDefault="00A069C9" w:rsidP="007A3AD0">
      <w:pPr>
        <w:pStyle w:val="SingleTxtG"/>
      </w:pPr>
      <w:r>
        <w:t>“</w:t>
      </w:r>
      <w:r w:rsidR="007A3AD0" w:rsidRPr="00B654DA">
        <w:t>ONU 3540</w:t>
      </w:r>
      <w:r w:rsidR="007A3AD0" w:rsidRPr="00B654DA">
        <w:tab/>
        <w:t>ARTÍCULOS QUE CONTIENEN LÍQUIDOS INFLAMABLES N.E.P. (pirrolidina)</w:t>
      </w:r>
      <w:r>
        <w:t>”</w:t>
      </w:r>
      <w:r w:rsidR="007A3AD0" w:rsidRPr="00B654DA">
        <w:t>.</w:t>
      </w:r>
    </w:p>
    <w:p w:rsidR="007A3AD0" w:rsidRPr="00B654DA" w:rsidRDefault="007A3AD0" w:rsidP="007A3AD0">
      <w:pPr>
        <w:pStyle w:val="SingleTxtG"/>
      </w:pPr>
      <w:r w:rsidRPr="00B654DA">
        <w:t>3.1.3.2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SingleTxtG"/>
      </w:pPr>
      <w:r w:rsidRPr="00B654DA">
        <w:t>3.1.3.3</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H1G"/>
      </w:pPr>
      <w:r w:rsidRPr="00B654DA">
        <w:tab/>
      </w:r>
      <w:r w:rsidRPr="00B654DA">
        <w:tab/>
        <w:t>Capítulo 3.2</w:t>
      </w:r>
    </w:p>
    <w:p w:rsidR="007A3AD0" w:rsidRPr="00B654DA" w:rsidRDefault="007A3AD0" w:rsidP="007A3AD0">
      <w:pPr>
        <w:pStyle w:val="SingleTxtG"/>
      </w:pPr>
      <w:r w:rsidRPr="00B654DA">
        <w:t>3.2.1</w:t>
      </w:r>
      <w:r w:rsidR="006470EE">
        <w:tab/>
      </w:r>
      <w:r w:rsidRPr="00B654DA">
        <w:tab/>
        <w:t xml:space="preserve">En la descripción de la columna 4, 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H23G"/>
      </w:pPr>
      <w:r w:rsidRPr="00B654DA">
        <w:tab/>
      </w:r>
      <w:r w:rsidRPr="00B654DA">
        <w:tab/>
        <w:t>Lista de mercancías peligrosas</w:t>
      </w:r>
    </w:p>
    <w:p w:rsidR="007A3AD0" w:rsidRPr="00B654DA" w:rsidRDefault="007A3AD0" w:rsidP="007A3AD0">
      <w:pPr>
        <w:pStyle w:val="SingleTxtG"/>
      </w:pPr>
      <w:r w:rsidRPr="00B654DA">
        <w:t>En el encabezamiento de la</w:t>
      </w:r>
      <w:r w:rsidR="00965478">
        <w:t xml:space="preserve"> </w:t>
      </w:r>
      <w:r w:rsidRPr="00B654DA">
        <w:t xml:space="preserve">columna 4 del cuadro,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 xml:space="preserve">En los </w:t>
      </w:r>
      <w:r w:rsidR="006470EE">
        <w:t>n</w:t>
      </w:r>
      <w:r w:rsidRPr="00B654DA">
        <w:t xml:space="preserve">úmeros ONU 0349, 0367, 0384 y 0481, añádase </w:t>
      </w:r>
      <w:r w:rsidR="00A069C9">
        <w:t>“</w:t>
      </w:r>
      <w:r w:rsidRPr="00B654DA">
        <w:t>347</w:t>
      </w:r>
      <w:r w:rsidR="00A069C9">
        <w:t>”</w:t>
      </w:r>
      <w:r w:rsidRPr="00B654DA">
        <w:t xml:space="preserve"> en la columna (6).</w:t>
      </w:r>
    </w:p>
    <w:p w:rsidR="007A3AD0" w:rsidRPr="00B654DA" w:rsidRDefault="006470EE" w:rsidP="007A3AD0">
      <w:pPr>
        <w:pStyle w:val="SingleTxtG"/>
      </w:pPr>
      <w:r>
        <w:t>En los n</w:t>
      </w:r>
      <w:r w:rsidR="007A3AD0" w:rsidRPr="00B654DA">
        <w:t xml:space="preserve">úmeros ONU </w:t>
      </w:r>
      <w:r w:rsidR="009B189E" w:rsidRPr="009B189E">
        <w:rPr>
          <w:lang w:val="fr-CH"/>
        </w:rPr>
        <w:t xml:space="preserve">1011, 1049, 1075, 1954, 1965, 1969, 1971 </w:t>
      </w:r>
      <w:r w:rsidR="009B189E">
        <w:rPr>
          <w:lang w:val="fr-CH"/>
        </w:rPr>
        <w:t>y</w:t>
      </w:r>
      <w:r w:rsidR="009B189E" w:rsidRPr="009B189E">
        <w:rPr>
          <w:lang w:val="fr-CH"/>
        </w:rPr>
        <w:t xml:space="preserve"> 1978</w:t>
      </w:r>
      <w:r w:rsidR="009B189E" w:rsidRPr="009B189E">
        <w:rPr>
          <w:iCs/>
          <w:lang w:val="fr-FR"/>
        </w:rPr>
        <w:t xml:space="preserve">, </w:t>
      </w:r>
      <w:r w:rsidR="007A3AD0" w:rsidRPr="00B654DA">
        <w:t xml:space="preserve">añádase </w:t>
      </w:r>
      <w:r w:rsidR="00A069C9">
        <w:t>“</w:t>
      </w:r>
      <w:r w:rsidR="009B189E">
        <w:t>392</w:t>
      </w:r>
      <w:r w:rsidR="00A069C9">
        <w:t>”</w:t>
      </w:r>
      <w:r w:rsidR="007A3AD0" w:rsidRPr="00B654DA">
        <w:t xml:space="preserve"> en la columna (6).</w:t>
      </w:r>
    </w:p>
    <w:p w:rsidR="007A3AD0" w:rsidRPr="00B654DA" w:rsidRDefault="006470EE" w:rsidP="007A3AD0">
      <w:pPr>
        <w:pStyle w:val="SingleTxtG"/>
        <w:rPr>
          <w:iCs/>
        </w:rPr>
      </w:pPr>
      <w:r>
        <w:t>En los n</w:t>
      </w:r>
      <w:r w:rsidR="007A3AD0" w:rsidRPr="00B654DA">
        <w:t>úmeros ONU 1363,1386, 1398, 1435,</w:t>
      </w:r>
      <w:r>
        <w:t xml:space="preserve"> </w:t>
      </w:r>
      <w:r w:rsidR="007A3AD0" w:rsidRPr="00B654DA">
        <w:t xml:space="preserve">2071, 2216, 2217 y 2793, añádase </w:t>
      </w:r>
      <w:r w:rsidR="00A069C9">
        <w:t>“</w:t>
      </w:r>
      <w:r w:rsidR="007A3AD0" w:rsidRPr="00B654DA">
        <w:t>BK2</w:t>
      </w:r>
      <w:r w:rsidR="00A069C9">
        <w:t>”</w:t>
      </w:r>
      <w:r w:rsidR="007A3AD0" w:rsidRPr="00B654DA">
        <w:t xml:space="preserve"> en la columna, (10).</w:t>
      </w:r>
    </w:p>
    <w:p w:rsidR="007A3AD0" w:rsidRPr="00B654DA" w:rsidRDefault="006470EE" w:rsidP="007A3AD0">
      <w:pPr>
        <w:pStyle w:val="SingleTxtG"/>
      </w:pPr>
      <w:r>
        <w:t>En el n</w:t>
      </w:r>
      <w:r w:rsidR="007A3AD0" w:rsidRPr="00B654DA">
        <w:t xml:space="preserve">úmero ONU 1945, añádase </w:t>
      </w:r>
      <w:r w:rsidR="00A069C9">
        <w:t>“</w:t>
      </w:r>
      <w:r w:rsidR="007A3AD0" w:rsidRPr="00B654DA">
        <w:t>293</w:t>
      </w:r>
      <w:r w:rsidR="00A069C9">
        <w:t>”</w:t>
      </w:r>
      <w:r w:rsidR="007A3AD0" w:rsidRPr="00B654DA">
        <w:t xml:space="preserve"> en la columna (6).</w:t>
      </w:r>
    </w:p>
    <w:p w:rsidR="007A3AD0" w:rsidRPr="00B654DA" w:rsidRDefault="007A3AD0" w:rsidP="007A3AD0">
      <w:pPr>
        <w:pStyle w:val="SingleTxtG"/>
        <w:rPr>
          <w:i/>
          <w:iCs/>
        </w:rPr>
      </w:pPr>
      <w:r w:rsidRPr="00B654DA">
        <w:t xml:space="preserve">En los </w:t>
      </w:r>
      <w:r w:rsidR="006470EE">
        <w:t>n</w:t>
      </w:r>
      <w:r w:rsidRPr="00B654DA">
        <w:t xml:space="preserve">úmeros ONU 2067 y 2071, suprímase </w:t>
      </w:r>
      <w:r w:rsidR="00A069C9">
        <w:t>“</w:t>
      </w:r>
      <w:r w:rsidRPr="00B654DA">
        <w:t>186</w:t>
      </w:r>
      <w:r w:rsidR="00A069C9">
        <w:t>”</w:t>
      </w:r>
      <w:r w:rsidRPr="00B654DA">
        <w:t xml:space="preserve"> en la columna (6). </w:t>
      </w:r>
    </w:p>
    <w:p w:rsidR="007A3AD0" w:rsidRPr="00B654DA" w:rsidRDefault="006470EE" w:rsidP="007A3AD0">
      <w:pPr>
        <w:pStyle w:val="SingleTxtG"/>
        <w:tabs>
          <w:tab w:val="left" w:pos="4820"/>
        </w:tabs>
        <w:spacing w:before="120"/>
      </w:pPr>
      <w:r>
        <w:t>En los n</w:t>
      </w:r>
      <w:r w:rsidR="007A3AD0" w:rsidRPr="00B654DA">
        <w:t xml:space="preserve">úmeros ONU 3090, 3091, 3480 y 3481, añádase </w:t>
      </w:r>
      <w:r w:rsidR="00A069C9">
        <w:t>“</w:t>
      </w:r>
      <w:r w:rsidR="007A3AD0" w:rsidRPr="00B654DA">
        <w:t>387</w:t>
      </w:r>
      <w:r w:rsidR="00A069C9">
        <w:t>”</w:t>
      </w:r>
      <w:r w:rsidR="007A3AD0" w:rsidRPr="00B654DA">
        <w:t xml:space="preserve"> en la columna (6).</w:t>
      </w:r>
    </w:p>
    <w:p w:rsidR="007A3AD0" w:rsidRPr="00B654DA" w:rsidRDefault="006470EE" w:rsidP="007A3AD0">
      <w:pPr>
        <w:pStyle w:val="SingleTxtG"/>
      </w:pPr>
      <w:r>
        <w:t>En el n</w:t>
      </w:r>
      <w:r w:rsidR="007A3AD0" w:rsidRPr="00B654DA">
        <w:t xml:space="preserve">úmero ONU 3166, suprímanse </w:t>
      </w:r>
      <w:r w:rsidR="00A069C9">
        <w:t>“</w:t>
      </w:r>
      <w:r w:rsidR="007A3AD0" w:rsidRPr="00B654DA">
        <w:t>312</w:t>
      </w:r>
      <w:r w:rsidR="00A069C9">
        <w:t>”</w:t>
      </w:r>
      <w:r w:rsidR="007A3AD0" w:rsidRPr="00B654DA">
        <w:t xml:space="preserve">, </w:t>
      </w:r>
      <w:r w:rsidR="00A069C9">
        <w:t>“</w:t>
      </w:r>
      <w:r w:rsidR="007A3AD0" w:rsidRPr="00B654DA">
        <w:t>380</w:t>
      </w:r>
      <w:r w:rsidR="00A069C9">
        <w:t>”</w:t>
      </w:r>
      <w:r w:rsidR="007A3AD0" w:rsidRPr="00B654DA">
        <w:t xml:space="preserve"> y </w:t>
      </w:r>
      <w:r w:rsidR="00A069C9">
        <w:t>“</w:t>
      </w:r>
      <w:r w:rsidR="007A3AD0" w:rsidRPr="00B654DA">
        <w:t>385</w:t>
      </w:r>
      <w:r w:rsidR="00A069C9">
        <w:t>”</w:t>
      </w:r>
      <w:r w:rsidR="007A3AD0" w:rsidRPr="00B654DA">
        <w:t xml:space="preserve"> en la columna (6).</w:t>
      </w:r>
    </w:p>
    <w:p w:rsidR="007A3AD0" w:rsidRPr="00B654DA" w:rsidRDefault="007A3AD0" w:rsidP="007A3AD0">
      <w:pPr>
        <w:pStyle w:val="SingleTxtG"/>
      </w:pPr>
      <w:r w:rsidRPr="00B654DA">
        <w:t xml:space="preserve">En los </w:t>
      </w:r>
      <w:r w:rsidR="006470EE">
        <w:t>n</w:t>
      </w:r>
      <w:r w:rsidRPr="00B654DA">
        <w:t xml:space="preserve">úmeros ONU 3166 y 3171, introdúzcase </w:t>
      </w:r>
      <w:r w:rsidR="00A069C9">
        <w:t>“</w:t>
      </w:r>
      <w:r w:rsidRPr="00B654DA">
        <w:t>388</w:t>
      </w:r>
      <w:r w:rsidR="00A069C9">
        <w:t>”</w:t>
      </w:r>
      <w:r w:rsidRPr="00B654DA">
        <w:t xml:space="preserve"> en la columna (6).</w:t>
      </w:r>
    </w:p>
    <w:p w:rsidR="007A3AD0" w:rsidRPr="00B654DA" w:rsidRDefault="006470EE" w:rsidP="007A3AD0">
      <w:pPr>
        <w:pStyle w:val="SingleTxtG"/>
      </w:pPr>
      <w:r>
        <w:t>En el n</w:t>
      </w:r>
      <w:r w:rsidR="007A3AD0" w:rsidRPr="00B654DA">
        <w:t xml:space="preserve">úmero ONU 3171, suprímase </w:t>
      </w:r>
      <w:r w:rsidR="00A069C9">
        <w:t>“</w:t>
      </w:r>
      <w:r w:rsidR="007A3AD0" w:rsidRPr="00B654DA">
        <w:t>240</w:t>
      </w:r>
      <w:r w:rsidR="00A069C9">
        <w:t>”</w:t>
      </w:r>
      <w:r w:rsidR="007A3AD0" w:rsidRPr="00B654DA">
        <w:t xml:space="preserve"> en la columna (6).</w:t>
      </w:r>
    </w:p>
    <w:p w:rsidR="007A3AD0" w:rsidRPr="00B654DA" w:rsidRDefault="007A3AD0" w:rsidP="007A3AD0">
      <w:pPr>
        <w:pStyle w:val="SingleTxtG"/>
        <w:rPr>
          <w:iCs/>
        </w:rPr>
      </w:pPr>
      <w:r w:rsidRPr="00B654DA">
        <w:t xml:space="preserve">En los </w:t>
      </w:r>
      <w:r w:rsidR="006470EE">
        <w:t>n</w:t>
      </w:r>
      <w:r w:rsidRPr="00B654DA">
        <w:t xml:space="preserve">úmeros ONU 3223 y 3224, añádase </w:t>
      </w:r>
      <w:r w:rsidR="00A069C9">
        <w:t>“</w:t>
      </w:r>
      <w:r w:rsidRPr="00B654DA">
        <w:t>PP94 PP95</w:t>
      </w:r>
      <w:r w:rsidR="00A069C9">
        <w:t>”</w:t>
      </w:r>
      <w:r w:rsidRPr="00B654DA">
        <w:t xml:space="preserve"> en la columna (9).</w:t>
      </w:r>
    </w:p>
    <w:p w:rsidR="007A3AD0" w:rsidRPr="00B654DA" w:rsidRDefault="007A3AD0" w:rsidP="007A3AD0">
      <w:pPr>
        <w:pStyle w:val="SingleTxtG"/>
        <w:rPr>
          <w:rStyle w:val="SingleTxtGCar"/>
        </w:rPr>
      </w:pPr>
      <w:r w:rsidRPr="00B654DA">
        <w:t xml:space="preserve">En el </w:t>
      </w:r>
      <w:r w:rsidR="006470EE">
        <w:t>n</w:t>
      </w:r>
      <w:r w:rsidRPr="00B654DA">
        <w:t xml:space="preserve">úmero ONU 3302, añádase </w:t>
      </w:r>
      <w:r w:rsidR="00A069C9">
        <w:t>“</w:t>
      </w:r>
      <w:r w:rsidRPr="00B654DA">
        <w:t>ESTABILIZADO</w:t>
      </w:r>
      <w:r w:rsidR="00A069C9">
        <w:t>”</w:t>
      </w:r>
      <w:r w:rsidRPr="00B654DA">
        <w:t xml:space="preserve"> al final de la designación en la columna (2) y añádase </w:t>
      </w:r>
      <w:r w:rsidR="00A069C9">
        <w:t>“</w:t>
      </w:r>
      <w:r w:rsidRPr="00B654DA">
        <w:t>386</w:t>
      </w:r>
      <w:r w:rsidR="00A069C9">
        <w:t>”</w:t>
      </w:r>
      <w:r w:rsidRPr="00B654DA">
        <w:t xml:space="preserve"> en la columna (6).</w:t>
      </w:r>
    </w:p>
    <w:p w:rsidR="007A3AD0" w:rsidRPr="00B654DA" w:rsidRDefault="007A3AD0" w:rsidP="007A3AD0">
      <w:pPr>
        <w:pStyle w:val="SingleTxtG"/>
        <w:spacing w:before="120"/>
      </w:pPr>
      <w:r w:rsidRPr="00B654DA">
        <w:t xml:space="preserve">En el </w:t>
      </w:r>
      <w:r w:rsidR="006470EE">
        <w:t>n</w:t>
      </w:r>
      <w:r w:rsidRPr="00B654DA">
        <w:t xml:space="preserve">úmero ONU 3316, suprímase la segunda entrada correspondiente al grupo de embalaje/envase III. En el resto de la entrada, suprímase </w:t>
      </w:r>
      <w:r w:rsidR="00A069C9">
        <w:t>“</w:t>
      </w:r>
      <w:r w:rsidRPr="00B654DA">
        <w:t>II</w:t>
      </w:r>
      <w:r w:rsidR="00A069C9">
        <w:t>”</w:t>
      </w:r>
      <w:r w:rsidRPr="00B654DA">
        <w:t xml:space="preserve"> en la columna (5).</w:t>
      </w:r>
    </w:p>
    <w:p w:rsidR="007A3AD0" w:rsidRPr="00B654DA" w:rsidRDefault="007A3AD0" w:rsidP="007A3AD0">
      <w:pPr>
        <w:pStyle w:val="SingleTxtG"/>
      </w:pPr>
      <w:r w:rsidRPr="00B654DA">
        <w:t>Añádanse las siguientes entradas nuevas:</w:t>
      </w:r>
    </w:p>
    <w:tbl>
      <w:tblPr>
        <w:tblW w:w="959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3"/>
        <w:gridCol w:w="2817"/>
        <w:gridCol w:w="588"/>
        <w:gridCol w:w="770"/>
        <w:gridCol w:w="546"/>
        <w:gridCol w:w="685"/>
        <w:gridCol w:w="630"/>
        <w:gridCol w:w="518"/>
        <w:gridCol w:w="770"/>
        <w:gridCol w:w="705"/>
        <w:gridCol w:w="484"/>
        <w:gridCol w:w="536"/>
      </w:tblGrid>
      <w:tr w:rsidR="007A3AD0" w:rsidRPr="00D10B0B" w:rsidTr="00D10B0B">
        <w:trPr>
          <w:cantSplit/>
          <w:tblHeader/>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(1)</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(2)</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(4)</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(5)</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(7a)</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(7b)</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(8)</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(9)</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sz w:val="18"/>
                <w:szCs w:val="18"/>
              </w:rPr>
            </w:pPr>
            <w:r w:rsidRPr="00D10B0B">
              <w:rPr>
                <w:bCs/>
                <w:sz w:val="18"/>
                <w:szCs w:val="18"/>
              </w:rPr>
              <w:t>(10)</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bCs/>
                <w:iCs/>
                <w:sz w:val="18"/>
                <w:szCs w:val="18"/>
              </w:rPr>
            </w:pPr>
            <w:r w:rsidRPr="00D10B0B">
              <w:rPr>
                <w:bCs/>
                <w:iCs/>
                <w:sz w:val="18"/>
                <w:szCs w:val="18"/>
              </w:rPr>
              <w:t>(11)</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3535</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SÓLIDO TÓXICO, INFLAMABLE, INORGÁNICO,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6.1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4.1</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I</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E5</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P002</w:t>
            </w:r>
            <w:r w:rsidRPr="00D10B0B">
              <w:rPr>
                <w:sz w:val="18"/>
                <w:szCs w:val="18"/>
              </w:rPr>
              <w:br/>
              <w:t>IBC99</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r w:rsidRPr="00D10B0B">
              <w:rPr>
                <w:sz w:val="18"/>
                <w:szCs w:val="18"/>
                <w:lang w:eastAsia="nb-NO"/>
              </w:rPr>
              <w:t>T6</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r w:rsidRPr="00D10B0B">
              <w:rPr>
                <w:sz w:val="18"/>
                <w:szCs w:val="18"/>
                <w:lang w:eastAsia="nb-NO"/>
              </w:rPr>
              <w:t>TP33</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3535</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rPr>
                <w:sz w:val="18"/>
                <w:szCs w:val="18"/>
              </w:rPr>
            </w:pPr>
            <w:r w:rsidRPr="00D10B0B">
              <w:rPr>
                <w:sz w:val="18"/>
                <w:szCs w:val="18"/>
              </w:rPr>
              <w:t>SÓLIDO TÓXICO, INFLAMABLE, INORGÁNICO,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6.1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4.1</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II</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500 g</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P002</w:t>
            </w:r>
            <w:r w:rsidRPr="00D10B0B">
              <w:rPr>
                <w:sz w:val="18"/>
                <w:szCs w:val="18"/>
              </w:rPr>
              <w:br/>
              <w:t>IBC08</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r w:rsidRPr="00D10B0B">
              <w:rPr>
                <w:sz w:val="18"/>
                <w:szCs w:val="18"/>
              </w:rPr>
              <w:br/>
              <w:t>B2, B4</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r w:rsidRPr="00D10B0B">
              <w:rPr>
                <w:sz w:val="18"/>
                <w:szCs w:val="18"/>
                <w:lang w:eastAsia="nb-NO"/>
              </w:rPr>
              <w:t>T3</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r w:rsidRPr="00D10B0B">
              <w:rPr>
                <w:sz w:val="18"/>
                <w:szCs w:val="18"/>
                <w:lang w:eastAsia="nb-NO"/>
              </w:rPr>
              <w:t>TP33</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3536</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rPr>
                <w:sz w:val="18"/>
                <w:szCs w:val="18"/>
              </w:rPr>
            </w:pPr>
            <w:r w:rsidRPr="00D10B0B">
              <w:rPr>
                <w:sz w:val="18"/>
                <w:szCs w:val="18"/>
              </w:rPr>
              <w:t>BATERÍAS</w:t>
            </w:r>
            <w:r w:rsidRPr="00D10B0B">
              <w:rPr>
                <w:spacing w:val="-8"/>
                <w:sz w:val="18"/>
                <w:szCs w:val="18"/>
              </w:rPr>
              <w:t xml:space="preserve"> </w:t>
            </w:r>
            <w:r w:rsidRPr="00D10B0B">
              <w:rPr>
                <w:sz w:val="18"/>
                <w:szCs w:val="18"/>
              </w:rPr>
              <w:t>DE</w:t>
            </w:r>
            <w:r w:rsidRPr="00D10B0B">
              <w:rPr>
                <w:spacing w:val="-1"/>
                <w:sz w:val="18"/>
                <w:szCs w:val="18"/>
              </w:rPr>
              <w:t xml:space="preserve"> </w:t>
            </w:r>
            <w:r w:rsidRPr="00D10B0B">
              <w:rPr>
                <w:sz w:val="18"/>
                <w:szCs w:val="18"/>
              </w:rPr>
              <w:t>LITIO</w:t>
            </w:r>
            <w:r w:rsidRPr="00D10B0B">
              <w:rPr>
                <w:spacing w:val="-4"/>
                <w:sz w:val="18"/>
                <w:szCs w:val="18"/>
              </w:rPr>
              <w:t xml:space="preserve"> </w:t>
            </w:r>
            <w:r w:rsidRPr="00D10B0B">
              <w:rPr>
                <w:sz w:val="18"/>
                <w:szCs w:val="18"/>
              </w:rPr>
              <w:t>INS</w:t>
            </w:r>
            <w:r w:rsidRPr="00D10B0B">
              <w:rPr>
                <w:spacing w:val="-1"/>
                <w:sz w:val="18"/>
                <w:szCs w:val="18"/>
              </w:rPr>
              <w:t>T</w:t>
            </w:r>
            <w:r w:rsidRPr="00D10B0B">
              <w:rPr>
                <w:sz w:val="18"/>
                <w:szCs w:val="18"/>
              </w:rPr>
              <w:t>ALADAS</w:t>
            </w:r>
            <w:r w:rsidRPr="00D10B0B">
              <w:rPr>
                <w:spacing w:val="-12"/>
                <w:sz w:val="18"/>
                <w:szCs w:val="18"/>
              </w:rPr>
              <w:t xml:space="preserve"> </w:t>
            </w:r>
            <w:r w:rsidRPr="00D10B0B">
              <w:rPr>
                <w:sz w:val="18"/>
                <w:szCs w:val="18"/>
              </w:rPr>
              <w:t>EN</w:t>
            </w:r>
            <w:r w:rsidRPr="00D10B0B">
              <w:rPr>
                <w:spacing w:val="-1"/>
                <w:sz w:val="18"/>
                <w:szCs w:val="18"/>
              </w:rPr>
              <w:t xml:space="preserve"> LA UNIDAD DE TRANSPORTE baterías de iones de litio o baterías de litio metálico</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9</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lang w:eastAsia="nb-NO"/>
              </w:rPr>
              <w:t>389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lang w:eastAsia="nb-NO"/>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lang w:eastAsia="nb-NO"/>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lang w:eastAsia="nb-NO"/>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3537</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GASES INFLAMABLES,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lastRenderedPageBreak/>
              <w:t>3538</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w:t>
            </w:r>
            <w:r w:rsidR="006470EE">
              <w:rPr>
                <w:sz w:val="18"/>
                <w:szCs w:val="18"/>
              </w:rPr>
              <w:t>ENEN GASES NO INFLAMABLES, NO TÓ</w:t>
            </w:r>
            <w:r w:rsidRPr="00D10B0B">
              <w:rPr>
                <w:sz w:val="18"/>
                <w:szCs w:val="18"/>
              </w:rPr>
              <w:t>XICOS,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2.2</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3539</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6470EE" w:rsidP="00D10B0B">
            <w:pPr>
              <w:tabs>
                <w:tab w:val="left" w:pos="288"/>
                <w:tab w:val="left" w:pos="576"/>
                <w:tab w:val="left" w:pos="864"/>
                <w:tab w:val="left" w:pos="1152"/>
              </w:tabs>
              <w:spacing w:before="40" w:after="40"/>
              <w:ind w:right="40"/>
              <w:rPr>
                <w:sz w:val="18"/>
                <w:szCs w:val="18"/>
              </w:rPr>
            </w:pPr>
            <w:r>
              <w:rPr>
                <w:sz w:val="18"/>
                <w:szCs w:val="18"/>
              </w:rPr>
              <w:t>ARTÍCULOS QUE CONTIENEN GASES TÓ</w:t>
            </w:r>
            <w:r w:rsidR="007A3AD0" w:rsidRPr="00D10B0B">
              <w:rPr>
                <w:sz w:val="18"/>
                <w:szCs w:val="18"/>
              </w:rPr>
              <w:t>XICOS,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3540</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LÍQUIDOS INFLAMABLES,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3541</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SÓLIDOS INFLAMABLES,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4.1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3542</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SUSTANCIAS QUE PRESENTAN RIESGO DE COMBUSTIÓN ESPONTÁNEA,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4.2</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3543</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SUSTANCIAS QUE DESPRENDEN GASES INFLAMABLES EN CONTACTO CON EL AGUA,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4.3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3544</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SUSTANCIAS COMBURENTES,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5.1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3545</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PERÓXIDOS ORGÁNICOS,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5.2</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3546</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SUSTANCIAS TÓXICAS,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6.1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3547</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SUSTANCIAS CORROSIVAS,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 </w:t>
            </w:r>
          </w:p>
        </w:tc>
      </w:tr>
      <w:tr w:rsidR="007A3AD0" w:rsidRPr="00D10B0B" w:rsidTr="00D10B0B">
        <w:trPr>
          <w:cantSplit/>
        </w:trPr>
        <w:tc>
          <w:tcPr>
            <w:tcW w:w="543"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rPr>
                <w:sz w:val="18"/>
                <w:szCs w:val="18"/>
              </w:rPr>
            </w:pPr>
            <w:r w:rsidRPr="00D10B0B">
              <w:rPr>
                <w:sz w:val="18"/>
                <w:szCs w:val="18"/>
              </w:rPr>
              <w:t>3548</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tabs>
                <w:tab w:val="left" w:pos="288"/>
                <w:tab w:val="left" w:pos="576"/>
                <w:tab w:val="left" w:pos="864"/>
                <w:tab w:val="left" w:pos="1152"/>
              </w:tabs>
              <w:spacing w:before="40" w:after="40"/>
              <w:ind w:right="40"/>
              <w:rPr>
                <w:sz w:val="18"/>
                <w:szCs w:val="18"/>
              </w:rPr>
            </w:pPr>
            <w:r w:rsidRPr="00D10B0B">
              <w:rPr>
                <w:sz w:val="18"/>
                <w:szCs w:val="18"/>
              </w:rPr>
              <w:t>ARTÍCULOS QUE CONTIENEN MERCA</w:t>
            </w:r>
            <w:r w:rsidR="00EA15A5">
              <w:rPr>
                <w:sz w:val="18"/>
                <w:szCs w:val="18"/>
              </w:rPr>
              <w:t>N</w:t>
            </w:r>
            <w:r w:rsidRPr="00D10B0B">
              <w:rPr>
                <w:sz w:val="18"/>
                <w:szCs w:val="18"/>
              </w:rPr>
              <w:t>CÍAS PELIGROSAS DIVERSAS, N.E.P.</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9</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bCs/>
                <w:sz w:val="18"/>
                <w:szCs w:val="18"/>
              </w:rPr>
              <w:t xml:space="preserve">Véase </w:t>
            </w:r>
            <w:r w:rsidRPr="00D10B0B">
              <w:rPr>
                <w:sz w:val="18"/>
                <w:szCs w:val="18"/>
              </w:rPr>
              <w:t>2.0.5.6</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274</w:t>
            </w:r>
            <w:r w:rsidRPr="00D10B0B">
              <w:rPr>
                <w:sz w:val="18"/>
                <w:szCs w:val="18"/>
              </w:rPr>
              <w:br/>
              <w:t>391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E0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r w:rsidRPr="00D10B0B">
              <w:rPr>
                <w:sz w:val="18"/>
                <w:szCs w:val="18"/>
              </w:rPr>
              <w:t>P006</w:t>
            </w:r>
            <w:r w:rsidRPr="00D10B0B">
              <w:rPr>
                <w:sz w:val="18"/>
                <w:szCs w:val="18"/>
              </w:rPr>
              <w:br/>
              <w:t>LP03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7A3AD0" w:rsidRPr="00D10B0B" w:rsidRDefault="007A3AD0" w:rsidP="00D10B0B">
            <w:pPr>
              <w:spacing w:before="40" w:after="40"/>
              <w:jc w:val="center"/>
              <w:rPr>
                <w:sz w:val="18"/>
                <w:szCs w:val="18"/>
              </w:rPr>
            </w:pPr>
          </w:p>
        </w:tc>
      </w:tr>
    </w:tbl>
    <w:p w:rsidR="007A3AD0" w:rsidRPr="00B654DA" w:rsidRDefault="007A3AD0" w:rsidP="007A3AD0">
      <w:pPr>
        <w:pStyle w:val="H1G"/>
      </w:pPr>
      <w:r w:rsidRPr="00B654DA">
        <w:tab/>
      </w:r>
      <w:r w:rsidRPr="00B654DA">
        <w:tab/>
        <w:t>Índice alfabético</w:t>
      </w:r>
    </w:p>
    <w:p w:rsidR="007A3AD0" w:rsidRPr="00B654DA" w:rsidRDefault="007A3AD0" w:rsidP="00D10B0B">
      <w:pPr>
        <w:pStyle w:val="SingleTxtG"/>
        <w:rPr>
          <w:rStyle w:val="SingleTxtGCar"/>
        </w:rPr>
      </w:pPr>
      <w:r w:rsidRPr="00B654DA">
        <w:rPr>
          <w:rStyle w:val="SingleTxtGCar"/>
        </w:rPr>
        <w:t xml:space="preserve">En la columna </w:t>
      </w:r>
      <w:r w:rsidR="00A069C9">
        <w:rPr>
          <w:rStyle w:val="SingleTxtGCar"/>
        </w:rPr>
        <w:t>“</w:t>
      </w:r>
      <w:r w:rsidRPr="00B654DA">
        <w:rPr>
          <w:rStyle w:val="SingleTxtGCar"/>
        </w:rPr>
        <w:t>Nombre y descripción</w:t>
      </w:r>
      <w:r w:rsidR="00A069C9">
        <w:rPr>
          <w:rStyle w:val="SingleTxtGCar"/>
        </w:rPr>
        <w:t>”</w:t>
      </w:r>
      <w:r w:rsidRPr="00B654DA">
        <w:rPr>
          <w:rStyle w:val="SingleTxtGCar"/>
        </w:rPr>
        <w:t xml:space="preserve"> del índice alfabético de sustancias y artículos, en la entrada </w:t>
      </w:r>
      <w:r w:rsidR="00A069C9">
        <w:rPr>
          <w:rStyle w:val="SingleTxtGCar"/>
        </w:rPr>
        <w:t>“</w:t>
      </w:r>
      <w:r w:rsidRPr="00B654DA">
        <w:rPr>
          <w:rStyle w:val="SingleTxtGCar"/>
        </w:rPr>
        <w:t>2-DIMETILAMINOETIL ACRILATO</w:t>
      </w:r>
      <w:r w:rsidR="00A069C9">
        <w:rPr>
          <w:rStyle w:val="SingleTxtGCar"/>
        </w:rPr>
        <w:t>”</w:t>
      </w:r>
      <w:r w:rsidRPr="00B654DA">
        <w:rPr>
          <w:rStyle w:val="SingleTxtGCar"/>
        </w:rPr>
        <w:t xml:space="preserve">, añádase al final </w:t>
      </w:r>
      <w:r w:rsidR="00A069C9">
        <w:rPr>
          <w:rStyle w:val="SingleTxtGCar"/>
        </w:rPr>
        <w:t>“</w:t>
      </w:r>
      <w:r w:rsidRPr="00B654DA">
        <w:rPr>
          <w:rStyle w:val="SingleTxtGCar"/>
        </w:rPr>
        <w:t>ESTABILIZADO</w:t>
      </w:r>
      <w:r w:rsidR="00A069C9">
        <w:rPr>
          <w:rStyle w:val="SingleTxtGCar"/>
        </w:rPr>
        <w:t>”</w:t>
      </w:r>
      <w:r w:rsidRPr="00B654DA">
        <w:rPr>
          <w:rStyle w:val="SingleTxtGCar"/>
        </w:rPr>
        <w:t>.</w:t>
      </w:r>
    </w:p>
    <w:p w:rsidR="007A3AD0" w:rsidRPr="00B654DA" w:rsidRDefault="007A3AD0" w:rsidP="00D10B0B">
      <w:pPr>
        <w:pStyle w:val="SingleTxtG"/>
        <w:rPr>
          <w:iCs/>
        </w:rPr>
      </w:pPr>
      <w:r w:rsidRPr="00B654DA">
        <w:t>Añádanse las siguientes entradas nuevas en orden alfabético</w:t>
      </w:r>
      <w:r w:rsidRPr="00B654DA">
        <w:rPr>
          <w:iCs/>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GASES INFLAMABLES,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2.1</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3537</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w:t>
            </w:r>
            <w:r w:rsidR="00442DD8">
              <w:rPr>
                <w:spacing w:val="-1"/>
                <w:sz w:val="18"/>
                <w:szCs w:val="18"/>
              </w:rPr>
              <w:t>ENEN GASES NO INFLAMABLES, NO TÓ</w:t>
            </w:r>
            <w:r w:rsidRPr="00D10B0B">
              <w:rPr>
                <w:spacing w:val="-1"/>
                <w:sz w:val="18"/>
                <w:szCs w:val="18"/>
              </w:rPr>
              <w:t>XICOS,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2.2</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3538</w:t>
            </w:r>
          </w:p>
        </w:tc>
      </w:tr>
      <w:tr w:rsidR="007A3AD0" w:rsidRPr="00B654DA" w:rsidTr="00D10B0B">
        <w:trPr>
          <w:cantSplit/>
          <w:trHeight w:val="403"/>
        </w:trPr>
        <w:tc>
          <w:tcPr>
            <w:tcW w:w="4770" w:type="dxa"/>
            <w:vAlign w:val="center"/>
          </w:tcPr>
          <w:p w:rsidR="007A3AD0" w:rsidRPr="00D10B0B" w:rsidRDefault="00442DD8" w:rsidP="00D10B0B">
            <w:pPr>
              <w:spacing w:before="40" w:after="40"/>
              <w:ind w:left="284" w:hanging="284"/>
              <w:rPr>
                <w:spacing w:val="-1"/>
                <w:sz w:val="18"/>
                <w:szCs w:val="18"/>
              </w:rPr>
            </w:pPr>
            <w:r>
              <w:rPr>
                <w:spacing w:val="-1"/>
                <w:sz w:val="18"/>
                <w:szCs w:val="18"/>
              </w:rPr>
              <w:t>ARTÍCULOS QUE CONTIENEN GASES TÓ</w:t>
            </w:r>
            <w:r w:rsidR="007A3AD0" w:rsidRPr="00D10B0B">
              <w:rPr>
                <w:spacing w:val="-1"/>
                <w:sz w:val="18"/>
                <w:szCs w:val="18"/>
              </w:rPr>
              <w:t>XICOS,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2.3</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3539</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LÍQUIDOS INFLAMABLES,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3</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3540</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SÓLIDOS INFLAMABLES,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4.1</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3541</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lastRenderedPageBreak/>
              <w:t>ARTÍCULOS QUE CONTIENEN SUSTANCIAS QUE PRESENTAN RIESGO DE COMBUSTIÓN ESPONTÁNEA,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4.2</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3542</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SUSTANCIAS QUE DESPRENDEN GASES INFLAMABLES EN CONTACTO CON EL AGUA,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4.3</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3543</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SUSTANCIAS COMBURENTES,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5.1</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3544</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PERÓXIDOS ORGÁNICOS,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5.2</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3545</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SUSTANCIAS TÓXICAS,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6.1</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3546</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SUSTANCIAS CORROSIVAS,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8</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3547</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ARTÍCULOS QUE CONTIENEN MERCA</w:t>
            </w:r>
            <w:r w:rsidR="00442DD8">
              <w:rPr>
                <w:spacing w:val="-1"/>
                <w:sz w:val="18"/>
                <w:szCs w:val="18"/>
              </w:rPr>
              <w:t>N</w:t>
            </w:r>
            <w:r w:rsidRPr="00D10B0B">
              <w:rPr>
                <w:spacing w:val="-1"/>
                <w:sz w:val="18"/>
                <w:szCs w:val="18"/>
              </w:rPr>
              <w:t>CÍAS PELIGROSAS DIVERSAS,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9</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3548</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BATERÍAS DE</w:t>
            </w:r>
            <w:r w:rsidRPr="00B654DA">
              <w:rPr>
                <w:spacing w:val="-1"/>
                <w:sz w:val="18"/>
                <w:szCs w:val="18"/>
              </w:rPr>
              <w:t xml:space="preserve"> </w:t>
            </w:r>
            <w:r w:rsidRPr="00D10B0B">
              <w:rPr>
                <w:spacing w:val="-1"/>
                <w:sz w:val="18"/>
                <w:szCs w:val="18"/>
              </w:rPr>
              <w:t>LITIO INS</w:t>
            </w:r>
            <w:r w:rsidRPr="00B654DA">
              <w:rPr>
                <w:spacing w:val="-1"/>
                <w:sz w:val="18"/>
                <w:szCs w:val="18"/>
              </w:rPr>
              <w:t>T</w:t>
            </w:r>
            <w:r w:rsidRPr="00D10B0B">
              <w:rPr>
                <w:spacing w:val="-1"/>
                <w:sz w:val="18"/>
                <w:szCs w:val="18"/>
              </w:rPr>
              <w:t>ALADAS EN</w:t>
            </w:r>
            <w:r w:rsidRPr="00B654DA">
              <w:rPr>
                <w:spacing w:val="-1"/>
                <w:sz w:val="18"/>
                <w:szCs w:val="18"/>
              </w:rPr>
              <w:t xml:space="preserve"> LA UNIDAD DE TRANSPORTE baterías de iones de litio o baterías de litio metálico</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9</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3536</w:t>
            </w:r>
          </w:p>
        </w:tc>
      </w:tr>
      <w:tr w:rsidR="007A3AD0" w:rsidRPr="00B654DA" w:rsidTr="00D10B0B">
        <w:trPr>
          <w:cantSplit/>
          <w:trHeight w:val="403"/>
        </w:trPr>
        <w:tc>
          <w:tcPr>
            <w:tcW w:w="4770" w:type="dxa"/>
            <w:vAlign w:val="center"/>
          </w:tcPr>
          <w:p w:rsidR="007A3AD0" w:rsidRPr="00D10B0B" w:rsidRDefault="007A3AD0" w:rsidP="00D10B0B">
            <w:pPr>
              <w:spacing w:before="40" w:after="40"/>
              <w:ind w:left="284" w:hanging="284"/>
              <w:rPr>
                <w:spacing w:val="-1"/>
                <w:sz w:val="18"/>
                <w:szCs w:val="18"/>
              </w:rPr>
            </w:pPr>
            <w:r w:rsidRPr="00D10B0B">
              <w:rPr>
                <w:spacing w:val="-1"/>
                <w:sz w:val="18"/>
                <w:szCs w:val="18"/>
              </w:rPr>
              <w:t>SÓLIDO TÓXICO, INFLAMABLE, INORGÁNICO, N.E.P.</w:t>
            </w:r>
          </w:p>
        </w:tc>
        <w:tc>
          <w:tcPr>
            <w:tcW w:w="1084" w:type="dxa"/>
            <w:vAlign w:val="center"/>
          </w:tcPr>
          <w:p w:rsidR="007A3AD0" w:rsidRPr="00B654DA" w:rsidRDefault="007A3AD0" w:rsidP="00D10B0B">
            <w:pPr>
              <w:spacing w:before="40" w:after="40"/>
              <w:ind w:left="284" w:hanging="284"/>
              <w:jc w:val="center"/>
              <w:rPr>
                <w:sz w:val="18"/>
                <w:szCs w:val="18"/>
              </w:rPr>
            </w:pPr>
            <w:r w:rsidRPr="00B654DA">
              <w:rPr>
                <w:sz w:val="18"/>
                <w:szCs w:val="18"/>
              </w:rPr>
              <w:t>6.1</w:t>
            </w:r>
          </w:p>
        </w:tc>
        <w:tc>
          <w:tcPr>
            <w:tcW w:w="1517" w:type="dxa"/>
            <w:vAlign w:val="center"/>
          </w:tcPr>
          <w:p w:rsidR="007A3AD0" w:rsidRPr="00B654DA" w:rsidRDefault="007A3AD0" w:rsidP="00D10B0B">
            <w:pPr>
              <w:spacing w:before="40" w:after="40"/>
              <w:ind w:left="284" w:hanging="284"/>
              <w:jc w:val="center"/>
              <w:rPr>
                <w:sz w:val="18"/>
                <w:szCs w:val="18"/>
              </w:rPr>
            </w:pPr>
            <w:r w:rsidRPr="00B654DA">
              <w:rPr>
                <w:sz w:val="18"/>
                <w:szCs w:val="18"/>
              </w:rPr>
              <w:t>3535</w:t>
            </w:r>
          </w:p>
        </w:tc>
      </w:tr>
    </w:tbl>
    <w:p w:rsidR="007A3AD0" w:rsidRPr="00B654DA" w:rsidRDefault="007A3AD0" w:rsidP="007A3AD0">
      <w:pPr>
        <w:pStyle w:val="H1G"/>
      </w:pPr>
      <w:r w:rsidRPr="00B654DA">
        <w:tab/>
      </w:r>
      <w:r w:rsidRPr="00B654DA">
        <w:tab/>
        <w:t>Capítulo 3.3</w:t>
      </w:r>
    </w:p>
    <w:p w:rsidR="007A3AD0" w:rsidRPr="00B654DA" w:rsidRDefault="007A3AD0" w:rsidP="007A3AD0">
      <w:pPr>
        <w:pStyle w:val="SingleTxtG"/>
      </w:pPr>
      <w:r w:rsidRPr="00B654DA">
        <w:t>3.3.1</w:t>
      </w:r>
      <w:r w:rsidR="00442DD8">
        <w:tab/>
      </w:r>
      <w:r w:rsidRPr="00B654DA">
        <w:tab/>
        <w:t xml:space="preserve">En la tercera oración, sustitúyase </w:t>
      </w:r>
      <w:r w:rsidR="00A069C9">
        <w:t>“</w:t>
      </w:r>
      <w:r w:rsidRPr="00B654DA">
        <w:t xml:space="preserve">por ejemplo </w:t>
      </w:r>
      <w:r w:rsidR="00A069C9">
        <w:t>“</w:t>
      </w:r>
      <w:r w:rsidRPr="00B654DA">
        <w:t>Baterías de litio dañadas</w:t>
      </w:r>
      <w:r w:rsidR="00A069C9">
        <w:t>”</w:t>
      </w:r>
      <w:r w:rsidRPr="00B654DA">
        <w:t xml:space="preserve"> por </w:t>
      </w:r>
      <w:r w:rsidR="00A069C9">
        <w:t>“</w:t>
      </w:r>
      <w:r w:rsidRPr="00B654DA">
        <w:t>BATERÍAS DE LITIO DESTINADAS A LA ELIMINACIÓN</w:t>
      </w:r>
      <w:r w:rsidR="003B4E67">
        <w:t>””</w:t>
      </w:r>
    </w:p>
    <w:p w:rsidR="007A3AD0" w:rsidRPr="00B654DA" w:rsidRDefault="007A3AD0" w:rsidP="00442DD8">
      <w:pPr>
        <w:pStyle w:val="SingleTxtG"/>
        <w:tabs>
          <w:tab w:val="left" w:pos="3544"/>
        </w:tabs>
        <w:rPr>
          <w:rStyle w:val="Strong"/>
          <w:b w:val="0"/>
          <w:bCs w:val="0"/>
        </w:rPr>
      </w:pPr>
      <w:r w:rsidRPr="00B654DA">
        <w:t>Disposición especial 23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42DD8">
      <w:pPr>
        <w:pStyle w:val="SingleTxtG"/>
        <w:tabs>
          <w:tab w:val="left" w:pos="3544"/>
        </w:tabs>
        <w:rPr>
          <w:rStyle w:val="Strong"/>
          <w:b w:val="0"/>
          <w:bCs w:val="0"/>
        </w:rPr>
      </w:pPr>
      <w:r w:rsidRPr="00B654DA">
        <w:t>Disposición especial 61</w:t>
      </w:r>
      <w:r w:rsidRPr="00B654DA">
        <w:tab/>
        <w:t>No se aplica al texto español.</w:t>
      </w:r>
    </w:p>
    <w:p w:rsidR="007A3AD0" w:rsidRPr="00B654DA" w:rsidRDefault="007A3AD0" w:rsidP="00442DD8">
      <w:pPr>
        <w:pStyle w:val="SingleTxtG"/>
        <w:tabs>
          <w:tab w:val="left" w:pos="3544"/>
        </w:tabs>
      </w:pPr>
      <w:r w:rsidRPr="00B654DA">
        <w:t>Disposición especial 63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r w:rsidRPr="00B654DA">
        <w:t xml:space="preserve">. </w:t>
      </w:r>
    </w:p>
    <w:p w:rsidR="007A3AD0" w:rsidRPr="00B654DA" w:rsidRDefault="007A3AD0" w:rsidP="00442DD8">
      <w:pPr>
        <w:pStyle w:val="SingleTxtG"/>
        <w:tabs>
          <w:tab w:val="left" w:pos="3544"/>
        </w:tabs>
      </w:pPr>
      <w:r w:rsidRPr="00B654DA">
        <w:t>Disposición especial 122</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442DD8">
      <w:pPr>
        <w:pStyle w:val="SingleTxtG"/>
        <w:tabs>
          <w:tab w:val="left" w:pos="3544"/>
        </w:tabs>
      </w:pPr>
      <w:r w:rsidRPr="00B654DA">
        <w:t>Disposición especial 133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42DD8">
      <w:pPr>
        <w:pStyle w:val="SingleTxtG"/>
        <w:tabs>
          <w:tab w:val="left" w:pos="3544"/>
        </w:tabs>
      </w:pPr>
      <w:r w:rsidRPr="00B654DA">
        <w:t>Disposición especial 172</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y </w:t>
      </w:r>
      <w:r w:rsidR="00A069C9">
        <w:t>“</w:t>
      </w:r>
      <w:r w:rsidRPr="00B654DA">
        <w:t>riesgos</w:t>
      </w:r>
      <w:r w:rsidR="00A069C9">
        <w:t>”</w:t>
      </w:r>
      <w:r w:rsidRPr="00B654DA">
        <w:t xml:space="preserve"> por </w:t>
      </w:r>
      <w:r w:rsidR="00A069C9">
        <w:t>“</w:t>
      </w:r>
      <w:r w:rsidRPr="00B654DA">
        <w:t>peligros</w:t>
      </w:r>
      <w:r w:rsidR="00A069C9">
        <w:t>”</w:t>
      </w:r>
    </w:p>
    <w:p w:rsidR="007A3AD0" w:rsidRPr="00B654DA" w:rsidRDefault="007A3AD0" w:rsidP="00442DD8">
      <w:pPr>
        <w:pStyle w:val="SingleTxtG"/>
        <w:tabs>
          <w:tab w:val="left" w:pos="3544"/>
        </w:tabs>
      </w:pPr>
      <w:r w:rsidRPr="00B654DA">
        <w:t>Disposición especial 181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 xml:space="preserve">Suprímase la disposición especial 186 y añádase: </w:t>
      </w:r>
      <w:r w:rsidR="00A069C9">
        <w:t>“</w:t>
      </w:r>
      <w:r w:rsidRPr="00B654DA">
        <w:t>186</w:t>
      </w:r>
      <w:r w:rsidRPr="00B654DA">
        <w:tab/>
      </w:r>
      <w:r w:rsidR="00442DD8" w:rsidRPr="00442DD8">
        <w:rPr>
          <w:i/>
        </w:rPr>
        <w:t>(</w:t>
      </w:r>
      <w:r w:rsidRPr="00B654DA">
        <w:rPr>
          <w:i/>
        </w:rPr>
        <w:t>Suprimida</w:t>
      </w:r>
      <w:r w:rsidR="00442DD8">
        <w:rPr>
          <w:i/>
        </w:rPr>
        <w:t>)</w:t>
      </w:r>
      <w:r w:rsidR="00A069C9">
        <w:t>”</w:t>
      </w:r>
      <w:r w:rsidRPr="00B654DA">
        <w:t>.</w:t>
      </w:r>
    </w:p>
    <w:p w:rsidR="007A3AD0" w:rsidRPr="00B654DA" w:rsidRDefault="007A3AD0" w:rsidP="00442DD8">
      <w:pPr>
        <w:pStyle w:val="SingleTxtG"/>
        <w:tabs>
          <w:tab w:val="left" w:pos="3544"/>
        </w:tabs>
      </w:pPr>
      <w:r w:rsidRPr="00B654DA">
        <w:t>Disposición especial 188 d)</w:t>
      </w:r>
      <w:r w:rsidRPr="00B654DA">
        <w:tab/>
        <w:t xml:space="preserve">Sustitúyase </w:t>
      </w:r>
      <w:r w:rsidR="00A069C9">
        <w:t>“</w:t>
      </w:r>
      <w:r w:rsidRPr="00B654DA">
        <w:t>materiales conductores</w:t>
      </w:r>
      <w:r w:rsidR="00A069C9">
        <w:t>”</w:t>
      </w:r>
      <w:r w:rsidRPr="00B654DA">
        <w:t xml:space="preserve"> por </w:t>
      </w:r>
      <w:r w:rsidR="00A069C9">
        <w:t>“</w:t>
      </w:r>
      <w:r w:rsidRPr="00B654DA">
        <w:t>materiales conductores de la electricidad</w:t>
      </w:r>
      <w:r w:rsidR="00A069C9">
        <w:t>”</w:t>
      </w:r>
      <w:r w:rsidRPr="00B654DA">
        <w:t>.</w:t>
      </w:r>
    </w:p>
    <w:p w:rsidR="007A3AD0" w:rsidRPr="00B654DA" w:rsidRDefault="007A3AD0" w:rsidP="007A3AD0">
      <w:pPr>
        <w:pStyle w:val="SingleTxtG"/>
        <w:spacing w:before="120"/>
      </w:pPr>
      <w:r w:rsidRPr="00B654DA">
        <w:t>Disposición especial 188 f)</w:t>
      </w:r>
      <w:r w:rsidRPr="00B654DA">
        <w:tab/>
        <w:t xml:space="preserve">Al final, añádanse las dos nuevas oraciones siguientes: </w:t>
      </w:r>
      <w:r w:rsidR="00A069C9">
        <w:t>“</w:t>
      </w:r>
      <w:r w:rsidR="00442DD8">
        <w:t>C</w:t>
      </w:r>
      <w:r w:rsidRPr="00B654DA">
        <w:t>uando los bultos</w:t>
      </w:r>
      <w:r w:rsidR="00965478">
        <w:t xml:space="preserve"> </w:t>
      </w:r>
      <w:r w:rsidRPr="00B654DA">
        <w:t xml:space="preserve">se coloquen en un sobreembalaje, la marca de la batería de litio deberá ser claramente visible o reproducirse claramente en el exterior del sobreembalaje y este deberá estar marcado con la palabra </w:t>
      </w:r>
      <w:r w:rsidR="00A069C9">
        <w:t>“</w:t>
      </w:r>
      <w:r w:rsidRPr="00B654DA">
        <w:t>SOBREEMBALAJE</w:t>
      </w:r>
      <w:r w:rsidR="00A069C9">
        <w:t>”</w:t>
      </w:r>
      <w:r w:rsidRPr="00B654DA">
        <w:t xml:space="preserve">. Las letras de la marca </w:t>
      </w:r>
      <w:r w:rsidR="00A069C9">
        <w:t>“</w:t>
      </w:r>
      <w:r w:rsidRPr="00B654DA">
        <w:t>SOBREEMBALAJE</w:t>
      </w:r>
      <w:r w:rsidR="00A069C9">
        <w:t>”</w:t>
      </w:r>
      <w:r w:rsidRPr="00B654DA">
        <w:t xml:space="preserve"> habrán de tener por lo menos 12 mm de altura.</w:t>
      </w:r>
      <w:r w:rsidR="00A069C9">
        <w:t>”</w:t>
      </w:r>
      <w:r w:rsidRPr="00B654DA">
        <w:t>.</w:t>
      </w:r>
    </w:p>
    <w:p w:rsidR="007A3AD0" w:rsidRPr="00B654DA" w:rsidRDefault="007A3AD0" w:rsidP="007A3AD0">
      <w:pPr>
        <w:pStyle w:val="SingleTxtG"/>
      </w:pPr>
      <w:r w:rsidRPr="00B654DA">
        <w:t>La Nota actual se convierte en Nota 1 Añádase la nueva Nota 2 siguiente:</w:t>
      </w:r>
    </w:p>
    <w:p w:rsidR="007A3AD0" w:rsidRPr="00B654DA" w:rsidRDefault="00A069C9" w:rsidP="007A3AD0">
      <w:pPr>
        <w:pStyle w:val="SingleTxtG"/>
        <w:rPr>
          <w:i/>
        </w:rPr>
      </w:pPr>
      <w:r>
        <w:t>“</w:t>
      </w:r>
      <w:r w:rsidR="007A3AD0" w:rsidRPr="00B654DA">
        <w:rPr>
          <w:b/>
          <w:i/>
        </w:rPr>
        <w:t>NOTA 2</w:t>
      </w:r>
      <w:r w:rsidR="007A3AD0" w:rsidRPr="00402521">
        <w:rPr>
          <w:b/>
          <w:i/>
        </w:rPr>
        <w:t>:</w:t>
      </w:r>
      <w:r w:rsidR="007A3AD0" w:rsidRPr="00B654DA">
        <w:rPr>
          <w:i/>
        </w:rPr>
        <w:t xml:space="preserve"> </w:t>
      </w:r>
      <w:r w:rsidR="007A3AD0" w:rsidRPr="00B654DA">
        <w:rPr>
          <w:i/>
        </w:rPr>
        <w:tab/>
        <w:t>Se considerará que los bultos que contengan baterías de litio embalados de conformidad con las disposiciones de la parte 4, capítulo 11, instrucciones de embalaje/envasado 965 o 968, sección IB de las Instrucciones Técnicas para el Transporte sin Riesgos de Mercancías Peligrosas por Vía Aérea de la Organización de Aviación Civil Internacional que lleven la marca que se muestra en</w:t>
      </w:r>
      <w:r w:rsidR="00965478">
        <w:rPr>
          <w:i/>
        </w:rPr>
        <w:t xml:space="preserve"> </w:t>
      </w:r>
      <w:r w:rsidR="007A3AD0" w:rsidRPr="00B654DA">
        <w:rPr>
          <w:i/>
        </w:rPr>
        <w:t>5.2.1.9 (marca de batería de litio) y la etiqueta que se indica en 5.2.2.2.2, satisfacen los requisitos de la presente disposición especial.</w:t>
      </w:r>
      <w:r>
        <w:rPr>
          <w:i/>
        </w:rPr>
        <w:t>”</w:t>
      </w:r>
      <w:r w:rsidR="007A3AD0" w:rsidRPr="00B654DA">
        <w:rPr>
          <w:i/>
        </w:rPr>
        <w:t>.</w:t>
      </w:r>
    </w:p>
    <w:p w:rsidR="007A3AD0" w:rsidRPr="00D10B0B" w:rsidRDefault="007A3AD0" w:rsidP="007A3AD0">
      <w:pPr>
        <w:pStyle w:val="SingleTxtG"/>
        <w:spacing w:before="120"/>
        <w:rPr>
          <w:rStyle w:val="SingleTxtGChar"/>
        </w:rPr>
      </w:pPr>
      <w:r w:rsidRPr="00B654DA">
        <w:lastRenderedPageBreak/>
        <w:t>Disposición especial 188, primer párrafo, después de h)</w:t>
      </w:r>
      <w:r w:rsidRPr="00B654DA">
        <w:tab/>
      </w:r>
      <w:r w:rsidRPr="00B654DA">
        <w:tab/>
        <w:t xml:space="preserve">Al final del segundo párrafo, añádase </w:t>
      </w:r>
      <w:r w:rsidRPr="00D10B0B">
        <w:rPr>
          <w:rStyle w:val="SingleTxtGChar"/>
        </w:rPr>
        <w:t xml:space="preserve">la siguiente oración: </w:t>
      </w:r>
      <w:r w:rsidR="00A069C9" w:rsidRPr="00D10B0B">
        <w:rPr>
          <w:rStyle w:val="SingleTxtGChar"/>
        </w:rPr>
        <w:t>“</w:t>
      </w:r>
      <w:r w:rsidRPr="00D10B0B">
        <w:rPr>
          <w:rStyle w:val="SingleTxtGChar"/>
        </w:rPr>
        <w:t xml:space="preserve">Según se utiliza en esta disposición especial, por </w:t>
      </w:r>
      <w:r w:rsidR="00A069C9" w:rsidRPr="00D10B0B">
        <w:rPr>
          <w:rStyle w:val="SingleTxtGChar"/>
        </w:rPr>
        <w:t>“</w:t>
      </w:r>
      <w:r w:rsidRPr="00D10B0B">
        <w:rPr>
          <w:rStyle w:val="SingleTxtGChar"/>
        </w:rPr>
        <w:t>equipo</w:t>
      </w:r>
      <w:r w:rsidR="00A069C9" w:rsidRPr="00D10B0B">
        <w:rPr>
          <w:rStyle w:val="SingleTxtGChar"/>
        </w:rPr>
        <w:t>”</w:t>
      </w:r>
      <w:r w:rsidRPr="00D10B0B">
        <w:rPr>
          <w:rStyle w:val="SingleTxtGChar"/>
        </w:rPr>
        <w:t xml:space="preserve"> se entienden los aparatos cuya energía de funcionamiento es suministrada por las pilas o baterías de litio.</w:t>
      </w:r>
      <w:r w:rsidR="00A069C9" w:rsidRPr="00D10B0B">
        <w:rPr>
          <w:rStyle w:val="SingleTxtGChar"/>
        </w:rPr>
        <w:t>”</w:t>
      </w:r>
      <w:r w:rsidRPr="00D10B0B">
        <w:rPr>
          <w:rStyle w:val="SingleTxtGChar"/>
        </w:rPr>
        <w:t>.</w:t>
      </w:r>
    </w:p>
    <w:p w:rsidR="007A3AD0" w:rsidRPr="00D10B0B" w:rsidRDefault="007A3AD0" w:rsidP="00442DD8">
      <w:pPr>
        <w:pStyle w:val="SingleTxtG"/>
        <w:tabs>
          <w:tab w:val="left" w:pos="3544"/>
        </w:tabs>
        <w:rPr>
          <w:rStyle w:val="SingleTxtGChar"/>
        </w:rPr>
      </w:pPr>
      <w:r w:rsidRPr="00D10B0B">
        <w:rPr>
          <w:rStyle w:val="SingleTxtGChar"/>
        </w:rPr>
        <w:t>Disposición especial 193</w:t>
      </w:r>
      <w:r w:rsidRPr="00D10B0B">
        <w:rPr>
          <w:rStyle w:val="SingleTxtGChar"/>
        </w:rPr>
        <w:tab/>
      </w:r>
      <w:r w:rsidRPr="00442DD8">
        <w:t>Modifíquese</w:t>
      </w:r>
      <w:r w:rsidRPr="00D10B0B">
        <w:rPr>
          <w:rStyle w:val="SingleTxtGChar"/>
        </w:rPr>
        <w:t xml:space="preserve"> para que diga lo siguiente:</w:t>
      </w:r>
    </w:p>
    <w:p w:rsidR="007A3AD0" w:rsidRPr="00D10B0B" w:rsidRDefault="00A069C9" w:rsidP="007A3AD0">
      <w:pPr>
        <w:pStyle w:val="SingleTxtG"/>
        <w:rPr>
          <w:rStyle w:val="SingleTxtGChar"/>
        </w:rPr>
      </w:pPr>
      <w:r w:rsidRPr="00D10B0B">
        <w:rPr>
          <w:rStyle w:val="SingleTxtGChar"/>
        </w:rPr>
        <w:t>“</w:t>
      </w:r>
      <w:r w:rsidR="007A3AD0" w:rsidRPr="00D10B0B">
        <w:rPr>
          <w:rStyle w:val="SingleTxtGChar"/>
        </w:rPr>
        <w:t>193</w:t>
      </w:r>
      <w:r w:rsidR="007A3AD0" w:rsidRPr="00D10B0B">
        <w:rPr>
          <w:rStyle w:val="SingleTxtGChar"/>
        </w:rPr>
        <w:tab/>
        <w:t xml:space="preserve">Esta entrada podrá utilizarse solamente para los fertilizantes compuestos basados en nitrato amónico. Dichos fertilizantes se clasificarán de conformidad con el procedimiento establecido en el </w:t>
      </w:r>
      <w:r w:rsidR="00442DD8">
        <w:rPr>
          <w:rStyle w:val="SingleTxtGChar"/>
        </w:rPr>
        <w:t>Manual de Pruebas y Criterios, p</w:t>
      </w:r>
      <w:r w:rsidR="007A3AD0" w:rsidRPr="00D10B0B">
        <w:rPr>
          <w:rStyle w:val="SingleTxtGChar"/>
        </w:rPr>
        <w:t>arte III, sección 39. Los fertilizantes qu</w:t>
      </w:r>
      <w:r w:rsidR="00442DD8">
        <w:rPr>
          <w:rStyle w:val="SingleTxtGChar"/>
        </w:rPr>
        <w:t>e cumplan los criterios de ese n</w:t>
      </w:r>
      <w:r w:rsidR="007A3AD0" w:rsidRPr="00D10B0B">
        <w:rPr>
          <w:rStyle w:val="SingleTxtGChar"/>
        </w:rPr>
        <w:t>úmero ONU únicamente estarán sometidos a la presente Reglamentación cuando sean transportados por vía aérea o marítima.</w:t>
      </w:r>
      <w:r w:rsidRPr="00D10B0B">
        <w:rPr>
          <w:rStyle w:val="SingleTxtGChar"/>
        </w:rPr>
        <w:t>”</w:t>
      </w:r>
      <w:r w:rsidR="007A3AD0" w:rsidRPr="00D10B0B">
        <w:rPr>
          <w:rStyle w:val="SingleTxtGChar"/>
        </w:rPr>
        <w:t>.</w:t>
      </w:r>
    </w:p>
    <w:p w:rsidR="007A3AD0" w:rsidRPr="00442DD8" w:rsidRDefault="007A3AD0" w:rsidP="00442DD8">
      <w:pPr>
        <w:pStyle w:val="SingleTxtG"/>
        <w:tabs>
          <w:tab w:val="left" w:pos="3544"/>
        </w:tabs>
      </w:pPr>
      <w:r w:rsidRPr="00D10B0B">
        <w:rPr>
          <w:rStyle w:val="SingleTxtGChar"/>
        </w:rPr>
        <w:t>Disposición especial 199</w:t>
      </w:r>
      <w:r w:rsidRPr="00D10B0B">
        <w:rPr>
          <w:rStyle w:val="SingleTxtGChar"/>
        </w:rPr>
        <w:tab/>
      </w:r>
      <w:r w:rsidRPr="00442DD8">
        <w:t xml:space="preserve">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442DD8" w:rsidRDefault="007A3AD0" w:rsidP="00442DD8">
      <w:pPr>
        <w:pStyle w:val="SingleTxtG"/>
        <w:tabs>
          <w:tab w:val="left" w:pos="3544"/>
        </w:tabs>
      </w:pPr>
      <w:r w:rsidRPr="00442DD8">
        <w:t>Disposición especial 204</w:t>
      </w:r>
      <w:r w:rsidRPr="00442DD8">
        <w:tab/>
        <w:t xml:space="preserve">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442DD8" w:rsidRDefault="007A3AD0" w:rsidP="00442DD8">
      <w:pPr>
        <w:pStyle w:val="SingleTxtG"/>
        <w:tabs>
          <w:tab w:val="left" w:pos="3544"/>
        </w:tabs>
      </w:pPr>
      <w:r w:rsidRPr="00442DD8">
        <w:t xml:space="preserve">Suprímase la disposición especial 240 y añádase: </w:t>
      </w:r>
      <w:r w:rsidR="00A069C9" w:rsidRPr="00442DD8">
        <w:t>“</w:t>
      </w:r>
      <w:r w:rsidR="00442DD8">
        <w:t>240</w:t>
      </w:r>
      <w:r w:rsidR="00442DD8">
        <w:tab/>
      </w:r>
      <w:r w:rsidR="00442DD8">
        <w:rPr>
          <w:i/>
        </w:rPr>
        <w:t>(</w:t>
      </w:r>
      <w:r w:rsidRPr="00442DD8">
        <w:rPr>
          <w:i/>
        </w:rPr>
        <w:t>Suprimida</w:t>
      </w:r>
      <w:r w:rsidR="00442DD8">
        <w:rPr>
          <w:i/>
        </w:rPr>
        <w:t>)</w:t>
      </w:r>
      <w:r w:rsidR="00A069C9" w:rsidRPr="00442DD8">
        <w:t>”</w:t>
      </w:r>
      <w:r w:rsidR="00442DD8">
        <w:t>.</w:t>
      </w:r>
    </w:p>
    <w:p w:rsidR="007A3AD0" w:rsidRPr="00D10B0B" w:rsidRDefault="007A3AD0" w:rsidP="00442DD8">
      <w:pPr>
        <w:pStyle w:val="SingleTxtG"/>
        <w:tabs>
          <w:tab w:val="left" w:pos="3544"/>
        </w:tabs>
        <w:rPr>
          <w:rStyle w:val="SingleTxtGChar"/>
        </w:rPr>
      </w:pPr>
      <w:r w:rsidRPr="00442DD8">
        <w:t>Disposición especial 251</w:t>
      </w:r>
      <w:r w:rsidRPr="00442DD8">
        <w:tab/>
        <w:t>En el</w:t>
      </w:r>
      <w:r w:rsidRPr="00D10B0B">
        <w:rPr>
          <w:rStyle w:val="SingleTxtGChar"/>
        </w:rPr>
        <w:t xml:space="preserve"> primer párrafo, sustitúyase la última oración por:</w:t>
      </w:r>
    </w:p>
    <w:p w:rsidR="007A3AD0" w:rsidRPr="00D10B0B" w:rsidRDefault="00A069C9" w:rsidP="007A3AD0">
      <w:pPr>
        <w:autoSpaceDE w:val="0"/>
        <w:autoSpaceDN w:val="0"/>
        <w:adjustRightInd w:val="0"/>
        <w:spacing w:after="120" w:line="223" w:lineRule="exact"/>
        <w:ind w:left="1701" w:right="-23" w:hanging="567"/>
        <w:jc w:val="both"/>
        <w:rPr>
          <w:rStyle w:val="SingleTxtGChar"/>
        </w:rPr>
      </w:pPr>
      <w:r w:rsidRPr="00D10B0B">
        <w:rPr>
          <w:rStyle w:val="SingleTxtGChar"/>
        </w:rPr>
        <w:t>“</w:t>
      </w:r>
      <w:r w:rsidR="007A3AD0" w:rsidRPr="00D10B0B">
        <w:rPr>
          <w:rStyle w:val="SingleTxtGChar"/>
        </w:rPr>
        <w:t>Esos equipos solo podrán contener mercancías peligrosas que estén permitidas como:</w:t>
      </w:r>
    </w:p>
    <w:p w:rsidR="007A3AD0" w:rsidRPr="00D10B0B" w:rsidRDefault="007A3AD0" w:rsidP="007A3AD0">
      <w:pPr>
        <w:pStyle w:val="SingleTxtG"/>
        <w:rPr>
          <w:rStyle w:val="SingleTxtGChar"/>
        </w:rPr>
      </w:pPr>
      <w:r w:rsidRPr="00D10B0B">
        <w:rPr>
          <w:rStyle w:val="SingleTxtGChar"/>
        </w:rPr>
        <w:t>a)</w:t>
      </w:r>
      <w:r w:rsidRPr="00D10B0B">
        <w:rPr>
          <w:rStyle w:val="SingleTxtGChar"/>
        </w:rPr>
        <w:tab/>
        <w:t>Cantidades exceptuadas no superiores a la</w:t>
      </w:r>
      <w:r w:rsidR="00965478">
        <w:rPr>
          <w:rStyle w:val="SingleTxtGChar"/>
        </w:rPr>
        <w:t xml:space="preserve"> </w:t>
      </w:r>
      <w:r w:rsidRPr="00D10B0B">
        <w:rPr>
          <w:rStyle w:val="SingleTxtGChar"/>
        </w:rPr>
        <w:t>indicada por el código de la columna (7b) de la lista de mercancías peligrosas del capítulo 3.2, siempre que la cantidad neta por embalaje/envase interior y la cantidad neta por bulto se ajusten a lo previsto en 3.5.1.2 y 3.5.1.3; o</w:t>
      </w:r>
    </w:p>
    <w:p w:rsidR="007A3AD0" w:rsidRPr="00D10B0B" w:rsidRDefault="007A3AD0" w:rsidP="007A3AD0">
      <w:pPr>
        <w:pStyle w:val="SingleTxtG"/>
        <w:rPr>
          <w:rStyle w:val="SingleTxtGChar"/>
        </w:rPr>
      </w:pPr>
      <w:r w:rsidRPr="00D10B0B">
        <w:rPr>
          <w:rStyle w:val="SingleTxtGChar"/>
        </w:rPr>
        <w:t>b)</w:t>
      </w:r>
      <w:r w:rsidRPr="00D10B0B">
        <w:rPr>
          <w:rStyle w:val="SingleTxtGChar"/>
        </w:rPr>
        <w:tab/>
        <w:t>Cantidades limitadas como se indica en la columna (7a) de la lista de merca</w:t>
      </w:r>
      <w:r w:rsidR="00442DD8">
        <w:rPr>
          <w:rStyle w:val="SingleTxtGChar"/>
        </w:rPr>
        <w:t>ncías peligrosas del capítulo 3.</w:t>
      </w:r>
      <w:r w:rsidRPr="00D10B0B">
        <w:rPr>
          <w:rStyle w:val="SingleTxtGChar"/>
        </w:rPr>
        <w:t>2, siempre que la cantidad neta por embalaje/envase interior no sea superior a 250 ml o 250 g.</w:t>
      </w:r>
      <w:r w:rsidR="00A069C9" w:rsidRPr="00D10B0B">
        <w:rPr>
          <w:rStyle w:val="SingleTxtGChar"/>
        </w:rPr>
        <w:t>”</w:t>
      </w:r>
      <w:r w:rsidRPr="00D10B0B">
        <w:rPr>
          <w:rStyle w:val="SingleTxtGChar"/>
        </w:rPr>
        <w:t>.</w:t>
      </w:r>
    </w:p>
    <w:p w:rsidR="007A3AD0" w:rsidRPr="00D10B0B" w:rsidRDefault="007A3AD0" w:rsidP="007A3AD0">
      <w:pPr>
        <w:pStyle w:val="SingleTxtG"/>
        <w:spacing w:before="120"/>
        <w:rPr>
          <w:rStyle w:val="SingleTxtGChar"/>
        </w:rPr>
      </w:pPr>
      <w:r w:rsidRPr="00D10B0B">
        <w:rPr>
          <w:rStyle w:val="SingleTxtGChar"/>
        </w:rPr>
        <w:t>En el segundo párrafo, suprímase la última oración.</w:t>
      </w:r>
    </w:p>
    <w:p w:rsidR="007A3AD0" w:rsidRPr="00D10B0B" w:rsidRDefault="007A3AD0" w:rsidP="007A3AD0">
      <w:pPr>
        <w:pStyle w:val="SingleTxtG"/>
        <w:spacing w:before="120"/>
        <w:rPr>
          <w:rStyle w:val="SingleTxtGChar"/>
        </w:rPr>
      </w:pPr>
      <w:r w:rsidRPr="00D10B0B">
        <w:rPr>
          <w:rStyle w:val="SingleTxtGChar"/>
        </w:rPr>
        <w:t xml:space="preserve">En el tercer párrafo, insértese una nueva primera oración que diga lo siguiente: </w:t>
      </w:r>
      <w:r w:rsidR="00A069C9" w:rsidRPr="00D10B0B">
        <w:rPr>
          <w:rStyle w:val="SingleTxtGChar"/>
        </w:rPr>
        <w:t>“</w:t>
      </w:r>
      <w:r w:rsidRPr="00D10B0B">
        <w:rPr>
          <w:rStyle w:val="SingleTxtGChar"/>
        </w:rPr>
        <w:t xml:space="preserve">A los efectos de la conclusión del documento de transporte de mercancías peligrosas como se establece en 5.4.1.4.1, el grupo de embalaje/envase que figure en el documento será el más estricto asignado a una de </w:t>
      </w:r>
      <w:r w:rsidR="003B4E67" w:rsidRPr="00D10B0B">
        <w:rPr>
          <w:rStyle w:val="SingleTxtGChar"/>
        </w:rPr>
        <w:t>las sustancias</w:t>
      </w:r>
      <w:r w:rsidRPr="00D10B0B">
        <w:rPr>
          <w:rStyle w:val="SingleTxtGChar"/>
        </w:rPr>
        <w:t xml:space="preserve"> contenidas en el equipo.</w:t>
      </w:r>
      <w:r w:rsidR="00A069C9" w:rsidRPr="00D10B0B">
        <w:rPr>
          <w:rStyle w:val="SingleTxtGChar"/>
        </w:rPr>
        <w:t>”</w:t>
      </w:r>
      <w:r w:rsidRPr="00D10B0B">
        <w:rPr>
          <w:rStyle w:val="SingleTxtGChar"/>
        </w:rPr>
        <w:t>.</w:t>
      </w:r>
    </w:p>
    <w:p w:rsidR="007A3AD0" w:rsidRPr="00442DD8" w:rsidRDefault="007A3AD0" w:rsidP="00442DD8">
      <w:pPr>
        <w:pStyle w:val="SingleTxtG"/>
        <w:tabs>
          <w:tab w:val="left" w:pos="3544"/>
        </w:tabs>
      </w:pPr>
      <w:r w:rsidRPr="00D10B0B">
        <w:rPr>
          <w:rStyle w:val="SingleTxtGChar"/>
        </w:rPr>
        <w:t>Disposición especial 271</w:t>
      </w:r>
      <w:r w:rsidRPr="00D10B0B">
        <w:rPr>
          <w:rStyle w:val="SingleTxtGChar"/>
        </w:rPr>
        <w:tab/>
      </w:r>
      <w:r w:rsidRPr="00442DD8">
        <w:t xml:space="preserve">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442DD8" w:rsidRDefault="007A3AD0" w:rsidP="00442DD8">
      <w:pPr>
        <w:pStyle w:val="SingleTxtG"/>
        <w:tabs>
          <w:tab w:val="left" w:pos="3544"/>
        </w:tabs>
      </w:pPr>
      <w:r w:rsidRPr="00442DD8">
        <w:t>Disposición especial 280</w:t>
      </w:r>
      <w:r w:rsidRPr="00442DD8">
        <w:tab/>
        <w:t xml:space="preserve">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442DD8" w:rsidRDefault="007A3AD0" w:rsidP="00442DD8">
      <w:pPr>
        <w:pStyle w:val="SingleTxtG"/>
        <w:tabs>
          <w:tab w:val="left" w:pos="3544"/>
        </w:tabs>
      </w:pPr>
      <w:r w:rsidRPr="00442DD8">
        <w:t>Disposición especial 290 b)</w:t>
      </w:r>
      <w:r w:rsidRPr="00442DD8">
        <w:tab/>
        <w:t xml:space="preserve">En a) y b), 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442DD8" w:rsidRDefault="007A3AD0" w:rsidP="00442DD8">
      <w:pPr>
        <w:pStyle w:val="SingleTxtG"/>
        <w:tabs>
          <w:tab w:val="left" w:pos="3544"/>
        </w:tabs>
      </w:pPr>
      <w:r w:rsidRPr="00442DD8">
        <w:t>Disposición especial 293 b)</w:t>
      </w:r>
      <w:r w:rsidRPr="00442DD8">
        <w:tab/>
        <w:t>No se aplica al texto español.</w:t>
      </w:r>
    </w:p>
    <w:p w:rsidR="007A3AD0" w:rsidRPr="00442DD8" w:rsidRDefault="007A3AD0" w:rsidP="00442DD8">
      <w:pPr>
        <w:pStyle w:val="SingleTxtG"/>
        <w:tabs>
          <w:tab w:val="left" w:pos="3544"/>
        </w:tabs>
      </w:pPr>
      <w:r w:rsidRPr="00442DD8">
        <w:t>Disposición especial 296</w:t>
      </w:r>
      <w:r w:rsidRPr="00442DD8">
        <w:tab/>
        <w:t xml:space="preserve">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D10B0B" w:rsidRDefault="007A3AD0" w:rsidP="00442DD8">
      <w:pPr>
        <w:pStyle w:val="SingleTxtG"/>
        <w:tabs>
          <w:tab w:val="left" w:pos="3544"/>
        </w:tabs>
        <w:rPr>
          <w:rStyle w:val="SingleTxtGChar"/>
        </w:rPr>
      </w:pPr>
      <w:r w:rsidRPr="00442DD8">
        <w:t>Disposición especial 301</w:t>
      </w:r>
      <w:r w:rsidRPr="00442DD8">
        <w:tab/>
        <w:t>La primera</w:t>
      </w:r>
      <w:r w:rsidRPr="00D10B0B">
        <w:rPr>
          <w:rStyle w:val="SingleTxtGChar"/>
        </w:rPr>
        <w:t xml:space="preserve"> modificación no se aplica al texto español. Modificar la quinta oración de manera que diga: </w:t>
      </w:r>
      <w:r w:rsidR="00A069C9" w:rsidRPr="00D10B0B">
        <w:rPr>
          <w:rStyle w:val="SingleTxtGChar"/>
        </w:rPr>
        <w:t>“</w:t>
      </w:r>
      <w:r w:rsidRPr="00D10B0B">
        <w:rPr>
          <w:rStyle w:val="SingleTxtGChar"/>
        </w:rPr>
        <w:t>Si la máquina o aparato contiene más de una mercancía peligrosa, cada una de ellas irá aislada para que no puedan reaccionar entre sí de forma peligrosa durante el transporte (véase 4.1.1.6)</w:t>
      </w:r>
      <w:r w:rsidR="00442DD8">
        <w:rPr>
          <w:rStyle w:val="SingleTxtGChar"/>
        </w:rPr>
        <w:t>.</w:t>
      </w:r>
      <w:r w:rsidR="00A069C9" w:rsidRPr="00D10B0B">
        <w:rPr>
          <w:rStyle w:val="SingleTxtGChar"/>
        </w:rPr>
        <w:t>”</w:t>
      </w:r>
      <w:r w:rsidRPr="00D10B0B">
        <w:rPr>
          <w:rStyle w:val="SingleTxtGChar"/>
        </w:rPr>
        <w:t>. Suprímase la última oración.</w:t>
      </w:r>
    </w:p>
    <w:p w:rsidR="007A3AD0" w:rsidRPr="00442DD8" w:rsidRDefault="007A3AD0" w:rsidP="00442DD8">
      <w:pPr>
        <w:pStyle w:val="SingleTxtG"/>
        <w:tabs>
          <w:tab w:val="left" w:pos="3544"/>
        </w:tabs>
      </w:pPr>
      <w:r w:rsidRPr="00D10B0B">
        <w:rPr>
          <w:rStyle w:val="SingleTxtGChar"/>
        </w:rPr>
        <w:t>Disposición especial 303</w:t>
      </w:r>
      <w:r w:rsidRPr="00D10B0B">
        <w:rPr>
          <w:rStyle w:val="SingleTxtGChar"/>
        </w:rPr>
        <w:tab/>
      </w:r>
      <w:r w:rsidRPr="00442DD8">
        <w:t xml:space="preserve">Sustitúyase </w:t>
      </w:r>
      <w:r w:rsidR="00A069C9" w:rsidRPr="00442DD8">
        <w:t>“</w:t>
      </w:r>
      <w:r w:rsidRPr="00442DD8">
        <w:t>riesgo</w:t>
      </w:r>
      <w:r w:rsidR="00A069C9" w:rsidRPr="00442DD8">
        <w:t>”</w:t>
      </w:r>
      <w:r w:rsidRPr="00442DD8">
        <w:t xml:space="preserve"> por </w:t>
      </w:r>
      <w:r w:rsidR="00A069C9" w:rsidRPr="00442DD8">
        <w:t>“</w:t>
      </w:r>
      <w:r w:rsidRPr="00442DD8">
        <w:t>peligro</w:t>
      </w:r>
      <w:r w:rsidR="00A069C9" w:rsidRPr="00442DD8">
        <w:t>”</w:t>
      </w:r>
      <w:r w:rsidRPr="00442DD8">
        <w:t>.</w:t>
      </w:r>
    </w:p>
    <w:p w:rsidR="007A3AD0" w:rsidRPr="00D10B0B" w:rsidRDefault="007A3AD0" w:rsidP="00442DD8">
      <w:pPr>
        <w:pStyle w:val="SingleTxtG"/>
        <w:tabs>
          <w:tab w:val="left" w:pos="3544"/>
        </w:tabs>
        <w:rPr>
          <w:rStyle w:val="SingleTxtGChar"/>
        </w:rPr>
      </w:pPr>
      <w:r w:rsidRPr="00442DD8">
        <w:t>Disposición especial 307</w:t>
      </w:r>
      <w:r w:rsidRPr="00442DD8">
        <w:tab/>
        <w:t>Modifí</w:t>
      </w:r>
      <w:r w:rsidRPr="00D10B0B">
        <w:rPr>
          <w:rStyle w:val="SingleTxtGChar"/>
        </w:rPr>
        <w:t>quese para que diga lo siguiente:</w:t>
      </w:r>
    </w:p>
    <w:p w:rsidR="007A3AD0" w:rsidRPr="00D10B0B" w:rsidRDefault="00A069C9" w:rsidP="007A3AD0">
      <w:pPr>
        <w:pStyle w:val="SingleTxtG"/>
        <w:rPr>
          <w:rStyle w:val="SingleTxtGChar"/>
        </w:rPr>
      </w:pPr>
      <w:r w:rsidRPr="00D10B0B">
        <w:rPr>
          <w:rStyle w:val="SingleTxtGChar"/>
        </w:rPr>
        <w:t>“</w:t>
      </w:r>
      <w:r w:rsidR="007A3AD0" w:rsidRPr="00D10B0B">
        <w:rPr>
          <w:rStyle w:val="SingleTxtGChar"/>
        </w:rPr>
        <w:t>307</w:t>
      </w:r>
      <w:r w:rsidR="007A3AD0" w:rsidRPr="00D10B0B">
        <w:rPr>
          <w:rStyle w:val="SingleTxtGChar"/>
        </w:rPr>
        <w:tab/>
        <w:t xml:space="preserve">Esta entrada podrá utilizarse solamente para los fertilizantes compuestos basados en nitrato amónico. Dichos fertilizantes se clasificarán de conformidad con el procedimiento establecido en el Manual de Pruebas y Criterios, </w:t>
      </w:r>
      <w:r w:rsidR="00442DD8">
        <w:rPr>
          <w:rStyle w:val="SingleTxtGChar"/>
        </w:rPr>
        <w:t>p</w:t>
      </w:r>
      <w:r w:rsidR="007A3AD0" w:rsidRPr="00D10B0B">
        <w:rPr>
          <w:rStyle w:val="SingleTxtGChar"/>
        </w:rPr>
        <w:t>arte III, sección 39.</w:t>
      </w:r>
      <w:r w:rsidRPr="00D10B0B">
        <w:rPr>
          <w:rStyle w:val="SingleTxtGChar"/>
        </w:rPr>
        <w:t>”</w:t>
      </w:r>
      <w:r w:rsidR="007A3AD0" w:rsidRPr="00D10B0B">
        <w:rPr>
          <w:rStyle w:val="SingleTxtGChar"/>
        </w:rPr>
        <w:t>.</w:t>
      </w:r>
    </w:p>
    <w:p w:rsidR="007A3AD0" w:rsidRPr="00D10B0B" w:rsidRDefault="007A3AD0" w:rsidP="00442DD8">
      <w:pPr>
        <w:pStyle w:val="SingleTxtG"/>
        <w:tabs>
          <w:tab w:val="left" w:pos="3544"/>
        </w:tabs>
        <w:rPr>
          <w:rStyle w:val="SingleTxtGChar"/>
        </w:rPr>
      </w:pPr>
      <w:r w:rsidRPr="00D10B0B">
        <w:rPr>
          <w:rStyle w:val="SingleTxtGChar"/>
        </w:rPr>
        <w:t>Disposición especial 308</w:t>
      </w:r>
      <w:r w:rsidRPr="00D10B0B">
        <w:rPr>
          <w:rStyle w:val="SingleTxtGChar"/>
        </w:rPr>
        <w:tab/>
      </w:r>
      <w:r w:rsidRPr="00442DD8">
        <w:t>Modifíquese</w:t>
      </w:r>
      <w:r w:rsidRPr="00D10B0B">
        <w:rPr>
          <w:rStyle w:val="SingleTxtGChar"/>
        </w:rPr>
        <w:t xml:space="preserve"> para que diga lo siguiente: </w:t>
      </w:r>
    </w:p>
    <w:p w:rsidR="007A3AD0" w:rsidRPr="00D10B0B" w:rsidRDefault="00A069C9" w:rsidP="007A3AD0">
      <w:pPr>
        <w:pStyle w:val="SingleTxtG"/>
        <w:rPr>
          <w:rStyle w:val="SingleTxtGChar"/>
        </w:rPr>
      </w:pPr>
      <w:r w:rsidRPr="00D10B0B">
        <w:rPr>
          <w:rStyle w:val="SingleTxtGChar"/>
        </w:rPr>
        <w:t>“</w:t>
      </w:r>
      <w:r w:rsidR="007A3AD0" w:rsidRPr="00D10B0B">
        <w:rPr>
          <w:rStyle w:val="SingleTxtGChar"/>
        </w:rPr>
        <w:t>308</w:t>
      </w:r>
      <w:r w:rsidR="007A3AD0" w:rsidRPr="00D10B0B">
        <w:rPr>
          <w:rStyle w:val="SingleTxtGChar"/>
        </w:rPr>
        <w:tab/>
        <w:t xml:space="preserve">Se deberá conseguir la estabilización de la harina de pescado, para evitar la combustión espontánea, mediante la aplicación efectiva de etoxiquinina, HTB (hidroxitolueno butilado) o tocoferoles (utilizados también en combinación con extracto de romero) en el momento de la producción. Dicha aplicación habrá de realizarse en el plazo de los </w:t>
      </w:r>
      <w:r w:rsidR="00442DD8">
        <w:rPr>
          <w:rStyle w:val="SingleTxtGChar"/>
        </w:rPr>
        <w:t>12</w:t>
      </w:r>
      <w:r w:rsidR="007A3AD0" w:rsidRPr="00D10B0B">
        <w:rPr>
          <w:rStyle w:val="SingleTxtGChar"/>
        </w:rPr>
        <w:t xml:space="preserve"> meses previos al embarque. Los desechos de pescado o la harina de pescado </w:t>
      </w:r>
      <w:r w:rsidR="007A3AD0" w:rsidRPr="00D10B0B">
        <w:rPr>
          <w:rStyle w:val="SingleTxtGChar"/>
        </w:rPr>
        <w:lastRenderedPageBreak/>
        <w:t>habrán de contener un mínimo de 50 ppm (mg/kg) de etoxiquina, 100 ppm (mg/kg) de HTB o 250 ppm (mg/kg) de antioxidante con base de tocoferol en el momento de la expedición.</w:t>
      </w:r>
      <w:r w:rsidRPr="00D10B0B">
        <w:rPr>
          <w:rStyle w:val="SingleTxtGChar"/>
        </w:rPr>
        <w:t>”</w:t>
      </w:r>
      <w:r w:rsidR="007A3AD0" w:rsidRPr="00D10B0B">
        <w:rPr>
          <w:rStyle w:val="SingleTxtGChar"/>
        </w:rPr>
        <w:t xml:space="preserve">. </w:t>
      </w:r>
    </w:p>
    <w:p w:rsidR="007A3AD0" w:rsidRPr="00B654DA" w:rsidRDefault="007A3AD0" w:rsidP="00442DD8">
      <w:pPr>
        <w:pStyle w:val="SingleTxtG"/>
        <w:tabs>
          <w:tab w:val="left" w:pos="3544"/>
        </w:tabs>
      </w:pPr>
      <w:r w:rsidRPr="00D10B0B">
        <w:rPr>
          <w:rStyle w:val="SingleTxtGChar"/>
        </w:rPr>
        <w:t>Disposición especial 310</w:t>
      </w:r>
      <w:r w:rsidRPr="00D10B0B">
        <w:rPr>
          <w:rStyle w:val="SingleTxtGChar"/>
        </w:rPr>
        <w:tab/>
      </w:r>
      <w:r w:rsidRPr="00442DD8">
        <w:t xml:space="preserve">En el primer párrafo, sustitúyase </w:t>
      </w:r>
      <w:r w:rsidR="00A069C9" w:rsidRPr="00442DD8">
        <w:t>“</w:t>
      </w:r>
      <w:r w:rsidRPr="00442DD8">
        <w:t>pilas y baterías</w:t>
      </w:r>
      <w:r w:rsidR="00A069C9" w:rsidRPr="00442DD8">
        <w:t>”</w:t>
      </w:r>
      <w:r w:rsidRPr="00442DD8">
        <w:t xml:space="preserve"> por </w:t>
      </w:r>
      <w:r w:rsidR="00A069C9" w:rsidRPr="00442DD8">
        <w:t>“</w:t>
      </w:r>
      <w:r w:rsidRPr="00442DD8">
        <w:t>pilas o baterías</w:t>
      </w:r>
      <w:r w:rsidR="00A069C9" w:rsidRPr="00442DD8">
        <w:t>”</w:t>
      </w:r>
      <w:r w:rsidRPr="00442DD8">
        <w:t>, dos veces, y añádase</w:t>
      </w:r>
      <w:r w:rsidR="00965478" w:rsidRPr="00442DD8">
        <w:t xml:space="preserve"> </w:t>
      </w:r>
      <w:r w:rsidRPr="00442DD8">
        <w:t xml:space="preserve">al final </w:t>
      </w:r>
      <w:r w:rsidR="00A069C9" w:rsidRPr="00442DD8">
        <w:t>“</w:t>
      </w:r>
      <w:r w:rsidRPr="00442DD8">
        <w:t>o LP905 de 4.1.4.3, según proceda</w:t>
      </w:r>
      <w:r w:rsidR="00A069C9">
        <w:t>”</w:t>
      </w:r>
      <w:r w:rsidRPr="00B654DA">
        <w:t>.</w:t>
      </w:r>
    </w:p>
    <w:p w:rsidR="007A3AD0" w:rsidRPr="00B654DA" w:rsidRDefault="007A3AD0" w:rsidP="00442DD8">
      <w:pPr>
        <w:pStyle w:val="SingleTxtG"/>
        <w:tabs>
          <w:tab w:val="left" w:pos="3544"/>
        </w:tabs>
      </w:pPr>
      <w:r w:rsidRPr="00B654DA">
        <w:t xml:space="preserve">Suprímase la disposición especial 312 y añádase: </w:t>
      </w:r>
      <w:r w:rsidR="00A069C9">
        <w:t>“</w:t>
      </w:r>
      <w:r w:rsidRPr="00B654DA">
        <w:t>312</w:t>
      </w:r>
      <w:r w:rsidR="00442DD8">
        <w:tab/>
      </w:r>
      <w:r w:rsidR="00442DD8">
        <w:rPr>
          <w:i/>
        </w:rPr>
        <w:t>(Suprimida)</w:t>
      </w:r>
      <w:r w:rsidR="00A069C9">
        <w:t>”</w:t>
      </w:r>
      <w:r w:rsidR="00442DD8">
        <w:t>.</w:t>
      </w:r>
    </w:p>
    <w:p w:rsidR="007A3AD0" w:rsidRPr="00442DD8" w:rsidRDefault="007A3AD0" w:rsidP="00442DD8">
      <w:pPr>
        <w:pStyle w:val="SingleTxtG"/>
        <w:tabs>
          <w:tab w:val="left" w:pos="3544"/>
        </w:tabs>
      </w:pPr>
      <w:r w:rsidRPr="00B654DA">
        <w:t>Disposición especial 339 b)</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442DD8" w:rsidRDefault="007A3AD0" w:rsidP="00442DD8">
      <w:pPr>
        <w:pStyle w:val="SingleTxtG"/>
        <w:tabs>
          <w:tab w:val="left" w:pos="3544"/>
        </w:tabs>
      </w:pPr>
      <w:r w:rsidRPr="00B654DA">
        <w:t>Disposición especial 361 b)</w:t>
      </w:r>
      <w:r w:rsidRPr="00B654DA">
        <w:tab/>
        <w:t>No se aplica al texto español.</w:t>
      </w:r>
    </w:p>
    <w:p w:rsidR="007A3AD0" w:rsidRPr="00B654DA" w:rsidRDefault="007A3AD0" w:rsidP="00442DD8">
      <w:pPr>
        <w:pStyle w:val="SingleTxtG"/>
        <w:tabs>
          <w:tab w:val="left" w:pos="3544"/>
        </w:tabs>
      </w:pPr>
      <w:r w:rsidRPr="00B654DA">
        <w:t>Disposición especial 362 b)</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42DD8">
      <w:pPr>
        <w:pStyle w:val="SingleTxtG"/>
        <w:tabs>
          <w:tab w:val="left" w:pos="3544"/>
        </w:tabs>
      </w:pPr>
      <w:r w:rsidRPr="00B654DA">
        <w:t xml:space="preserve">Disposición especial 362 </w:t>
      </w:r>
      <w:r w:rsidR="00442DD8">
        <w:t>c</w:t>
      </w:r>
      <w:r w:rsidRPr="00B654DA">
        <w:t>)</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42DD8">
      <w:pPr>
        <w:pStyle w:val="SingleTxtG"/>
        <w:tabs>
          <w:tab w:val="left" w:pos="3544"/>
        </w:tabs>
      </w:pPr>
      <w:r w:rsidRPr="00B654DA">
        <w:t>Disposición especial 363</w:t>
      </w:r>
      <w:r w:rsidRPr="00B654DA">
        <w:tab/>
        <w:t xml:space="preserve">Añádase la siguiente oración introductoria: </w:t>
      </w:r>
      <w:r w:rsidR="00A069C9">
        <w:t>“</w:t>
      </w:r>
      <w:r w:rsidRPr="00B654DA">
        <w:t>Esta entrada solo podrá utilizarse cuando se satisfagan las condiciones de la presente disposición especial. No se aplica ninguna otra prescripción de la presente Reglamentación.</w:t>
      </w:r>
      <w:r w:rsidR="00A069C9">
        <w:t>”</w:t>
      </w:r>
      <w:r w:rsidRPr="00B654DA">
        <w:t>.</w:t>
      </w:r>
    </w:p>
    <w:p w:rsidR="007A3AD0" w:rsidRPr="00B654DA" w:rsidRDefault="007A3AD0" w:rsidP="00442DD8">
      <w:pPr>
        <w:pStyle w:val="SingleTxtG"/>
        <w:tabs>
          <w:tab w:val="left" w:pos="3544"/>
        </w:tabs>
        <w:rPr>
          <w:iCs/>
        </w:rPr>
      </w:pPr>
      <w:r w:rsidRPr="00B654DA">
        <w:t>Disposición especial 363 f)</w:t>
      </w:r>
      <w:r w:rsidRPr="00B654DA">
        <w:tab/>
        <w:t>Substitúyase la última frase por el texto siguiente:</w:t>
      </w:r>
    </w:p>
    <w:p w:rsidR="007A3AD0" w:rsidRPr="00B654DA" w:rsidRDefault="00A069C9" w:rsidP="00557213">
      <w:pPr>
        <w:pStyle w:val="SingleTxtG"/>
        <w:spacing w:line="236" w:lineRule="atLeast"/>
        <w:rPr>
          <w:iCs/>
        </w:rPr>
      </w:pPr>
      <w:r>
        <w:t>“</w:t>
      </w:r>
      <w:r w:rsidR="007A3AD0" w:rsidRPr="00B654DA">
        <w:t>Sin embargo, las baterías de litio deberán cumplir las prescripciones establecidas en 2.9.4, con la excepción de que 2.9.4 a) no se aplicará cuando en las máquinas o motores se instalen prototipos de baterías y o baterías de series de producción pequeñas, constituidas por no más de 100 baterías.</w:t>
      </w:r>
    </w:p>
    <w:p w:rsidR="007A3AD0" w:rsidRPr="00B654DA" w:rsidRDefault="007A3AD0" w:rsidP="00557213">
      <w:pPr>
        <w:pStyle w:val="SingleTxtG"/>
        <w:spacing w:line="236" w:lineRule="atLeast"/>
        <w:rPr>
          <w:iCs/>
        </w:rPr>
      </w:pPr>
      <w:r w:rsidRPr="00B654DA">
        <w:t>Si una batería de litio instalada en una máquina o un motor resulta dañada o es defectuosa, dicha máquina o motor se transportará según determine la autoridad competente.</w:t>
      </w:r>
      <w:r w:rsidR="00A069C9">
        <w:t>”</w:t>
      </w:r>
      <w:r w:rsidRPr="00B654DA">
        <w:t>.</w:t>
      </w:r>
    </w:p>
    <w:p w:rsidR="007A3AD0" w:rsidRPr="00B654DA" w:rsidRDefault="007A3AD0" w:rsidP="00557213">
      <w:pPr>
        <w:pStyle w:val="SingleTxtG"/>
        <w:spacing w:line="236" w:lineRule="atLeast"/>
      </w:pPr>
      <w:r w:rsidRPr="00B654DA">
        <w:t>Disposición especial 363</w:t>
      </w:r>
      <w:r w:rsidRPr="00B654DA">
        <w:tab/>
        <w:t>Suprímase el primer inciso del apartado g). Renumérense los actuales incisos i) a vi) del apartado g) como apartados g) a l). Añádase un nuevo apartado</w:t>
      </w:r>
      <w:r w:rsidR="00442DD8">
        <w:t> </w:t>
      </w:r>
      <w:r w:rsidRPr="00B654DA">
        <w:t xml:space="preserve">m) con el texto siguiente: </w:t>
      </w:r>
    </w:p>
    <w:p w:rsidR="007A3AD0" w:rsidRPr="00B654DA" w:rsidRDefault="00A069C9" w:rsidP="00557213">
      <w:pPr>
        <w:pStyle w:val="SingleTxtG"/>
        <w:spacing w:line="236" w:lineRule="atLeast"/>
      </w:pPr>
      <w:r>
        <w:t>“</w:t>
      </w:r>
      <w:r w:rsidR="007A3AD0" w:rsidRPr="00B654DA">
        <w:t>m)</w:t>
      </w:r>
      <w:r w:rsidR="007A3AD0" w:rsidRPr="00B654DA">
        <w:tab/>
        <w:t>Habrán de cumplirse los requisitos especificados en la instrucción de embalaje/envasado P005 de 4.1.4.1.</w:t>
      </w:r>
      <w:r>
        <w:t>”</w:t>
      </w:r>
      <w:r w:rsidR="007A3AD0" w:rsidRPr="00B654DA">
        <w:t>.</w:t>
      </w:r>
    </w:p>
    <w:p w:rsidR="007A3AD0" w:rsidRPr="00B654DA" w:rsidRDefault="007A3AD0" w:rsidP="00442DD8">
      <w:pPr>
        <w:pStyle w:val="SingleTxtG"/>
        <w:tabs>
          <w:tab w:val="left" w:pos="3544"/>
        </w:tabs>
      </w:pPr>
      <w:r w:rsidRPr="00B654DA">
        <w:t>Disposición especial 369</w:t>
      </w:r>
      <w:r w:rsidRPr="00B654DA">
        <w:tab/>
        <w:t xml:space="preserve">En el primer párrafo, sustitúyase </w:t>
      </w:r>
      <w:r w:rsidR="00A069C9">
        <w:t>“</w:t>
      </w:r>
      <w:r w:rsidRPr="00B654DA">
        <w:t>riesgos</w:t>
      </w:r>
      <w:r w:rsidR="00A069C9">
        <w:t>”</w:t>
      </w:r>
      <w:r w:rsidRPr="00B654DA">
        <w:t xml:space="preserve"> por </w:t>
      </w:r>
      <w:r w:rsidR="00A069C9">
        <w:t>“</w:t>
      </w:r>
      <w:r w:rsidRPr="00B654DA">
        <w:t>peligros</w:t>
      </w:r>
      <w:r w:rsidR="00A069C9">
        <w:t>”</w:t>
      </w:r>
      <w:r w:rsidRPr="00B654DA">
        <w:t xml:space="preserve">. En el tercer párrafo,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442DD8">
      <w:pPr>
        <w:pStyle w:val="SingleTxtG"/>
        <w:tabs>
          <w:tab w:val="left" w:pos="3544"/>
        </w:tabs>
      </w:pPr>
      <w:r w:rsidRPr="00B654DA">
        <w:t>Disposición especial 376</w:t>
      </w:r>
      <w:r w:rsidRPr="00B654DA">
        <w:tab/>
        <w:t>Modifíquese el texto después del tercer párrafo para que diga:</w:t>
      </w:r>
    </w:p>
    <w:p w:rsidR="007A3AD0" w:rsidRPr="00B654DA" w:rsidRDefault="00A069C9" w:rsidP="00557213">
      <w:pPr>
        <w:pStyle w:val="SingleTxtG"/>
        <w:spacing w:line="236" w:lineRule="atLeast"/>
      </w:pPr>
      <w:r>
        <w:t>“</w:t>
      </w:r>
      <w:r w:rsidR="007A3AD0" w:rsidRPr="00B654DA">
        <w:t>Las pilas y baterías se embalarán/envasarán de conformidad con lo dispuesto en las instrucciones de embalaje/envasado P908 de 4.1.4.1 o LP904 de 4.1.4.3, según proceda.</w:t>
      </w:r>
    </w:p>
    <w:p w:rsidR="007A3AD0" w:rsidRPr="00B654DA" w:rsidRDefault="007A3AD0" w:rsidP="00557213">
      <w:pPr>
        <w:pStyle w:val="SingleTxtG"/>
        <w:spacing w:line="236" w:lineRule="atLeast"/>
      </w:pPr>
      <w:r w:rsidRPr="00B654DA">
        <w:t>Las pilas y baterías dañadas o defectuosas que puedan desarmarse rápidamente, reaccionar de forma peligrosa, o producir una llama o un desprendimiento peligroso de calor o una emisión peligrosa de gases o vapores tóxicos, corrosivos o inflamables en las condiciones normales de transporte, se embalarán/envasarán de conformidad con lo dispuesto en las instrucciones de embalaje/envasado P911 de 4.1.4.1 o LP906 de 4.1.4.3, según proceda. La autoridad competente podrá autorizar unas condiciones alternativas de embalaje/envasado o de transporte.</w:t>
      </w:r>
    </w:p>
    <w:p w:rsidR="007A3AD0" w:rsidRPr="00B654DA" w:rsidRDefault="007A3AD0" w:rsidP="00557213">
      <w:pPr>
        <w:pStyle w:val="SingleTxtG"/>
        <w:spacing w:line="236" w:lineRule="atLeast"/>
      </w:pPr>
      <w:r w:rsidRPr="00B654DA">
        <w:t xml:space="preserve">Los bultos deberán llevar la marca </w:t>
      </w:r>
      <w:r w:rsidR="00442DD8">
        <w:t>‘</w:t>
      </w:r>
      <w:r w:rsidRPr="00B654DA">
        <w:t>DAÑADAS/DEFECTUOSAS</w:t>
      </w:r>
      <w:r w:rsidR="00442DD8">
        <w:t>’</w:t>
      </w:r>
      <w:r w:rsidRPr="00B654DA">
        <w:t xml:space="preserve"> además de la designación oficial de transporte, como se indica en 5.2.1.</w:t>
      </w:r>
    </w:p>
    <w:p w:rsidR="007A3AD0" w:rsidRPr="00B654DA" w:rsidRDefault="007A3AD0" w:rsidP="00557213">
      <w:pPr>
        <w:pStyle w:val="SingleTxtG"/>
        <w:spacing w:line="236" w:lineRule="atLeast"/>
      </w:pPr>
      <w:r w:rsidRPr="00B654DA">
        <w:t xml:space="preserve">El documento de transporte incluirá la siguiente declaración: </w:t>
      </w:r>
      <w:r w:rsidR="00442DD8">
        <w:t>‘</w:t>
      </w:r>
      <w:r w:rsidRPr="00B654DA">
        <w:t xml:space="preserve">Transporte en conformidad con la disposición especial </w:t>
      </w:r>
      <w:r w:rsidR="00442DD8">
        <w:t>376’</w:t>
      </w:r>
      <w:r w:rsidRPr="00B654DA">
        <w:t>.</w:t>
      </w:r>
    </w:p>
    <w:p w:rsidR="007A3AD0" w:rsidRPr="00B654DA" w:rsidRDefault="007A3AD0" w:rsidP="00557213">
      <w:pPr>
        <w:pStyle w:val="SingleTxtG"/>
        <w:spacing w:line="236" w:lineRule="atLeast"/>
      </w:pPr>
      <w:r w:rsidRPr="00B654DA">
        <w:t>Si procede, una copia de la aprobación de la autoridad competente acompañará al transporte.</w:t>
      </w:r>
      <w:r w:rsidR="00A069C9">
        <w:t>”</w:t>
      </w:r>
      <w:r w:rsidRPr="00B654DA">
        <w:t>.</w:t>
      </w:r>
    </w:p>
    <w:p w:rsidR="007A3AD0" w:rsidRPr="00B654DA" w:rsidRDefault="007A3AD0" w:rsidP="00557213">
      <w:pPr>
        <w:pStyle w:val="SingleTxtG"/>
        <w:spacing w:line="236" w:lineRule="atLeast"/>
      </w:pPr>
      <w:r w:rsidRPr="00B654DA">
        <w:t>Suprímanse las disposiciones especiales 380 y 385 y añádase:</w:t>
      </w:r>
    </w:p>
    <w:p w:rsidR="007A3AD0" w:rsidRPr="00B654DA" w:rsidRDefault="00A069C9" w:rsidP="00557213">
      <w:pPr>
        <w:pStyle w:val="SingleTxtG"/>
        <w:spacing w:line="236" w:lineRule="atLeast"/>
      </w:pPr>
      <w:r>
        <w:t>“</w:t>
      </w:r>
      <w:r w:rsidR="007A3AD0" w:rsidRPr="00B654DA">
        <w:t>380</w:t>
      </w:r>
      <w:r w:rsidR="007A3AD0" w:rsidRPr="00B654DA">
        <w:tab/>
      </w:r>
      <w:r w:rsidR="00442DD8" w:rsidRPr="00442DD8">
        <w:rPr>
          <w:i/>
        </w:rPr>
        <w:t>(</w:t>
      </w:r>
      <w:r w:rsidR="007A3AD0" w:rsidRPr="00442DD8">
        <w:rPr>
          <w:i/>
        </w:rPr>
        <w:t>Suprimida</w:t>
      </w:r>
      <w:r w:rsidR="00442DD8" w:rsidRPr="00442DD8">
        <w:rPr>
          <w:i/>
        </w:rPr>
        <w:t>)</w:t>
      </w:r>
      <w:r>
        <w:t>”</w:t>
      </w:r>
      <w:r w:rsidR="00442DD8">
        <w:t>.</w:t>
      </w:r>
    </w:p>
    <w:p w:rsidR="007A3AD0" w:rsidRPr="00B654DA" w:rsidRDefault="00A069C9" w:rsidP="00557213">
      <w:pPr>
        <w:pStyle w:val="SingleTxtG"/>
        <w:spacing w:line="236" w:lineRule="atLeast"/>
      </w:pPr>
      <w:r>
        <w:t>“</w:t>
      </w:r>
      <w:r w:rsidR="007A3AD0" w:rsidRPr="00B654DA">
        <w:t>385</w:t>
      </w:r>
      <w:r w:rsidR="007A3AD0" w:rsidRPr="00B654DA">
        <w:tab/>
      </w:r>
      <w:r w:rsidR="00442DD8" w:rsidRPr="00442DD8">
        <w:rPr>
          <w:i/>
        </w:rPr>
        <w:t>(Suprimida)</w:t>
      </w:r>
      <w:r>
        <w:t>”</w:t>
      </w:r>
      <w:r w:rsidR="00442DD8">
        <w:t>.</w:t>
      </w:r>
    </w:p>
    <w:p w:rsidR="007A3AD0" w:rsidRPr="00B654DA" w:rsidRDefault="007A3AD0" w:rsidP="00557213">
      <w:pPr>
        <w:pStyle w:val="SingleTxtG"/>
        <w:spacing w:line="236" w:lineRule="atLeast"/>
      </w:pPr>
      <w:r w:rsidRPr="00B654DA">
        <w:t>Disposición especial 386</w:t>
      </w:r>
      <w:r w:rsidRPr="00B654DA">
        <w:tab/>
        <w:t xml:space="preserve">En la primera oración, sustitúyase por </w:t>
      </w:r>
      <w:r w:rsidR="00A069C9">
        <w:t>“</w:t>
      </w:r>
      <w:r w:rsidRPr="00B654DA">
        <w:t>7.1.6</w:t>
      </w:r>
      <w:r w:rsidR="00A069C9">
        <w:t>”</w:t>
      </w:r>
      <w:r w:rsidRPr="00B654DA">
        <w:t xml:space="preserve"> </w:t>
      </w:r>
      <w:r w:rsidR="00A069C9">
        <w:t>“</w:t>
      </w:r>
      <w:r w:rsidRPr="00B654DA">
        <w:t>7.1.5</w:t>
      </w:r>
      <w:r w:rsidR="00A069C9">
        <w:t>”</w:t>
      </w:r>
      <w:r w:rsidRPr="00B654DA">
        <w:t>.</w:t>
      </w:r>
    </w:p>
    <w:p w:rsidR="007A3AD0" w:rsidRPr="00B654DA" w:rsidRDefault="007A3AD0" w:rsidP="00557213">
      <w:pPr>
        <w:pStyle w:val="SingleTxtG"/>
      </w:pPr>
      <w:r w:rsidRPr="00B654DA">
        <w:t>3.3.1</w:t>
      </w:r>
      <w:r w:rsidRPr="00B654DA">
        <w:tab/>
      </w:r>
      <w:r w:rsidR="00442DD8">
        <w:tab/>
      </w:r>
      <w:r w:rsidRPr="00B654DA">
        <w:t>Añádanse las siguientes disposiciones especiales nuevas:</w:t>
      </w:r>
    </w:p>
    <w:p w:rsidR="007A3AD0" w:rsidRPr="00B654DA" w:rsidRDefault="00A069C9" w:rsidP="00A94882">
      <w:pPr>
        <w:pStyle w:val="SingleTxtG"/>
        <w:spacing w:line="236" w:lineRule="atLeast"/>
      </w:pPr>
      <w:r>
        <w:lastRenderedPageBreak/>
        <w:t>“</w:t>
      </w:r>
      <w:r w:rsidR="007A3AD0" w:rsidRPr="00B654DA">
        <w:t>387</w:t>
      </w:r>
      <w:r w:rsidR="007A3AD0" w:rsidRPr="00B654DA">
        <w:tab/>
        <w:t xml:space="preserve">Las baterías de litio que se ajusten a los dispuesto en 2.9.4 f) que contengan pilas primarias de litio metálico y pilas de ión litio </w:t>
      </w:r>
      <w:r w:rsidR="00442DD8">
        <w:t>recargables se asignarán a los n</w:t>
      </w:r>
      <w:r w:rsidR="007A3AD0" w:rsidRPr="00B654DA">
        <w:t>úmeros ONU 3090 ó 3091, según proceda. Cuando esas baterías se transporten en conformidad con la disposición especial 188, el contenido total de litio de todas las pilas de litio metálico contenidas en la batería no excederá de 1,5 g y la capacidad total de todas las pilas de ión litio contenidas en la batería no será superior a 10 Wh.</w:t>
      </w:r>
      <w:r>
        <w:t>”</w:t>
      </w:r>
      <w:r w:rsidR="007A3AD0" w:rsidRPr="00B654DA">
        <w:t>.</w:t>
      </w:r>
    </w:p>
    <w:p w:rsidR="007A3AD0" w:rsidRPr="00B654DA" w:rsidRDefault="00A069C9" w:rsidP="00A94882">
      <w:pPr>
        <w:pStyle w:val="SingleTxtG"/>
        <w:spacing w:line="236" w:lineRule="atLeast"/>
        <w:rPr>
          <w:iCs/>
        </w:rPr>
      </w:pPr>
      <w:r>
        <w:rPr>
          <w:iCs/>
        </w:rPr>
        <w:t>“</w:t>
      </w:r>
      <w:r w:rsidR="007A3AD0" w:rsidRPr="00B654DA">
        <w:rPr>
          <w:iCs/>
        </w:rPr>
        <w:t>388</w:t>
      </w:r>
      <w:r w:rsidR="007A3AD0" w:rsidRPr="00B654DA">
        <w:rPr>
          <w:iCs/>
        </w:rPr>
        <w:tab/>
        <w:t xml:space="preserve">Las entradas correspondientes al </w:t>
      </w:r>
      <w:r w:rsidR="00442DD8">
        <w:rPr>
          <w:iCs/>
        </w:rPr>
        <w:t>n</w:t>
      </w:r>
      <w:r w:rsidR="007A3AD0" w:rsidRPr="00B654DA">
        <w:rPr>
          <w:iCs/>
        </w:rPr>
        <w:t>úmero ONU 3166 se aplican a los vehículos con motores de combustión interna o pilas de combustible propulsados por líquido o gas inflamable.</w:t>
      </w:r>
    </w:p>
    <w:p w:rsidR="007A3AD0" w:rsidRPr="00B654DA" w:rsidRDefault="007A3AD0" w:rsidP="00A94882">
      <w:pPr>
        <w:pStyle w:val="SingleTxtG"/>
        <w:spacing w:line="236" w:lineRule="atLeast"/>
        <w:rPr>
          <w:iCs/>
        </w:rPr>
      </w:pPr>
      <w:r w:rsidRPr="00B654DA">
        <w:rPr>
          <w:iCs/>
        </w:rPr>
        <w:t xml:space="preserve">Los vehículos propulsados por un motor de pila de combustible se asignarán a los </w:t>
      </w:r>
      <w:r w:rsidR="00442DD8">
        <w:rPr>
          <w:iCs/>
        </w:rPr>
        <w:t>n</w:t>
      </w:r>
      <w:r w:rsidRPr="00B654DA">
        <w:rPr>
          <w:iCs/>
        </w:rPr>
        <w:t xml:space="preserve">úmeros ONU 3166 VEHÍCULO CON PILA DE COMBUSTIBLE PROPULSADO POR GAS INFLAMABLE, u ONU 3166 VEHÍCULO CON PILA DE COMBUSTIBLE PROPULSADO POR LÍQUIDO INFLAMABLE, según corresponda. En esas entradas están incluidos los vehículos eléctricos híbridos propulsados tanto por una pila de combustible como por un motor de combustión interna con baterías de electrolito líquido, baterías de sodio, baterías de metal litio o baterías de ión litio, transportados con la(s) batería(s) instalada(s). </w:t>
      </w:r>
    </w:p>
    <w:p w:rsidR="007A3AD0" w:rsidRPr="00B654DA" w:rsidRDefault="007A3AD0" w:rsidP="00A94882">
      <w:pPr>
        <w:pStyle w:val="SingleTxtG"/>
        <w:spacing w:line="236" w:lineRule="atLeast"/>
        <w:rPr>
          <w:iCs/>
        </w:rPr>
      </w:pPr>
      <w:r w:rsidRPr="00B654DA">
        <w:rPr>
          <w:iCs/>
        </w:rPr>
        <w:t xml:space="preserve">Los demás vehículos que contengan un motor de combustión interna deberán asignarse a los </w:t>
      </w:r>
      <w:r w:rsidR="00442DD8">
        <w:rPr>
          <w:iCs/>
        </w:rPr>
        <w:t>n</w:t>
      </w:r>
      <w:r w:rsidRPr="00B654DA">
        <w:rPr>
          <w:iCs/>
        </w:rPr>
        <w:t>úmeros ONU 3166 VEHÍCULO PROPULSADO POR GAS INFLAMABLE u ONU</w:t>
      </w:r>
      <w:r w:rsidR="00442DD8">
        <w:rPr>
          <w:iCs/>
        </w:rPr>
        <w:t> </w:t>
      </w:r>
      <w:r w:rsidRPr="00B654DA">
        <w:rPr>
          <w:iCs/>
        </w:rPr>
        <w:t>3166 VEHÍCULO PROPULSADO POR LÍQUIDO INFLAMABLE, según corresponda. Estas entradas incluyen los vehículos eléctricos híbridos accionados tanto por un motor de combustión interna como por baterías de electrolito líquido, baterías de sodio, baterías de metal litio o baterías de ión litio, transportados con las baterías instaladas.</w:t>
      </w:r>
    </w:p>
    <w:p w:rsidR="007A3AD0" w:rsidRPr="00B654DA" w:rsidRDefault="007A3AD0" w:rsidP="00A94882">
      <w:pPr>
        <w:pStyle w:val="SingleTxtG"/>
        <w:spacing w:line="236" w:lineRule="atLeast"/>
        <w:rPr>
          <w:iCs/>
        </w:rPr>
      </w:pPr>
      <w:r w:rsidRPr="00B654DA">
        <w:rPr>
          <w:iCs/>
        </w:rPr>
        <w:t xml:space="preserve">Los vehículos con un motor de combustión interna propulsado por un líquido inflamable y un gas inflamable se asignarán al </w:t>
      </w:r>
      <w:r w:rsidR="00442DD8">
        <w:rPr>
          <w:iCs/>
        </w:rPr>
        <w:t>n</w:t>
      </w:r>
      <w:r w:rsidRPr="00B654DA">
        <w:rPr>
          <w:iCs/>
        </w:rPr>
        <w:t xml:space="preserve">úmero ONU 3166 VEHÍCULO PROPULSADO POR GAS INFLAMABLE. </w:t>
      </w:r>
    </w:p>
    <w:p w:rsidR="007A3AD0" w:rsidRPr="00B654DA" w:rsidRDefault="007A3AD0" w:rsidP="00A94882">
      <w:pPr>
        <w:pStyle w:val="SingleTxtG"/>
        <w:spacing w:line="236" w:lineRule="atLeast"/>
        <w:rPr>
          <w:iCs/>
        </w:rPr>
      </w:pPr>
      <w:r w:rsidRPr="00B654DA">
        <w:rPr>
          <w:iCs/>
        </w:rPr>
        <w:t xml:space="preserve">La entrada correspondiente al </w:t>
      </w:r>
      <w:r w:rsidR="00442DD8">
        <w:rPr>
          <w:iCs/>
        </w:rPr>
        <w:t>número ONU 3171 so</w:t>
      </w:r>
      <w:r w:rsidRPr="00B654DA">
        <w:rPr>
          <w:iCs/>
        </w:rPr>
        <w:t>lo se aplica a los vehículos accionados por baterías de electrolito líquido, baterías de sodio, baterías de metal litio o baterías de ión litio y a los equipos accionados por baterías de electrolito líquido o baterías de sodio que se transportan con esas baterías instaladas.</w:t>
      </w:r>
    </w:p>
    <w:p w:rsidR="007A3AD0" w:rsidRPr="00B654DA" w:rsidRDefault="007A3AD0" w:rsidP="00A94882">
      <w:pPr>
        <w:pStyle w:val="SingleTxtG"/>
        <w:spacing w:line="236" w:lineRule="atLeast"/>
        <w:rPr>
          <w:iCs/>
        </w:rPr>
      </w:pPr>
      <w:r w:rsidRPr="00B654DA">
        <w:rPr>
          <w:iCs/>
        </w:rPr>
        <w:t xml:space="preserve">A los efectos de esta disposición especial, los vehículos son aparatos autopropulsados destinados a transportar una o más personas o mercancías. Son ejemplos de vehículos los automóviles, las motocicletas, las motonetas, los vehículos y motocicletas de tres o cuatro ruedas, los camiones, las locomotoras, las bicicletas (a pedal con motor eléctrico) y otros vehículos de este tipo (por ejemplo, los vehículos autoequilibrados o los vehículos no equipados con por lo menos un puesto para sentarse), las sillas de ruedas, los tractores cortacésped, el equipo agrícola y de construcción autopropulsado, las embarcaciones y las aeronaves. Esto incluye los vehículos que se transporten en un embalaje. En este caso, algunas partes del vehículo podrán separarse de la estructura para que quepan en el embalaje. </w:t>
      </w:r>
    </w:p>
    <w:p w:rsidR="007A3AD0" w:rsidRPr="00B654DA" w:rsidRDefault="007A3AD0" w:rsidP="00A94882">
      <w:pPr>
        <w:pStyle w:val="SingleTxtG"/>
        <w:spacing w:line="236" w:lineRule="atLeast"/>
      </w:pPr>
      <w:r w:rsidRPr="00B654DA">
        <w:t>Como ejemplos de equipo cabe mencionar las cortadoras de césped, las máquinas de limpieza y los modelos de embarcaciones y aeronaves a escala. Los equipos accionados por baterías de metal litio o baterías de ión litio se cons</w:t>
      </w:r>
      <w:r w:rsidR="00442DD8">
        <w:t>ignarán en las entradas de los n</w:t>
      </w:r>
      <w:r w:rsidRPr="00B654DA">
        <w:t>úmeros ONU 3091, BATERÍAS DE METAL LITIO INSTALADAS EN UN EQUIPO, ONU 3091 BATERÍAS DE METAL LITIO EMBALADAS CON UN EQUIPO, ONU 3481 BATERÍAS DE IÓN LITIO INSTALADAS EN UN EQUIPO u ONU 3481 BATERÍAS DE IÓN LITIO EMBALADAS CON UN EQUIPO, según corresponda.</w:t>
      </w:r>
    </w:p>
    <w:p w:rsidR="007A3AD0" w:rsidRPr="00B654DA" w:rsidRDefault="007A3AD0" w:rsidP="00A94882">
      <w:pPr>
        <w:pStyle w:val="SingleTxtG"/>
        <w:spacing w:line="236" w:lineRule="atLeast"/>
        <w:rPr>
          <w:iCs/>
        </w:rPr>
      </w:pPr>
      <w:r w:rsidRPr="00B654DA">
        <w:rPr>
          <w:iCs/>
        </w:rPr>
        <w:t>Las mercancías peligrosas tales como las baterías, airbags, extintores, acumuladores de gas comprimido, dispositivos de seguridad y otros componentes esenciales del vehículo que sean necesarios para el funcionamiento de este o para la seguridad de su conductor o de los pasajeros deberán estar instalados en el vehículo de forma segura y no estarán sujetos a otras prescripciones de la presente Reglamentación. Sin embargo, las baterías de litio deberán cumplir las prescripciones establecidas en 2.9.4, con la excepción de que 2.9.4 a) no se aplicará cuando en los vehículos o equipos se instalen prototipos de baterías y o baterías de series de producción pequeñas, constituidas por no más de 100 baterías.</w:t>
      </w:r>
    </w:p>
    <w:p w:rsidR="007A3AD0" w:rsidRPr="00B654DA" w:rsidRDefault="007A3AD0" w:rsidP="00A94882">
      <w:pPr>
        <w:pStyle w:val="SingleTxtG"/>
        <w:spacing w:line="236" w:lineRule="atLeast"/>
        <w:rPr>
          <w:iCs/>
        </w:rPr>
      </w:pPr>
      <w:r w:rsidRPr="00B654DA">
        <w:rPr>
          <w:iCs/>
        </w:rPr>
        <w:lastRenderedPageBreak/>
        <w:t>Si una batería de litio instalada en un vehículo o equipo resulta dañada o es defectuosa, dicho vehículo o equipo se transportará según determine la autoridad competente.</w:t>
      </w:r>
      <w:r w:rsidR="00A069C9">
        <w:rPr>
          <w:iCs/>
        </w:rPr>
        <w:t>”</w:t>
      </w:r>
      <w:r w:rsidRPr="00B654DA">
        <w:rPr>
          <w:iCs/>
        </w:rPr>
        <w:t>.</w:t>
      </w:r>
    </w:p>
    <w:p w:rsidR="007A3AD0" w:rsidRPr="00B654DA" w:rsidRDefault="00A069C9" w:rsidP="00A94882">
      <w:pPr>
        <w:pStyle w:val="SingleTxtG"/>
        <w:spacing w:line="236" w:lineRule="atLeast"/>
      </w:pPr>
      <w:r>
        <w:t>“</w:t>
      </w:r>
      <w:r w:rsidR="007A3AD0" w:rsidRPr="00B654DA">
        <w:t>389</w:t>
      </w:r>
      <w:r w:rsidR="007A3AD0" w:rsidRPr="00B654DA">
        <w:tab/>
        <w:t>Esta entrada solo se aplica a las baterías de ión litio o de litio metálico instaladas en una unidad de transporte y destinadas únicamente para suministrar energía externa a dicha unidad. Las baterías de litio deberán cumplir los requisitos establecidos en 2.9.4 a) a e) y contener los sistemas necesarios para evitar la sobrecarga y la descarga excesiva entre las baterías.</w:t>
      </w:r>
    </w:p>
    <w:p w:rsidR="007A3AD0" w:rsidRPr="00B654DA" w:rsidRDefault="007A3AD0" w:rsidP="00A94882">
      <w:pPr>
        <w:pStyle w:val="SingleTxtG"/>
        <w:spacing w:line="236" w:lineRule="atLeast"/>
      </w:pPr>
      <w:r w:rsidRPr="00B654DA">
        <w:t>Las baterías deberán estar firmemente sujetas a la estructura de la unidad de transporte (por ejemplo, colocadas en estantes, armarios, etc.) a fin de evitar los cortocircuitos, el funcionamiento accidental, y el movimiento importante relativo a la unidad de transporte, bajo las sacudidas, cargas y vibraciones que normalmente suceden en el transporte. Las mercancías peligrosas necesarias para la seguridad y buen funcionamiento de la unidad de transporte (por ejemplo, los sistemas de extinción de incendios y de aire acondicionado), deberán estar debidamente sujetas o instaladas en la unidad de transporte y no estarán sujetos a otras disposiciones de la presente Reglamentación. No deberán transportarse dentro de la unidad de transporte mercancías peligrosas que no sean necesarias para el funcionamiento adecuado y seguro de dicha unidad.</w:t>
      </w:r>
    </w:p>
    <w:p w:rsidR="007A3AD0" w:rsidRPr="00B654DA" w:rsidRDefault="007A3AD0" w:rsidP="00A94882">
      <w:pPr>
        <w:pStyle w:val="SingleTxtG"/>
        <w:spacing w:line="236" w:lineRule="atLeast"/>
      </w:pPr>
      <w:r w:rsidRPr="00B654DA">
        <w:t>Las baterías que se encuentren dentro de la unidad de transporte no estarán sujetas a los requisitos de etiquetado o marcado. La unidad de transporte deberá lle</w:t>
      </w:r>
      <w:r w:rsidR="00DA583D">
        <w:t>var el n</w:t>
      </w:r>
      <w:r w:rsidRPr="00B654DA">
        <w:t>úmero</w:t>
      </w:r>
      <w:r w:rsidR="00DA583D">
        <w:t> </w:t>
      </w:r>
      <w:r w:rsidRPr="00B654DA">
        <w:t>ONU</w:t>
      </w:r>
      <w:r w:rsidR="00DA583D">
        <w:t> </w:t>
      </w:r>
      <w:r w:rsidRPr="00B654DA">
        <w:t>que corresponda según 5.3.2.1.2, que se colocará en dos lados opuestos de conformidad con 5.3.1.1.2.</w:t>
      </w:r>
      <w:r w:rsidR="00A069C9">
        <w:t>”</w:t>
      </w:r>
      <w:r w:rsidRPr="00B654DA">
        <w:t>.</w:t>
      </w:r>
    </w:p>
    <w:p w:rsidR="007A3AD0" w:rsidRPr="00B654DA" w:rsidRDefault="00A069C9" w:rsidP="00A94882">
      <w:pPr>
        <w:pStyle w:val="SingleTxtG"/>
        <w:spacing w:line="236" w:lineRule="atLeast"/>
      </w:pPr>
      <w:r>
        <w:t>“</w:t>
      </w:r>
      <w:r w:rsidR="007A3AD0" w:rsidRPr="00B654DA">
        <w:t>391</w:t>
      </w:r>
      <w:r w:rsidR="007A3AD0" w:rsidRPr="00B654DA">
        <w:tab/>
        <w:t>Los artículos que contengan mercancías peligrosas de la división 2.3, la división 4.2, la división 4.3, la división 5.1, la división 5.2 o la división 6.1 de toxicidad por inhalación que requieran el grupo de embalaje/envase I y los artículos que presenten más de uno de los peligros enumerados en 2.0.3.1 b), c), o d) se transportarán en las condiciones aprobadas por la autoridad competente.</w:t>
      </w:r>
      <w:r>
        <w:t>”</w:t>
      </w:r>
      <w:r w:rsidR="007A3AD0" w:rsidRPr="00B654DA">
        <w:t>.</w:t>
      </w:r>
    </w:p>
    <w:p w:rsidR="007A3AD0" w:rsidRPr="00B654DA" w:rsidRDefault="00A069C9" w:rsidP="00A94882">
      <w:pPr>
        <w:pStyle w:val="SingleTxtG"/>
        <w:spacing w:line="236" w:lineRule="atLeast"/>
      </w:pPr>
      <w:r>
        <w:t>“</w:t>
      </w:r>
      <w:r w:rsidR="007A3AD0" w:rsidRPr="00B654DA">
        <w:t xml:space="preserve">392 </w:t>
      </w:r>
      <w:r w:rsidR="007A3AD0" w:rsidRPr="00B654DA">
        <w:tab/>
        <w:t>No se aplicarán las disposiciones de 4.1.4.1 ni el capítulo 6.2 de la presente Reglamentación al transporte de sistemas de contención de gas combustible diseñados y aprobados para su instalación en vehículos automotores que contengan ese gas cuando se transporten para su eliminación, reciclaje, reparación, inspección o mantenimiento o cuando se transporten desde el lugar de fabricación a una planta de ensamblaje de vehículos, siempre que se cumplan las siguientes condiciones:</w:t>
      </w:r>
    </w:p>
    <w:p w:rsidR="007A3AD0" w:rsidRDefault="007A3AD0" w:rsidP="00A94882">
      <w:pPr>
        <w:pStyle w:val="SingleTxtG"/>
        <w:spacing w:line="236" w:lineRule="atLeast"/>
      </w:pPr>
      <w:r w:rsidRPr="00B654DA">
        <w:t>a)</w:t>
      </w:r>
      <w:r w:rsidRPr="00B654DA">
        <w:tab/>
        <w:t>Los sistemas de contención de gas combustible deberán cumplir los requisitos establecidos en las normas o reglamentos relativos a los depósitos de combustible para vehículos, según proceda. Pueden citarse como ejemplos de normas y reglamentos aplicables los siguientes:</w:t>
      </w:r>
    </w:p>
    <w:tbl>
      <w:tblPr>
        <w:tblStyle w:val="TableGrid"/>
        <w:tblW w:w="8417" w:type="dxa"/>
        <w:tblInd w:w="1228" w:type="dxa"/>
        <w:tblLayout w:type="fixed"/>
        <w:tblLook w:val="04A0" w:firstRow="1" w:lastRow="0" w:firstColumn="1" w:lastColumn="0" w:noHBand="0" w:noVBand="1"/>
      </w:tblPr>
      <w:tblGrid>
        <w:gridCol w:w="3591"/>
        <w:gridCol w:w="4826"/>
      </w:tblGrid>
      <w:tr w:rsidR="00261C14" w:rsidRPr="00EA15A5" w:rsidTr="00A94882">
        <w:tc>
          <w:tcPr>
            <w:tcW w:w="8417" w:type="dxa"/>
            <w:gridSpan w:val="2"/>
            <w:shd w:val="clear" w:color="auto" w:fill="auto"/>
          </w:tcPr>
          <w:p w:rsidR="00261C14" w:rsidRPr="00EA15A5" w:rsidRDefault="00261C14" w:rsidP="00A94882">
            <w:pPr>
              <w:pStyle w:val="SingleTxtG"/>
              <w:spacing w:before="40"/>
              <w:ind w:left="0" w:right="0"/>
              <w:jc w:val="left"/>
              <w:rPr>
                <w:b/>
                <w:sz w:val="18"/>
                <w:szCs w:val="18"/>
                <w:lang w:eastAsia="en-GB" w:bidi="en-GB"/>
              </w:rPr>
            </w:pPr>
            <w:r w:rsidRPr="00EA15A5">
              <w:rPr>
                <w:b/>
                <w:sz w:val="18"/>
                <w:szCs w:val="18"/>
                <w:lang w:eastAsia="en-GB" w:bidi="en-GB"/>
              </w:rPr>
              <w:t>Depósitos de GLP</w:t>
            </w:r>
          </w:p>
        </w:tc>
      </w:tr>
      <w:tr w:rsidR="00261C14" w:rsidRPr="00EA15A5" w:rsidTr="00A94882">
        <w:tc>
          <w:tcPr>
            <w:tcW w:w="3591" w:type="dxa"/>
            <w:shd w:val="clear" w:color="auto" w:fill="auto"/>
          </w:tcPr>
          <w:p w:rsidR="00261C14" w:rsidRPr="00EA15A5" w:rsidRDefault="00261C14" w:rsidP="00DA583D">
            <w:pPr>
              <w:pStyle w:val="SingleTxtG"/>
              <w:keepNext/>
              <w:keepLines/>
              <w:spacing w:before="40"/>
              <w:ind w:left="0" w:right="0"/>
              <w:jc w:val="left"/>
              <w:rPr>
                <w:sz w:val="18"/>
                <w:szCs w:val="18"/>
                <w:lang w:eastAsia="en-GB" w:bidi="en-GB"/>
              </w:rPr>
            </w:pPr>
            <w:r w:rsidRPr="00EA15A5">
              <w:rPr>
                <w:sz w:val="18"/>
                <w:szCs w:val="18"/>
                <w:lang w:eastAsia="en-GB" w:bidi="en-GB"/>
              </w:rPr>
              <w:t xml:space="preserve">Reglamento CEPE </w:t>
            </w:r>
            <w:r w:rsidR="00DA583D" w:rsidRPr="00EA15A5">
              <w:rPr>
                <w:sz w:val="18"/>
                <w:szCs w:val="18"/>
                <w:lang w:eastAsia="en-GB" w:bidi="en-GB"/>
              </w:rPr>
              <w:t>núm.</w:t>
            </w:r>
            <w:r w:rsidRPr="00EA15A5">
              <w:rPr>
                <w:sz w:val="18"/>
                <w:szCs w:val="18"/>
                <w:lang w:eastAsia="en-GB" w:bidi="en-GB"/>
              </w:rPr>
              <w:t xml:space="preserve"> 67 Revisión 2</w:t>
            </w:r>
          </w:p>
        </w:tc>
        <w:tc>
          <w:tcPr>
            <w:tcW w:w="4826" w:type="dxa"/>
            <w:shd w:val="clear" w:color="auto" w:fill="auto"/>
          </w:tcPr>
          <w:p w:rsidR="00261C14" w:rsidRPr="00EA15A5" w:rsidRDefault="00261C14" w:rsidP="00DA583D">
            <w:pPr>
              <w:pStyle w:val="SingleTxtG"/>
              <w:keepNext/>
              <w:keepLines/>
              <w:spacing w:before="40"/>
              <w:ind w:left="0" w:right="0"/>
              <w:jc w:val="left"/>
              <w:rPr>
                <w:sz w:val="18"/>
                <w:szCs w:val="18"/>
              </w:rPr>
            </w:pPr>
            <w:r w:rsidRPr="00EA15A5">
              <w:rPr>
                <w:sz w:val="18"/>
                <w:szCs w:val="18"/>
              </w:rPr>
              <w:t>Disposiciones uniformes relativas a: I. La aprobación de equipo específico para vehículos de las categorías M y N que utilicen gases licuados de petróleo en su sistema de propulsión; II. La aprobación de los vehículos de las categorías M y N dotados de equipo específico para el uso de gases licuados de petróleo en su sistema de propulsión con respecto a la instalación de dicho equipo</w:t>
            </w:r>
          </w:p>
        </w:tc>
      </w:tr>
      <w:tr w:rsidR="00261C14" w:rsidRPr="00EA15A5" w:rsidTr="00A94882">
        <w:tc>
          <w:tcPr>
            <w:tcW w:w="3591" w:type="dxa"/>
            <w:shd w:val="clear" w:color="auto" w:fill="auto"/>
          </w:tcPr>
          <w:p w:rsidR="00261C14" w:rsidRPr="00EA15A5" w:rsidRDefault="00261C14" w:rsidP="00A94882">
            <w:pPr>
              <w:pStyle w:val="SingleTxtG"/>
              <w:spacing w:before="40"/>
              <w:ind w:left="0" w:right="0"/>
              <w:rPr>
                <w:sz w:val="18"/>
                <w:szCs w:val="18"/>
                <w:lang w:eastAsia="en-GB" w:bidi="en-GB"/>
              </w:rPr>
            </w:pPr>
            <w:r w:rsidRPr="00EA15A5">
              <w:rPr>
                <w:sz w:val="18"/>
                <w:szCs w:val="18"/>
                <w:lang w:eastAsia="en-GB" w:bidi="en-GB"/>
              </w:rPr>
              <w:t xml:space="preserve">Reglamento CEPE </w:t>
            </w:r>
            <w:r w:rsidR="00DA583D" w:rsidRPr="00EA15A5">
              <w:rPr>
                <w:sz w:val="18"/>
                <w:szCs w:val="18"/>
                <w:lang w:eastAsia="en-GB" w:bidi="en-GB"/>
              </w:rPr>
              <w:t xml:space="preserve">núm. </w:t>
            </w:r>
            <w:r w:rsidRPr="00EA15A5">
              <w:rPr>
                <w:sz w:val="18"/>
                <w:szCs w:val="18"/>
                <w:lang w:eastAsia="en-GB" w:bidi="en-GB"/>
              </w:rPr>
              <w:t>115</w:t>
            </w:r>
          </w:p>
        </w:tc>
        <w:tc>
          <w:tcPr>
            <w:tcW w:w="4826" w:type="dxa"/>
            <w:shd w:val="clear" w:color="auto" w:fill="auto"/>
          </w:tcPr>
          <w:p w:rsidR="00261C14" w:rsidRPr="00EA15A5" w:rsidRDefault="00261C14" w:rsidP="00686C8C">
            <w:pPr>
              <w:pStyle w:val="SingleTxtG"/>
              <w:spacing w:before="40"/>
              <w:ind w:left="0" w:right="0"/>
              <w:jc w:val="left"/>
              <w:rPr>
                <w:sz w:val="18"/>
                <w:szCs w:val="18"/>
              </w:rPr>
            </w:pPr>
            <w:r w:rsidRPr="00EA15A5">
              <w:rPr>
                <w:sz w:val="18"/>
                <w:szCs w:val="18"/>
              </w:rPr>
              <w:t>Disposiciones uniformes relativas a la homologación de: I.</w:t>
            </w:r>
            <w:r w:rsidR="00686C8C">
              <w:rPr>
                <w:sz w:val="18"/>
                <w:szCs w:val="18"/>
              </w:rPr>
              <w:t> </w:t>
            </w:r>
            <w:r w:rsidRPr="00EA15A5">
              <w:rPr>
                <w:sz w:val="18"/>
                <w:szCs w:val="18"/>
              </w:rPr>
              <w:t>Sistemas de adaptación específicos para GLP (gases licuados de petróleo) destinados a su instalación en vehículos a motor para que puedan utilizar GLP en su sistema de propulsión; II.</w:t>
            </w:r>
            <w:r w:rsidR="00402521">
              <w:rPr>
                <w:sz w:val="18"/>
                <w:szCs w:val="18"/>
              </w:rPr>
              <w:t> </w:t>
            </w:r>
            <w:r w:rsidRPr="00EA15A5">
              <w:rPr>
                <w:sz w:val="18"/>
                <w:szCs w:val="18"/>
              </w:rPr>
              <w:t xml:space="preserve">Sistemas de adaptación específicos para GNC (gas natural comprimido) destinados a su instalación en vehículos a motor para que puedan utilizar </w:t>
            </w:r>
            <w:r w:rsidR="00402521">
              <w:rPr>
                <w:sz w:val="18"/>
                <w:szCs w:val="18"/>
              </w:rPr>
              <w:t>GNC en su sistema de propulsión</w:t>
            </w:r>
          </w:p>
        </w:tc>
      </w:tr>
      <w:tr w:rsidR="00261C14" w:rsidRPr="00EA15A5" w:rsidTr="00A94882">
        <w:tc>
          <w:tcPr>
            <w:tcW w:w="8417" w:type="dxa"/>
            <w:gridSpan w:val="2"/>
            <w:shd w:val="clear" w:color="auto" w:fill="auto"/>
          </w:tcPr>
          <w:p w:rsidR="00261C14" w:rsidRPr="00EA15A5" w:rsidRDefault="00261C14" w:rsidP="00EA15A5">
            <w:pPr>
              <w:pStyle w:val="SingleTxtG"/>
              <w:keepNext/>
              <w:keepLines/>
              <w:spacing w:before="40"/>
              <w:ind w:left="0" w:right="0"/>
              <w:rPr>
                <w:b/>
                <w:sz w:val="18"/>
                <w:szCs w:val="18"/>
                <w:lang w:eastAsia="en-GB" w:bidi="en-GB"/>
              </w:rPr>
            </w:pPr>
            <w:r w:rsidRPr="00EA15A5">
              <w:rPr>
                <w:b/>
                <w:sz w:val="18"/>
                <w:szCs w:val="18"/>
                <w:lang w:eastAsia="en-GB" w:bidi="en-GB"/>
              </w:rPr>
              <w:lastRenderedPageBreak/>
              <w:t>Depósitos de GNC</w:t>
            </w:r>
          </w:p>
        </w:tc>
      </w:tr>
      <w:tr w:rsidR="00A94882" w:rsidRPr="00EA15A5" w:rsidTr="00A94882">
        <w:tc>
          <w:tcPr>
            <w:tcW w:w="3591" w:type="dxa"/>
            <w:shd w:val="clear" w:color="auto" w:fill="auto"/>
          </w:tcPr>
          <w:p w:rsidR="00A94882" w:rsidRPr="00EA15A5" w:rsidRDefault="00A94882" w:rsidP="00EA15A5">
            <w:pPr>
              <w:pStyle w:val="SingleTxtG"/>
              <w:keepNext/>
              <w:keepLines/>
              <w:spacing w:before="40"/>
              <w:ind w:left="0" w:right="0"/>
              <w:jc w:val="left"/>
              <w:rPr>
                <w:sz w:val="18"/>
                <w:szCs w:val="18"/>
                <w:lang w:eastAsia="en-GB" w:bidi="en-GB"/>
              </w:rPr>
            </w:pPr>
            <w:r w:rsidRPr="00EA15A5">
              <w:rPr>
                <w:sz w:val="18"/>
                <w:szCs w:val="18"/>
                <w:lang w:eastAsia="en-GB" w:bidi="en-GB"/>
              </w:rPr>
              <w:t xml:space="preserve">Reglamento CEPE </w:t>
            </w:r>
            <w:r w:rsidR="00DA583D" w:rsidRPr="00EA15A5">
              <w:rPr>
                <w:sz w:val="18"/>
                <w:szCs w:val="18"/>
                <w:lang w:eastAsia="en-GB" w:bidi="en-GB"/>
              </w:rPr>
              <w:t xml:space="preserve">núm. </w:t>
            </w:r>
            <w:r w:rsidRPr="00EA15A5">
              <w:rPr>
                <w:sz w:val="18"/>
                <w:szCs w:val="18"/>
                <w:lang w:eastAsia="en-GB" w:bidi="en-GB"/>
              </w:rPr>
              <w:t>110</w:t>
            </w:r>
          </w:p>
        </w:tc>
        <w:tc>
          <w:tcPr>
            <w:tcW w:w="4826" w:type="dxa"/>
            <w:shd w:val="clear" w:color="auto" w:fill="auto"/>
          </w:tcPr>
          <w:p w:rsidR="00A94882" w:rsidRPr="00EA15A5" w:rsidRDefault="00A94882" w:rsidP="00EA15A5">
            <w:pPr>
              <w:pStyle w:val="SingleTxtG"/>
              <w:keepNext/>
              <w:keepLines/>
              <w:spacing w:before="40"/>
              <w:ind w:left="0" w:right="0"/>
              <w:jc w:val="left"/>
              <w:rPr>
                <w:sz w:val="18"/>
                <w:szCs w:val="18"/>
              </w:rPr>
            </w:pPr>
            <w:r w:rsidRPr="00EA15A5">
              <w:rPr>
                <w:sz w:val="18"/>
                <w:szCs w:val="18"/>
              </w:rPr>
              <w:t>Disposiciones uniformes relativas a: I. Componentes específicos de vehículos a motor que utilizan GNC en su sistema de propulsión; II. Vehículos con respecto a la instalación de componentes específicos de un tipo aprobado para el uso de GNC en su sistema de propulsión</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Reglamento CEPE </w:t>
            </w:r>
            <w:r w:rsidR="00DA583D" w:rsidRPr="00EA15A5">
              <w:rPr>
                <w:sz w:val="18"/>
                <w:szCs w:val="18"/>
                <w:lang w:eastAsia="en-GB" w:bidi="en-GB"/>
              </w:rPr>
              <w:t xml:space="preserve">núm. </w:t>
            </w:r>
            <w:r w:rsidRPr="00EA15A5">
              <w:rPr>
                <w:sz w:val="18"/>
                <w:szCs w:val="18"/>
                <w:lang w:eastAsia="en-GB" w:bidi="en-GB"/>
              </w:rPr>
              <w:t>115</w:t>
            </w:r>
          </w:p>
        </w:tc>
        <w:tc>
          <w:tcPr>
            <w:tcW w:w="4826" w:type="dxa"/>
            <w:shd w:val="clear" w:color="auto" w:fill="auto"/>
          </w:tcPr>
          <w:p w:rsidR="00A94882" w:rsidRPr="00EA15A5" w:rsidRDefault="00A94882" w:rsidP="00402521">
            <w:pPr>
              <w:pStyle w:val="SingleTxtG"/>
              <w:spacing w:before="40"/>
              <w:ind w:left="0" w:right="0"/>
              <w:jc w:val="left"/>
              <w:rPr>
                <w:sz w:val="18"/>
                <w:szCs w:val="18"/>
              </w:rPr>
            </w:pPr>
            <w:r w:rsidRPr="00EA15A5">
              <w:rPr>
                <w:sz w:val="18"/>
                <w:szCs w:val="18"/>
              </w:rPr>
              <w:t>Disposiciones uniformes relativas a la homologación de: I.</w:t>
            </w:r>
            <w:r w:rsidR="00402521">
              <w:rPr>
                <w:sz w:val="18"/>
                <w:szCs w:val="18"/>
              </w:rPr>
              <w:t> </w:t>
            </w:r>
            <w:r w:rsidRPr="00EA15A5">
              <w:rPr>
                <w:sz w:val="18"/>
                <w:szCs w:val="18"/>
              </w:rPr>
              <w:t>Sistemas de adaptación específicos para GLP (gases licuados de petróleo) destinados a su instalación en vehículos a motor para que puedan utilizar GLP en su sistema de propulsión; II.</w:t>
            </w:r>
            <w:r w:rsidR="00402521">
              <w:rPr>
                <w:sz w:val="18"/>
                <w:szCs w:val="18"/>
              </w:rPr>
              <w:t> </w:t>
            </w:r>
            <w:r w:rsidRPr="00EA15A5">
              <w:rPr>
                <w:sz w:val="18"/>
                <w:szCs w:val="18"/>
              </w:rPr>
              <w:t xml:space="preserve">Sistemas de adaptación específicos para GNC (gas natural comprimido) destinados a su instalación en vehículos a motor para que puedan utilizar </w:t>
            </w:r>
            <w:r w:rsidR="00DA583D" w:rsidRPr="00EA15A5">
              <w:rPr>
                <w:sz w:val="18"/>
                <w:szCs w:val="18"/>
              </w:rPr>
              <w:t>GNC en su sistema de propulsión</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ISO 11439:2013 </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 xml:space="preserve">Botellas de gas </w:t>
            </w:r>
            <w:r w:rsidR="00DA583D" w:rsidRPr="00EA15A5">
              <w:rPr>
                <w:sz w:val="18"/>
                <w:szCs w:val="18"/>
              </w:rPr>
              <w:t>–</w:t>
            </w:r>
            <w:r w:rsidRPr="00EA15A5">
              <w:rPr>
                <w:sz w:val="18"/>
                <w:szCs w:val="18"/>
              </w:rPr>
              <w:t xml:space="preserve"> Botellas de alta presión para el almacenamiento a bordo de gas natural como combustible de vehículos automotores </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ISO 15500-Series </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 xml:space="preserve">ISO 15500: Vehículos de carretera </w:t>
            </w:r>
            <w:r w:rsidR="00DA583D" w:rsidRPr="00EA15A5">
              <w:rPr>
                <w:sz w:val="18"/>
                <w:szCs w:val="18"/>
              </w:rPr>
              <w:t>–</w:t>
            </w:r>
            <w:r w:rsidR="00965478" w:rsidRPr="00EA15A5">
              <w:rPr>
                <w:sz w:val="18"/>
                <w:szCs w:val="18"/>
              </w:rPr>
              <w:t xml:space="preserve"> </w:t>
            </w:r>
            <w:r w:rsidRPr="00EA15A5">
              <w:rPr>
                <w:sz w:val="18"/>
                <w:szCs w:val="18"/>
              </w:rPr>
              <w:t xml:space="preserve">componentes del sistema de combustible de GNC </w:t>
            </w:r>
            <w:r w:rsidR="00DA583D" w:rsidRPr="00EA15A5">
              <w:rPr>
                <w:sz w:val="18"/>
                <w:szCs w:val="18"/>
              </w:rPr>
              <w:t>–</w:t>
            </w:r>
            <w:r w:rsidR="00965478" w:rsidRPr="00EA15A5">
              <w:rPr>
                <w:sz w:val="18"/>
                <w:szCs w:val="18"/>
              </w:rPr>
              <w:t xml:space="preserve"> </w:t>
            </w:r>
            <w:r w:rsidRPr="00EA15A5">
              <w:rPr>
                <w:sz w:val="18"/>
                <w:szCs w:val="18"/>
              </w:rPr>
              <w:t>varias piezas según proceda</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ANSI NGV 2</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Contenedores de GNC como combustible de vehículos</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CSA B51 Parte 2: 2014</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Código para calderas, recipientes de presión y</w:t>
            </w:r>
            <w:r w:rsidR="00DA583D" w:rsidRPr="00EA15A5">
              <w:rPr>
                <w:sz w:val="18"/>
                <w:szCs w:val="18"/>
              </w:rPr>
              <w:t xml:space="preserve"> tuberías de presión, p</w:t>
            </w:r>
            <w:r w:rsidRPr="00EA15A5">
              <w:rPr>
                <w:sz w:val="18"/>
                <w:szCs w:val="18"/>
              </w:rPr>
              <w:t>arte 2</w:t>
            </w:r>
            <w:r w:rsidR="00DA583D" w:rsidRPr="00EA15A5">
              <w:rPr>
                <w:sz w:val="18"/>
                <w:szCs w:val="18"/>
              </w:rPr>
              <w:t>: P</w:t>
            </w:r>
            <w:r w:rsidRPr="00EA15A5">
              <w:rPr>
                <w:sz w:val="18"/>
                <w:szCs w:val="18"/>
              </w:rPr>
              <w:t>rescripciones para las botellas de alta presión para el almacenamiento a bordo de gas natural como combustible de vehículos automotores</w:t>
            </w:r>
          </w:p>
        </w:tc>
      </w:tr>
      <w:tr w:rsidR="00A94882" w:rsidRPr="00EA15A5" w:rsidTr="00A94882">
        <w:tc>
          <w:tcPr>
            <w:tcW w:w="8417" w:type="dxa"/>
            <w:gridSpan w:val="2"/>
            <w:shd w:val="clear" w:color="auto" w:fill="auto"/>
          </w:tcPr>
          <w:p w:rsidR="00A94882" w:rsidRPr="00EA15A5" w:rsidRDefault="00A94882" w:rsidP="00A94882">
            <w:pPr>
              <w:pStyle w:val="SingleTxtG"/>
              <w:spacing w:before="40"/>
              <w:ind w:left="0" w:right="0"/>
              <w:rPr>
                <w:b/>
                <w:sz w:val="18"/>
                <w:szCs w:val="18"/>
                <w:lang w:eastAsia="en-GB" w:bidi="en-GB"/>
              </w:rPr>
            </w:pPr>
            <w:r w:rsidRPr="00EA15A5">
              <w:rPr>
                <w:b/>
                <w:sz w:val="18"/>
                <w:szCs w:val="18"/>
                <w:lang w:eastAsia="en-GB" w:bidi="en-GB"/>
              </w:rPr>
              <w:t>Depósitos de hidrógeno presurizados</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Reglamento Técnico Mundial (RTM) </w:t>
            </w:r>
            <w:r w:rsidR="00DA583D" w:rsidRPr="00EA15A5">
              <w:rPr>
                <w:sz w:val="18"/>
                <w:szCs w:val="18"/>
                <w:lang w:eastAsia="en-GB" w:bidi="en-GB"/>
              </w:rPr>
              <w:t xml:space="preserve">núm. </w:t>
            </w:r>
            <w:r w:rsidRPr="00EA15A5">
              <w:rPr>
                <w:sz w:val="18"/>
                <w:szCs w:val="18"/>
                <w:lang w:eastAsia="en-GB" w:bidi="en-GB"/>
              </w:rPr>
              <w:t>13</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Reglamento técnico mundial sobre vehículos propulsados por hidrógeno y</w:t>
            </w:r>
            <w:r w:rsidR="00965478" w:rsidRPr="00EA15A5">
              <w:rPr>
                <w:sz w:val="18"/>
                <w:szCs w:val="18"/>
              </w:rPr>
              <w:t xml:space="preserve"> </w:t>
            </w:r>
            <w:r w:rsidRPr="00EA15A5">
              <w:rPr>
                <w:sz w:val="18"/>
                <w:szCs w:val="18"/>
              </w:rPr>
              <w:t>pilas de combustible de hidrógeno (ECE/TRANS/180/Add.13)</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ISO/TS 15869:2009</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 xml:space="preserve">Hidrógeno gaseoso y mezclas de hidrógeno </w:t>
            </w:r>
            <w:r w:rsidR="00DA583D" w:rsidRPr="00EA15A5">
              <w:rPr>
                <w:sz w:val="18"/>
                <w:szCs w:val="18"/>
              </w:rPr>
              <w:t>–</w:t>
            </w:r>
            <w:r w:rsidRPr="00EA15A5">
              <w:rPr>
                <w:sz w:val="18"/>
                <w:szCs w:val="18"/>
              </w:rPr>
              <w:t xml:space="preserve"> depósitos de combustible de vehículos terrestres</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Reglamento (UE) </w:t>
            </w:r>
            <w:r w:rsidR="00DA583D" w:rsidRPr="00EA15A5">
              <w:rPr>
                <w:sz w:val="18"/>
                <w:szCs w:val="18"/>
                <w:lang w:eastAsia="en-GB" w:bidi="en-GB"/>
              </w:rPr>
              <w:t xml:space="preserve">núm. </w:t>
            </w:r>
            <w:r w:rsidRPr="00EA15A5">
              <w:rPr>
                <w:sz w:val="18"/>
                <w:szCs w:val="18"/>
                <w:lang w:eastAsia="en-GB" w:bidi="en-GB"/>
              </w:rPr>
              <w:t>79/2009</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 xml:space="preserve">Reglamento (CE) </w:t>
            </w:r>
            <w:r w:rsidR="00DA583D" w:rsidRPr="00EA15A5">
              <w:rPr>
                <w:sz w:val="18"/>
                <w:szCs w:val="18"/>
                <w:lang w:eastAsia="en-GB" w:bidi="en-GB"/>
              </w:rPr>
              <w:t xml:space="preserve">núm. </w:t>
            </w:r>
            <w:r w:rsidRPr="00EA15A5">
              <w:rPr>
                <w:sz w:val="18"/>
                <w:szCs w:val="18"/>
              </w:rPr>
              <w:t>79/2009 del Parlamento Europeo y del Consejo, de 14 de enero de 2009, relativo a la homologación de los vehículos de motor impulsados por hidrógeno y la modificación de la Directiva 2007/46/CE</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Reglamento (UE) </w:t>
            </w:r>
            <w:r w:rsidR="00DA583D" w:rsidRPr="00EA15A5">
              <w:rPr>
                <w:sz w:val="18"/>
                <w:szCs w:val="18"/>
                <w:lang w:eastAsia="en-GB" w:bidi="en-GB"/>
              </w:rPr>
              <w:t xml:space="preserve">núm. </w:t>
            </w:r>
            <w:r w:rsidRPr="00EA15A5">
              <w:rPr>
                <w:sz w:val="18"/>
                <w:szCs w:val="18"/>
                <w:lang w:eastAsia="en-GB" w:bidi="en-GB"/>
              </w:rPr>
              <w:t>406/2010</w:t>
            </w:r>
          </w:p>
        </w:tc>
        <w:tc>
          <w:tcPr>
            <w:tcW w:w="4826" w:type="dxa"/>
            <w:shd w:val="clear" w:color="auto" w:fill="auto"/>
          </w:tcPr>
          <w:p w:rsidR="00A94882" w:rsidRPr="00EA15A5" w:rsidRDefault="00A94882" w:rsidP="00402521">
            <w:pPr>
              <w:pStyle w:val="SingleTxtG"/>
              <w:spacing w:before="40"/>
              <w:ind w:left="0" w:right="0"/>
              <w:jc w:val="left"/>
              <w:rPr>
                <w:sz w:val="18"/>
                <w:szCs w:val="18"/>
              </w:rPr>
            </w:pPr>
            <w:r w:rsidRPr="00EA15A5">
              <w:rPr>
                <w:sz w:val="18"/>
                <w:szCs w:val="18"/>
              </w:rPr>
              <w:t xml:space="preserve">Reglamento (UE) </w:t>
            </w:r>
            <w:r w:rsidR="00DA583D" w:rsidRPr="00EA15A5">
              <w:rPr>
                <w:sz w:val="18"/>
                <w:szCs w:val="18"/>
                <w:lang w:eastAsia="en-GB" w:bidi="en-GB"/>
              </w:rPr>
              <w:t xml:space="preserve">núm. </w:t>
            </w:r>
            <w:r w:rsidRPr="00EA15A5">
              <w:rPr>
                <w:sz w:val="18"/>
                <w:szCs w:val="18"/>
              </w:rPr>
              <w:t xml:space="preserve">406/2010 de la Comisión, de 26 de abril de 2010, por el que se aplica el Reglamento (CE) </w:t>
            </w:r>
            <w:r w:rsidR="00DA583D" w:rsidRPr="00EA15A5">
              <w:rPr>
                <w:sz w:val="18"/>
                <w:szCs w:val="18"/>
                <w:lang w:eastAsia="en-GB" w:bidi="en-GB"/>
              </w:rPr>
              <w:t>núm.</w:t>
            </w:r>
            <w:r w:rsidR="00402521">
              <w:rPr>
                <w:sz w:val="18"/>
                <w:szCs w:val="18"/>
                <w:lang w:eastAsia="en-GB" w:bidi="en-GB"/>
              </w:rPr>
              <w:t> </w:t>
            </w:r>
            <w:r w:rsidRPr="00EA15A5">
              <w:rPr>
                <w:sz w:val="18"/>
                <w:szCs w:val="18"/>
              </w:rPr>
              <w:t>79/2009 del Parlamento Europeo y del Consejo, relativo a la homologación de los vehículos de</w:t>
            </w:r>
            <w:r w:rsidR="00DA583D" w:rsidRPr="00EA15A5">
              <w:rPr>
                <w:sz w:val="18"/>
                <w:szCs w:val="18"/>
              </w:rPr>
              <w:t xml:space="preserve"> motor impulsados por hidrógeno</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 xml:space="preserve">Reglamento CEPE </w:t>
            </w:r>
            <w:r w:rsidR="00DA583D" w:rsidRPr="00EA15A5">
              <w:rPr>
                <w:sz w:val="18"/>
                <w:szCs w:val="18"/>
                <w:lang w:eastAsia="en-GB" w:bidi="en-GB"/>
              </w:rPr>
              <w:t xml:space="preserve">núm. </w:t>
            </w:r>
            <w:r w:rsidRPr="00EA15A5">
              <w:rPr>
                <w:sz w:val="18"/>
                <w:szCs w:val="18"/>
                <w:lang w:eastAsia="en-GB" w:bidi="en-GB"/>
              </w:rPr>
              <w:t xml:space="preserve">134 </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Vehículos propulsados por</w:t>
            </w:r>
            <w:r w:rsidR="00965478" w:rsidRPr="00EA15A5">
              <w:rPr>
                <w:sz w:val="18"/>
                <w:szCs w:val="18"/>
              </w:rPr>
              <w:t xml:space="preserve"> </w:t>
            </w:r>
            <w:r w:rsidRPr="00EA15A5">
              <w:rPr>
                <w:sz w:val="18"/>
                <w:szCs w:val="18"/>
              </w:rPr>
              <w:t>hidrógeno y</w:t>
            </w:r>
            <w:r w:rsidR="00965478" w:rsidRPr="00EA15A5">
              <w:rPr>
                <w:sz w:val="18"/>
                <w:szCs w:val="18"/>
              </w:rPr>
              <w:t xml:space="preserve"> </w:t>
            </w:r>
            <w:r w:rsidRPr="00EA15A5">
              <w:rPr>
                <w:sz w:val="18"/>
                <w:szCs w:val="18"/>
              </w:rPr>
              <w:t>pilas de combustible (HFCV)</w:t>
            </w:r>
          </w:p>
        </w:tc>
      </w:tr>
      <w:tr w:rsidR="00A94882" w:rsidRPr="00EA15A5" w:rsidTr="00A94882">
        <w:tc>
          <w:tcPr>
            <w:tcW w:w="3591" w:type="dxa"/>
            <w:shd w:val="clear" w:color="auto" w:fill="auto"/>
          </w:tcPr>
          <w:p w:rsidR="00A94882" w:rsidRPr="00EA15A5" w:rsidRDefault="00A94882" w:rsidP="00A94882">
            <w:pPr>
              <w:pStyle w:val="SingleTxtG"/>
              <w:spacing w:before="40"/>
              <w:ind w:left="0" w:right="0"/>
              <w:jc w:val="left"/>
              <w:rPr>
                <w:sz w:val="18"/>
                <w:szCs w:val="18"/>
                <w:lang w:eastAsia="en-GB" w:bidi="en-GB"/>
              </w:rPr>
            </w:pPr>
            <w:r w:rsidRPr="00EA15A5">
              <w:rPr>
                <w:sz w:val="18"/>
                <w:szCs w:val="18"/>
                <w:lang w:eastAsia="en-GB" w:bidi="en-GB"/>
              </w:rPr>
              <w:t>CSA B51 Parte 2: 2014</w:t>
            </w:r>
          </w:p>
        </w:tc>
        <w:tc>
          <w:tcPr>
            <w:tcW w:w="4826" w:type="dxa"/>
            <w:shd w:val="clear" w:color="auto" w:fill="auto"/>
          </w:tcPr>
          <w:p w:rsidR="00A94882" w:rsidRPr="00EA15A5" w:rsidRDefault="00A94882" w:rsidP="00DA583D">
            <w:pPr>
              <w:pStyle w:val="SingleTxtG"/>
              <w:spacing w:before="40"/>
              <w:ind w:left="0" w:right="0"/>
              <w:jc w:val="left"/>
              <w:rPr>
                <w:sz w:val="18"/>
                <w:szCs w:val="18"/>
              </w:rPr>
            </w:pPr>
            <w:r w:rsidRPr="00EA15A5">
              <w:rPr>
                <w:sz w:val="18"/>
                <w:szCs w:val="18"/>
              </w:rPr>
              <w:t xml:space="preserve">Código para calderas, recipientes de </w:t>
            </w:r>
            <w:r w:rsidR="00DA583D" w:rsidRPr="00EA15A5">
              <w:rPr>
                <w:sz w:val="18"/>
                <w:szCs w:val="18"/>
              </w:rPr>
              <w:t>presión y tuberías de presión, p</w:t>
            </w:r>
            <w:r w:rsidRPr="00EA15A5">
              <w:rPr>
                <w:sz w:val="18"/>
                <w:szCs w:val="18"/>
              </w:rPr>
              <w:t>arte 2</w:t>
            </w:r>
            <w:r w:rsidR="00DA583D" w:rsidRPr="00EA15A5">
              <w:rPr>
                <w:sz w:val="18"/>
                <w:szCs w:val="18"/>
              </w:rPr>
              <w:t>: P</w:t>
            </w:r>
            <w:r w:rsidRPr="00EA15A5">
              <w:rPr>
                <w:sz w:val="18"/>
                <w:szCs w:val="18"/>
              </w:rPr>
              <w:t>rescripciones para las botellas de alta presión para el almacenamiento a bordo de gas natural como combustible de vehículos automotores</w:t>
            </w:r>
          </w:p>
        </w:tc>
      </w:tr>
    </w:tbl>
    <w:p w:rsidR="007A3AD0" w:rsidRPr="00B654DA" w:rsidRDefault="007A3AD0" w:rsidP="00EA15A5">
      <w:pPr>
        <w:pStyle w:val="SingleTxtG"/>
        <w:keepNext/>
        <w:keepLines/>
        <w:spacing w:before="240"/>
        <w:ind w:firstLine="567"/>
      </w:pPr>
      <w:r w:rsidRPr="00B654DA">
        <w:lastRenderedPageBreak/>
        <w:t>Podrán seguir siendo transportados los depósitos de gas diseñados y construidos de conformidad con</w:t>
      </w:r>
      <w:r w:rsidR="00965478">
        <w:t xml:space="preserve"> </w:t>
      </w:r>
      <w:r w:rsidRPr="00B654DA">
        <w:t>versiones anteriores de las normas o reglamentos relativos a los depósitos de gas para vehículos de motor aplicables en el momento de la certificación de los vehículos para los que dichos depósitos de gas fueron diseñados y construidos;</w:t>
      </w:r>
    </w:p>
    <w:p w:rsidR="007A3AD0" w:rsidRPr="00B654DA" w:rsidRDefault="007A3AD0" w:rsidP="007A3AD0">
      <w:pPr>
        <w:pStyle w:val="SingleTxtG"/>
      </w:pPr>
      <w:r w:rsidRPr="00B654DA">
        <w:t>b)</w:t>
      </w:r>
      <w:r w:rsidRPr="00B654DA">
        <w:tab/>
        <w:t>Los sistemas de contención de gas combustible deberán ser estancos y no presentar indicios de daños externos que puedan afectar a su seguridad;</w:t>
      </w:r>
    </w:p>
    <w:p w:rsidR="007A3AD0" w:rsidRPr="00B654DA" w:rsidRDefault="007A3AD0" w:rsidP="007A3AD0">
      <w:pPr>
        <w:pStyle w:val="SingleTxtG"/>
        <w:rPr>
          <w:i/>
        </w:rPr>
      </w:pPr>
      <w:r w:rsidRPr="00557213">
        <w:rPr>
          <w:b/>
          <w:i/>
        </w:rPr>
        <w:t xml:space="preserve">NOTA 1: </w:t>
      </w:r>
      <w:r w:rsidRPr="00B654DA">
        <w:rPr>
          <w:i/>
        </w:rPr>
        <w:t>Pueden encontrarse los criterios en la norma ISO 11623:2015 Botellas de gas transportables</w:t>
      </w:r>
      <w:r w:rsidR="00DA583D">
        <w:rPr>
          <w:i/>
        </w:rPr>
        <w:t xml:space="preserve"> –</w:t>
      </w:r>
      <w:r w:rsidRPr="00B654DA">
        <w:rPr>
          <w:i/>
        </w:rPr>
        <w:t xml:space="preserve"> Inspección y ensayos periódicos de botellas de gas de materiales compu</w:t>
      </w:r>
      <w:r w:rsidR="00DA583D">
        <w:rPr>
          <w:i/>
        </w:rPr>
        <w:t>estos (o en la norma ISO 19078:</w:t>
      </w:r>
      <w:r w:rsidRPr="00B654DA">
        <w:rPr>
          <w:i/>
        </w:rPr>
        <w:t xml:space="preserve">2013 Botellas de gas </w:t>
      </w:r>
      <w:r w:rsidR="00DA583D">
        <w:rPr>
          <w:i/>
        </w:rPr>
        <w:t>–</w:t>
      </w:r>
      <w:r w:rsidRPr="00B654DA">
        <w:rPr>
          <w:i/>
        </w:rPr>
        <w:t xml:space="preserve"> Inspección de la instalación y verificación de las botellas a alta presión para el almacenamiento de gas natural utilizado como combustible en los vehículos de carretera).</w:t>
      </w:r>
    </w:p>
    <w:p w:rsidR="007A3AD0" w:rsidRPr="00B654DA" w:rsidRDefault="007A3AD0" w:rsidP="007A3AD0">
      <w:pPr>
        <w:pStyle w:val="SingleTxtG"/>
        <w:rPr>
          <w:i/>
        </w:rPr>
      </w:pPr>
      <w:r w:rsidRPr="00557213">
        <w:rPr>
          <w:b/>
          <w:i/>
        </w:rPr>
        <w:t>NOTA 2:</w:t>
      </w:r>
      <w:r w:rsidRPr="00B654DA">
        <w:rPr>
          <w:i/>
        </w:rPr>
        <w:t xml:space="preserve"> Si los sistemas de contención de gas combustible no son estancos, se han llenado en exceso o presentan daños que puedan afectar a su seguridad (por ejemplo, en caso de que se haya realizado una campaña de verificación relacionada con la seguridad), solo podrán transportarse en recipientes de socorro presurizados de conformidad con la presente Reglamentación.</w:t>
      </w:r>
    </w:p>
    <w:p w:rsidR="007A3AD0" w:rsidRPr="00B654DA" w:rsidRDefault="007A3AD0" w:rsidP="007A3AD0">
      <w:pPr>
        <w:pStyle w:val="SingleTxtG"/>
      </w:pPr>
      <w:r w:rsidRPr="00B654DA">
        <w:t>c)</w:t>
      </w:r>
      <w:r w:rsidRPr="00B654DA">
        <w:tab/>
        <w:t>Si un sistema de contención de gas combustible está equipado con dos o más válvulas integradas en línea, las dos válvulas se cerrarán de manera que no se produzcan fugas de gas en las condiciones normales de transporte. Si solo existe una válvula o si una única válvula acciona todas las aperturas, a excepción de la apertura del dispositivo de alivio de presión, esa válvula se cerrará de manera que no se produzcan fugas de gas en las condiciones normales de transporte.</w:t>
      </w:r>
    </w:p>
    <w:p w:rsidR="007A3AD0" w:rsidRPr="00B654DA" w:rsidRDefault="007A3AD0" w:rsidP="007A3AD0">
      <w:pPr>
        <w:pStyle w:val="SingleTxtG"/>
      </w:pPr>
      <w:r w:rsidRPr="00B654DA">
        <w:t>d)</w:t>
      </w:r>
      <w:r w:rsidRPr="00B654DA">
        <w:tab/>
        <w:t>Los sistemas de contención de gas combustible se transportarán de</w:t>
      </w:r>
      <w:r w:rsidR="00965478">
        <w:t xml:space="preserve"> </w:t>
      </w:r>
      <w:r w:rsidRPr="00B654DA">
        <w:t>manera que se evite la obstrucción del dispositivo de alivio de presión o cualquier daño a las válvulas o a cualquier otra parte del sistema que se encuentre bajo presión y se prevenga la liberación no intencional del gas en las condiciones normales de transporte. El sistema de contención de gas combustible irá sujeto para evitar que se deslice,</w:t>
      </w:r>
      <w:r w:rsidR="00DA583D">
        <w:t xml:space="preserve"> ruede o se mueva verticalmente.</w:t>
      </w:r>
    </w:p>
    <w:p w:rsidR="007A3AD0" w:rsidRPr="00B654DA" w:rsidRDefault="007A3AD0" w:rsidP="007A3AD0">
      <w:pPr>
        <w:pStyle w:val="SingleTxtG"/>
      </w:pPr>
      <w:r w:rsidRPr="00B654DA">
        <w:t>e)</w:t>
      </w:r>
      <w:r w:rsidRPr="00B654DA">
        <w:tab/>
        <w:t>Las válvulas deberán estar protegidas mediante uno de los métodos descritos en</w:t>
      </w:r>
      <w:r w:rsidR="00DA583D">
        <w:t> </w:t>
      </w:r>
      <w:r w:rsidRPr="00B654DA">
        <w:t>4.1.6.1.8 a) a e);</w:t>
      </w:r>
    </w:p>
    <w:p w:rsidR="007A3AD0" w:rsidRPr="00B654DA" w:rsidRDefault="007A3AD0" w:rsidP="007A3AD0">
      <w:pPr>
        <w:pStyle w:val="SingleTxtG"/>
      </w:pPr>
      <w:r w:rsidRPr="00B654DA">
        <w:t>f)</w:t>
      </w:r>
      <w:r w:rsidRPr="00B654DA">
        <w:tab/>
        <w:t>Excepto en el caso de los sistemas de contención de gas combustible retirados para su eliminación, reciclado, reparación, inspección o mantenimiento, dichos sistemas se llenarán con no más del 20% de volumen nominal de llenado o presión nominal de trabajo, según proceda;</w:t>
      </w:r>
    </w:p>
    <w:p w:rsidR="007A3AD0" w:rsidRPr="00B654DA" w:rsidRDefault="007A3AD0" w:rsidP="007A3AD0">
      <w:pPr>
        <w:pStyle w:val="SingleTxtG"/>
      </w:pPr>
      <w:r w:rsidRPr="00B654DA">
        <w:t>g)</w:t>
      </w:r>
      <w:r w:rsidRPr="00B654DA">
        <w:tab/>
        <w:t>No obstante lo dispuesto en el capítulo 5.2, cuando los sistemas de contención de gas combustible estén incluidos en un dispositivo de manipulación, las marcas y etiquetas se podrán fijar en dicho dispositivo; y</w:t>
      </w:r>
    </w:p>
    <w:p w:rsidR="007A3AD0" w:rsidRPr="00B654DA" w:rsidRDefault="007A3AD0" w:rsidP="007A3AD0">
      <w:pPr>
        <w:pStyle w:val="SingleTxtG"/>
      </w:pPr>
      <w:r w:rsidRPr="00B654DA">
        <w:t>h)</w:t>
      </w:r>
      <w:r w:rsidRPr="00B654DA">
        <w:tab/>
        <w:t>No obstante lo dispuesto en</w:t>
      </w:r>
      <w:r w:rsidR="00965478">
        <w:t xml:space="preserve"> </w:t>
      </w:r>
      <w:r w:rsidRPr="00B654DA">
        <w:t>5.4.1.5, la información sobre la cantidad total de mercancías peligrosas podrá sustituirse por la siguiente información:</w:t>
      </w:r>
    </w:p>
    <w:p w:rsidR="007A3AD0" w:rsidRPr="00B654DA" w:rsidRDefault="007A3AD0" w:rsidP="007A3AD0">
      <w:pPr>
        <w:pStyle w:val="SingleTxtG"/>
        <w:ind w:firstLine="567"/>
      </w:pPr>
      <w:r w:rsidRPr="00B654DA">
        <w:t>i)</w:t>
      </w:r>
      <w:r w:rsidRPr="00B654DA">
        <w:tab/>
        <w:t>El número de sistemas de contención de gas combustible; y</w:t>
      </w:r>
    </w:p>
    <w:p w:rsidR="007A3AD0" w:rsidRPr="00B654DA" w:rsidRDefault="007A3AD0" w:rsidP="007A3AD0">
      <w:pPr>
        <w:pStyle w:val="SingleTxtG"/>
        <w:ind w:left="1701" w:hanging="567"/>
      </w:pPr>
      <w:r w:rsidRPr="00B654DA">
        <w:tab/>
        <w:t>ii)</w:t>
      </w:r>
      <w:r w:rsidRPr="00B654DA">
        <w:tab/>
        <w:t xml:space="preserve">En el caso de los gases licuados, la masa neta total (kg) de gas en cada sistema de contención de gas combustible y, en el caso de los gases comprimidos, la capacidad total (l) de cada sistema de contención de gas combustible seguida por la presión nominal de trabajo. </w:t>
      </w:r>
    </w:p>
    <w:p w:rsidR="007A3AD0" w:rsidRPr="00B654DA" w:rsidRDefault="007A3AD0" w:rsidP="007A3AD0">
      <w:pPr>
        <w:pStyle w:val="SingleTxtG"/>
      </w:pPr>
      <w:r w:rsidRPr="00B654DA">
        <w:tab/>
        <w:t>Ejemplos de información que deberá figurar en el documento de transporte:</w:t>
      </w:r>
    </w:p>
    <w:p w:rsidR="007A3AD0" w:rsidRPr="00B654DA" w:rsidRDefault="007A3AD0" w:rsidP="007A3AD0">
      <w:pPr>
        <w:pStyle w:val="SingleTxtG"/>
        <w:ind w:left="1701"/>
      </w:pPr>
      <w:r w:rsidRPr="00B654DA">
        <w:t xml:space="preserve">Ejemplo 1: </w:t>
      </w:r>
      <w:r w:rsidR="00DA583D">
        <w:t>‘</w:t>
      </w:r>
      <w:r w:rsidRPr="00B654DA">
        <w:t>Número ONU 1971, gas natural, comprimido, 2</w:t>
      </w:r>
      <w:r w:rsidR="00402521">
        <w:t>.</w:t>
      </w:r>
      <w:r w:rsidRPr="00B654DA">
        <w:t>1, 1 sistema de contención de gas combustible de 50 l en total, 200 bar</w:t>
      </w:r>
      <w:r w:rsidR="00DA583D">
        <w:t>’</w:t>
      </w:r>
    </w:p>
    <w:p w:rsidR="007A3AD0" w:rsidRPr="00B654DA" w:rsidRDefault="007A3AD0" w:rsidP="007A3AD0">
      <w:pPr>
        <w:pStyle w:val="SingleTxtG"/>
        <w:ind w:left="1701"/>
      </w:pPr>
      <w:r w:rsidRPr="00B654DA">
        <w:t xml:space="preserve">Ejemplo 2: </w:t>
      </w:r>
      <w:r w:rsidR="00DA583D">
        <w:t>‘</w:t>
      </w:r>
      <w:r w:rsidR="003B4E67" w:rsidRPr="00B654DA">
        <w:t>Número</w:t>
      </w:r>
      <w:r w:rsidRPr="00B654DA">
        <w:t xml:space="preserve"> ONU 1965, mezcla de hidrocarburos gaseosos, licuados, N.E.P., 2.1, 3 sistemas de contención de gas combustible de 15 kg de masa neta de gas cada uno</w:t>
      </w:r>
      <w:r w:rsidR="00DA583D">
        <w:t>’</w:t>
      </w:r>
      <w:r w:rsidRPr="00B654DA">
        <w:t>.</w:t>
      </w:r>
      <w:r w:rsidR="00A069C9">
        <w:t>”</w:t>
      </w:r>
      <w:r w:rsidRPr="00B654DA">
        <w:t>.</w:t>
      </w:r>
    </w:p>
    <w:p w:rsidR="007A3AD0" w:rsidRPr="00B654DA" w:rsidRDefault="007A3AD0" w:rsidP="007A3AD0">
      <w:pPr>
        <w:pStyle w:val="H1G"/>
      </w:pPr>
      <w:r w:rsidRPr="00B654DA">
        <w:lastRenderedPageBreak/>
        <w:tab/>
      </w:r>
      <w:r w:rsidRPr="00B654DA">
        <w:tab/>
        <w:t>Capítulo 3.5</w:t>
      </w:r>
    </w:p>
    <w:p w:rsidR="007A3AD0" w:rsidRPr="00B654DA" w:rsidRDefault="007A3AD0" w:rsidP="007A3AD0">
      <w:pPr>
        <w:pStyle w:val="SingleTxtG"/>
        <w:rPr>
          <w:rStyle w:val="Strong"/>
          <w:b w:val="0"/>
          <w:bCs w:val="0"/>
        </w:rPr>
      </w:pPr>
      <w:r w:rsidRPr="00B654DA">
        <w:t>3.5.4.1</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H1G"/>
      </w:pPr>
      <w:r w:rsidRPr="00B654DA">
        <w:tab/>
      </w:r>
      <w:r w:rsidRPr="00B654DA">
        <w:tab/>
        <w:t>Apéndice A</w:t>
      </w:r>
    </w:p>
    <w:p w:rsidR="007A3AD0" w:rsidRPr="00B654DA" w:rsidRDefault="007A3AD0" w:rsidP="007A3AD0">
      <w:pPr>
        <w:pStyle w:val="SingleTxtG"/>
      </w:pPr>
      <w:r w:rsidRPr="00B654DA">
        <w:t xml:space="preserve">En la lista de designaciones oficiales de transporte genéricas y designaciones correspondientes a grupos de sustancias u objetos N.E.P., encabezamiento, columna 2,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rPr>
          <w:color w:val="000000"/>
        </w:rPr>
      </w:pPr>
      <w:r w:rsidRPr="00B654DA">
        <w:rPr>
          <w:color w:val="000000"/>
        </w:rPr>
        <w:t xml:space="preserve">En el cuadro, para la clase 2, división 2.1,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85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78"/>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2.1</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3537</w:t>
            </w:r>
          </w:p>
        </w:tc>
        <w:tc>
          <w:tcPr>
            <w:tcW w:w="4878" w:type="dxa"/>
          </w:tcPr>
          <w:p w:rsidR="007A3AD0" w:rsidRPr="00B654DA" w:rsidRDefault="007A3AD0" w:rsidP="00DA583D">
            <w:pPr>
              <w:keepNext/>
              <w:keepLines/>
              <w:autoSpaceDE w:val="0"/>
              <w:autoSpaceDN w:val="0"/>
              <w:adjustRightInd w:val="0"/>
              <w:spacing w:before="40" w:after="40"/>
              <w:ind w:left="233" w:right="57" w:hanging="176"/>
              <w:rPr>
                <w:color w:val="000000"/>
                <w:sz w:val="18"/>
                <w:szCs w:val="18"/>
              </w:rPr>
            </w:pPr>
            <w:r w:rsidRPr="00B654DA">
              <w:rPr>
                <w:sz w:val="18"/>
                <w:szCs w:val="18"/>
              </w:rPr>
              <w:t>ARTÍCULOS QUE CONTIENEN GASES INFLAMABLES, N.E.P.</w:t>
            </w:r>
          </w:p>
        </w:tc>
      </w:tr>
    </w:tbl>
    <w:p w:rsidR="007A3AD0" w:rsidRPr="00B654DA" w:rsidRDefault="007A3AD0" w:rsidP="00DA583D">
      <w:pPr>
        <w:pStyle w:val="SingleTxtG"/>
        <w:spacing w:before="200"/>
        <w:rPr>
          <w:color w:val="000000"/>
        </w:rPr>
      </w:pPr>
      <w:r w:rsidRPr="00B654DA">
        <w:rPr>
          <w:color w:val="000000"/>
        </w:rPr>
        <w:t xml:space="preserve">En el cuadro, para la clase 2, división 2.2,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85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78"/>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2.2</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3538</w:t>
            </w:r>
          </w:p>
        </w:tc>
        <w:tc>
          <w:tcPr>
            <w:tcW w:w="4878" w:type="dxa"/>
          </w:tcPr>
          <w:p w:rsidR="007A3AD0" w:rsidRPr="00B654DA" w:rsidRDefault="007A3AD0" w:rsidP="00DA583D">
            <w:pPr>
              <w:keepNext/>
              <w:keepLines/>
              <w:autoSpaceDE w:val="0"/>
              <w:autoSpaceDN w:val="0"/>
              <w:adjustRightInd w:val="0"/>
              <w:spacing w:before="40" w:after="40"/>
              <w:ind w:left="233" w:right="57" w:hanging="176"/>
              <w:rPr>
                <w:color w:val="000000"/>
                <w:sz w:val="18"/>
                <w:szCs w:val="18"/>
              </w:rPr>
            </w:pPr>
            <w:r w:rsidRPr="00B654DA">
              <w:rPr>
                <w:sz w:val="18"/>
                <w:szCs w:val="18"/>
              </w:rPr>
              <w:t>ARTÍCULOS QUE CONTI</w:t>
            </w:r>
            <w:r w:rsidR="00DA583D">
              <w:rPr>
                <w:sz w:val="18"/>
                <w:szCs w:val="18"/>
              </w:rPr>
              <w:t>ENEN GASES NO INFLAMABLES, NO TÓ</w:t>
            </w:r>
            <w:r w:rsidRPr="00B654DA">
              <w:rPr>
                <w:sz w:val="18"/>
                <w:szCs w:val="18"/>
              </w:rPr>
              <w:t>XICOS, N.E.P.</w:t>
            </w:r>
          </w:p>
        </w:tc>
      </w:tr>
    </w:tbl>
    <w:p w:rsidR="007A3AD0" w:rsidRPr="00B654DA" w:rsidRDefault="007A3AD0" w:rsidP="00DA583D">
      <w:pPr>
        <w:pStyle w:val="SingleTxtG"/>
        <w:spacing w:before="200"/>
        <w:rPr>
          <w:color w:val="000000"/>
        </w:rPr>
      </w:pPr>
      <w:r w:rsidRPr="00B654DA">
        <w:rPr>
          <w:color w:val="000000"/>
        </w:rPr>
        <w:t xml:space="preserve">En el cuadro, para la clase 2, división 2.3,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85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64"/>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2.3</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3539</w:t>
            </w:r>
          </w:p>
        </w:tc>
        <w:tc>
          <w:tcPr>
            <w:tcW w:w="4864" w:type="dxa"/>
          </w:tcPr>
          <w:p w:rsidR="007A3AD0" w:rsidRPr="00B654DA" w:rsidRDefault="00DA583D" w:rsidP="00DA583D">
            <w:pPr>
              <w:keepNext/>
              <w:keepLines/>
              <w:autoSpaceDE w:val="0"/>
              <w:autoSpaceDN w:val="0"/>
              <w:adjustRightInd w:val="0"/>
              <w:spacing w:before="40" w:after="40"/>
              <w:ind w:left="233" w:right="57" w:hanging="176"/>
              <w:rPr>
                <w:sz w:val="18"/>
                <w:szCs w:val="18"/>
              </w:rPr>
            </w:pPr>
            <w:r>
              <w:rPr>
                <w:sz w:val="18"/>
                <w:szCs w:val="18"/>
              </w:rPr>
              <w:t>ARTÍCULOS QUE CONTIENEN GASES TÓ</w:t>
            </w:r>
            <w:r w:rsidR="007A3AD0" w:rsidRPr="00B654DA">
              <w:rPr>
                <w:sz w:val="18"/>
                <w:szCs w:val="18"/>
              </w:rPr>
              <w:t>XICOS, N.E.P.</w:t>
            </w:r>
          </w:p>
        </w:tc>
      </w:tr>
    </w:tbl>
    <w:p w:rsidR="007A3AD0" w:rsidRPr="00B654DA" w:rsidRDefault="007A3AD0" w:rsidP="00DA583D">
      <w:pPr>
        <w:pStyle w:val="SingleTxtG"/>
        <w:spacing w:before="200"/>
        <w:rPr>
          <w:color w:val="000000"/>
        </w:rPr>
      </w:pPr>
      <w:r w:rsidRPr="00B654DA">
        <w:rPr>
          <w:color w:val="000000"/>
        </w:rPr>
        <w:t xml:space="preserve">En el cuadro, para la clase 3,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50"/>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3540</w:t>
            </w:r>
          </w:p>
        </w:tc>
        <w:tc>
          <w:tcPr>
            <w:tcW w:w="4850" w:type="dxa"/>
          </w:tcPr>
          <w:p w:rsidR="007A3AD0" w:rsidRPr="00B654DA" w:rsidRDefault="007A3AD0" w:rsidP="00DA583D">
            <w:pPr>
              <w:keepNext/>
              <w:keepLines/>
              <w:autoSpaceDE w:val="0"/>
              <w:autoSpaceDN w:val="0"/>
              <w:adjustRightInd w:val="0"/>
              <w:spacing w:before="40" w:after="40"/>
              <w:ind w:left="233" w:right="57" w:hanging="176"/>
              <w:rPr>
                <w:sz w:val="18"/>
                <w:szCs w:val="18"/>
              </w:rPr>
            </w:pPr>
            <w:r w:rsidRPr="00B654DA">
              <w:rPr>
                <w:sz w:val="18"/>
                <w:szCs w:val="18"/>
              </w:rPr>
              <w:t>ARTÍCULOS QUE CONTIENEN LÍQUIDOS INFLAMABLES, N.E.P.</w:t>
            </w:r>
          </w:p>
        </w:tc>
      </w:tr>
    </w:tbl>
    <w:p w:rsidR="007A3AD0" w:rsidRPr="00B654DA" w:rsidRDefault="007A3AD0" w:rsidP="00DA583D">
      <w:pPr>
        <w:pStyle w:val="SingleTxtG"/>
        <w:spacing w:before="200"/>
        <w:rPr>
          <w:color w:val="000000"/>
        </w:rPr>
      </w:pPr>
      <w:r w:rsidRPr="00B654DA">
        <w:rPr>
          <w:color w:val="000000"/>
        </w:rPr>
        <w:t xml:space="preserve">En el cuadro, para la clase 4, división 4.1,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50"/>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4.1</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3541</w:t>
            </w:r>
          </w:p>
        </w:tc>
        <w:tc>
          <w:tcPr>
            <w:tcW w:w="4850" w:type="dxa"/>
          </w:tcPr>
          <w:p w:rsidR="007A3AD0" w:rsidRPr="00B654DA" w:rsidRDefault="007A3AD0" w:rsidP="00DA583D">
            <w:pPr>
              <w:keepNext/>
              <w:keepLines/>
              <w:autoSpaceDE w:val="0"/>
              <w:autoSpaceDN w:val="0"/>
              <w:adjustRightInd w:val="0"/>
              <w:spacing w:before="40" w:after="40"/>
              <w:ind w:left="233" w:right="57" w:hanging="176"/>
              <w:rPr>
                <w:sz w:val="18"/>
                <w:szCs w:val="18"/>
              </w:rPr>
            </w:pPr>
            <w:r w:rsidRPr="00B654DA">
              <w:rPr>
                <w:sz w:val="18"/>
                <w:szCs w:val="18"/>
              </w:rPr>
              <w:t>ARTÍCULOS QUE CONTIENEN SÓLIDOS INFLAMABLES, N.E.P.</w:t>
            </w:r>
          </w:p>
        </w:tc>
      </w:tr>
    </w:tbl>
    <w:p w:rsidR="007A3AD0" w:rsidRPr="00B654DA" w:rsidRDefault="007A3AD0" w:rsidP="00DA583D">
      <w:pPr>
        <w:pStyle w:val="SingleTxtG"/>
        <w:spacing w:before="200"/>
        <w:rPr>
          <w:color w:val="000000"/>
        </w:rPr>
      </w:pPr>
      <w:r w:rsidRPr="00B654DA">
        <w:rPr>
          <w:color w:val="000000"/>
        </w:rPr>
        <w:t xml:space="preserve">En el cuadro, para la clase 4, división 4.2,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50"/>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4.2</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3542</w:t>
            </w:r>
          </w:p>
        </w:tc>
        <w:tc>
          <w:tcPr>
            <w:tcW w:w="4850" w:type="dxa"/>
          </w:tcPr>
          <w:p w:rsidR="007A3AD0" w:rsidRPr="00B654DA" w:rsidRDefault="007A3AD0" w:rsidP="00DA583D">
            <w:pPr>
              <w:keepNext/>
              <w:keepLines/>
              <w:autoSpaceDE w:val="0"/>
              <w:autoSpaceDN w:val="0"/>
              <w:adjustRightInd w:val="0"/>
              <w:spacing w:before="40" w:after="40"/>
              <w:ind w:left="233" w:right="57" w:hanging="176"/>
              <w:rPr>
                <w:sz w:val="18"/>
                <w:szCs w:val="18"/>
              </w:rPr>
            </w:pPr>
            <w:r w:rsidRPr="00B654DA">
              <w:rPr>
                <w:sz w:val="18"/>
                <w:szCs w:val="18"/>
              </w:rPr>
              <w:t>ARTÍCULOS QUE CONTIENEN SUSTANCIAS QUE PRESENTAN RIESGO DE COMBUSTIÓN ESPONTÁNEA, N.E.P.</w:t>
            </w:r>
          </w:p>
        </w:tc>
      </w:tr>
    </w:tbl>
    <w:p w:rsidR="007A3AD0" w:rsidRPr="00B654DA" w:rsidRDefault="007A3AD0" w:rsidP="00DA583D">
      <w:pPr>
        <w:pStyle w:val="SingleTxtG"/>
        <w:spacing w:before="200"/>
        <w:rPr>
          <w:color w:val="000000"/>
        </w:rPr>
      </w:pPr>
      <w:r w:rsidRPr="00B654DA">
        <w:rPr>
          <w:color w:val="000000"/>
        </w:rPr>
        <w:t xml:space="preserve">En el cuadro, para la clase 4, división 4.3,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36"/>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4.3</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3543</w:t>
            </w:r>
          </w:p>
        </w:tc>
        <w:tc>
          <w:tcPr>
            <w:tcW w:w="4836" w:type="dxa"/>
          </w:tcPr>
          <w:p w:rsidR="007A3AD0" w:rsidRPr="00B654DA" w:rsidRDefault="007A3AD0" w:rsidP="00DA583D">
            <w:pPr>
              <w:keepNext/>
              <w:keepLines/>
              <w:autoSpaceDE w:val="0"/>
              <w:autoSpaceDN w:val="0"/>
              <w:adjustRightInd w:val="0"/>
              <w:spacing w:before="40" w:after="40"/>
              <w:ind w:left="233" w:right="57" w:hanging="176"/>
              <w:rPr>
                <w:sz w:val="18"/>
                <w:szCs w:val="18"/>
              </w:rPr>
            </w:pPr>
            <w:r w:rsidRPr="00B654DA">
              <w:rPr>
                <w:sz w:val="18"/>
                <w:szCs w:val="18"/>
              </w:rPr>
              <w:t>ARTÍCULOS QUE CONTIENEN SUSTANCIAS QUE DESPRENDEN GASES INFLAMABLES EN CONTACTO CON EL AGUA, N.E.P.</w:t>
            </w:r>
          </w:p>
        </w:tc>
      </w:tr>
    </w:tbl>
    <w:p w:rsidR="007A3AD0" w:rsidRPr="00B654DA" w:rsidRDefault="007A3AD0" w:rsidP="00DA583D">
      <w:pPr>
        <w:pStyle w:val="SingleTxtG"/>
        <w:spacing w:before="200"/>
        <w:rPr>
          <w:color w:val="000000"/>
        </w:rPr>
      </w:pPr>
      <w:r w:rsidRPr="00B654DA">
        <w:rPr>
          <w:color w:val="000000"/>
        </w:rPr>
        <w:t xml:space="preserve">En el cuadro, para la clase 5, división 5.1,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36"/>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5.1</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3544</w:t>
            </w:r>
          </w:p>
        </w:tc>
        <w:tc>
          <w:tcPr>
            <w:tcW w:w="4836" w:type="dxa"/>
          </w:tcPr>
          <w:p w:rsidR="007A3AD0" w:rsidRPr="00B654DA" w:rsidRDefault="007A3AD0" w:rsidP="00DA583D">
            <w:pPr>
              <w:keepNext/>
              <w:keepLines/>
              <w:autoSpaceDE w:val="0"/>
              <w:autoSpaceDN w:val="0"/>
              <w:adjustRightInd w:val="0"/>
              <w:spacing w:before="40" w:after="40"/>
              <w:ind w:left="233" w:right="57" w:hanging="176"/>
              <w:rPr>
                <w:sz w:val="18"/>
                <w:szCs w:val="18"/>
              </w:rPr>
            </w:pPr>
            <w:r w:rsidRPr="00B654DA">
              <w:rPr>
                <w:sz w:val="18"/>
                <w:szCs w:val="18"/>
              </w:rPr>
              <w:t>ARTÍCULOS QUE CONTIENEN SUSTANCIAS COMBURENTES, N.E.P.</w:t>
            </w:r>
          </w:p>
        </w:tc>
      </w:tr>
    </w:tbl>
    <w:p w:rsidR="007A3AD0" w:rsidRPr="00B654DA" w:rsidRDefault="007A3AD0" w:rsidP="00DA583D">
      <w:pPr>
        <w:pStyle w:val="SingleTxtG"/>
        <w:keepNext/>
        <w:keepLines/>
        <w:spacing w:before="120"/>
        <w:rPr>
          <w:color w:val="000000"/>
        </w:rPr>
      </w:pPr>
      <w:r w:rsidRPr="00B654DA">
        <w:rPr>
          <w:color w:val="000000"/>
        </w:rPr>
        <w:lastRenderedPageBreak/>
        <w:t xml:space="preserve">En el cuadro, para la clase 5, división 5.2, después de </w:t>
      </w:r>
      <w:r w:rsidR="00A069C9">
        <w:rPr>
          <w:color w:val="000000"/>
        </w:rPr>
        <w:t>“</w:t>
      </w:r>
      <w:r w:rsidRPr="00B654DA">
        <w:rPr>
          <w:color w:val="000000"/>
        </w:rPr>
        <w:t>Epígrafes específicos</w:t>
      </w:r>
      <w:r w:rsidR="00A069C9">
        <w:rPr>
          <w:color w:val="000000"/>
        </w:rPr>
        <w:t>”</w:t>
      </w:r>
      <w:r w:rsidRPr="00B654DA">
        <w:rPr>
          <w:color w:val="000000"/>
        </w:rPr>
        <w:t xml:space="preserve"> añádase una nueva sección de </w:t>
      </w:r>
      <w:r w:rsidR="00A069C9">
        <w:rPr>
          <w:color w:val="000000"/>
        </w:rPr>
        <w:t>“</w:t>
      </w:r>
      <w:r w:rsidRPr="00B654DA">
        <w:rPr>
          <w:color w:val="000000"/>
        </w:rPr>
        <w:t>Epígrafes generales</w:t>
      </w:r>
      <w:r w:rsidR="00A069C9">
        <w:rPr>
          <w:color w:val="000000"/>
        </w:rPr>
        <w:t>”</w:t>
      </w:r>
      <w:r w:rsidRPr="00B654DA">
        <w:rPr>
          <w:color w:val="000000"/>
        </w:rPr>
        <w:t xml:space="preserve"> con la nueva entrada siguiente:</w:t>
      </w:r>
    </w:p>
    <w:tbl>
      <w:tblPr>
        <w:tblW w:w="85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78"/>
      </w:tblGrid>
      <w:tr w:rsidR="007A3AD0" w:rsidRPr="00B654DA" w:rsidTr="00DA583D">
        <w:tc>
          <w:tcPr>
            <w:tcW w:w="1242" w:type="dxa"/>
          </w:tcPr>
          <w:p w:rsidR="007A3AD0" w:rsidRPr="00B654DA" w:rsidRDefault="007A3AD0" w:rsidP="00DA583D">
            <w:pPr>
              <w:keepNext/>
              <w:keepLines/>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5.2</w:t>
            </w:r>
          </w:p>
        </w:tc>
        <w:tc>
          <w:tcPr>
            <w:tcW w:w="1276" w:type="dxa"/>
          </w:tcPr>
          <w:p w:rsidR="007A3AD0" w:rsidRPr="00B654DA" w:rsidRDefault="007A3AD0" w:rsidP="00DA583D">
            <w:pPr>
              <w:keepNext/>
              <w:keepLines/>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keepNext/>
              <w:keepLines/>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3545</w:t>
            </w:r>
          </w:p>
        </w:tc>
        <w:tc>
          <w:tcPr>
            <w:tcW w:w="4878" w:type="dxa"/>
          </w:tcPr>
          <w:p w:rsidR="007A3AD0" w:rsidRPr="00B654DA" w:rsidRDefault="007A3AD0" w:rsidP="00DA583D">
            <w:pPr>
              <w:keepNext/>
              <w:keepLines/>
              <w:autoSpaceDE w:val="0"/>
              <w:autoSpaceDN w:val="0"/>
              <w:adjustRightInd w:val="0"/>
              <w:spacing w:before="40" w:after="40"/>
              <w:ind w:left="233" w:right="57" w:hanging="176"/>
              <w:rPr>
                <w:sz w:val="18"/>
                <w:szCs w:val="18"/>
              </w:rPr>
            </w:pPr>
            <w:r w:rsidRPr="00B654DA">
              <w:rPr>
                <w:sz w:val="18"/>
                <w:szCs w:val="18"/>
              </w:rPr>
              <w:t>ARTÍCULOS QUE CONTIENEN PERÓXIDOS ORGÁNICOS, N.E.P.</w:t>
            </w:r>
          </w:p>
        </w:tc>
      </w:tr>
    </w:tbl>
    <w:p w:rsidR="007A3AD0" w:rsidRPr="00B654DA" w:rsidRDefault="007A3AD0" w:rsidP="00DA583D">
      <w:pPr>
        <w:pStyle w:val="SingleTxtG"/>
        <w:spacing w:before="200"/>
        <w:rPr>
          <w:color w:val="000000"/>
        </w:rPr>
      </w:pPr>
      <w:r w:rsidRPr="00B654DA">
        <w:rPr>
          <w:color w:val="000000"/>
        </w:rPr>
        <w:t xml:space="preserve">En el cuadro, para la clase 6, división 6.1, bajo </w:t>
      </w:r>
      <w:r w:rsidR="00A069C9">
        <w:rPr>
          <w:color w:val="000000"/>
        </w:rPr>
        <w:t>“</w:t>
      </w:r>
      <w:r w:rsidRPr="00B654DA">
        <w:rPr>
          <w:color w:val="000000"/>
        </w:rPr>
        <w:t>Epígrafes generales</w:t>
      </w:r>
      <w:r w:rsidR="00A069C9">
        <w:rPr>
          <w:color w:val="000000"/>
        </w:rPr>
        <w:t>”</w:t>
      </w:r>
      <w:r w:rsidRPr="00B654DA">
        <w:rPr>
          <w:color w:val="000000"/>
        </w:rPr>
        <w:t>, añádanse las nuevas entradas siguientes:</w:t>
      </w:r>
    </w:p>
    <w:tbl>
      <w:tblPr>
        <w:tblW w:w="85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1252"/>
        <w:gridCol w:w="1109"/>
        <w:gridCol w:w="4964"/>
      </w:tblGrid>
      <w:tr w:rsidR="007A3AD0" w:rsidRPr="00B654DA" w:rsidTr="00DA583D">
        <w:tc>
          <w:tcPr>
            <w:tcW w:w="1205"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6.1</w:t>
            </w:r>
          </w:p>
        </w:tc>
        <w:tc>
          <w:tcPr>
            <w:tcW w:w="125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4.1</w:t>
            </w:r>
          </w:p>
        </w:tc>
        <w:tc>
          <w:tcPr>
            <w:tcW w:w="1109"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3535</w:t>
            </w:r>
          </w:p>
        </w:tc>
        <w:tc>
          <w:tcPr>
            <w:tcW w:w="4964" w:type="dxa"/>
          </w:tcPr>
          <w:p w:rsidR="007A3AD0" w:rsidRPr="00B654DA" w:rsidRDefault="007A3AD0" w:rsidP="00DA583D">
            <w:pPr>
              <w:keepNext/>
              <w:keepLines/>
              <w:autoSpaceDE w:val="0"/>
              <w:autoSpaceDN w:val="0"/>
              <w:adjustRightInd w:val="0"/>
              <w:spacing w:before="40" w:after="40"/>
              <w:ind w:left="233" w:right="57" w:hanging="176"/>
              <w:rPr>
                <w:color w:val="000000"/>
                <w:sz w:val="18"/>
                <w:szCs w:val="18"/>
              </w:rPr>
            </w:pPr>
            <w:r w:rsidRPr="00B654DA">
              <w:rPr>
                <w:sz w:val="18"/>
                <w:szCs w:val="18"/>
              </w:rPr>
              <w:t>ARTÍCULOS QUE CONTIENEN SUSTANCIAS TÓXICAS, INFLAMABLES, INORGÁNICAS, N.E.P</w:t>
            </w:r>
          </w:p>
        </w:tc>
      </w:tr>
      <w:tr w:rsidR="007A3AD0" w:rsidRPr="00B654DA" w:rsidTr="00DA583D">
        <w:tc>
          <w:tcPr>
            <w:tcW w:w="1205"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6.1</w:t>
            </w:r>
          </w:p>
        </w:tc>
        <w:tc>
          <w:tcPr>
            <w:tcW w:w="125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09"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3546</w:t>
            </w:r>
          </w:p>
        </w:tc>
        <w:tc>
          <w:tcPr>
            <w:tcW w:w="4964" w:type="dxa"/>
          </w:tcPr>
          <w:p w:rsidR="007A3AD0" w:rsidRPr="00B654DA" w:rsidRDefault="007A3AD0" w:rsidP="00DA583D">
            <w:pPr>
              <w:keepNext/>
              <w:keepLines/>
              <w:autoSpaceDE w:val="0"/>
              <w:autoSpaceDN w:val="0"/>
              <w:adjustRightInd w:val="0"/>
              <w:spacing w:before="40" w:after="40"/>
              <w:ind w:left="233" w:right="57" w:hanging="176"/>
              <w:rPr>
                <w:color w:val="000000"/>
                <w:sz w:val="18"/>
                <w:szCs w:val="18"/>
              </w:rPr>
            </w:pPr>
            <w:r w:rsidRPr="00B654DA">
              <w:rPr>
                <w:sz w:val="18"/>
                <w:szCs w:val="18"/>
              </w:rPr>
              <w:t>ARTÍCULOS QUE CONTIENEN SUSTANCIAS TÓXICAS, N.E.P.</w:t>
            </w:r>
          </w:p>
        </w:tc>
      </w:tr>
    </w:tbl>
    <w:p w:rsidR="007A3AD0" w:rsidRPr="00B654DA" w:rsidRDefault="007A3AD0" w:rsidP="00DA583D">
      <w:pPr>
        <w:pStyle w:val="SingleTxtG"/>
        <w:spacing w:before="200"/>
        <w:rPr>
          <w:color w:val="000000"/>
        </w:rPr>
      </w:pPr>
      <w:r w:rsidRPr="00B654DA">
        <w:rPr>
          <w:color w:val="000000"/>
        </w:rPr>
        <w:t xml:space="preserve">En el cuadro, para la clase 8, bajo </w:t>
      </w:r>
      <w:r w:rsidR="00A069C9">
        <w:rPr>
          <w:color w:val="000000"/>
        </w:rPr>
        <w:t>“</w:t>
      </w:r>
      <w:r w:rsidRPr="00B654DA">
        <w:rPr>
          <w:color w:val="000000"/>
        </w:rPr>
        <w:t>Epígrafes generales</w:t>
      </w:r>
      <w:r w:rsidR="00A069C9">
        <w:rPr>
          <w:color w:val="000000"/>
        </w:rPr>
        <w:t>”</w:t>
      </w:r>
      <w:r w:rsidRPr="00B654DA">
        <w:rPr>
          <w:color w:val="000000"/>
        </w:rPr>
        <w:t>, añádase la nueva entrada siguiente:</w:t>
      </w:r>
    </w:p>
    <w:tbl>
      <w:tblPr>
        <w:tblW w:w="85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78"/>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8</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3547</w:t>
            </w:r>
          </w:p>
        </w:tc>
        <w:tc>
          <w:tcPr>
            <w:tcW w:w="4878" w:type="dxa"/>
          </w:tcPr>
          <w:p w:rsidR="007A3AD0" w:rsidRPr="00B654DA" w:rsidRDefault="007A3AD0" w:rsidP="00DA583D">
            <w:pPr>
              <w:keepNext/>
              <w:keepLines/>
              <w:autoSpaceDE w:val="0"/>
              <w:autoSpaceDN w:val="0"/>
              <w:adjustRightInd w:val="0"/>
              <w:spacing w:before="40" w:after="40"/>
              <w:ind w:left="233" w:right="57" w:hanging="176"/>
              <w:rPr>
                <w:color w:val="000000"/>
                <w:sz w:val="18"/>
                <w:szCs w:val="18"/>
              </w:rPr>
            </w:pPr>
            <w:r w:rsidRPr="00B654DA">
              <w:rPr>
                <w:sz w:val="18"/>
                <w:szCs w:val="18"/>
              </w:rPr>
              <w:t>ARTÍCULOS QUE CONTIENEN SUSTANCIAS CORROSIVAS, N.E.P.</w:t>
            </w:r>
          </w:p>
        </w:tc>
      </w:tr>
    </w:tbl>
    <w:p w:rsidR="007A3AD0" w:rsidRPr="00B654DA" w:rsidRDefault="007A3AD0" w:rsidP="00DA583D">
      <w:pPr>
        <w:pStyle w:val="SingleTxtG"/>
        <w:spacing w:before="200"/>
        <w:rPr>
          <w:color w:val="000000"/>
        </w:rPr>
      </w:pPr>
      <w:r w:rsidRPr="00B654DA">
        <w:rPr>
          <w:color w:val="000000"/>
        </w:rPr>
        <w:t xml:space="preserve">En el cuadro, para la clase 9, bajo </w:t>
      </w:r>
      <w:r w:rsidR="00A069C9">
        <w:rPr>
          <w:color w:val="000000"/>
        </w:rPr>
        <w:t>“</w:t>
      </w:r>
      <w:r w:rsidRPr="00B654DA">
        <w:rPr>
          <w:color w:val="000000"/>
        </w:rPr>
        <w:t>Epígrafes generales</w:t>
      </w:r>
      <w:r w:rsidR="00A069C9">
        <w:rPr>
          <w:color w:val="000000"/>
        </w:rPr>
        <w:t>”</w:t>
      </w:r>
      <w:r w:rsidRPr="00B654DA">
        <w:rPr>
          <w:color w:val="000000"/>
        </w:rPr>
        <w:t>, añádase el nuevo epígrafe siguiente:</w:t>
      </w:r>
    </w:p>
    <w:tbl>
      <w:tblPr>
        <w:tblW w:w="85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276"/>
        <w:gridCol w:w="1134"/>
        <w:gridCol w:w="4864"/>
      </w:tblGrid>
      <w:tr w:rsidR="007A3AD0" w:rsidRPr="00B654DA" w:rsidTr="00DA583D">
        <w:tc>
          <w:tcPr>
            <w:tcW w:w="1242"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9</w:t>
            </w:r>
          </w:p>
        </w:tc>
        <w:tc>
          <w:tcPr>
            <w:tcW w:w="1276"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Véase 2.0.5.6</w:t>
            </w:r>
          </w:p>
        </w:tc>
        <w:tc>
          <w:tcPr>
            <w:tcW w:w="1134" w:type="dxa"/>
          </w:tcPr>
          <w:p w:rsidR="007A3AD0" w:rsidRPr="00B654DA" w:rsidRDefault="007A3AD0" w:rsidP="00DA583D">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before="40" w:after="40"/>
              <w:jc w:val="center"/>
              <w:rPr>
                <w:color w:val="000000"/>
              </w:rPr>
            </w:pPr>
            <w:r w:rsidRPr="00B654DA">
              <w:rPr>
                <w:color w:val="000000"/>
              </w:rPr>
              <w:t>3548</w:t>
            </w:r>
          </w:p>
        </w:tc>
        <w:tc>
          <w:tcPr>
            <w:tcW w:w="4864" w:type="dxa"/>
          </w:tcPr>
          <w:p w:rsidR="007A3AD0" w:rsidRPr="00B654DA" w:rsidRDefault="007A3AD0" w:rsidP="00DA583D">
            <w:pPr>
              <w:keepNext/>
              <w:keepLines/>
              <w:autoSpaceDE w:val="0"/>
              <w:autoSpaceDN w:val="0"/>
              <w:adjustRightInd w:val="0"/>
              <w:spacing w:before="40" w:after="40"/>
              <w:ind w:left="233" w:right="57" w:hanging="176"/>
              <w:rPr>
                <w:color w:val="000000"/>
                <w:sz w:val="18"/>
                <w:szCs w:val="18"/>
              </w:rPr>
            </w:pPr>
            <w:r w:rsidRPr="00B654DA">
              <w:rPr>
                <w:sz w:val="18"/>
                <w:szCs w:val="18"/>
              </w:rPr>
              <w:t>ARTÍCULOS QUE CONTIENEN MERCA</w:t>
            </w:r>
            <w:r w:rsidR="00EA15A5">
              <w:rPr>
                <w:sz w:val="18"/>
                <w:szCs w:val="18"/>
              </w:rPr>
              <w:t>N</w:t>
            </w:r>
            <w:r w:rsidRPr="00B654DA">
              <w:rPr>
                <w:sz w:val="18"/>
                <w:szCs w:val="18"/>
              </w:rPr>
              <w:t>CÍAS PELIGROSAS DIVERSAS, N.E.P.</w:t>
            </w:r>
          </w:p>
        </w:tc>
      </w:tr>
    </w:tbl>
    <w:p w:rsidR="007A3AD0" w:rsidRPr="00B654DA" w:rsidRDefault="007A3AD0" w:rsidP="007A3AD0">
      <w:pPr>
        <w:pStyle w:val="H1G"/>
      </w:pPr>
      <w:r w:rsidRPr="00B654DA">
        <w:tab/>
      </w:r>
      <w:r w:rsidRPr="00B654DA">
        <w:tab/>
        <w:t>Apéndice B</w:t>
      </w:r>
    </w:p>
    <w:p w:rsidR="007A3AD0" w:rsidRPr="00B654DA" w:rsidRDefault="007A3AD0" w:rsidP="007A3AD0">
      <w:pPr>
        <w:pStyle w:val="SingleTxtG"/>
      </w:pPr>
      <w:r w:rsidRPr="00B654DA">
        <w:t xml:space="preserve">En la definición de </w:t>
      </w:r>
      <w:r w:rsidR="00A069C9">
        <w:t>“</w:t>
      </w:r>
      <w:r w:rsidRPr="00B654DA">
        <w:t>Cebado (medios de)</w:t>
      </w:r>
      <w:r w:rsidR="00A069C9">
        <w:t>”</w:t>
      </w:r>
      <w:r w:rsidRPr="00B654DA">
        <w:t xml:space="preserve">, en 2), sustitúyase por </w:t>
      </w:r>
      <w:r w:rsidR="00A069C9">
        <w:t>“</w:t>
      </w:r>
      <w:r w:rsidRPr="00B654DA">
        <w:t>riesgo considerable</w:t>
      </w:r>
      <w:r w:rsidR="00A069C9">
        <w:t>”</w:t>
      </w:r>
      <w:r w:rsidRPr="00B654DA">
        <w:t xml:space="preserve"> por </w:t>
      </w:r>
      <w:r w:rsidR="00A069C9">
        <w:t>“</w:t>
      </w:r>
      <w:r w:rsidRPr="00B654DA">
        <w:t>peligro considerable</w:t>
      </w:r>
      <w:r w:rsidR="00A069C9">
        <w:t>”</w:t>
      </w:r>
      <w:r w:rsidRPr="00B654DA">
        <w:t>.</w:t>
      </w:r>
    </w:p>
    <w:p w:rsidR="007A3AD0" w:rsidRPr="00B654DA" w:rsidRDefault="007A3AD0" w:rsidP="007A3AD0">
      <w:pPr>
        <w:pStyle w:val="SingleTxtG"/>
      </w:pPr>
      <w:r w:rsidRPr="00B654DA">
        <w:t xml:space="preserve">En la definición de </w:t>
      </w:r>
      <w:r w:rsidR="00A069C9" w:rsidRPr="00DA583D">
        <w:rPr>
          <w:b/>
          <w:i/>
        </w:rPr>
        <w:t>“</w:t>
      </w:r>
      <w:r w:rsidRPr="00DA583D">
        <w:rPr>
          <w:b/>
          <w:i/>
        </w:rPr>
        <w:t>CARTUCHOS PARA ARMAS, CON PROYECTIL INERTE</w:t>
      </w:r>
      <w:r w:rsidR="00A069C9" w:rsidRPr="00DA583D">
        <w:rPr>
          <w:b/>
          <w:i/>
        </w:rPr>
        <w:t>”</w:t>
      </w:r>
      <w:r w:rsidRPr="00B654DA">
        <w:t xml:space="preserve">,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En la definición de</w:t>
      </w:r>
      <w:r w:rsidR="00A069C9">
        <w:t>”</w:t>
      </w:r>
      <w:r w:rsidRPr="00B654DA">
        <w:t xml:space="preserve"> </w:t>
      </w:r>
      <w:r w:rsidR="00DA583D">
        <w:rPr>
          <w:b/>
          <w:i/>
        </w:rPr>
        <w:t>“</w:t>
      </w:r>
      <w:r w:rsidRPr="00B654DA">
        <w:rPr>
          <w:b/>
          <w:bCs/>
          <w:i/>
          <w:iCs/>
        </w:rPr>
        <w:t>SUSTANCIAS EXPLOSIVAS MUY INSENSIBLES (SUSTANCIAS EMI) N.E.P.</w:t>
      </w:r>
      <w:r w:rsidR="00A069C9" w:rsidRPr="00DA583D">
        <w:rPr>
          <w:b/>
          <w:i/>
        </w:rPr>
        <w:t>”</w:t>
      </w:r>
      <w:r w:rsidRPr="00B654DA">
        <w:t xml:space="preserve">, sustitúyase </w:t>
      </w:r>
      <w:r w:rsidR="00A069C9">
        <w:t>“</w:t>
      </w:r>
      <w:r w:rsidRPr="00B654DA">
        <w:t>riesgo</w:t>
      </w:r>
      <w:r w:rsidR="00A069C9">
        <w:t>”</w:t>
      </w:r>
      <w:r w:rsidRPr="00B654DA">
        <w:t xml:space="preserve"> por </w:t>
      </w:r>
      <w:r w:rsidR="00A069C9">
        <w:t>“</w:t>
      </w:r>
      <w:r w:rsidRPr="00B654DA">
        <w:rPr>
          <w:spacing w:val="-2"/>
        </w:rPr>
        <w:t>peligro</w:t>
      </w:r>
      <w:r w:rsidR="00A069C9">
        <w:t>”</w:t>
      </w:r>
      <w:r w:rsidRPr="00B654DA">
        <w:t>.</w:t>
      </w:r>
    </w:p>
    <w:p w:rsidR="007A3AD0" w:rsidRPr="00B654DA" w:rsidRDefault="007A3AD0" w:rsidP="007A3AD0">
      <w:pPr>
        <w:pStyle w:val="H1G"/>
      </w:pPr>
      <w:r w:rsidRPr="00B654DA">
        <w:tab/>
      </w:r>
      <w:r w:rsidRPr="00B654DA">
        <w:tab/>
        <w:t>Capítulo 4.1</w:t>
      </w:r>
    </w:p>
    <w:p w:rsidR="007A3AD0" w:rsidRPr="00B654DA" w:rsidRDefault="007A3AD0" w:rsidP="007A3AD0">
      <w:pPr>
        <w:pStyle w:val="SingleTxtG"/>
        <w:rPr>
          <w:rStyle w:val="Strong"/>
          <w:b w:val="0"/>
          <w:bCs w:val="0"/>
        </w:rPr>
      </w:pPr>
      <w:r w:rsidRPr="00B654DA">
        <w:t>4.1.1.11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rPr>
          <w:bCs/>
        </w:rPr>
      </w:pPr>
      <w:r w:rsidRPr="00B654DA">
        <w:t>4.1.3.8.1</w:t>
      </w:r>
      <w:r w:rsidRPr="00B654DA">
        <w:tab/>
        <w:t>No se aplica al texto español.</w:t>
      </w:r>
    </w:p>
    <w:p w:rsidR="007A3AD0" w:rsidRPr="00B654DA" w:rsidRDefault="007A3AD0" w:rsidP="00F503F1">
      <w:pPr>
        <w:pStyle w:val="SingleTxtG"/>
        <w:tabs>
          <w:tab w:val="left" w:pos="5245"/>
        </w:tabs>
        <w:rPr>
          <w:bCs/>
        </w:rPr>
      </w:pPr>
      <w:r w:rsidRPr="00B654DA">
        <w:t>4.1.4.1</w:t>
      </w:r>
      <w:r w:rsidR="00F503F1">
        <w:t>, i</w:t>
      </w:r>
      <w:r w:rsidRPr="00B654DA">
        <w:t>nstrucción de embalaje/envasado P001</w:t>
      </w:r>
      <w:r w:rsidRPr="00B654DA">
        <w:tab/>
        <w:t xml:space="preserve">En el epígrafe </w:t>
      </w:r>
      <w:r w:rsidR="00A069C9">
        <w:t>“</w:t>
      </w:r>
      <w:r w:rsidRPr="00B654DA">
        <w:t>Embalajes/envases compuestos</w:t>
      </w:r>
      <w:r w:rsidR="00A069C9">
        <w:t>”</w:t>
      </w:r>
      <w:r w:rsidRPr="00B654DA">
        <w:t xml:space="preserve">, en la primera línea, después de </w:t>
      </w:r>
      <w:r w:rsidR="00A069C9">
        <w:t>“</w:t>
      </w:r>
      <w:r w:rsidRPr="00B654DA">
        <w:t>Recipiente de plástico con bidón exterior de acero o de aluminio (6HA1, 6HB1)</w:t>
      </w:r>
      <w:r w:rsidR="00A069C9">
        <w:t>”</w:t>
      </w:r>
      <w:r w:rsidRPr="00B654DA">
        <w:t xml:space="preserve"> añádase </w:t>
      </w:r>
      <w:r w:rsidR="00A069C9">
        <w:t>“</w:t>
      </w:r>
      <w:r w:rsidRPr="00B654DA">
        <w:t>o bidón de plástico</w:t>
      </w:r>
      <w:r w:rsidR="00A069C9">
        <w:t>”</w:t>
      </w:r>
      <w:r w:rsidRPr="00B654DA">
        <w:t xml:space="preserve"> y</w:t>
      </w:r>
      <w:r w:rsidR="00965478">
        <w:t xml:space="preserve"> </w:t>
      </w:r>
      <w:r w:rsidRPr="00B654DA">
        <w:t xml:space="preserve">después de </w:t>
      </w:r>
      <w:r w:rsidR="00A069C9">
        <w:t>“</w:t>
      </w:r>
      <w:r w:rsidRPr="00B654DA">
        <w:t>6HB1</w:t>
      </w:r>
      <w:r w:rsidR="00A069C9">
        <w:t>”</w:t>
      </w:r>
      <w:r w:rsidRPr="00B654DA">
        <w:t xml:space="preserve"> añádase </w:t>
      </w:r>
      <w:r w:rsidR="00A069C9">
        <w:t>“</w:t>
      </w:r>
      <w:r w:rsidRPr="00B654DA">
        <w:t>6HH1</w:t>
      </w:r>
      <w:r w:rsidR="00A069C9">
        <w:t>”</w:t>
      </w:r>
      <w:r w:rsidRPr="00B654DA">
        <w:t>.</w:t>
      </w:r>
    </w:p>
    <w:p w:rsidR="007A3AD0" w:rsidRPr="00B654DA" w:rsidRDefault="007A3AD0" w:rsidP="00F503F1">
      <w:pPr>
        <w:pStyle w:val="SingleTxtG"/>
        <w:tabs>
          <w:tab w:val="left" w:pos="5245"/>
        </w:tabs>
      </w:pPr>
      <w:r w:rsidRPr="00B654DA">
        <w:t>4.1.4.1</w:t>
      </w:r>
      <w:r w:rsidR="00F503F1">
        <w:t>, i</w:t>
      </w:r>
      <w:r w:rsidRPr="00B654DA">
        <w:t>nstrucción de embalaje/envasado P001</w:t>
      </w:r>
      <w:r w:rsidRPr="00B654DA">
        <w:tab/>
        <w:t xml:space="preserve">En el epígrafe </w:t>
      </w:r>
      <w:r w:rsidR="00A069C9">
        <w:t>“</w:t>
      </w:r>
      <w:r w:rsidRPr="00B654DA">
        <w:t>Embalajes/envases compuestos</w:t>
      </w:r>
      <w:r w:rsidR="00A069C9">
        <w:t>”</w:t>
      </w:r>
      <w:r w:rsidRPr="00B654DA">
        <w:t xml:space="preserve">, en la segunda línea, después de </w:t>
      </w:r>
      <w:r w:rsidR="00A069C9">
        <w:t>“</w:t>
      </w:r>
      <w:r w:rsidRPr="00B654DA">
        <w:t>cartón</w:t>
      </w:r>
      <w:r w:rsidR="00A069C9">
        <w:t>”</w:t>
      </w:r>
      <w:r w:rsidRPr="00B654DA">
        <w:t xml:space="preserve"> suprímase </w:t>
      </w:r>
      <w:r w:rsidR="00A069C9">
        <w:t>“</w:t>
      </w:r>
      <w:r w:rsidRPr="00B654DA">
        <w:t>, de plástico</w:t>
      </w:r>
      <w:r w:rsidR="00A069C9">
        <w:t>”</w:t>
      </w:r>
      <w:r w:rsidRPr="00B654DA">
        <w:t xml:space="preserve">. Después de </w:t>
      </w:r>
      <w:r w:rsidR="00A069C9">
        <w:t>“</w:t>
      </w:r>
      <w:r w:rsidRPr="00B654DA">
        <w:t>6HG1</w:t>
      </w:r>
      <w:r w:rsidR="00A069C9">
        <w:t>”</w:t>
      </w:r>
      <w:r w:rsidRPr="00B654DA">
        <w:t xml:space="preserve">, suprímase </w:t>
      </w:r>
      <w:r w:rsidR="00A069C9">
        <w:t>“</w:t>
      </w:r>
      <w:r w:rsidRPr="00B654DA">
        <w:t>6HH1</w:t>
      </w:r>
      <w:r w:rsidR="00A069C9">
        <w:t>”</w:t>
      </w:r>
      <w:r w:rsidRPr="00B654DA">
        <w:t>.</w:t>
      </w:r>
    </w:p>
    <w:p w:rsidR="007A3AD0" w:rsidRPr="00B654DA" w:rsidRDefault="007A3AD0" w:rsidP="00F503F1">
      <w:pPr>
        <w:pStyle w:val="SingleTxtG"/>
        <w:tabs>
          <w:tab w:val="left" w:pos="5245"/>
        </w:tabs>
      </w:pPr>
      <w:r w:rsidRPr="00B654DA">
        <w:t>4.1.4.1</w:t>
      </w:r>
      <w:r w:rsidR="00F503F1">
        <w:t>, i</w:t>
      </w:r>
      <w:r w:rsidRPr="00B654DA">
        <w:t>nstrucción de embalaje/envasado P101</w:t>
      </w:r>
      <w:r w:rsidRPr="00B654DA">
        <w:tab/>
        <w:t>No se aplica al texto español.</w:t>
      </w:r>
    </w:p>
    <w:p w:rsidR="007A3AD0" w:rsidRPr="00B654DA" w:rsidRDefault="007A3AD0" w:rsidP="007A3AD0">
      <w:pPr>
        <w:pStyle w:val="SingleTxtG"/>
        <w:tabs>
          <w:tab w:val="left" w:pos="1854"/>
        </w:tabs>
      </w:pPr>
      <w:r w:rsidRPr="00B654DA">
        <w:t xml:space="preserve">La nota </w:t>
      </w:r>
      <w:r w:rsidRPr="00F503F1">
        <w:rPr>
          <w:b/>
          <w:vertAlign w:val="superscript"/>
        </w:rPr>
        <w:t>a</w:t>
      </w:r>
      <w:r w:rsidRPr="00B654DA">
        <w:t xml:space="preserve"> del cuadro debe decir:</w:t>
      </w:r>
    </w:p>
    <w:p w:rsidR="007A3AD0" w:rsidRPr="00B654DA" w:rsidRDefault="00A069C9" w:rsidP="007A3AD0">
      <w:pPr>
        <w:pStyle w:val="SingleTxtG"/>
        <w:tabs>
          <w:tab w:val="left" w:pos="1854"/>
        </w:tabs>
        <w:rPr>
          <w:i/>
          <w:iCs/>
        </w:rPr>
      </w:pPr>
      <w:r w:rsidRPr="00DA583D">
        <w:rPr>
          <w:i/>
        </w:rPr>
        <w:t>“</w:t>
      </w:r>
      <w:r w:rsidR="007A3AD0" w:rsidRPr="00DA583D">
        <w:rPr>
          <w:b/>
          <w:vertAlign w:val="superscript"/>
        </w:rPr>
        <w:t>a</w:t>
      </w:r>
      <w:r w:rsidR="007A3AD0" w:rsidRPr="00B654DA">
        <w:tab/>
      </w:r>
      <w:r w:rsidR="007A3AD0" w:rsidRPr="00B654DA">
        <w:rPr>
          <w:i/>
        </w:rPr>
        <w:t>El signo distintivo del Estado de matriculación utilizado en los automóviles y los remolques en el tráfico</w:t>
      </w:r>
      <w:r w:rsidR="00965478">
        <w:rPr>
          <w:i/>
        </w:rPr>
        <w:t xml:space="preserve"> </w:t>
      </w:r>
      <w:r w:rsidR="007A3AD0" w:rsidRPr="00B654DA">
        <w:rPr>
          <w:i/>
        </w:rPr>
        <w:t>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F503F1">
      <w:pPr>
        <w:pStyle w:val="SingleTxtG"/>
        <w:tabs>
          <w:tab w:val="left" w:pos="5245"/>
        </w:tabs>
      </w:pPr>
      <w:r w:rsidRPr="00B654DA">
        <w:t>4.1.4.1</w:t>
      </w:r>
      <w:r w:rsidR="00F503F1">
        <w:t>, i</w:t>
      </w:r>
      <w:r w:rsidRPr="00B654DA">
        <w:t>nstrucción de embalaje/envasado P200</w:t>
      </w:r>
      <w:r w:rsidRPr="00B654DA">
        <w:tab/>
        <w:t xml:space="preserve">En el encabezamiento de la columna 4 de los cuadros 1, 2 y 3,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tabs>
          <w:tab w:val="left" w:pos="1985"/>
        </w:tabs>
      </w:pPr>
      <w:r w:rsidRPr="00B654DA">
        <w:lastRenderedPageBreak/>
        <w:t>4.1.4.1</w:t>
      </w:r>
      <w:r w:rsidR="00F503F1">
        <w:t>, i</w:t>
      </w:r>
      <w:r w:rsidRPr="00B654DA">
        <w:t>nstrucción de embalaje/envasado P200, apartado 3 e)</w:t>
      </w:r>
      <w:r w:rsidRPr="00B654DA">
        <w:tab/>
        <w:t>Modifíquese como sigue:</w:t>
      </w:r>
    </w:p>
    <w:p w:rsidR="007A3AD0" w:rsidRPr="00B654DA" w:rsidRDefault="007A3AD0" w:rsidP="00F503F1">
      <w:pPr>
        <w:pStyle w:val="SingleTxtG"/>
        <w:tabs>
          <w:tab w:val="left" w:pos="1985"/>
        </w:tabs>
        <w:ind w:left="1778"/>
      </w:pPr>
      <w:r w:rsidRPr="00B654DA">
        <w:t xml:space="preserve">En el primer párrafo, sustitúyase </w:t>
      </w:r>
      <w:r w:rsidR="00A069C9">
        <w:t>“</w:t>
      </w:r>
      <w:r w:rsidRPr="00B654DA">
        <w:t>la fase líquida</w:t>
      </w:r>
      <w:r w:rsidR="00A069C9">
        <w:t>”</w:t>
      </w:r>
      <w:r w:rsidRPr="00B654DA">
        <w:t xml:space="preserve"> por </w:t>
      </w:r>
      <w:r w:rsidR="00A069C9">
        <w:t>“</w:t>
      </w:r>
      <w:r w:rsidRPr="00B654DA">
        <w:t>el gas licuado</w:t>
      </w:r>
      <w:r w:rsidR="00A069C9">
        <w:t>”</w:t>
      </w:r>
      <w:r w:rsidRPr="00B654DA">
        <w:t>.</w:t>
      </w:r>
    </w:p>
    <w:p w:rsidR="007A3AD0" w:rsidRPr="00B654DA" w:rsidRDefault="007A3AD0" w:rsidP="00F503F1">
      <w:pPr>
        <w:pStyle w:val="SingleTxtG"/>
        <w:tabs>
          <w:tab w:val="left" w:pos="1985"/>
        </w:tabs>
        <w:ind w:left="1778"/>
      </w:pPr>
      <w:r w:rsidRPr="00B654DA">
        <w:t xml:space="preserve">En el inciso i), sustitúyase </w:t>
      </w:r>
      <w:r w:rsidR="00A069C9">
        <w:t>“</w:t>
      </w:r>
      <w:r w:rsidRPr="00B654DA">
        <w:t>componente líquido</w:t>
      </w:r>
      <w:r w:rsidR="00A069C9">
        <w:t>”</w:t>
      </w:r>
      <w:r w:rsidRPr="00B654DA">
        <w:t xml:space="preserve"> por </w:t>
      </w:r>
      <w:r w:rsidR="00A069C9">
        <w:t>“</w:t>
      </w:r>
      <w:r w:rsidRPr="00B654DA">
        <w:t>gas licuado</w:t>
      </w:r>
      <w:r w:rsidR="00A069C9">
        <w:t>”</w:t>
      </w:r>
      <w:r w:rsidRPr="00B654DA">
        <w:t>.</w:t>
      </w:r>
    </w:p>
    <w:p w:rsidR="007A3AD0" w:rsidRPr="00B654DA" w:rsidRDefault="007A3AD0" w:rsidP="00F503F1">
      <w:pPr>
        <w:pStyle w:val="SingleTxtG"/>
        <w:tabs>
          <w:tab w:val="left" w:pos="1985"/>
        </w:tabs>
        <w:ind w:left="1778"/>
      </w:pPr>
      <w:r w:rsidRPr="00B654DA">
        <w:t xml:space="preserve">En el inciso iv), sustitúyase </w:t>
      </w:r>
      <w:r w:rsidR="00A069C9">
        <w:t>“</w:t>
      </w:r>
      <w:r w:rsidRPr="00B654DA">
        <w:t>componente líquido</w:t>
      </w:r>
      <w:r w:rsidR="00A069C9">
        <w:t>”</w:t>
      </w:r>
      <w:r w:rsidRPr="00B654DA">
        <w:t xml:space="preserve"> por </w:t>
      </w:r>
      <w:r w:rsidR="00A069C9">
        <w:t>“</w:t>
      </w:r>
      <w:r w:rsidRPr="00B654DA">
        <w:t>gas licuado</w:t>
      </w:r>
      <w:r w:rsidR="00A069C9">
        <w:t>”</w:t>
      </w:r>
      <w:r w:rsidRPr="00B654DA">
        <w:t>.</w:t>
      </w:r>
    </w:p>
    <w:p w:rsidR="007A3AD0" w:rsidRPr="00B654DA" w:rsidRDefault="007A3AD0" w:rsidP="00F503F1">
      <w:pPr>
        <w:pStyle w:val="SingleTxtG"/>
        <w:tabs>
          <w:tab w:val="left" w:pos="1985"/>
        </w:tabs>
        <w:ind w:left="1778"/>
      </w:pPr>
      <w:r w:rsidRPr="00B654DA">
        <w:t xml:space="preserve">En el inciso v), sustitúyase </w:t>
      </w:r>
      <w:r w:rsidR="00A069C9">
        <w:t>“</w:t>
      </w:r>
      <w:r w:rsidRPr="00B654DA">
        <w:t>componente líquido</w:t>
      </w:r>
      <w:r w:rsidR="00A069C9">
        <w:t>”</w:t>
      </w:r>
      <w:r w:rsidRPr="00B654DA">
        <w:t xml:space="preserve"> por </w:t>
      </w:r>
      <w:r w:rsidR="00A069C9">
        <w:t>“</w:t>
      </w:r>
      <w:r w:rsidRPr="00B654DA">
        <w:t>gas licuado</w:t>
      </w:r>
      <w:r w:rsidR="00A069C9">
        <w:t>”</w:t>
      </w:r>
      <w:r w:rsidRPr="00B654DA">
        <w:t>.</w:t>
      </w:r>
    </w:p>
    <w:p w:rsidR="007A3AD0" w:rsidRPr="00B654DA" w:rsidRDefault="007A3AD0" w:rsidP="00F503F1">
      <w:pPr>
        <w:pStyle w:val="SingleTxtG"/>
        <w:tabs>
          <w:tab w:val="left" w:pos="1985"/>
        </w:tabs>
        <w:ind w:left="1778"/>
      </w:pPr>
      <w:r w:rsidRPr="00B654DA">
        <w:t xml:space="preserve">En el último párrafo, sustitúyase </w:t>
      </w:r>
      <w:r w:rsidR="00A069C9">
        <w:t>“</w:t>
      </w:r>
      <w:r w:rsidRPr="00B654DA">
        <w:t>el componente líquido</w:t>
      </w:r>
      <w:r w:rsidR="00A069C9">
        <w:t>”</w:t>
      </w:r>
      <w:r w:rsidRPr="00B654DA">
        <w:t xml:space="preserve"> por </w:t>
      </w:r>
      <w:r w:rsidR="00A069C9">
        <w:t>“</w:t>
      </w:r>
      <w:r w:rsidRPr="00B654DA">
        <w:t>la fase líquida</w:t>
      </w:r>
      <w:r w:rsidR="00A069C9">
        <w:t>”</w:t>
      </w:r>
      <w:r w:rsidRPr="00B654DA">
        <w:t>.</w:t>
      </w:r>
    </w:p>
    <w:p w:rsidR="007A3AD0" w:rsidRPr="00B654DA" w:rsidRDefault="007A3AD0" w:rsidP="007A3AD0">
      <w:pPr>
        <w:pStyle w:val="SingleTxtG"/>
        <w:tabs>
          <w:tab w:val="left" w:pos="1985"/>
        </w:tabs>
      </w:pPr>
      <w:r w:rsidRPr="00B654DA">
        <w:t>4.1.4.1</w:t>
      </w:r>
      <w:r w:rsidR="00F503F1">
        <w:t>, i</w:t>
      </w:r>
      <w:r w:rsidRPr="00B654DA">
        <w:t>nstrucción de embalaje/envasado P203 7)</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tabs>
          <w:tab w:val="left" w:pos="1985"/>
        </w:tabs>
      </w:pPr>
      <w:r w:rsidRPr="00B654DA">
        <w:t>4.1.4.1</w:t>
      </w:r>
      <w:r w:rsidR="00F503F1">
        <w:t>, i</w:t>
      </w:r>
      <w:r w:rsidRPr="00B654DA">
        <w:t xml:space="preserve">nstrucción de embalaje/envasado P206 3) </w:t>
      </w:r>
      <w:r w:rsidRPr="00B654DA">
        <w:tab/>
        <w:t>Modifíquese como sigue:</w:t>
      </w:r>
    </w:p>
    <w:p w:rsidR="007A3AD0" w:rsidRPr="00B654DA" w:rsidRDefault="007A3AD0" w:rsidP="00F503F1">
      <w:pPr>
        <w:pStyle w:val="SingleTxtG"/>
        <w:tabs>
          <w:tab w:val="left" w:pos="1985"/>
        </w:tabs>
        <w:ind w:left="1778"/>
      </w:pPr>
      <w:r w:rsidRPr="00B654DA">
        <w:t xml:space="preserve">En el primer párrafo, sustitúyase </w:t>
      </w:r>
      <w:r w:rsidR="00A069C9">
        <w:t>“</w:t>
      </w:r>
      <w:r w:rsidRPr="00B654DA">
        <w:t>la fase líquida</w:t>
      </w:r>
      <w:r w:rsidR="00A069C9">
        <w:t>”</w:t>
      </w:r>
      <w:r w:rsidRPr="00B654DA">
        <w:t xml:space="preserve"> por </w:t>
      </w:r>
      <w:r w:rsidR="00A069C9">
        <w:t>“</w:t>
      </w:r>
      <w:r w:rsidRPr="00B654DA">
        <w:t>el gas licuado</w:t>
      </w:r>
      <w:r w:rsidR="00A069C9">
        <w:t>”</w:t>
      </w:r>
      <w:r w:rsidRPr="00B654DA">
        <w:t>.</w:t>
      </w:r>
    </w:p>
    <w:p w:rsidR="007A3AD0" w:rsidRPr="00B654DA" w:rsidRDefault="007A3AD0" w:rsidP="00F503F1">
      <w:pPr>
        <w:pStyle w:val="SingleTxtG"/>
        <w:tabs>
          <w:tab w:val="left" w:pos="1985"/>
        </w:tabs>
        <w:ind w:left="1778"/>
      </w:pPr>
      <w:r w:rsidRPr="00B654DA">
        <w:t xml:space="preserve">En el inciso i), sustitúyase </w:t>
      </w:r>
      <w:r w:rsidR="00A069C9">
        <w:t>“</w:t>
      </w:r>
      <w:r w:rsidRPr="00B654DA">
        <w:t>componente líquido</w:t>
      </w:r>
      <w:r w:rsidR="00A069C9">
        <w:t>”</w:t>
      </w:r>
      <w:r w:rsidRPr="00B654DA">
        <w:t xml:space="preserve"> por </w:t>
      </w:r>
      <w:r w:rsidR="00A069C9">
        <w:t>“</w:t>
      </w:r>
      <w:r w:rsidRPr="00B654DA">
        <w:t>gas licuado</w:t>
      </w:r>
      <w:r w:rsidR="00A069C9">
        <w:t>”</w:t>
      </w:r>
      <w:r w:rsidRPr="00B654DA">
        <w:t>.</w:t>
      </w:r>
    </w:p>
    <w:p w:rsidR="007A3AD0" w:rsidRPr="00B654DA" w:rsidRDefault="007A3AD0" w:rsidP="00F503F1">
      <w:pPr>
        <w:pStyle w:val="SingleTxtG"/>
        <w:tabs>
          <w:tab w:val="left" w:pos="1985"/>
        </w:tabs>
        <w:ind w:left="1778"/>
      </w:pPr>
      <w:r w:rsidRPr="00B654DA">
        <w:t xml:space="preserve">En el inciso iv), sustitúyase </w:t>
      </w:r>
      <w:r w:rsidR="00A069C9">
        <w:t>“</w:t>
      </w:r>
      <w:r w:rsidRPr="00B654DA">
        <w:t>componente líquido</w:t>
      </w:r>
      <w:r w:rsidR="00A069C9">
        <w:t>”</w:t>
      </w:r>
      <w:r w:rsidRPr="00B654DA">
        <w:t xml:space="preserve"> por </w:t>
      </w:r>
      <w:r w:rsidR="00A069C9">
        <w:t>“</w:t>
      </w:r>
      <w:r w:rsidRPr="00B654DA">
        <w:t>gas licuado</w:t>
      </w:r>
      <w:r w:rsidR="00A069C9">
        <w:t>”</w:t>
      </w:r>
      <w:r w:rsidRPr="00B654DA">
        <w:t>.</w:t>
      </w:r>
    </w:p>
    <w:p w:rsidR="007A3AD0" w:rsidRPr="00B654DA" w:rsidRDefault="007A3AD0" w:rsidP="00F503F1">
      <w:pPr>
        <w:pStyle w:val="SingleTxtG"/>
        <w:tabs>
          <w:tab w:val="left" w:pos="1985"/>
        </w:tabs>
        <w:ind w:left="1778"/>
      </w:pPr>
      <w:r w:rsidRPr="00B654DA">
        <w:t xml:space="preserve">En el inciso v), sustitúyase </w:t>
      </w:r>
      <w:r w:rsidR="00A069C9">
        <w:t>“</w:t>
      </w:r>
      <w:r w:rsidRPr="00B654DA">
        <w:t>componente líquido</w:t>
      </w:r>
      <w:r w:rsidR="00A069C9">
        <w:t>”</w:t>
      </w:r>
      <w:r w:rsidRPr="00B654DA">
        <w:t xml:space="preserve"> por </w:t>
      </w:r>
      <w:r w:rsidR="00A069C9">
        <w:t>“</w:t>
      </w:r>
      <w:r w:rsidRPr="00B654DA">
        <w:t>gas licuado</w:t>
      </w:r>
      <w:r w:rsidR="00A069C9">
        <w:t>”</w:t>
      </w:r>
      <w:r w:rsidRPr="00B654DA">
        <w:t>.</w:t>
      </w:r>
    </w:p>
    <w:p w:rsidR="007A3AD0" w:rsidRPr="00B654DA" w:rsidRDefault="007A3AD0" w:rsidP="00F503F1">
      <w:pPr>
        <w:pStyle w:val="SingleTxtG"/>
        <w:tabs>
          <w:tab w:val="left" w:pos="1985"/>
        </w:tabs>
        <w:ind w:left="1778"/>
      </w:pPr>
      <w:r w:rsidRPr="00B654DA">
        <w:t xml:space="preserve">En el último párrafo, sustitúyase </w:t>
      </w:r>
      <w:r w:rsidR="00A069C9">
        <w:t>“</w:t>
      </w:r>
      <w:r w:rsidRPr="00B654DA">
        <w:t>el componente líquido</w:t>
      </w:r>
      <w:r w:rsidR="00A069C9">
        <w:t>”</w:t>
      </w:r>
      <w:r w:rsidRPr="00B654DA">
        <w:t xml:space="preserve"> por </w:t>
      </w:r>
      <w:r w:rsidR="00A069C9">
        <w:t>“</w:t>
      </w:r>
      <w:r w:rsidRPr="00B654DA">
        <w:t>la fase líquida</w:t>
      </w:r>
      <w:r w:rsidR="00A069C9">
        <w:t>”</w:t>
      </w:r>
      <w:r w:rsidRPr="00B654DA">
        <w:t>.</w:t>
      </w:r>
    </w:p>
    <w:p w:rsidR="007A3AD0" w:rsidRPr="00B654DA" w:rsidRDefault="007A3AD0" w:rsidP="007A3AD0">
      <w:pPr>
        <w:pStyle w:val="SingleTxtG"/>
        <w:tabs>
          <w:tab w:val="left" w:pos="1985"/>
        </w:tabs>
      </w:pPr>
      <w:r w:rsidRPr="00B654DA">
        <w:t>4.1.4.1</w:t>
      </w:r>
      <w:r w:rsidR="00F503F1">
        <w:t>, i</w:t>
      </w:r>
      <w:r w:rsidRPr="00B654DA">
        <w:t>nstrucción de embalaje/envasado P208</w:t>
      </w:r>
      <w:r w:rsidRPr="00B654DA">
        <w:tab/>
        <w:t xml:space="preserve">En el encabezamiento de la columna 4 del cuadro 1,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tabs>
          <w:tab w:val="left" w:pos="1985"/>
        </w:tabs>
      </w:pPr>
      <w:r w:rsidRPr="00B654DA">
        <w:t>4.1.4.1</w:t>
      </w:r>
      <w:r w:rsidR="00F503F1">
        <w:t>, i</w:t>
      </w:r>
      <w:r w:rsidRPr="00B654DA">
        <w:t>nstrucción de embalaje/envasado P520, requisito adicional 4</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4.1.4.1</w:t>
      </w:r>
      <w:r w:rsidR="00F503F1">
        <w:t>, i</w:t>
      </w:r>
      <w:r w:rsidRPr="00B654DA">
        <w:t>nstrucción de embalaje/envasado P520</w:t>
      </w:r>
      <w:r w:rsidRPr="00B654DA">
        <w:tab/>
        <w:t>Añádanse las siguientes instrucciones especiales de embalaje/envasado nuevas:</w:t>
      </w:r>
    </w:p>
    <w:p w:rsidR="007A3AD0" w:rsidRPr="00B654DA" w:rsidRDefault="00A069C9" w:rsidP="007A3AD0">
      <w:pPr>
        <w:pStyle w:val="SingleTxtG"/>
      </w:pPr>
      <w:r>
        <w:t>“</w:t>
      </w:r>
      <w:r w:rsidR="007A3AD0" w:rsidRPr="00B654DA">
        <w:t>PP94</w:t>
      </w:r>
      <w:r w:rsidR="007A3AD0" w:rsidRPr="00B654DA">
        <w:tab/>
        <w:t>Podrán transportarse cantidades muy pequeñas de muestras energéticas</w:t>
      </w:r>
      <w:r w:rsidR="00F503F1">
        <w:t xml:space="preserve"> de la sección 2.0.4.3 con los n</w:t>
      </w:r>
      <w:r w:rsidR="007A3AD0" w:rsidRPr="00B654DA">
        <w:t>úmeros ONU 3223 o 3224, según proceda, siempre que:</w:t>
      </w:r>
    </w:p>
    <w:p w:rsidR="007A3AD0" w:rsidRPr="00B654DA" w:rsidRDefault="00402521" w:rsidP="007A3AD0">
      <w:pPr>
        <w:pStyle w:val="SingleTxtG"/>
      </w:pPr>
      <w:r>
        <w:t>1.</w:t>
      </w:r>
      <w:r>
        <w:tab/>
        <w:t>So</w:t>
      </w:r>
      <w:r w:rsidR="007A3AD0" w:rsidRPr="00B654DA">
        <w:t>lo se utilice un embalaje combinado en que el embalaje exterior esté compuesto por cajas (4A, 4B, 4N, 4C1, 4C2, 4D, 4F, 4G, 4H1 y 4H2);</w:t>
      </w:r>
    </w:p>
    <w:p w:rsidR="007A3AD0" w:rsidRPr="00B654DA" w:rsidRDefault="007A3AD0" w:rsidP="007A3AD0">
      <w:pPr>
        <w:pStyle w:val="SingleTxtG"/>
      </w:pPr>
      <w:r w:rsidRPr="00B654DA">
        <w:t>2.</w:t>
      </w:r>
      <w:r w:rsidRPr="00B654DA">
        <w:tab/>
        <w:t>Las muestras se transporten en placas de microtitulación hechas de plástico, vidrio, porcelana o gres como embalaje/envase interior;</w:t>
      </w:r>
    </w:p>
    <w:p w:rsidR="007A3AD0" w:rsidRPr="00B654DA" w:rsidRDefault="007A3AD0" w:rsidP="007A3AD0">
      <w:pPr>
        <w:pStyle w:val="SingleTxtG"/>
      </w:pPr>
      <w:r w:rsidRPr="00B654DA">
        <w:t>3.</w:t>
      </w:r>
      <w:r w:rsidRPr="00B654DA">
        <w:tab/>
        <w:t>La cantidad máxima en cada una de las cavidades interiores no exceda de 0,01 g en el caso de sólidos o 0,01 ml en el caso de líquidos;</w:t>
      </w:r>
    </w:p>
    <w:p w:rsidR="007A3AD0" w:rsidRPr="00B654DA" w:rsidRDefault="007A3AD0" w:rsidP="007A3AD0">
      <w:pPr>
        <w:pStyle w:val="SingleTxtG"/>
      </w:pPr>
      <w:r w:rsidRPr="00B654DA">
        <w:t>4.</w:t>
      </w:r>
      <w:r w:rsidRPr="00B654DA">
        <w:tab/>
        <w:t>La cantidad máxima neta por embalaje/envase exterior sea de 20 g en el caso de sólidos o 20 ml en el caso de líquidos o, en el caso de un envasado mixto, la suma de los gramos y los mililitros no exceda de 20; y</w:t>
      </w:r>
    </w:p>
    <w:p w:rsidR="007A3AD0" w:rsidRPr="00B654DA" w:rsidRDefault="007A3AD0" w:rsidP="007A3AD0">
      <w:pPr>
        <w:pStyle w:val="SingleTxtG"/>
      </w:pPr>
      <w:r w:rsidRPr="00B654DA">
        <w:t>5.</w:t>
      </w:r>
      <w:r w:rsidRPr="00B654DA">
        <w:tab/>
        <w:t>Cuando opcionalmente se utilice como refrigerante hielo seco o nitrógeno líquido como medida de control de la calidad, se cumplan los requisitos de 5.5.3. Se colocarán unos calzos interiores para que los recipientes primarios se mantengan en su posición inicial. El recipiente primario y el embalaje/envase secundario deberán mantener su integridad a la temperatura del refrigerante usado así como a las temperaturas y presiones que pudieran producirse si se pierde la refrigeración.</w:t>
      </w:r>
    </w:p>
    <w:p w:rsidR="007A3AD0" w:rsidRPr="00B654DA" w:rsidRDefault="007A3AD0" w:rsidP="007A3AD0">
      <w:pPr>
        <w:pStyle w:val="SingleTxtG"/>
      </w:pPr>
      <w:r w:rsidRPr="00B654DA">
        <w:t>PP95</w:t>
      </w:r>
      <w:r w:rsidRPr="00B654DA">
        <w:tab/>
        <w:t>Podrán transportarse cantidades muy pequeñas de muestras energéticas de la sección</w:t>
      </w:r>
      <w:r w:rsidR="00F503F1">
        <w:t> 2.0.4.3 con los n</w:t>
      </w:r>
      <w:r w:rsidRPr="00B654DA">
        <w:t>úmeros ONU 3223 o 3224, según proceda, siempre que:</w:t>
      </w:r>
    </w:p>
    <w:p w:rsidR="007A3AD0" w:rsidRPr="00B654DA" w:rsidRDefault="007A3AD0" w:rsidP="007A3AD0">
      <w:pPr>
        <w:pStyle w:val="SingleTxtG"/>
      </w:pPr>
      <w:r w:rsidRPr="00B654DA">
        <w:t>1.</w:t>
      </w:r>
      <w:r w:rsidRPr="00B654DA">
        <w:tab/>
        <w:t xml:space="preserve">El embalaje/envase secundario consista únicamente en cartón corrugado del tipo 4G con </w:t>
      </w:r>
      <w:r w:rsidR="00744132" w:rsidRPr="00B654DA">
        <w:t>unas dimensiones mínimas</w:t>
      </w:r>
      <w:r w:rsidRPr="00B654DA">
        <w:t xml:space="preserve"> de 60 cm (longitud) por 40,5 cm (anchura) por 30 cm (altura) y un espesor mínimo de la pared de 1,3 cm;</w:t>
      </w:r>
    </w:p>
    <w:p w:rsidR="007A3AD0" w:rsidRPr="00B654DA" w:rsidRDefault="007A3AD0" w:rsidP="007A3AD0">
      <w:pPr>
        <w:pStyle w:val="SingleTxtG"/>
      </w:pPr>
      <w:r w:rsidRPr="00B654DA">
        <w:t>2.</w:t>
      </w:r>
      <w:r w:rsidRPr="00B654DA">
        <w:tab/>
        <w:t>La sustancia individual se encuentre en un recipiente primario de vidrio o plástico de una capacidad máxima de 30 ml colocado en una matriz de espuma expansible de polietileno de al menos 130 mm de espesor con una densidad de 18 ± 1 g/l;</w:t>
      </w:r>
    </w:p>
    <w:p w:rsidR="007A3AD0" w:rsidRPr="00B654DA" w:rsidRDefault="007A3AD0" w:rsidP="007A3AD0">
      <w:pPr>
        <w:pStyle w:val="SingleTxtG"/>
      </w:pPr>
      <w:r w:rsidRPr="00B654DA">
        <w:t>3.</w:t>
      </w:r>
      <w:r w:rsidRPr="00B654DA">
        <w:tab/>
        <w:t xml:space="preserve">Dentro de la matriz de espuma, los recipientes primarios estén separados unos de otros por una distancia mínima de 40 mm y de la pared del embalaje/envase secundario por </w:t>
      </w:r>
      <w:r w:rsidRPr="00B654DA">
        <w:lastRenderedPageBreak/>
        <w:t>una distancia mínima de 70 mm. El paquete podrá contener hasta dos capas de matrices de espuma con 28 recipientes primarios cada una;</w:t>
      </w:r>
    </w:p>
    <w:p w:rsidR="007A3AD0" w:rsidRPr="00B654DA" w:rsidRDefault="007A3AD0" w:rsidP="007A3AD0">
      <w:pPr>
        <w:pStyle w:val="SingleTxtG"/>
      </w:pPr>
      <w:r w:rsidRPr="00B654DA">
        <w:t>4.</w:t>
      </w:r>
      <w:r w:rsidRPr="00B654DA">
        <w:tab/>
        <w:t>La cantidad máxima en cada uno de los recipientes primarios no exceda de 1 g en el caso de sólidos o 1 ml en el caso de líquidos;</w:t>
      </w:r>
    </w:p>
    <w:p w:rsidR="007A3AD0" w:rsidRPr="00B654DA" w:rsidRDefault="007A3AD0" w:rsidP="007A3AD0">
      <w:pPr>
        <w:pStyle w:val="SingleTxtG"/>
      </w:pPr>
      <w:r w:rsidRPr="00B654DA">
        <w:t>5.</w:t>
      </w:r>
      <w:r w:rsidRPr="00B654DA">
        <w:tab/>
        <w:t>La cantidad máxima neta por embalaje/envase secundario sea de 56 g en el caso de sólidos o 56 ml en el caso de líquidos o, en el caso de un envasado mixto, la suma de los gramos y los mililitros no exceda de 56; y</w:t>
      </w:r>
    </w:p>
    <w:p w:rsidR="007A3AD0" w:rsidRPr="00B654DA" w:rsidRDefault="007A3AD0" w:rsidP="007A3AD0">
      <w:pPr>
        <w:pStyle w:val="SingleTxtG"/>
      </w:pPr>
      <w:r w:rsidRPr="00B654DA">
        <w:t>6.</w:t>
      </w:r>
      <w:r w:rsidRPr="00B654DA">
        <w:tab/>
        <w:t>Cuando opcionalmente se</w:t>
      </w:r>
      <w:r w:rsidR="00965478">
        <w:t xml:space="preserve"> </w:t>
      </w:r>
      <w:r w:rsidRPr="00B654DA">
        <w:t>utilice</w:t>
      </w:r>
      <w:r w:rsidR="00965478">
        <w:t xml:space="preserve"> </w:t>
      </w:r>
      <w:r w:rsidRPr="00B654DA">
        <w:t>como refrigerante hielo seco o nitrógeno líquido como medida de control de la calidad, se cumplan los requisitos de 5.5.3. Se colocarán unos calzos interiores para que los recipientes primarios se mantengan en su posición inicial. El recipiente primario y el embalaje/envase secundario deberán mantener su integridad a la temperatura del refrigerante usado así como a las temperaturas y presiones que pudieran producirse si se pierde la refrigeración.</w:t>
      </w:r>
      <w:r w:rsidR="00F503F1">
        <w:t>”.</w:t>
      </w:r>
    </w:p>
    <w:p w:rsidR="007A3AD0" w:rsidRPr="00B654DA" w:rsidRDefault="007A3AD0" w:rsidP="007A3AD0">
      <w:pPr>
        <w:pStyle w:val="SingleTxtG"/>
        <w:rPr>
          <w:color w:val="000000"/>
        </w:rPr>
      </w:pPr>
      <w:r w:rsidRPr="00B654DA">
        <w:t>4.1.4.1</w:t>
      </w:r>
      <w:r w:rsidR="00F503F1">
        <w:t>, i</w:t>
      </w:r>
      <w:r w:rsidRPr="00B654DA">
        <w:t>nstrucción de embalaje/envasado P620</w:t>
      </w:r>
      <w:r w:rsidRPr="00B654DA">
        <w:tab/>
        <w:t xml:space="preserve">En el requisito adicional 3, al final, suprímase </w:t>
      </w:r>
      <w:r w:rsidR="00A069C9">
        <w:t>“</w:t>
      </w:r>
      <w:r w:rsidRPr="00B654DA">
        <w:t>y temperaturas de entre -40</w:t>
      </w:r>
      <w:r w:rsidR="00F503F1">
        <w:t xml:space="preserve"> º</w:t>
      </w:r>
      <w:r w:rsidRPr="00B654DA">
        <w:t>C y 55</w:t>
      </w:r>
      <w:r w:rsidR="00F503F1">
        <w:t xml:space="preserve"> º</w:t>
      </w:r>
      <w:r w:rsidRPr="00B654DA">
        <w:t>C</w:t>
      </w:r>
      <w:r w:rsidR="00A069C9">
        <w:t>”</w:t>
      </w:r>
      <w:r w:rsidRPr="00B654DA">
        <w:t xml:space="preserve"> y añádase la siguiente oración: </w:t>
      </w:r>
      <w:r w:rsidR="00A069C9">
        <w:t>“</w:t>
      </w:r>
      <w:r w:rsidRPr="00B654DA">
        <w:t>Dicho recipiente primario o embalaje/envase secundario también habrá de ser capaz de resistir temperaturas de entre -40</w:t>
      </w:r>
      <w:r w:rsidR="00F503F1">
        <w:t xml:space="preserve"> º</w:t>
      </w:r>
      <w:r w:rsidRPr="00B654DA">
        <w:t>C y 55</w:t>
      </w:r>
      <w:r w:rsidR="00F503F1">
        <w:t xml:space="preserve"> º</w:t>
      </w:r>
      <w:r w:rsidRPr="00B654DA">
        <w:t>C</w:t>
      </w:r>
      <w:r w:rsidR="00A069C9">
        <w:t>”</w:t>
      </w:r>
      <w:r w:rsidR="00F503F1">
        <w:t>.</w:t>
      </w:r>
    </w:p>
    <w:p w:rsidR="007A3AD0" w:rsidRPr="00B654DA" w:rsidRDefault="007A3AD0" w:rsidP="007A3AD0">
      <w:pPr>
        <w:pStyle w:val="SingleTxtG"/>
        <w:tabs>
          <w:tab w:val="left" w:pos="1985"/>
        </w:tabs>
      </w:pPr>
      <w:r w:rsidRPr="00B654DA">
        <w:t>4.1.4.1</w:t>
      </w:r>
      <w:r w:rsidR="00F503F1">
        <w:t>, i</w:t>
      </w:r>
      <w:r w:rsidRPr="00B654DA">
        <w:t>nstrucción de embalaje/envasado P801, requisito adicional 2</w:t>
      </w:r>
      <w:r w:rsidRPr="00B654DA">
        <w:tab/>
        <w:t xml:space="preserve">Sustitúyase </w:t>
      </w:r>
      <w:r w:rsidR="00A069C9">
        <w:t>“</w:t>
      </w:r>
      <w:r w:rsidRPr="00B654DA">
        <w:t>no conductor</w:t>
      </w:r>
      <w:r w:rsidR="00A069C9">
        <w:t>”</w:t>
      </w:r>
      <w:r w:rsidRPr="00B654DA">
        <w:t xml:space="preserve"> por </w:t>
      </w:r>
      <w:r w:rsidR="00A069C9">
        <w:t>“</w:t>
      </w:r>
      <w:r w:rsidRPr="00B654DA">
        <w:t>eléctricamente no conductor</w:t>
      </w:r>
      <w:r w:rsidR="00A069C9">
        <w:t>”</w:t>
      </w:r>
      <w:r w:rsidRPr="00B654DA">
        <w:t>.</w:t>
      </w:r>
    </w:p>
    <w:p w:rsidR="007A3AD0" w:rsidRPr="00B654DA" w:rsidRDefault="007A3AD0" w:rsidP="007A3AD0">
      <w:pPr>
        <w:pStyle w:val="SingleTxtG"/>
        <w:tabs>
          <w:tab w:val="left" w:pos="1985"/>
        </w:tabs>
        <w:spacing w:before="120"/>
      </w:pPr>
      <w:r w:rsidRPr="00B654DA">
        <w:t>4.1.4.1</w:t>
      </w:r>
      <w:r w:rsidR="00F503F1">
        <w:t>, i</w:t>
      </w:r>
      <w:r w:rsidRPr="00B654DA">
        <w:t>nstrucción de embalaje/envasado P901</w:t>
      </w:r>
      <w:r w:rsidRPr="00B654DA">
        <w:tab/>
        <w:t xml:space="preserve">En </w:t>
      </w:r>
      <w:r w:rsidR="00A069C9">
        <w:t>“</w:t>
      </w:r>
      <w:r w:rsidRPr="00B654DA">
        <w:t>Requisitos adicionales</w:t>
      </w:r>
      <w:r w:rsidR="00A069C9">
        <w:t>”</w:t>
      </w:r>
      <w:r w:rsidRPr="00B654DA">
        <w:t xml:space="preserve">, suprímase </w:t>
      </w:r>
      <w:r w:rsidR="00A069C9">
        <w:t>“</w:t>
      </w:r>
      <w:r w:rsidRPr="00B654DA">
        <w:t>que no excedan de 250 ml o 250 g</w:t>
      </w:r>
      <w:r w:rsidR="00A069C9">
        <w:t>”</w:t>
      </w:r>
      <w:r w:rsidRPr="00B654DA">
        <w:t>.</w:t>
      </w:r>
    </w:p>
    <w:p w:rsidR="007A3AD0" w:rsidRPr="00B654DA" w:rsidRDefault="007A3AD0" w:rsidP="007A3AD0">
      <w:pPr>
        <w:pStyle w:val="SingleTxtG"/>
        <w:rPr>
          <w:color w:val="000000"/>
        </w:rPr>
      </w:pPr>
      <w:r w:rsidRPr="00B654DA">
        <w:t>4.1.4.1</w:t>
      </w:r>
      <w:r w:rsidR="00F503F1">
        <w:t>, i</w:t>
      </w:r>
      <w:r w:rsidRPr="00B654DA">
        <w:t>nstrucción de embalaje/envasado P902</w:t>
      </w:r>
      <w:r w:rsidRPr="00B654DA">
        <w:tab/>
        <w:t xml:space="preserve">En el párrafo </w:t>
      </w:r>
      <w:r w:rsidR="00A069C9" w:rsidRPr="00956176">
        <w:rPr>
          <w:b/>
        </w:rPr>
        <w:t>“</w:t>
      </w:r>
      <w:r w:rsidRPr="00956176">
        <w:rPr>
          <w:b/>
        </w:rPr>
        <w:t>Objetos sin embalar/envasar:</w:t>
      </w:r>
      <w:r w:rsidR="00A069C9" w:rsidRPr="00956176">
        <w:rPr>
          <w:b/>
        </w:rPr>
        <w:t>”</w:t>
      </w:r>
      <w:r w:rsidRPr="00B654DA">
        <w:t xml:space="preserve">, </w:t>
      </w:r>
      <w:r w:rsidR="00956176">
        <w:t>m</w:t>
      </w:r>
      <w:r w:rsidRPr="00B654DA">
        <w:t xml:space="preserve">odifíquese el final de la oración para que diga: </w:t>
      </w:r>
      <w:r w:rsidR="00A069C9">
        <w:t>“</w:t>
      </w:r>
      <w:r w:rsidRPr="00B654DA">
        <w:t>cuando se trasladen hacia, desde o entre el lugar en que se fabrican y una planta de montaje, incluidos puntos intermedios de manipulación.</w:t>
      </w:r>
      <w:r w:rsidR="00A069C9">
        <w:t>”</w:t>
      </w:r>
      <w:r w:rsidRPr="00B654DA">
        <w:t xml:space="preserve">. </w:t>
      </w:r>
    </w:p>
    <w:p w:rsidR="007A3AD0" w:rsidRPr="00B654DA" w:rsidRDefault="007A3AD0" w:rsidP="007A3AD0">
      <w:pPr>
        <w:pStyle w:val="SingleTxtG"/>
        <w:tabs>
          <w:tab w:val="left" w:pos="1985"/>
        </w:tabs>
        <w:spacing w:before="120"/>
      </w:pPr>
      <w:r w:rsidRPr="00B654DA">
        <w:t>4.1.4.1</w:t>
      </w:r>
      <w:r w:rsidR="00F503F1">
        <w:t>, i</w:t>
      </w:r>
      <w:r w:rsidRPr="00B654DA">
        <w:t>nstrucción de embalaje/envasado P903</w:t>
      </w:r>
      <w:r w:rsidRPr="00B654DA">
        <w:tab/>
        <w:t xml:space="preserve">Antes de la frase introductoria que comienza </w:t>
      </w:r>
      <w:r w:rsidR="00A069C9">
        <w:t>“</w:t>
      </w:r>
      <w:r w:rsidRPr="00B654DA">
        <w:t>Se autorizan los siguientes embalajes/envases…</w:t>
      </w:r>
      <w:r w:rsidR="00A069C9">
        <w:t>”</w:t>
      </w:r>
      <w:r w:rsidRPr="00B654DA">
        <w:t xml:space="preserve">, insértese una nueva oración que diga lo siguiente: </w:t>
      </w:r>
      <w:r w:rsidR="00A069C9">
        <w:t>“</w:t>
      </w:r>
      <w:r w:rsidRPr="00B654DA">
        <w:t xml:space="preserve">A los efectos de la presente instrucción de embalaje/envasado, por </w:t>
      </w:r>
      <w:r w:rsidR="00402521">
        <w:t>‘</w:t>
      </w:r>
      <w:r w:rsidRPr="00B654DA">
        <w:t>equipo</w:t>
      </w:r>
      <w:r w:rsidR="00402521">
        <w:t>’</w:t>
      </w:r>
      <w:r w:rsidRPr="00B654DA">
        <w:t xml:space="preserve"> se entienden los aparatos cuya energía de funcionamiento es suministrada por las pilas o baterías de litio.</w:t>
      </w:r>
      <w:r w:rsidR="00A069C9">
        <w:t>”</w:t>
      </w:r>
      <w:r w:rsidRPr="00B654DA">
        <w:t>.</w:t>
      </w:r>
    </w:p>
    <w:p w:rsidR="007A3AD0" w:rsidRPr="00B654DA" w:rsidRDefault="007A3AD0" w:rsidP="007A3AD0">
      <w:pPr>
        <w:pStyle w:val="SingleTxtG"/>
        <w:spacing w:before="60" w:after="60"/>
      </w:pPr>
      <w:r w:rsidRPr="00B654DA">
        <w:t>4.1.4.1</w:t>
      </w:r>
      <w:r w:rsidR="00F503F1">
        <w:t>, i</w:t>
      </w:r>
      <w:r w:rsidRPr="00B654DA">
        <w:t>nstrucción de embalaje/envasado P909 3)</w:t>
      </w:r>
      <w:r w:rsidRPr="00B654DA">
        <w:tab/>
        <w:t>Suprímase la última oración.</w:t>
      </w:r>
    </w:p>
    <w:p w:rsidR="007A3AD0" w:rsidRPr="00B654DA" w:rsidRDefault="007A3AD0" w:rsidP="007A3AD0">
      <w:pPr>
        <w:pStyle w:val="SingleTxtG"/>
        <w:spacing w:before="120"/>
      </w:pPr>
      <w:r w:rsidRPr="00B654DA">
        <w:t>4.1.4.1</w:t>
      </w:r>
      <w:r w:rsidR="00F503F1">
        <w:t>, i</w:t>
      </w:r>
      <w:r w:rsidRPr="00B654DA">
        <w:t>nstrucción de embalaje/envasado P906 2)</w:t>
      </w:r>
      <w:r w:rsidRPr="00B654DA">
        <w:tab/>
        <w:t xml:space="preserve">En la primera frase y en el apartado b), sustitúyase </w:t>
      </w:r>
      <w:r w:rsidR="00A069C9">
        <w:t>“</w:t>
      </w:r>
      <w:r w:rsidRPr="00B654DA">
        <w:t>aparatos</w:t>
      </w:r>
      <w:r w:rsidR="00A069C9">
        <w:t>”</w:t>
      </w:r>
      <w:r w:rsidRPr="00B654DA">
        <w:t xml:space="preserve"> por </w:t>
      </w:r>
      <w:r w:rsidR="00A069C9">
        <w:t>“</w:t>
      </w:r>
      <w:r w:rsidRPr="00B654DA">
        <w:t>artículos</w:t>
      </w:r>
      <w:r w:rsidR="00A069C9">
        <w:t>”</w:t>
      </w:r>
      <w:r w:rsidRPr="00B654DA">
        <w:t>.</w:t>
      </w:r>
    </w:p>
    <w:p w:rsidR="007A3AD0" w:rsidRPr="00B654DA" w:rsidRDefault="007A3AD0" w:rsidP="007A3AD0">
      <w:pPr>
        <w:pStyle w:val="SingleTxtG"/>
        <w:spacing w:after="60"/>
      </w:pPr>
      <w:r w:rsidRPr="00B654DA">
        <w:t>4.1.4.1</w:t>
      </w:r>
      <w:r w:rsidR="00956176">
        <w:t>, i</w:t>
      </w:r>
      <w:r w:rsidRPr="00B654DA">
        <w:t>nstrucción de embalaje/envasado P908</w:t>
      </w:r>
      <w:r w:rsidRPr="00B654DA">
        <w:tab/>
        <w:t xml:space="preserve">En los párrafos 2 y 4, sustitúyase </w:t>
      </w:r>
      <w:r w:rsidR="00A069C9">
        <w:t>“</w:t>
      </w:r>
      <w:r w:rsidRPr="00B654DA">
        <w:t>no conductor</w:t>
      </w:r>
      <w:r w:rsidR="00A069C9">
        <w:t>”</w:t>
      </w:r>
      <w:r w:rsidRPr="00B654DA">
        <w:t xml:space="preserve"> por </w:t>
      </w:r>
      <w:r w:rsidR="00A069C9">
        <w:t>“</w:t>
      </w:r>
      <w:r w:rsidRPr="00B654DA">
        <w:t>eléctricamente no conductor</w:t>
      </w:r>
      <w:r w:rsidR="00A069C9">
        <w:t>”</w:t>
      </w:r>
      <w:r w:rsidRPr="00B654DA">
        <w:t>.</w:t>
      </w:r>
    </w:p>
    <w:p w:rsidR="007A3AD0" w:rsidRPr="00B654DA" w:rsidRDefault="007A3AD0" w:rsidP="007A3AD0">
      <w:pPr>
        <w:pStyle w:val="SingleTxtG"/>
      </w:pPr>
      <w:r w:rsidRPr="00B654DA">
        <w:t>4.1.4.1</w:t>
      </w:r>
      <w:r w:rsidR="00956176">
        <w:t>, i</w:t>
      </w:r>
      <w:r w:rsidRPr="00B654DA">
        <w:t>nstrucción de embalaje/envasado P909</w:t>
      </w:r>
      <w:r w:rsidRPr="00B654DA">
        <w:tab/>
        <w:t xml:space="preserve">En los párrafos 1 c) y 2 b), en el cuarto inciso del requisito adicional 2 y en el requisito adicional 3, sustitúyase </w:t>
      </w:r>
      <w:r w:rsidR="00A069C9">
        <w:t>“</w:t>
      </w:r>
      <w:r w:rsidRPr="00B654DA">
        <w:t>no conductor</w:t>
      </w:r>
      <w:r w:rsidR="00A069C9">
        <w:t>”</w:t>
      </w:r>
      <w:r w:rsidRPr="00B654DA">
        <w:t xml:space="preserve"> por </w:t>
      </w:r>
      <w:r w:rsidR="00A069C9">
        <w:t>“</w:t>
      </w:r>
      <w:r w:rsidRPr="00B654DA">
        <w:t>eléctricamente no conductor</w:t>
      </w:r>
      <w:r w:rsidR="00A069C9">
        <w:t>”</w:t>
      </w:r>
      <w:r w:rsidRPr="00B654DA">
        <w:t>.</w:t>
      </w:r>
    </w:p>
    <w:p w:rsidR="007A3AD0" w:rsidRPr="00B654DA" w:rsidRDefault="007A3AD0" w:rsidP="007A3AD0">
      <w:pPr>
        <w:pStyle w:val="SingleTxtG"/>
      </w:pPr>
      <w:r w:rsidRPr="00B654DA">
        <w:t>4.1.4.1</w:t>
      </w:r>
      <w:r w:rsidR="00956176">
        <w:t>, i</w:t>
      </w:r>
      <w:r w:rsidRPr="00B654DA">
        <w:t>nstrucción de embalaje/envasado P910</w:t>
      </w:r>
      <w:r w:rsidRPr="00B654DA">
        <w:tab/>
        <w:t xml:space="preserve">En la primera oración, sustitúyase </w:t>
      </w:r>
      <w:r w:rsidR="00A069C9">
        <w:t>“</w:t>
      </w:r>
      <w:r w:rsidRPr="00B654DA">
        <w:t>pilas y baterías</w:t>
      </w:r>
      <w:r w:rsidR="00A069C9">
        <w:t>”</w:t>
      </w:r>
      <w:r w:rsidRPr="00B654DA">
        <w:t xml:space="preserve"> por </w:t>
      </w:r>
      <w:r w:rsidR="00A069C9">
        <w:t>“</w:t>
      </w:r>
      <w:r w:rsidRPr="00B654DA">
        <w:t>pilas o baterías</w:t>
      </w:r>
      <w:r w:rsidR="00A069C9">
        <w:t>”</w:t>
      </w:r>
      <w:r w:rsidRPr="00B654DA">
        <w:t>.</w:t>
      </w:r>
    </w:p>
    <w:p w:rsidR="007A3AD0" w:rsidRPr="00B654DA" w:rsidRDefault="007A3AD0" w:rsidP="007A3AD0">
      <w:pPr>
        <w:pStyle w:val="SingleTxtG"/>
      </w:pPr>
      <w:r w:rsidRPr="00B654DA">
        <w:t>4.1.4.1</w:t>
      </w:r>
      <w:r w:rsidR="00956176">
        <w:t>, i</w:t>
      </w:r>
      <w:r w:rsidRPr="00B654DA">
        <w:t>nstrucción de embalaje/envasado P910</w:t>
      </w:r>
      <w:r w:rsidRPr="00B654DA">
        <w:tab/>
        <w:t>En los párrafos 1 c), 1 d) y 2</w:t>
      </w:r>
      <w:r w:rsidR="00956176">
        <w:t xml:space="preserve"> </w:t>
      </w:r>
      <w:r w:rsidRPr="00B654DA">
        <w:t xml:space="preserve">c) y en el cuarto inciso de los requisitos adicionales, sustitúyase </w:t>
      </w:r>
      <w:r w:rsidR="00A069C9">
        <w:t>“</w:t>
      </w:r>
      <w:r w:rsidRPr="00B654DA">
        <w:t>no conductor</w:t>
      </w:r>
      <w:r w:rsidR="00A069C9">
        <w:t>”</w:t>
      </w:r>
      <w:r w:rsidRPr="00B654DA">
        <w:t xml:space="preserve"> por </w:t>
      </w:r>
      <w:r w:rsidR="00A069C9">
        <w:t>“</w:t>
      </w:r>
      <w:r w:rsidRPr="00B654DA">
        <w:t>eléctricamente no conductor</w:t>
      </w:r>
      <w:r w:rsidR="00A069C9">
        <w:t>”</w:t>
      </w:r>
      <w:r w:rsidRPr="00B654DA">
        <w:t>.</w:t>
      </w:r>
    </w:p>
    <w:p w:rsidR="007A3AD0" w:rsidRPr="00B654DA" w:rsidRDefault="007A3AD0" w:rsidP="007A3AD0">
      <w:pPr>
        <w:pStyle w:val="SingleTxtG"/>
      </w:pPr>
      <w:r w:rsidRPr="00B654DA">
        <w:t>4.1.4.1</w:t>
      </w:r>
      <w:r w:rsidRPr="00B654DA">
        <w:tab/>
      </w:r>
      <w:r w:rsidRPr="00B654DA">
        <w:tab/>
        <w:t>Añádase la siguiente instrucción de embalaje/envasado P006:</w:t>
      </w:r>
    </w:p>
    <w:tbl>
      <w:tblPr>
        <w:tblW w:w="9645" w:type="dxa"/>
        <w:jc w:val="center"/>
        <w:tblLayout w:type="fixed"/>
        <w:tblCellMar>
          <w:left w:w="0" w:type="dxa"/>
          <w:right w:w="113" w:type="dxa"/>
        </w:tblCellMar>
        <w:tblLook w:val="01E0" w:firstRow="1" w:lastRow="1" w:firstColumn="1" w:lastColumn="1" w:noHBand="0" w:noVBand="0"/>
      </w:tblPr>
      <w:tblGrid>
        <w:gridCol w:w="854"/>
        <w:gridCol w:w="8080"/>
        <w:gridCol w:w="711"/>
      </w:tblGrid>
      <w:tr w:rsidR="007A3AD0" w:rsidRPr="00B654DA" w:rsidTr="00956176">
        <w:trPr>
          <w:jc w:val="center"/>
        </w:trPr>
        <w:tc>
          <w:tcPr>
            <w:tcW w:w="85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7A3AD0" w:rsidRPr="00B654DA" w:rsidRDefault="007A3AD0" w:rsidP="006E443C">
            <w:pPr>
              <w:pageBreakBefore/>
              <w:tabs>
                <w:tab w:val="left" w:pos="1418"/>
                <w:tab w:val="left" w:pos="1985"/>
                <w:tab w:val="left" w:pos="2552"/>
                <w:tab w:val="left" w:pos="3119"/>
                <w:tab w:val="left" w:pos="3686"/>
                <w:tab w:val="left" w:pos="4253"/>
                <w:tab w:val="left" w:pos="4820"/>
              </w:tabs>
              <w:spacing w:before="40" w:after="40"/>
              <w:jc w:val="both"/>
              <w:rPr>
                <w:b/>
              </w:rPr>
            </w:pPr>
            <w:r w:rsidRPr="00B654DA">
              <w:rPr>
                <w:b/>
              </w:rPr>
              <w:lastRenderedPageBreak/>
              <w:t>P006</w:t>
            </w:r>
          </w:p>
        </w:tc>
        <w:tc>
          <w:tcPr>
            <w:tcW w:w="8080" w:type="dxa"/>
            <w:tcBorders>
              <w:top w:val="single" w:sz="4" w:space="0" w:color="auto"/>
              <w:left w:val="nil"/>
              <w:bottom w:val="single" w:sz="4" w:space="0" w:color="auto"/>
              <w:right w:val="nil"/>
            </w:tcBorders>
            <w:tcMar>
              <w:top w:w="0" w:type="dxa"/>
              <w:left w:w="57" w:type="dxa"/>
              <w:bottom w:w="0" w:type="dxa"/>
              <w:right w:w="57" w:type="dxa"/>
            </w:tcMar>
            <w:vAlign w:val="cente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center"/>
              <w:rPr>
                <w:b/>
                <w:sz w:val="18"/>
                <w:szCs w:val="18"/>
              </w:rPr>
            </w:pPr>
            <w:r w:rsidRPr="00B654DA">
              <w:rPr>
                <w:b/>
                <w:sz w:val="18"/>
                <w:szCs w:val="18"/>
              </w:rPr>
              <w:t>INSTRUCCIÓN DE EMBALAJE/ENVASADO</w:t>
            </w:r>
          </w:p>
        </w:tc>
        <w:tc>
          <w:tcPr>
            <w:tcW w:w="71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right"/>
              <w:rPr>
                <w:b/>
                <w:iCs/>
              </w:rPr>
            </w:pPr>
            <w:r w:rsidRPr="00B654DA">
              <w:rPr>
                <w:b/>
                <w:iCs/>
              </w:rPr>
              <w:t>P006</w:t>
            </w:r>
          </w:p>
        </w:tc>
      </w:tr>
      <w:tr w:rsidR="007A3AD0" w:rsidRPr="00B654DA" w:rsidTr="007A3AD0">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both"/>
              <w:rPr>
                <w:iCs/>
              </w:rPr>
            </w:pPr>
            <w:r w:rsidRPr="00B654DA">
              <w:t>Es</w:t>
            </w:r>
            <w:r w:rsidR="00956176">
              <w:t>ta instrucción se aplica a los n</w:t>
            </w:r>
            <w:r w:rsidRPr="00B654DA">
              <w:t>úmeros ONU 3537, 3538, 3540, 3541, 3546, 3547 y 3548.</w:t>
            </w:r>
          </w:p>
        </w:tc>
      </w:tr>
      <w:tr w:rsidR="007A3AD0" w:rsidRPr="00B654DA" w:rsidTr="007A3AD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7A3AD0" w:rsidRPr="00B654DA" w:rsidRDefault="007A3AD0" w:rsidP="00956176">
            <w:pPr>
              <w:tabs>
                <w:tab w:val="left" w:pos="517"/>
                <w:tab w:val="left" w:pos="1418"/>
                <w:tab w:val="left" w:pos="1985"/>
                <w:tab w:val="left" w:pos="2552"/>
                <w:tab w:val="left" w:pos="3119"/>
                <w:tab w:val="left" w:pos="3686"/>
                <w:tab w:val="left" w:pos="4253"/>
                <w:tab w:val="left" w:pos="4820"/>
              </w:tabs>
              <w:spacing w:before="40" w:after="40"/>
              <w:ind w:left="516" w:hanging="516"/>
              <w:jc w:val="both"/>
              <w:rPr>
                <w:iCs/>
              </w:rPr>
            </w:pPr>
            <w:r w:rsidRPr="00B654DA">
              <w:t>1)</w:t>
            </w:r>
            <w:r w:rsidRPr="00B654DA">
              <w:tab/>
              <w:t xml:space="preserve">Se autorizan los siguientes embalajes/envases, siempre que se cumplan las disposiciones generales de </w:t>
            </w:r>
            <w:r w:rsidRPr="00B654DA">
              <w:rPr>
                <w:b/>
              </w:rPr>
              <w:t>4.1.1</w:t>
            </w:r>
            <w:r w:rsidRPr="00B654DA">
              <w:t xml:space="preserve"> y</w:t>
            </w:r>
            <w:r w:rsidR="006E443C">
              <w:t> </w:t>
            </w:r>
            <w:r w:rsidRPr="00B654DA">
              <w:rPr>
                <w:b/>
              </w:rPr>
              <w:t>4.1.3</w:t>
            </w:r>
            <w:r w:rsidRPr="00B654DA">
              <w:rPr>
                <w:iCs/>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0"/>
              <w:jc w:val="both"/>
              <w:rPr>
                <w:iCs/>
              </w:rPr>
            </w:pPr>
            <w:r w:rsidRPr="00B654DA">
              <w:t xml:space="preserve">Bidones </w:t>
            </w:r>
            <w:r w:rsidRPr="00B654DA">
              <w:rPr>
                <w:iCs/>
              </w:rPr>
              <w:t>(1A2, 1B2, 1N2, 1H2, 1D, 1G);</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0"/>
              <w:jc w:val="both"/>
              <w:rPr>
                <w:iCs/>
              </w:rPr>
            </w:pPr>
            <w:r w:rsidRPr="00B654DA">
              <w:t xml:space="preserve">Cajas </w:t>
            </w:r>
            <w:r w:rsidRPr="00B654DA">
              <w:rPr>
                <w:iCs/>
              </w:rPr>
              <w:t>(4A, 4B, 4N, 4C1, 4C2, 4D, 4F, 4G, 4H1, 4H2);</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0"/>
              <w:jc w:val="both"/>
              <w:rPr>
                <w:iCs/>
              </w:rPr>
            </w:pPr>
            <w:r w:rsidRPr="00B654DA">
              <w:t>Jerricanes</w:t>
            </w:r>
            <w:r w:rsidRPr="00B654DA">
              <w:rPr>
                <w:iCs/>
              </w:rPr>
              <w:t xml:space="preserve"> (3A2, 3B2, 3H2)</w:t>
            </w:r>
            <w:r w:rsidR="00956176">
              <w:rPr>
                <w:iCs/>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517"/>
                <w:tab w:val="left" w:pos="1985"/>
                <w:tab w:val="left" w:pos="2552"/>
                <w:tab w:val="left" w:pos="3119"/>
                <w:tab w:val="left" w:pos="3686"/>
                <w:tab w:val="left" w:pos="4253"/>
                <w:tab w:val="left" w:pos="4820"/>
              </w:tabs>
              <w:spacing w:before="40" w:after="40"/>
              <w:jc w:val="both"/>
            </w:pPr>
            <w:r w:rsidRPr="00B654DA">
              <w:tab/>
              <w:t>Los embalajes/envases se ajustarán al nivel de prestaciones del grupo de embalaje/envase II.</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513"/>
                <w:tab w:val="left" w:pos="1418"/>
                <w:tab w:val="left" w:pos="1985"/>
                <w:tab w:val="left" w:pos="2552"/>
                <w:tab w:val="left" w:pos="3119"/>
                <w:tab w:val="left" w:pos="3686"/>
                <w:tab w:val="left" w:pos="4253"/>
                <w:tab w:val="left" w:pos="4820"/>
              </w:tabs>
              <w:spacing w:before="40" w:after="40"/>
              <w:ind w:left="513" w:right="73" w:hanging="513"/>
              <w:jc w:val="both"/>
            </w:pPr>
            <w:r w:rsidRPr="00B654DA">
              <w:t>2)</w:t>
            </w:r>
            <w:r w:rsidRPr="00B654DA">
              <w:tab/>
              <w:t>Además, cuando se trate de artículos de gran resistencia, se autorizan los siguientes embalajes/envases: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7" w:right="73" w:hanging="426"/>
              <w:jc w:val="both"/>
            </w:pPr>
            <w:r w:rsidRPr="00B654DA">
              <w:tab/>
              <w:t>Embalajes/envases exteriores robustos construidos con materiales apropiados y con la resistencia y el diseño adecuados en relación con la capacidad y el uso a que estén destinados. Los embalajes/envases deberán cumplir las prescripciones expuestas en 4.1.1.1, 4.1.1.2, 4.1.1.8 y 4.1.3 a fin de alcanzar un nivel de protección al menos equivalente al que se expone en el capítulo 6.1. Los artículos podrán ser transportados sin embalaje/envase o en bandejas, cuando las mercancías peligrosas queden protegidas de forma equivalente por el artículo en el que estén instalados.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513"/>
                <w:tab w:val="left" w:pos="1418"/>
                <w:tab w:val="left" w:pos="1985"/>
                <w:tab w:val="left" w:pos="2552"/>
                <w:tab w:val="left" w:pos="3119"/>
                <w:tab w:val="left" w:pos="3686"/>
                <w:tab w:val="left" w:pos="4253"/>
                <w:tab w:val="left" w:pos="4820"/>
              </w:tabs>
              <w:spacing w:before="40" w:after="40"/>
              <w:ind w:left="513" w:right="73" w:hanging="513"/>
              <w:jc w:val="both"/>
            </w:pPr>
            <w:r w:rsidRPr="00B654DA">
              <w:t xml:space="preserve">3) </w:t>
            </w:r>
            <w:r w:rsidRPr="00B654DA">
              <w:tab/>
              <w:t>Además, deberán satisfacerse las siguiente condiciones: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a) </w:t>
            </w:r>
            <w:r w:rsidRPr="00B654DA">
              <w:tab/>
            </w:r>
            <w:r w:rsidRPr="00B654DA">
              <w:rPr>
                <w:rFonts w:eastAsia="Calibri"/>
              </w:rPr>
              <w:t>Los receptáculos incluidos en artículos que contengan líquidos o sólidos deberán construirse con materiales adecuados y asegurados al artículo de tal manera que, en las condiciones normales de transporte, no puedan romperse, perforarse o verter su contenido en el propio artículo o el embalaje/envase exterior;</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b) </w:t>
            </w:r>
            <w:r w:rsidRPr="00B654DA">
              <w:tab/>
            </w:r>
            <w:r w:rsidRPr="00B654DA">
              <w:rPr>
                <w:rFonts w:eastAsia="Calibri"/>
              </w:rPr>
              <w:t>Los receptáculos con cierres que contengan líquidos deberán colocarse con dichos cierres correctamente orientados. Además, los receptáculos deberán</w:t>
            </w:r>
            <w:r w:rsidR="00965478">
              <w:rPr>
                <w:rFonts w:eastAsia="Calibri"/>
              </w:rPr>
              <w:t xml:space="preserve"> </w:t>
            </w:r>
            <w:r w:rsidRPr="00B654DA">
              <w:rPr>
                <w:rFonts w:eastAsia="Calibri"/>
              </w:rPr>
              <w:t>ajustarse a las disposiciones del ensayo de presión interna de 6.1.5.5;</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c) </w:t>
            </w:r>
            <w:r w:rsidRPr="00B654DA">
              <w:tab/>
            </w:r>
            <w:r w:rsidRPr="00B654DA">
              <w:rPr>
                <w:rFonts w:eastAsia="Calibri"/>
              </w:rPr>
              <w:t>Los receptáculos que puedan romperse o perforarse fácilmente, tales como los hechos de vidrio, de porcelana o de gres, o de ciertas materias plásticas, irán debidamente sujetos. Una fuga del contenido no deberá entrañar ninguna alteración apreciable de las propiedades protectoras del artículo o las del embalaje/envase exterior.</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956176">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d) </w:t>
            </w:r>
            <w:r w:rsidRPr="00B654DA">
              <w:tab/>
            </w:r>
            <w:r w:rsidRPr="00B654DA">
              <w:rPr>
                <w:rFonts w:eastAsia="Calibri"/>
              </w:rPr>
              <w:t>Los receptáculos incluidos en artículos que contengan gases deberán cumplir los requisitos de la sección</w:t>
            </w:r>
            <w:r w:rsidR="00956176">
              <w:rPr>
                <w:rFonts w:eastAsia="Calibri"/>
              </w:rPr>
              <w:t> </w:t>
            </w:r>
            <w:r w:rsidRPr="00B654DA">
              <w:rPr>
                <w:rFonts w:eastAsia="Calibri"/>
              </w:rPr>
              <w:t>4.1.6 y del capítulo 6.2, según proceda, o ser capaces de ofrecer un nivel de protección equivalente al establecido en las instrucciones de embalaje/envasado P200 o P208;</w:t>
            </w:r>
          </w:p>
        </w:tc>
      </w:tr>
      <w:tr w:rsidR="007A3AD0" w:rsidRPr="00B654DA" w:rsidTr="007A3AD0">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e) </w:t>
            </w:r>
            <w:r w:rsidRPr="00B654DA">
              <w:tab/>
            </w:r>
            <w:r w:rsidRPr="00B654DA">
              <w:rPr>
                <w:rFonts w:eastAsia="Calibri"/>
              </w:rPr>
              <w:t>Cuando en el artículo no haya ningún receptáculo, dicho artículo deberá contener plenamente las sustancias peligrosas e impedir su liberación en las condiciones normales de transporte.</w:t>
            </w:r>
          </w:p>
        </w:tc>
      </w:tr>
      <w:tr w:rsidR="007A3AD0" w:rsidRPr="00B654DA" w:rsidTr="007A3AD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6E443C" w:rsidP="006E443C">
            <w:pPr>
              <w:tabs>
                <w:tab w:val="left" w:pos="513"/>
                <w:tab w:val="left" w:pos="1418"/>
                <w:tab w:val="left" w:pos="1985"/>
                <w:tab w:val="left" w:pos="2552"/>
                <w:tab w:val="left" w:pos="3119"/>
                <w:tab w:val="left" w:pos="3686"/>
                <w:tab w:val="left" w:pos="4253"/>
                <w:tab w:val="left" w:pos="4820"/>
              </w:tabs>
              <w:spacing w:before="40" w:after="40"/>
              <w:ind w:left="513" w:right="73" w:hanging="513"/>
              <w:jc w:val="both"/>
            </w:pPr>
            <w:r w:rsidRPr="00B654DA">
              <w:t xml:space="preserve">4) </w:t>
            </w:r>
            <w:r w:rsidRPr="00B654DA">
              <w:tab/>
              <w:t>Los artículos deberán estar embalados/envasados de manera que se impida su movimiento y su funcionamiento accidental en las condiciones normales de transporte.</w:t>
            </w:r>
          </w:p>
        </w:tc>
      </w:tr>
    </w:tbl>
    <w:p w:rsidR="007A3AD0" w:rsidRPr="00B654DA" w:rsidRDefault="007A3AD0" w:rsidP="006E443C">
      <w:pPr>
        <w:pStyle w:val="SingleTxtG"/>
        <w:spacing w:before="240"/>
      </w:pPr>
      <w:r w:rsidRPr="00B654DA">
        <w:t>4.1.4.1</w:t>
      </w:r>
      <w:r w:rsidRPr="00B654DA">
        <w:tab/>
      </w:r>
      <w:r w:rsidRPr="00B654DA">
        <w:tab/>
        <w:t>Añádase la siguiente instrucción de embalaje/envasado P911:</w:t>
      </w:r>
    </w:p>
    <w:tbl>
      <w:tblPr>
        <w:tblW w:w="9645" w:type="dxa"/>
        <w:jc w:val="center"/>
        <w:tblLayout w:type="fixed"/>
        <w:tblCellMar>
          <w:left w:w="0" w:type="dxa"/>
          <w:right w:w="113" w:type="dxa"/>
        </w:tblCellMar>
        <w:tblLook w:val="01E0" w:firstRow="1" w:lastRow="1" w:firstColumn="1" w:lastColumn="1" w:noHBand="0" w:noVBand="0"/>
      </w:tblPr>
      <w:tblGrid>
        <w:gridCol w:w="712"/>
        <w:gridCol w:w="8222"/>
        <w:gridCol w:w="711"/>
      </w:tblGrid>
      <w:tr w:rsidR="007A3AD0" w:rsidRPr="00B654DA" w:rsidTr="00956176">
        <w:trPr>
          <w:jc w:val="center"/>
        </w:trPr>
        <w:tc>
          <w:tcPr>
            <w:tcW w:w="71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both"/>
              <w:rPr>
                <w:b/>
              </w:rPr>
            </w:pPr>
            <w:r w:rsidRPr="00B654DA">
              <w:rPr>
                <w:b/>
              </w:rPr>
              <w:t>P911</w:t>
            </w:r>
          </w:p>
        </w:tc>
        <w:tc>
          <w:tcPr>
            <w:tcW w:w="8222" w:type="dxa"/>
            <w:tcBorders>
              <w:top w:val="single" w:sz="4" w:space="0" w:color="auto"/>
              <w:left w:val="nil"/>
              <w:bottom w:val="single" w:sz="4" w:space="0" w:color="auto"/>
              <w:right w:val="nil"/>
            </w:tcBorders>
            <w:tcMar>
              <w:top w:w="0" w:type="dxa"/>
              <w:left w:w="57" w:type="dxa"/>
              <w:bottom w:w="0" w:type="dxa"/>
              <w:right w:w="57" w:type="dxa"/>
            </w:tcMar>
            <w:vAlign w:val="cente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center"/>
              <w:rPr>
                <w:b/>
                <w:iCs/>
              </w:rPr>
            </w:pPr>
            <w:r w:rsidRPr="00B654DA">
              <w:rPr>
                <w:b/>
                <w:sz w:val="18"/>
                <w:szCs w:val="18"/>
              </w:rPr>
              <w:t>INSTRUCCIÓN DE EMBALAJE/ENVASADO</w:t>
            </w:r>
          </w:p>
        </w:tc>
        <w:tc>
          <w:tcPr>
            <w:tcW w:w="71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right"/>
              <w:rPr>
                <w:b/>
                <w:iCs/>
              </w:rPr>
            </w:pPr>
            <w:r w:rsidRPr="00B654DA">
              <w:rPr>
                <w:b/>
                <w:iCs/>
              </w:rPr>
              <w:t>P911</w:t>
            </w:r>
          </w:p>
        </w:tc>
      </w:tr>
      <w:tr w:rsidR="007A3AD0" w:rsidRPr="00B654DA" w:rsidTr="007A3AD0">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686C8C">
            <w:pPr>
              <w:tabs>
                <w:tab w:val="left" w:pos="1418"/>
                <w:tab w:val="left" w:pos="1985"/>
                <w:tab w:val="left" w:pos="2552"/>
                <w:tab w:val="left" w:pos="3119"/>
                <w:tab w:val="left" w:pos="3686"/>
                <w:tab w:val="left" w:pos="4253"/>
                <w:tab w:val="left" w:pos="4820"/>
              </w:tabs>
              <w:spacing w:before="40" w:after="40"/>
              <w:ind w:right="74"/>
              <w:jc w:val="both"/>
              <w:rPr>
                <w:iCs/>
              </w:rPr>
            </w:pPr>
            <w:r w:rsidRPr="00B654DA">
              <w:rPr>
                <w:iCs/>
              </w:rPr>
              <w:t>Esta instrucción se aplica a las pilas y baterías</w:t>
            </w:r>
            <w:r w:rsidR="007D356D">
              <w:rPr>
                <w:iCs/>
              </w:rPr>
              <w:t xml:space="preserve"> dañadas o defectuosas con los n</w:t>
            </w:r>
            <w:r w:rsidRPr="00B654DA">
              <w:rPr>
                <w:iCs/>
              </w:rPr>
              <w:t>úmeros ONU 3090, 3091, 3480 y 3481 que puedan desarmarse rápidamente, reaccionar de forma peligrosa, o producir una llama o un desprendimiento peligroso de calor o una emisión peligrosa de gases o vapores tóxicos, corrosivos o inflamables en las condiciones normales de transporte.</w:t>
            </w:r>
          </w:p>
        </w:tc>
      </w:tr>
      <w:tr w:rsidR="007A3AD0" w:rsidRPr="00B654DA" w:rsidTr="007A3AD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both"/>
              <w:rPr>
                <w:iCs/>
              </w:rPr>
            </w:pPr>
            <w:r w:rsidRPr="00B654DA">
              <w:t xml:space="preserve">Se autorizan los siguientes embalajes/envases, siempre que se cumplan las disposiciones generales de </w:t>
            </w:r>
            <w:r w:rsidRPr="00B654DA">
              <w:rPr>
                <w:b/>
              </w:rPr>
              <w:t>4.1.1</w:t>
            </w:r>
            <w:r w:rsidRPr="00B654DA">
              <w:t xml:space="preserve"> y </w:t>
            </w:r>
            <w:r w:rsidRPr="00B654DA">
              <w:rPr>
                <w:b/>
              </w:rPr>
              <w:t>4.1.3</w:t>
            </w:r>
            <w:r w:rsidRPr="00B654DA">
              <w:rPr>
                <w:iCs/>
              </w:rPr>
              <w:t>:</w:t>
            </w:r>
          </w:p>
        </w:tc>
      </w:tr>
      <w:tr w:rsidR="007A3AD0" w:rsidRPr="00B654DA" w:rsidTr="007A3AD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jc w:val="both"/>
              <w:rPr>
                <w:iCs/>
              </w:rPr>
            </w:pPr>
            <w:r w:rsidRPr="00B654DA">
              <w:rPr>
                <w:bCs/>
                <w:iCs/>
              </w:rPr>
              <w:t>Para las pilas y baterías y el equipo</w:t>
            </w:r>
            <w:r w:rsidR="007D356D">
              <w:rPr>
                <w:bCs/>
                <w:iCs/>
              </w:rPr>
              <w:t xml:space="preserve"> que contenga pilas y baterías: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0"/>
              <w:jc w:val="both"/>
              <w:rPr>
                <w:iCs/>
              </w:rPr>
            </w:pPr>
            <w:r w:rsidRPr="00B654DA">
              <w:rPr>
                <w:iCs/>
              </w:rPr>
              <w:t>Bidones (1A2, 1B2, 1N2, 1H2, 1D, 1G);</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0"/>
              <w:jc w:val="both"/>
              <w:rPr>
                <w:iCs/>
              </w:rPr>
            </w:pPr>
            <w:r w:rsidRPr="00B654DA">
              <w:rPr>
                <w:iCs/>
              </w:rPr>
              <w:t>Cajas (4A, 4B, 4N, 4C1, 4C2, 4D, 4F, 4G, 4H1, 4H2);</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ind w:left="510"/>
              <w:jc w:val="both"/>
              <w:rPr>
                <w:iCs/>
              </w:rPr>
            </w:pPr>
            <w:r w:rsidRPr="00B654DA">
              <w:rPr>
                <w:iCs/>
              </w:rPr>
              <w:t>Jerricanes (3A2, 3B2, 3H2)</w:t>
            </w:r>
            <w:r w:rsidR="007D356D">
              <w:rPr>
                <w:iCs/>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keepNext/>
              <w:keepLines/>
              <w:tabs>
                <w:tab w:val="left" w:pos="1418"/>
                <w:tab w:val="left" w:pos="1985"/>
                <w:tab w:val="left" w:pos="2552"/>
                <w:tab w:val="left" w:pos="3119"/>
                <w:tab w:val="left" w:pos="3686"/>
                <w:tab w:val="left" w:pos="4253"/>
                <w:tab w:val="left" w:pos="4820"/>
              </w:tabs>
              <w:spacing w:before="40" w:after="40" w:line="236" w:lineRule="atLeast"/>
              <w:jc w:val="both"/>
              <w:rPr>
                <w:iCs/>
              </w:rPr>
            </w:pPr>
            <w:r w:rsidRPr="00B654DA">
              <w:rPr>
                <w:iCs/>
              </w:rPr>
              <w:lastRenderedPageBreak/>
              <w:t>Los embalajes/envases se ajustarán al nivel de prestaciones del grupo de embalaje/envase I.</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keepNext/>
              <w:keepLines/>
              <w:tabs>
                <w:tab w:val="left" w:pos="513"/>
                <w:tab w:val="left" w:pos="1418"/>
                <w:tab w:val="left" w:pos="1985"/>
                <w:tab w:val="left" w:pos="2552"/>
                <w:tab w:val="left" w:pos="3119"/>
                <w:tab w:val="left" w:pos="3686"/>
                <w:tab w:val="left" w:pos="4253"/>
                <w:tab w:val="left" w:pos="4820"/>
              </w:tabs>
              <w:spacing w:before="40" w:after="40" w:line="236" w:lineRule="atLeast"/>
              <w:ind w:left="513" w:right="73" w:hanging="513"/>
              <w:jc w:val="both"/>
            </w:pPr>
            <w:r w:rsidRPr="00B654DA">
              <w:t>1)</w:t>
            </w:r>
            <w:r w:rsidRPr="00B654DA">
              <w:tab/>
              <w:t xml:space="preserve">Los </w:t>
            </w:r>
            <w:r w:rsidRPr="00B654DA">
              <w:rPr>
                <w:iCs/>
              </w:rPr>
              <w:t xml:space="preserve">embalajes/envases deberán cumplir los requisitos adicionales en caso de que </w:t>
            </w:r>
            <w:r w:rsidRPr="00B654DA">
              <w:t>las pilas o baterías se desarmen rápidamente o presenten una reacción peligrosa, producción de llama o desprendimiento peligroso de calor o una emisión peligrosa de gases o vapores tóxicos, corrosivos o inflamables: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line="236" w:lineRule="atLeast"/>
              <w:ind w:left="933" w:right="73" w:hanging="426"/>
              <w:jc w:val="both"/>
            </w:pPr>
            <w:r w:rsidRPr="00B654DA">
              <w:t>a)</w:t>
            </w:r>
            <w:r w:rsidRPr="00B654DA">
              <w:tab/>
              <w:t>La temperatura de la superficie exterior del bul</w:t>
            </w:r>
            <w:r w:rsidR="007D356D">
              <w:t>to completo no excederá de 100 º</w:t>
            </w:r>
            <w:r w:rsidRPr="00B654DA">
              <w:t>C. Podrá aceptarse una subida momentánea de la temperatura hasta 200</w:t>
            </w:r>
            <w:r w:rsidR="007D356D">
              <w:t xml:space="preserve"> </w:t>
            </w:r>
            <w:r w:rsidRPr="00B654DA">
              <w:t>ºC</w:t>
            </w:r>
            <w:r w:rsidR="00402521">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line="236" w:lineRule="atLeast"/>
              <w:ind w:left="933" w:right="73" w:hanging="426"/>
              <w:jc w:val="both"/>
            </w:pPr>
            <w:r w:rsidRPr="00B654DA">
              <w:t xml:space="preserve">b) </w:t>
            </w:r>
            <w:r w:rsidRPr="00B654DA">
              <w:tab/>
              <w:t xml:space="preserve">No deberán producirse llamas en el exterior del </w:t>
            </w:r>
            <w:r w:rsidRPr="00B654DA">
              <w:rPr>
                <w:iCs/>
              </w:rPr>
              <w:t>embalaje/envase</w:t>
            </w:r>
            <w:r w:rsidRPr="00B654DA">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line="236" w:lineRule="atLeast"/>
              <w:ind w:left="933" w:right="73" w:hanging="426"/>
              <w:jc w:val="both"/>
            </w:pPr>
            <w:r w:rsidRPr="00B654DA">
              <w:t xml:space="preserve">c) </w:t>
            </w:r>
            <w:r w:rsidRPr="00B654DA">
              <w:tab/>
              <w:t xml:space="preserve">No deberá salir ningún proyectil del </w:t>
            </w:r>
            <w:r w:rsidRPr="00B654DA">
              <w:rPr>
                <w:iCs/>
              </w:rPr>
              <w:t>embalaje/envase</w:t>
            </w:r>
            <w:r w:rsidRPr="00B654DA">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1418"/>
                <w:tab w:val="left" w:pos="1985"/>
                <w:tab w:val="left" w:pos="2552"/>
                <w:tab w:val="left" w:pos="3119"/>
                <w:tab w:val="left" w:pos="3686"/>
                <w:tab w:val="left" w:pos="4253"/>
                <w:tab w:val="left" w:pos="4820"/>
              </w:tabs>
              <w:spacing w:before="40" w:after="40" w:line="236" w:lineRule="atLeast"/>
              <w:ind w:left="933" w:right="73" w:hanging="426"/>
              <w:jc w:val="both"/>
            </w:pPr>
            <w:r w:rsidRPr="00B654DA">
              <w:t xml:space="preserve">d) </w:t>
            </w:r>
            <w:r w:rsidRPr="00B654DA">
              <w:tab/>
              <w:t xml:space="preserve">Deberá mantenerse la integridad estructural del </w:t>
            </w:r>
            <w:r w:rsidRPr="00B654DA">
              <w:rPr>
                <w:iCs/>
              </w:rPr>
              <w:t>embalaje/envase</w:t>
            </w:r>
            <w:r w:rsidR="007D356D">
              <w:rPr>
                <w:iCs/>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spacing w:before="40" w:after="40" w:line="236" w:lineRule="atLeast"/>
              <w:ind w:left="930" w:right="74" w:hanging="425"/>
              <w:jc w:val="both"/>
            </w:pPr>
            <w:r w:rsidRPr="00B654DA">
              <w:t xml:space="preserve">e) </w:t>
            </w:r>
            <w:r w:rsidRPr="00B654DA">
              <w:tab/>
              <w:t xml:space="preserve">Los </w:t>
            </w:r>
            <w:r w:rsidRPr="00B654DA">
              <w:rPr>
                <w:iCs/>
              </w:rPr>
              <w:t>embalajes/envases</w:t>
            </w:r>
            <w:r w:rsidRPr="00B654DA">
              <w:t xml:space="preserve"> llevarán un sistema de gestión de gases (por ejemplo, un sistema de filtros, circulación de aire, contención del gas, empaquetado impermeable al gas, etc.), según proceda.</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513"/>
                <w:tab w:val="left" w:pos="1418"/>
                <w:tab w:val="left" w:pos="1985"/>
                <w:tab w:val="left" w:pos="2552"/>
                <w:tab w:val="left" w:pos="3119"/>
                <w:tab w:val="left" w:pos="3686"/>
                <w:tab w:val="left" w:pos="4253"/>
                <w:tab w:val="left" w:pos="4820"/>
              </w:tabs>
              <w:spacing w:before="40" w:after="40" w:line="236" w:lineRule="atLeast"/>
              <w:ind w:left="513" w:right="73" w:hanging="513"/>
              <w:jc w:val="both"/>
            </w:pPr>
            <w:r w:rsidRPr="00B654DA">
              <w:t>2)</w:t>
            </w:r>
            <w:r w:rsidRPr="00B654DA">
              <w:tab/>
              <w:t xml:space="preserve">Los requisitos adicionales de los </w:t>
            </w:r>
            <w:r w:rsidRPr="00B654DA">
              <w:rPr>
                <w:iCs/>
              </w:rPr>
              <w:t>embalajes/envases</w:t>
            </w:r>
            <w:r w:rsidRPr="00B654DA">
              <w:t xml:space="preserve"> se verificarán mediante un ensayo según especifique la autoridad competente</w:t>
            </w:r>
            <w:r w:rsidRPr="00B654DA">
              <w:rPr>
                <w:b/>
                <w:vertAlign w:val="superscript"/>
              </w:rPr>
              <w:t>a</w:t>
            </w:r>
            <w:r w:rsidRPr="00B654DA">
              <w:t xml:space="preserve">. </w:t>
            </w:r>
          </w:p>
        </w:tc>
      </w:tr>
      <w:tr w:rsidR="007A3AD0" w:rsidRPr="00B654DA" w:rsidTr="007A3AD0">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513"/>
                <w:tab w:val="left" w:pos="1418"/>
                <w:tab w:val="left" w:pos="1985"/>
                <w:tab w:val="left" w:pos="2552"/>
                <w:tab w:val="left" w:pos="3119"/>
                <w:tab w:val="left" w:pos="3686"/>
                <w:tab w:val="left" w:pos="4253"/>
                <w:tab w:val="left" w:pos="4820"/>
              </w:tabs>
              <w:spacing w:before="40" w:after="40" w:line="236" w:lineRule="atLeast"/>
              <w:ind w:left="513" w:right="73" w:hanging="513"/>
              <w:jc w:val="both"/>
            </w:pPr>
            <w:r w:rsidRPr="00B654DA">
              <w:tab/>
              <w:t>Se llevará un informe de verificación que se mostrar</w:t>
            </w:r>
            <w:r w:rsidR="007D356D">
              <w:t>á</w:t>
            </w:r>
            <w:r w:rsidRPr="00B654DA">
              <w:t xml:space="preserve"> cuando se solicite. En dicho informe figurarán, como mínimo, el nombre, el número, la masa, el tipo y la capacidad de almacenamiento de energía de las pilas o baterías, la identificación del embalaje/envase y los datos de ensayo con arreglo al método de verificación especificado por la autoridad competente.</w:t>
            </w:r>
          </w:p>
        </w:tc>
      </w:tr>
      <w:tr w:rsidR="007A3AD0" w:rsidRPr="00B654DA" w:rsidTr="007A3AD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6E443C">
            <w:pPr>
              <w:tabs>
                <w:tab w:val="left" w:pos="513"/>
                <w:tab w:val="left" w:pos="1418"/>
                <w:tab w:val="left" w:pos="1985"/>
                <w:tab w:val="left" w:pos="2552"/>
                <w:tab w:val="left" w:pos="3119"/>
                <w:tab w:val="left" w:pos="3686"/>
                <w:tab w:val="left" w:pos="4253"/>
                <w:tab w:val="left" w:pos="4820"/>
              </w:tabs>
              <w:spacing w:before="40" w:after="40" w:line="236" w:lineRule="atLeast"/>
              <w:ind w:left="513" w:right="73" w:hanging="513"/>
              <w:jc w:val="both"/>
            </w:pPr>
            <w:r w:rsidRPr="00B654DA">
              <w:t xml:space="preserve">3) </w:t>
            </w:r>
            <w:r w:rsidRPr="00B654DA">
              <w:tab/>
              <w:t>Cuando se use hielo seco o nitrógeno líquido como refrigerante, se aplicarán las prescripciones de la sección</w:t>
            </w:r>
            <w:r w:rsidR="006E443C">
              <w:t> </w:t>
            </w:r>
            <w:r w:rsidRPr="00B654DA">
              <w:t>5.5.3. El recipiente primario y el embalaje/envase secundario deberán mantener su integridad a la temperatura del refrigerante usado así como a las temperaturas y presiones que pudieran producirse si se perdiese la refrigeración.</w:t>
            </w:r>
          </w:p>
        </w:tc>
      </w:tr>
      <w:tr w:rsidR="007A3AD0" w:rsidRPr="00B654DA" w:rsidTr="007A3AD0">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7A3AD0" w:rsidRPr="007D356D" w:rsidRDefault="007A3AD0" w:rsidP="006E443C">
            <w:pPr>
              <w:tabs>
                <w:tab w:val="left" w:pos="1418"/>
                <w:tab w:val="left" w:pos="1985"/>
                <w:tab w:val="left" w:pos="2552"/>
                <w:tab w:val="left" w:pos="3119"/>
                <w:tab w:val="left" w:pos="3686"/>
                <w:tab w:val="left" w:pos="4253"/>
                <w:tab w:val="left" w:pos="4820"/>
              </w:tabs>
              <w:spacing w:before="40" w:after="40" w:line="236" w:lineRule="atLeast"/>
              <w:ind w:left="507" w:right="73" w:hanging="507"/>
              <w:jc w:val="both"/>
              <w:rPr>
                <w:b/>
              </w:rPr>
            </w:pPr>
            <w:r w:rsidRPr="007D356D">
              <w:rPr>
                <w:b/>
              </w:rPr>
              <w:t>Requisito adicional:</w:t>
            </w:r>
          </w:p>
        </w:tc>
      </w:tr>
      <w:tr w:rsidR="007A3AD0" w:rsidRPr="00B654DA" w:rsidTr="007A3AD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line="236" w:lineRule="atLeast"/>
              <w:ind w:left="425" w:right="74" w:hanging="425"/>
              <w:jc w:val="both"/>
            </w:pPr>
            <w:r w:rsidRPr="00B654DA">
              <w:t>Las pilas o baterías estarán protegidas contra los cortocircuitos.</w:t>
            </w:r>
          </w:p>
        </w:tc>
      </w:tr>
      <w:tr w:rsidR="007A3AD0" w:rsidRPr="00B654DA" w:rsidTr="007A3AD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513"/>
                <w:tab w:val="left" w:pos="1418"/>
                <w:tab w:val="left" w:pos="1985"/>
                <w:tab w:val="left" w:pos="2552"/>
                <w:tab w:val="left" w:pos="3119"/>
                <w:tab w:val="left" w:pos="3686"/>
                <w:tab w:val="left" w:pos="4253"/>
                <w:tab w:val="left" w:pos="4820"/>
              </w:tabs>
              <w:spacing w:before="40" w:after="40" w:line="236" w:lineRule="atLeast"/>
              <w:ind w:left="513" w:right="73" w:hanging="513"/>
              <w:jc w:val="both"/>
              <w:rPr>
                <w:i/>
              </w:rPr>
            </w:pPr>
            <w:r w:rsidRPr="00B654DA">
              <w:rPr>
                <w:b/>
                <w:vertAlign w:val="superscript"/>
              </w:rPr>
              <w:t>a</w:t>
            </w:r>
            <w:r w:rsidRPr="00B654DA">
              <w:rPr>
                <w:i/>
              </w:rPr>
              <w:tab/>
              <w:t>Para evaluar el comportamiento del embalaje/envase podrán utilizarse los siguientes criterios: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950"/>
              </w:tabs>
              <w:spacing w:before="40" w:after="40" w:line="236" w:lineRule="atLeast"/>
              <w:ind w:left="505" w:right="74"/>
              <w:jc w:val="both"/>
              <w:rPr>
                <w:i/>
              </w:rPr>
            </w:pPr>
            <w:r w:rsidRPr="00B654DA">
              <w:rPr>
                <w:i/>
              </w:rPr>
              <w:t>a)</w:t>
            </w:r>
            <w:r w:rsidRPr="00B654DA">
              <w:rPr>
                <w:i/>
              </w:rPr>
              <w:tab/>
              <w:t>La evaluación se realizará con arreglo a un sistema de control de la calidad (como se describe, por ejemplo, en la sección 2.9.4. e)) que permita el seguimiento de los resultados de los ensayos, los datos de referencia y los modelos de caracterización utilizados;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950"/>
              </w:tabs>
              <w:spacing w:before="40" w:after="40" w:line="236" w:lineRule="atLeast"/>
              <w:ind w:left="505" w:right="74"/>
              <w:jc w:val="both"/>
              <w:rPr>
                <w:i/>
              </w:rPr>
            </w:pPr>
            <w:r w:rsidRPr="00B654DA">
              <w:rPr>
                <w:i/>
              </w:rPr>
              <w:t xml:space="preserve">b) </w:t>
            </w:r>
            <w:r w:rsidRPr="00B654DA">
              <w:rPr>
                <w:i/>
              </w:rPr>
              <w:tab/>
              <w:t>Se identificará y cuantificará claramente la lista de los peligros previstos en caso de destrucción térmica del tipo de pila o batería en las condiciones de transporte (por ejemplo, si se utiliza un recipiente primario, si se conoce el estado de carga, si se utiliza una cantidad suficiente de material de relleno absorbente y eléctricamente no conductor etc.); para ello podrá utilizarse la lista de referencia de posibles peligros para las pilas o baterías de litio (que puedan desarmarse rápidamente o presentar una reacción peligrosa, producción de llama o desprendimiento peligroso de calor o una emisión peligrosa de gases o vapores tóxicos, corrosivos o inflamables. La cuantificación de esos peligros se basará en la bibliografía científica disponible;</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950"/>
              </w:tabs>
              <w:spacing w:before="40" w:after="40" w:line="236" w:lineRule="atLeast"/>
              <w:ind w:left="505" w:right="74"/>
              <w:jc w:val="both"/>
              <w:rPr>
                <w:i/>
              </w:rPr>
            </w:pPr>
            <w:r w:rsidRPr="00B654DA">
              <w:rPr>
                <w:i/>
              </w:rPr>
              <w:t xml:space="preserve">c) </w:t>
            </w:r>
            <w:r w:rsidRPr="00B654DA">
              <w:rPr>
                <w:i/>
              </w:rPr>
              <w:tab/>
              <w:t>Se identificarán y caracterizarán los efectos mitigantes del embalaje/envase, sobre la base de la naturaleza de la protección facilitada y las propiedades de los materiales empleados en su construcción. Para justificar esa evaluación se utilizará una lista de planos y características técnicas (densidad [kg·m</w:t>
            </w:r>
            <w:r w:rsidRPr="00B654DA">
              <w:rPr>
                <w:i/>
                <w:vertAlign w:val="superscript"/>
              </w:rPr>
              <w:t>-3</w:t>
            </w:r>
            <w:r w:rsidRPr="00B654DA">
              <w:rPr>
                <w:i/>
              </w:rPr>
              <w:t>], calor específico [J·kg</w:t>
            </w:r>
            <w:r w:rsidRPr="00B654DA">
              <w:rPr>
                <w:i/>
                <w:vertAlign w:val="superscript"/>
              </w:rPr>
              <w:t>-1</w:t>
            </w:r>
            <w:r w:rsidRPr="00B654DA">
              <w:rPr>
                <w:i/>
              </w:rPr>
              <w:t>·K</w:t>
            </w:r>
            <w:r w:rsidRPr="00B654DA">
              <w:rPr>
                <w:i/>
                <w:vertAlign w:val="superscript"/>
              </w:rPr>
              <w:t>-1</w:t>
            </w:r>
            <w:r w:rsidRPr="00B654DA">
              <w:rPr>
                <w:i/>
              </w:rPr>
              <w:t>], valor calorífico [kJ·kg</w:t>
            </w:r>
            <w:r w:rsidRPr="00B654DA">
              <w:rPr>
                <w:i/>
                <w:vertAlign w:val="superscript"/>
              </w:rPr>
              <w:t>-1</w:t>
            </w:r>
            <w:r w:rsidRPr="00B654DA">
              <w:rPr>
                <w:i/>
              </w:rPr>
              <w:t>], conductividad térmica [W·m</w:t>
            </w:r>
            <w:r w:rsidRPr="00B654DA">
              <w:rPr>
                <w:i/>
                <w:vertAlign w:val="superscript"/>
              </w:rPr>
              <w:t>-1</w:t>
            </w:r>
            <w:r w:rsidRPr="00B654DA">
              <w:rPr>
                <w:i/>
              </w:rPr>
              <w:t>·K</w:t>
            </w:r>
            <w:r w:rsidRPr="00B654DA">
              <w:rPr>
                <w:i/>
                <w:vertAlign w:val="superscript"/>
              </w:rPr>
              <w:t>-1</w:t>
            </w:r>
            <w:r w:rsidRPr="00B654DA">
              <w:rPr>
                <w:i/>
              </w:rPr>
              <w:t>], temperatura de fusión y temperatura de inflamación [K], coeficiente de transferencia calorífica del embalaje/envase secundario [W·m</w:t>
            </w:r>
            <w:r w:rsidRPr="00B654DA">
              <w:rPr>
                <w:i/>
                <w:vertAlign w:val="superscript"/>
              </w:rPr>
              <w:t>2</w:t>
            </w:r>
            <w:r w:rsidRPr="00B654DA">
              <w:rPr>
                <w:i/>
              </w:rPr>
              <w:t>·K</w:t>
            </w:r>
            <w:r w:rsidRPr="00B654DA">
              <w:rPr>
                <w:i/>
                <w:vertAlign w:val="superscript"/>
              </w:rPr>
              <w:t>-1</w:t>
            </w:r>
            <w:r w:rsidRPr="00B654DA">
              <w:rPr>
                <w:i/>
              </w:rPr>
              <w:t>], …);</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950"/>
              </w:tabs>
              <w:spacing w:before="40" w:after="40" w:line="236" w:lineRule="atLeast"/>
              <w:ind w:left="505" w:right="74"/>
              <w:jc w:val="both"/>
              <w:rPr>
                <w:i/>
              </w:rPr>
            </w:pPr>
            <w:r w:rsidRPr="00B654DA">
              <w:rPr>
                <w:i/>
              </w:rPr>
              <w:t xml:space="preserve">d) </w:t>
            </w:r>
            <w:r w:rsidRPr="00B654DA">
              <w:rPr>
                <w:i/>
              </w:rPr>
              <w:tab/>
              <w:t>Mediante el ensayo y cualesquiera otros cálculos de apoyo se evaluará el resultado de la destrucción térmica de la pila o batería dentro del embalaje/envase en las condiciones normales de transporte;</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950"/>
              </w:tabs>
              <w:spacing w:before="40" w:after="40" w:line="236" w:lineRule="atLeast"/>
              <w:ind w:left="505" w:right="74"/>
              <w:jc w:val="both"/>
              <w:rPr>
                <w:i/>
              </w:rPr>
            </w:pPr>
            <w:r w:rsidRPr="00B654DA">
              <w:rPr>
                <w:i/>
              </w:rPr>
              <w:t>e)</w:t>
            </w:r>
            <w:r w:rsidRPr="00B654DA">
              <w:rPr>
                <w:i/>
              </w:rPr>
              <w:tab/>
              <w:t>Si no se conociera el estado de carga de la pila o batería, la evaluación se hará con el valor más alto posible del estado de carga correspondiente a las condiciones de uso de la pila o batería;</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FA6AA6">
            <w:pPr>
              <w:tabs>
                <w:tab w:val="left" w:pos="950"/>
              </w:tabs>
              <w:spacing w:before="40" w:after="40" w:line="236" w:lineRule="atLeast"/>
              <w:ind w:left="505" w:right="74"/>
              <w:jc w:val="both"/>
              <w:rPr>
                <w:i/>
              </w:rPr>
            </w:pPr>
            <w:r w:rsidRPr="00B654DA">
              <w:rPr>
                <w:i/>
              </w:rPr>
              <w:t xml:space="preserve">f) </w:t>
            </w:r>
            <w:r w:rsidRPr="00B654DA">
              <w:rPr>
                <w:i/>
              </w:rPr>
              <w:tab/>
              <w:t>Se describirán las condiciones del entorno en que puede utilizarse el embalaje/envase (incluidas las posibles consecuencias de la emisión de gas o humo al medio ambiente, como la ventilación u otros métodos) con arreglo al sistema de gestión de gases del embalaje/envase;</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6E443C">
            <w:pPr>
              <w:tabs>
                <w:tab w:val="left" w:pos="950"/>
              </w:tabs>
              <w:spacing w:before="40" w:after="40" w:line="236" w:lineRule="atLeast"/>
              <w:ind w:left="505" w:right="74"/>
              <w:jc w:val="both"/>
              <w:rPr>
                <w:i/>
              </w:rPr>
            </w:pPr>
            <w:r w:rsidRPr="00B654DA">
              <w:rPr>
                <w:i/>
              </w:rPr>
              <w:t>g)</w:t>
            </w:r>
            <w:r w:rsidRPr="00B654DA">
              <w:rPr>
                <w:i/>
              </w:rPr>
              <w:tab/>
              <w:t>En los ensayos o el modelo de cálculo se considerará el peor escenario posible para el desencadenamiento y la propagación de la destrucción térmica dentro de la pila o batería: ese escenario incluirá el peor fallo posible que pueda ocurrir en las condiciones normales de transporte y la mayor emisión de calor y llamas para la posible propagación de la reacción;</w:t>
            </w:r>
          </w:p>
        </w:tc>
      </w:tr>
      <w:tr w:rsidR="006E443C" w:rsidRPr="00B654DA" w:rsidTr="007A3AD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6E443C" w:rsidRPr="00B654DA" w:rsidRDefault="006E443C" w:rsidP="006E443C">
            <w:pPr>
              <w:tabs>
                <w:tab w:val="left" w:pos="950"/>
              </w:tabs>
              <w:spacing w:before="40" w:after="40" w:line="236" w:lineRule="atLeast"/>
              <w:ind w:left="505" w:right="74"/>
              <w:jc w:val="both"/>
              <w:rPr>
                <w:i/>
              </w:rPr>
            </w:pPr>
            <w:r w:rsidRPr="00B654DA">
              <w:rPr>
                <w:i/>
              </w:rPr>
              <w:t>h)</w:t>
            </w:r>
            <w:r w:rsidRPr="00B654DA">
              <w:rPr>
                <w:i/>
              </w:rPr>
              <w:tab/>
              <w:t>Las consecuencias del escenario se evaluarán a lo largo de un período que abarque todas las posibles consecuencias (es decir, un período de 24 horas)</w:t>
            </w:r>
            <w:r w:rsidR="007D356D">
              <w:rPr>
                <w:i/>
              </w:rPr>
              <w:t>.</w:t>
            </w:r>
          </w:p>
        </w:tc>
      </w:tr>
    </w:tbl>
    <w:p w:rsidR="007A3AD0" w:rsidRPr="00B654DA" w:rsidRDefault="007D356D" w:rsidP="006E443C">
      <w:pPr>
        <w:pStyle w:val="SingleTxtG"/>
        <w:spacing w:before="240"/>
      </w:pPr>
      <w:r>
        <w:lastRenderedPageBreak/>
        <w:t>4.1.4.2, i</w:t>
      </w:r>
      <w:r w:rsidR="007A3AD0" w:rsidRPr="00B654DA">
        <w:t>nstrucción de embalaje/envasado IBC520</w:t>
      </w:r>
      <w:r w:rsidR="006E443C">
        <w:tab/>
      </w:r>
      <w:r w:rsidR="007A3AD0" w:rsidRPr="00B654DA">
        <w:t xml:space="preserve">En la segunda línea, después de </w:t>
      </w:r>
      <w:r w:rsidR="00A069C9">
        <w:t>“</w:t>
      </w:r>
      <w:r w:rsidR="007A3AD0" w:rsidRPr="00B654DA">
        <w:t>4.1.7.2.</w:t>
      </w:r>
      <w:r w:rsidR="00A069C9">
        <w:t>”</w:t>
      </w:r>
      <w:r w:rsidR="007A3AD0" w:rsidRPr="00B654DA">
        <w:t xml:space="preserve">, añádase una nueva oración que diga lo siguiente: </w:t>
      </w:r>
      <w:r w:rsidR="00A069C9">
        <w:t>“</w:t>
      </w:r>
      <w:r w:rsidR="007A3AD0" w:rsidRPr="00B654DA">
        <w:t>Las formulaciones</w:t>
      </w:r>
      <w:r w:rsidR="00965478">
        <w:t xml:space="preserve"> </w:t>
      </w:r>
      <w:r w:rsidR="007A3AD0" w:rsidRPr="00B654DA">
        <w:t>que se enumeran a continuación también podrán transportarse embaladas de conformidad con el método de embalaje/envasado OP8 de la instrucción de embalaje/envasado P520 de</w:t>
      </w:r>
      <w:r w:rsidR="006E443C">
        <w:t> </w:t>
      </w:r>
      <w:r w:rsidR="007A3AD0" w:rsidRPr="00B654DA">
        <w:t>4.1.4.1, con el mismo control y las mismas temperaturas de emergencia, si procede.</w:t>
      </w:r>
      <w:r w:rsidR="00A069C9">
        <w:t>”</w:t>
      </w:r>
      <w:r w:rsidR="007A3AD0" w:rsidRPr="00B654DA">
        <w:t>.</w:t>
      </w:r>
    </w:p>
    <w:p w:rsidR="007A3AD0" w:rsidRPr="00B654DA" w:rsidRDefault="007A3AD0" w:rsidP="007A3AD0">
      <w:pPr>
        <w:pStyle w:val="SingleTxtG"/>
      </w:pPr>
      <w:r w:rsidRPr="00B654DA">
        <w:t>4.1.4.2</w:t>
      </w:r>
      <w:r w:rsidR="007D356D">
        <w:t>, i</w:t>
      </w:r>
      <w:r w:rsidRPr="00B654DA">
        <w:t>nstrucción de embalaje/envasado IBC520</w:t>
      </w:r>
      <w:r w:rsidRPr="00B654DA">
        <w:tab/>
      </w:r>
      <w:r w:rsidR="007D356D">
        <w:t>Para el n</w:t>
      </w:r>
      <w:r w:rsidRPr="00B654DA">
        <w:t xml:space="preserve">úmero ONU 3109, en la entrada </w:t>
      </w:r>
      <w:r w:rsidR="00A069C9">
        <w:t>“</w:t>
      </w:r>
      <w:r w:rsidRPr="00B654DA">
        <w:t>Hidroperóxido de terc-butilo, al 72 % como máximo, en agua</w:t>
      </w:r>
      <w:r w:rsidR="00A069C9">
        <w:t>”</w:t>
      </w:r>
      <w:r w:rsidRPr="00B654DA">
        <w:t>, añádase una nueva línea que diga lo siguiente: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722"/>
        <w:gridCol w:w="1822"/>
        <w:gridCol w:w="1843"/>
        <w:gridCol w:w="1983"/>
      </w:tblGrid>
      <w:tr w:rsidR="006E443C" w:rsidRPr="006E443C" w:rsidTr="006E443C">
        <w:trPr>
          <w:trHeight w:val="240"/>
          <w:tblHeader/>
        </w:trPr>
        <w:tc>
          <w:tcPr>
            <w:tcW w:w="1722" w:type="dxa"/>
            <w:shd w:val="clear" w:color="auto" w:fill="auto"/>
            <w:vAlign w:val="bottom"/>
          </w:tcPr>
          <w:p w:rsidR="007A3AD0" w:rsidRPr="006E443C" w:rsidRDefault="007A3AD0" w:rsidP="006E443C">
            <w:pPr>
              <w:spacing w:before="80" w:after="80" w:line="200" w:lineRule="exact"/>
              <w:rPr>
                <w:i/>
                <w:sz w:val="16"/>
              </w:rPr>
            </w:pPr>
            <w:r w:rsidRPr="006E443C">
              <w:rPr>
                <w:bCs/>
                <w:i/>
                <w:sz w:val="16"/>
              </w:rPr>
              <w:t>Tipo de</w:t>
            </w:r>
            <w:r w:rsidR="006E443C" w:rsidRPr="006E443C">
              <w:rPr>
                <w:bCs/>
                <w:i/>
                <w:sz w:val="16"/>
              </w:rPr>
              <w:t xml:space="preserve"> </w:t>
            </w:r>
            <w:r w:rsidRPr="006E443C">
              <w:rPr>
                <w:bCs/>
                <w:i/>
                <w:sz w:val="16"/>
              </w:rPr>
              <w:t>RIG</w:t>
            </w:r>
          </w:p>
        </w:tc>
        <w:tc>
          <w:tcPr>
            <w:tcW w:w="1822" w:type="dxa"/>
            <w:shd w:val="clear" w:color="auto" w:fill="auto"/>
            <w:vAlign w:val="bottom"/>
          </w:tcPr>
          <w:p w:rsidR="007A3AD0" w:rsidRPr="006E443C" w:rsidRDefault="007A3AD0" w:rsidP="006E443C">
            <w:pPr>
              <w:spacing w:before="80" w:after="80" w:line="200" w:lineRule="exact"/>
              <w:ind w:left="113"/>
              <w:jc w:val="right"/>
              <w:rPr>
                <w:i/>
                <w:sz w:val="16"/>
              </w:rPr>
            </w:pPr>
            <w:r w:rsidRPr="006E443C">
              <w:rPr>
                <w:bCs/>
                <w:i/>
                <w:sz w:val="16"/>
              </w:rPr>
              <w:t>Cantidad máxima (litros)</w:t>
            </w:r>
          </w:p>
        </w:tc>
        <w:tc>
          <w:tcPr>
            <w:tcW w:w="1843" w:type="dxa"/>
            <w:shd w:val="clear" w:color="auto" w:fill="auto"/>
            <w:vAlign w:val="bottom"/>
          </w:tcPr>
          <w:p w:rsidR="007A3AD0" w:rsidRPr="006E443C" w:rsidRDefault="007A3AD0" w:rsidP="006E443C">
            <w:pPr>
              <w:spacing w:before="80" w:after="80" w:line="200" w:lineRule="exact"/>
              <w:ind w:left="113"/>
              <w:jc w:val="right"/>
              <w:rPr>
                <w:i/>
                <w:sz w:val="16"/>
              </w:rPr>
            </w:pPr>
            <w:r w:rsidRPr="006E443C">
              <w:rPr>
                <w:bCs/>
                <w:i/>
                <w:sz w:val="16"/>
              </w:rPr>
              <w:t>Temperatura de control</w:t>
            </w:r>
          </w:p>
        </w:tc>
        <w:tc>
          <w:tcPr>
            <w:tcW w:w="1983" w:type="dxa"/>
            <w:shd w:val="clear" w:color="auto" w:fill="auto"/>
            <w:vAlign w:val="bottom"/>
          </w:tcPr>
          <w:p w:rsidR="007A3AD0" w:rsidRPr="006E443C" w:rsidRDefault="007A3AD0" w:rsidP="006E443C">
            <w:pPr>
              <w:spacing w:before="80" w:after="80" w:line="200" w:lineRule="exact"/>
              <w:ind w:left="113"/>
              <w:jc w:val="right"/>
              <w:rPr>
                <w:i/>
                <w:sz w:val="16"/>
              </w:rPr>
            </w:pPr>
            <w:r w:rsidRPr="006E443C">
              <w:rPr>
                <w:bCs/>
                <w:i/>
                <w:sz w:val="16"/>
              </w:rPr>
              <w:t>Temperatura d</w:t>
            </w:r>
            <w:r w:rsidR="006E443C">
              <w:rPr>
                <w:bCs/>
                <w:i/>
                <w:sz w:val="16"/>
              </w:rPr>
              <w:t xml:space="preserve">e </w:t>
            </w:r>
            <w:r w:rsidRPr="006E443C">
              <w:rPr>
                <w:bCs/>
                <w:i/>
                <w:sz w:val="16"/>
              </w:rPr>
              <w:t>emergencia</w:t>
            </w:r>
          </w:p>
        </w:tc>
      </w:tr>
      <w:tr w:rsidR="006E443C" w:rsidRPr="006E443C" w:rsidTr="006E443C">
        <w:trPr>
          <w:trHeight w:val="240"/>
        </w:trPr>
        <w:tc>
          <w:tcPr>
            <w:tcW w:w="1722" w:type="dxa"/>
            <w:shd w:val="clear" w:color="auto" w:fill="auto"/>
          </w:tcPr>
          <w:p w:rsidR="007A3AD0" w:rsidRPr="006E443C" w:rsidRDefault="007A3AD0" w:rsidP="006E443C">
            <w:pPr>
              <w:spacing w:before="40" w:after="40" w:line="220" w:lineRule="exact"/>
              <w:rPr>
                <w:sz w:val="18"/>
                <w:szCs w:val="18"/>
              </w:rPr>
            </w:pPr>
            <w:r w:rsidRPr="006E443C">
              <w:rPr>
                <w:sz w:val="18"/>
                <w:szCs w:val="18"/>
              </w:rPr>
              <w:t>31HA1</w:t>
            </w:r>
          </w:p>
        </w:tc>
        <w:tc>
          <w:tcPr>
            <w:tcW w:w="1822" w:type="dxa"/>
            <w:shd w:val="clear" w:color="auto" w:fill="auto"/>
            <w:vAlign w:val="bottom"/>
          </w:tcPr>
          <w:p w:rsidR="007A3AD0" w:rsidRPr="006E443C" w:rsidRDefault="007A3AD0" w:rsidP="006E443C">
            <w:pPr>
              <w:spacing w:before="40" w:after="40" w:line="220" w:lineRule="exact"/>
              <w:ind w:left="113"/>
              <w:jc w:val="right"/>
              <w:rPr>
                <w:sz w:val="18"/>
                <w:szCs w:val="18"/>
              </w:rPr>
            </w:pPr>
            <w:r w:rsidRPr="006E443C">
              <w:rPr>
                <w:sz w:val="18"/>
                <w:szCs w:val="18"/>
              </w:rPr>
              <w:t>1 000</w:t>
            </w:r>
          </w:p>
        </w:tc>
        <w:tc>
          <w:tcPr>
            <w:tcW w:w="1843" w:type="dxa"/>
            <w:shd w:val="clear" w:color="auto" w:fill="auto"/>
            <w:vAlign w:val="bottom"/>
          </w:tcPr>
          <w:p w:rsidR="007A3AD0" w:rsidRPr="006E443C" w:rsidRDefault="007A3AD0" w:rsidP="006E443C">
            <w:pPr>
              <w:spacing w:before="40" w:after="40" w:line="220" w:lineRule="exact"/>
              <w:ind w:left="113"/>
              <w:jc w:val="right"/>
              <w:rPr>
                <w:sz w:val="18"/>
                <w:szCs w:val="18"/>
              </w:rPr>
            </w:pPr>
          </w:p>
        </w:tc>
        <w:tc>
          <w:tcPr>
            <w:tcW w:w="1983" w:type="dxa"/>
            <w:shd w:val="clear" w:color="auto" w:fill="auto"/>
            <w:vAlign w:val="bottom"/>
          </w:tcPr>
          <w:p w:rsidR="007A3AD0" w:rsidRPr="006E443C" w:rsidRDefault="007A3AD0" w:rsidP="006E443C">
            <w:pPr>
              <w:spacing w:before="40" w:after="40" w:line="220" w:lineRule="exact"/>
              <w:ind w:left="113"/>
              <w:jc w:val="right"/>
              <w:rPr>
                <w:sz w:val="18"/>
                <w:szCs w:val="18"/>
              </w:rPr>
            </w:pPr>
          </w:p>
        </w:tc>
      </w:tr>
    </w:tbl>
    <w:p w:rsidR="007A3AD0" w:rsidRPr="00B654DA" w:rsidRDefault="007A3AD0" w:rsidP="006E443C">
      <w:pPr>
        <w:pStyle w:val="SingleTxtG"/>
        <w:spacing w:before="240"/>
      </w:pPr>
      <w:r w:rsidRPr="00B654DA">
        <w:t>4.1.4.2</w:t>
      </w:r>
      <w:r w:rsidRPr="00B654DA">
        <w:tab/>
      </w:r>
      <w:r w:rsidRPr="00B654DA">
        <w:tab/>
        <w:t>Instrucción de embalaje/envasado IBC520. Añádanse las nuevas entradas siguientes:</w:t>
      </w:r>
    </w:p>
    <w:tbl>
      <w:tblPr>
        <w:tblW w:w="8525" w:type="dxa"/>
        <w:tblInd w:w="1134" w:type="dxa"/>
        <w:tblBorders>
          <w:top w:val="single" w:sz="4" w:space="0" w:color="auto"/>
        </w:tblBorders>
        <w:tblCellMar>
          <w:left w:w="0" w:type="dxa"/>
          <w:right w:w="0" w:type="dxa"/>
        </w:tblCellMar>
        <w:tblLook w:val="01E0" w:firstRow="1" w:lastRow="1" w:firstColumn="1" w:lastColumn="1" w:noHBand="0" w:noVBand="0"/>
      </w:tblPr>
      <w:tblGrid>
        <w:gridCol w:w="518"/>
        <w:gridCol w:w="2743"/>
        <w:gridCol w:w="1134"/>
        <w:gridCol w:w="1417"/>
        <w:gridCol w:w="1418"/>
        <w:gridCol w:w="1295"/>
      </w:tblGrid>
      <w:tr w:rsidR="008322C7" w:rsidRPr="008322C7" w:rsidTr="007D356D">
        <w:trPr>
          <w:trHeight w:val="240"/>
          <w:tblHeader/>
        </w:trPr>
        <w:tc>
          <w:tcPr>
            <w:tcW w:w="518" w:type="dxa"/>
            <w:tcBorders>
              <w:top w:val="single" w:sz="4" w:space="0" w:color="auto"/>
              <w:bottom w:val="single" w:sz="12" w:space="0" w:color="auto"/>
            </w:tcBorders>
            <w:shd w:val="clear" w:color="auto" w:fill="auto"/>
            <w:vAlign w:val="bottom"/>
          </w:tcPr>
          <w:p w:rsidR="007A3AD0" w:rsidRPr="008322C7" w:rsidRDefault="007A3AD0" w:rsidP="007D356D">
            <w:pPr>
              <w:spacing w:before="80" w:after="80" w:line="200" w:lineRule="exact"/>
              <w:rPr>
                <w:bCs/>
                <w:i/>
                <w:sz w:val="16"/>
                <w:szCs w:val="18"/>
              </w:rPr>
            </w:pPr>
            <w:r w:rsidRPr="008322C7">
              <w:rPr>
                <w:bCs/>
                <w:i/>
                <w:sz w:val="16"/>
                <w:szCs w:val="18"/>
              </w:rPr>
              <w:t>N</w:t>
            </w:r>
            <w:r w:rsidR="007D356D">
              <w:rPr>
                <w:bCs/>
                <w:i/>
                <w:sz w:val="16"/>
                <w:szCs w:val="18"/>
              </w:rPr>
              <w:t>úm.</w:t>
            </w:r>
            <w:r w:rsidRPr="008322C7">
              <w:rPr>
                <w:bCs/>
                <w:i/>
                <w:sz w:val="16"/>
                <w:szCs w:val="18"/>
              </w:rPr>
              <w:t xml:space="preserve"> ONU</w:t>
            </w:r>
          </w:p>
        </w:tc>
        <w:tc>
          <w:tcPr>
            <w:tcW w:w="2743" w:type="dxa"/>
            <w:tcBorders>
              <w:top w:val="single" w:sz="4" w:space="0" w:color="auto"/>
              <w:bottom w:val="single" w:sz="12" w:space="0" w:color="auto"/>
            </w:tcBorders>
            <w:shd w:val="clear" w:color="auto" w:fill="auto"/>
            <w:vAlign w:val="bottom"/>
          </w:tcPr>
          <w:p w:rsidR="007A3AD0" w:rsidRPr="008322C7" w:rsidRDefault="007A3AD0" w:rsidP="008322C7">
            <w:pPr>
              <w:spacing w:before="80" w:after="80" w:line="200" w:lineRule="exact"/>
              <w:ind w:left="113"/>
              <w:rPr>
                <w:i/>
                <w:sz w:val="16"/>
              </w:rPr>
            </w:pPr>
            <w:r w:rsidRPr="008322C7">
              <w:rPr>
                <w:i/>
                <w:sz w:val="16"/>
              </w:rPr>
              <w:t>Peróxido orgánico</w:t>
            </w:r>
          </w:p>
        </w:tc>
        <w:tc>
          <w:tcPr>
            <w:tcW w:w="1134" w:type="dxa"/>
            <w:tcBorders>
              <w:top w:val="single" w:sz="4" w:space="0" w:color="auto"/>
              <w:bottom w:val="single" w:sz="12" w:space="0" w:color="auto"/>
            </w:tcBorders>
            <w:shd w:val="clear" w:color="auto" w:fill="auto"/>
            <w:vAlign w:val="bottom"/>
          </w:tcPr>
          <w:p w:rsidR="007A3AD0" w:rsidRPr="008322C7" w:rsidRDefault="007A3AD0" w:rsidP="008322C7">
            <w:pPr>
              <w:spacing w:before="80" w:after="80" w:line="200" w:lineRule="exact"/>
              <w:ind w:left="113"/>
              <w:jc w:val="right"/>
              <w:rPr>
                <w:i/>
                <w:sz w:val="16"/>
                <w:szCs w:val="18"/>
              </w:rPr>
            </w:pPr>
            <w:r w:rsidRPr="008322C7">
              <w:rPr>
                <w:bCs/>
                <w:i/>
                <w:sz w:val="16"/>
                <w:szCs w:val="18"/>
              </w:rPr>
              <w:t>Tipo de</w:t>
            </w:r>
            <w:r w:rsidR="008322C7">
              <w:rPr>
                <w:bCs/>
                <w:i/>
                <w:sz w:val="16"/>
                <w:szCs w:val="18"/>
              </w:rPr>
              <w:t xml:space="preserve"> </w:t>
            </w:r>
            <w:r w:rsidRPr="008322C7">
              <w:rPr>
                <w:bCs/>
                <w:i/>
                <w:sz w:val="16"/>
                <w:szCs w:val="18"/>
              </w:rPr>
              <w:t>RIG</w:t>
            </w:r>
          </w:p>
        </w:tc>
        <w:tc>
          <w:tcPr>
            <w:tcW w:w="1417" w:type="dxa"/>
            <w:tcBorders>
              <w:top w:val="single" w:sz="4" w:space="0" w:color="auto"/>
              <w:bottom w:val="single" w:sz="12" w:space="0" w:color="auto"/>
            </w:tcBorders>
            <w:shd w:val="clear" w:color="auto" w:fill="auto"/>
            <w:vAlign w:val="bottom"/>
          </w:tcPr>
          <w:p w:rsidR="007A3AD0" w:rsidRPr="008322C7" w:rsidRDefault="007A3AD0" w:rsidP="008322C7">
            <w:pPr>
              <w:spacing w:before="80" w:after="80" w:line="200" w:lineRule="exact"/>
              <w:ind w:left="113"/>
              <w:jc w:val="right"/>
              <w:rPr>
                <w:i/>
                <w:sz w:val="16"/>
                <w:szCs w:val="18"/>
              </w:rPr>
            </w:pPr>
            <w:r w:rsidRPr="008322C7">
              <w:rPr>
                <w:bCs/>
                <w:i/>
                <w:sz w:val="16"/>
                <w:szCs w:val="18"/>
              </w:rPr>
              <w:t>Cantidad máxima (litros)</w:t>
            </w:r>
          </w:p>
        </w:tc>
        <w:tc>
          <w:tcPr>
            <w:tcW w:w="1418" w:type="dxa"/>
            <w:tcBorders>
              <w:top w:val="single" w:sz="4" w:space="0" w:color="auto"/>
              <w:bottom w:val="single" w:sz="12" w:space="0" w:color="auto"/>
            </w:tcBorders>
            <w:shd w:val="clear" w:color="auto" w:fill="auto"/>
            <w:vAlign w:val="bottom"/>
          </w:tcPr>
          <w:p w:rsidR="007A3AD0" w:rsidRPr="008322C7" w:rsidRDefault="007A3AD0" w:rsidP="007D356D">
            <w:pPr>
              <w:spacing w:before="80" w:after="80" w:line="200" w:lineRule="exact"/>
              <w:ind w:left="113"/>
              <w:jc w:val="right"/>
              <w:rPr>
                <w:i/>
                <w:sz w:val="16"/>
                <w:szCs w:val="18"/>
              </w:rPr>
            </w:pPr>
            <w:r w:rsidRPr="008322C7">
              <w:rPr>
                <w:bCs/>
                <w:i/>
                <w:sz w:val="16"/>
                <w:szCs w:val="18"/>
              </w:rPr>
              <w:t>Temperatura de</w:t>
            </w:r>
            <w:r w:rsidR="007D356D">
              <w:rPr>
                <w:bCs/>
                <w:i/>
                <w:sz w:val="16"/>
                <w:szCs w:val="18"/>
              </w:rPr>
              <w:t> </w:t>
            </w:r>
            <w:r w:rsidRPr="008322C7">
              <w:rPr>
                <w:bCs/>
                <w:i/>
                <w:sz w:val="16"/>
                <w:szCs w:val="18"/>
              </w:rPr>
              <w:t>control</w:t>
            </w:r>
          </w:p>
        </w:tc>
        <w:tc>
          <w:tcPr>
            <w:tcW w:w="1295" w:type="dxa"/>
            <w:tcBorders>
              <w:top w:val="single" w:sz="4" w:space="0" w:color="auto"/>
              <w:bottom w:val="single" w:sz="12" w:space="0" w:color="auto"/>
            </w:tcBorders>
            <w:shd w:val="clear" w:color="auto" w:fill="auto"/>
            <w:vAlign w:val="bottom"/>
          </w:tcPr>
          <w:p w:rsidR="007A3AD0" w:rsidRPr="008322C7" w:rsidRDefault="007A3AD0" w:rsidP="008322C7">
            <w:pPr>
              <w:spacing w:before="80" w:after="80" w:line="200" w:lineRule="exact"/>
              <w:ind w:left="113"/>
              <w:jc w:val="right"/>
              <w:rPr>
                <w:i/>
                <w:sz w:val="16"/>
                <w:szCs w:val="18"/>
              </w:rPr>
            </w:pPr>
            <w:r w:rsidRPr="008322C7">
              <w:rPr>
                <w:bCs/>
                <w:i/>
                <w:sz w:val="16"/>
                <w:szCs w:val="18"/>
              </w:rPr>
              <w:t>Temperatura de emergencia</w:t>
            </w:r>
          </w:p>
        </w:tc>
      </w:tr>
      <w:tr w:rsidR="008322C7" w:rsidRPr="008322C7" w:rsidTr="009B189E">
        <w:trPr>
          <w:trHeight w:val="240"/>
        </w:trPr>
        <w:tc>
          <w:tcPr>
            <w:tcW w:w="518" w:type="dxa"/>
            <w:tcBorders>
              <w:top w:val="single" w:sz="12" w:space="0" w:color="auto"/>
            </w:tcBorders>
            <w:shd w:val="clear" w:color="auto" w:fill="auto"/>
          </w:tcPr>
          <w:p w:rsidR="007A3AD0" w:rsidRPr="008322C7" w:rsidRDefault="007A3AD0" w:rsidP="008322C7">
            <w:pPr>
              <w:spacing w:before="40" w:after="40" w:line="220" w:lineRule="exact"/>
              <w:rPr>
                <w:sz w:val="18"/>
              </w:rPr>
            </w:pPr>
            <w:r w:rsidRPr="008322C7">
              <w:rPr>
                <w:sz w:val="18"/>
              </w:rPr>
              <w:t>3109</w:t>
            </w:r>
          </w:p>
        </w:tc>
        <w:tc>
          <w:tcPr>
            <w:tcW w:w="2743" w:type="dxa"/>
            <w:tcBorders>
              <w:top w:val="single" w:sz="12" w:space="0" w:color="auto"/>
            </w:tcBorders>
            <w:shd w:val="clear" w:color="auto" w:fill="auto"/>
          </w:tcPr>
          <w:p w:rsidR="007A3AD0" w:rsidRPr="008322C7" w:rsidRDefault="007A3AD0" w:rsidP="008322C7">
            <w:pPr>
              <w:spacing w:before="40" w:after="40" w:line="220" w:lineRule="exact"/>
              <w:ind w:left="113"/>
              <w:rPr>
                <w:sz w:val="18"/>
              </w:rPr>
            </w:pPr>
            <w:r w:rsidRPr="008322C7">
              <w:rPr>
                <w:sz w:val="18"/>
              </w:rPr>
              <w:t>2,5-Dimetil-2,5-di(ter-butilperoxi)</w:t>
            </w:r>
            <w:r w:rsidR="007D356D">
              <w:rPr>
                <w:sz w:val="18"/>
              </w:rPr>
              <w:t xml:space="preserve"> </w:t>
            </w:r>
            <w:r w:rsidRPr="008322C7">
              <w:rPr>
                <w:sz w:val="18"/>
              </w:rPr>
              <w:t>hexano, al 52% como máximo, en agua en diluyente tipo A</w:t>
            </w:r>
          </w:p>
        </w:tc>
        <w:tc>
          <w:tcPr>
            <w:tcW w:w="1134" w:type="dxa"/>
            <w:tcBorders>
              <w:top w:val="single" w:sz="12" w:space="0" w:color="auto"/>
            </w:tcBorders>
            <w:shd w:val="clear" w:color="auto" w:fill="auto"/>
          </w:tcPr>
          <w:p w:rsidR="007A3AD0" w:rsidRPr="008322C7" w:rsidRDefault="007A3AD0" w:rsidP="008322C7">
            <w:pPr>
              <w:spacing w:before="40" w:after="40" w:line="220" w:lineRule="exact"/>
              <w:ind w:left="113"/>
              <w:jc w:val="right"/>
              <w:rPr>
                <w:sz w:val="18"/>
              </w:rPr>
            </w:pPr>
            <w:r w:rsidRPr="008322C7">
              <w:rPr>
                <w:sz w:val="18"/>
              </w:rPr>
              <w:t>31HA1</w:t>
            </w:r>
          </w:p>
        </w:tc>
        <w:tc>
          <w:tcPr>
            <w:tcW w:w="1417" w:type="dxa"/>
            <w:tcBorders>
              <w:top w:val="single" w:sz="12" w:space="0" w:color="auto"/>
            </w:tcBorders>
            <w:shd w:val="clear" w:color="auto" w:fill="auto"/>
          </w:tcPr>
          <w:p w:rsidR="007A3AD0" w:rsidRPr="008322C7" w:rsidRDefault="007A3AD0" w:rsidP="008322C7">
            <w:pPr>
              <w:spacing w:before="40" w:after="40" w:line="220" w:lineRule="exact"/>
              <w:ind w:left="113"/>
              <w:jc w:val="right"/>
              <w:rPr>
                <w:sz w:val="18"/>
              </w:rPr>
            </w:pPr>
            <w:r w:rsidRPr="008322C7">
              <w:rPr>
                <w:sz w:val="18"/>
              </w:rPr>
              <w:t>1</w:t>
            </w:r>
            <w:r w:rsidR="008322C7">
              <w:rPr>
                <w:sz w:val="18"/>
              </w:rPr>
              <w:t xml:space="preserve"> </w:t>
            </w:r>
            <w:r w:rsidRPr="008322C7">
              <w:rPr>
                <w:sz w:val="18"/>
              </w:rPr>
              <w:t>000</w:t>
            </w:r>
          </w:p>
        </w:tc>
        <w:tc>
          <w:tcPr>
            <w:tcW w:w="1418" w:type="dxa"/>
            <w:tcBorders>
              <w:top w:val="single" w:sz="12" w:space="0" w:color="auto"/>
            </w:tcBorders>
            <w:shd w:val="clear" w:color="auto" w:fill="auto"/>
          </w:tcPr>
          <w:p w:rsidR="007A3AD0" w:rsidRPr="008322C7" w:rsidRDefault="007A3AD0" w:rsidP="008322C7">
            <w:pPr>
              <w:spacing w:before="40" w:after="40" w:line="220" w:lineRule="exact"/>
              <w:ind w:left="113"/>
              <w:jc w:val="right"/>
              <w:rPr>
                <w:sz w:val="18"/>
              </w:rPr>
            </w:pPr>
          </w:p>
        </w:tc>
        <w:tc>
          <w:tcPr>
            <w:tcW w:w="1295" w:type="dxa"/>
            <w:tcBorders>
              <w:top w:val="single" w:sz="12" w:space="0" w:color="auto"/>
            </w:tcBorders>
            <w:shd w:val="clear" w:color="auto" w:fill="auto"/>
          </w:tcPr>
          <w:p w:rsidR="007A3AD0" w:rsidRPr="008322C7" w:rsidRDefault="007A3AD0" w:rsidP="008322C7">
            <w:pPr>
              <w:spacing w:before="40" w:after="40" w:line="220" w:lineRule="exact"/>
              <w:ind w:left="113"/>
              <w:jc w:val="right"/>
              <w:rPr>
                <w:sz w:val="18"/>
              </w:rPr>
            </w:pPr>
          </w:p>
        </w:tc>
      </w:tr>
      <w:tr w:rsidR="008322C7" w:rsidRPr="008322C7" w:rsidTr="009B189E">
        <w:trPr>
          <w:trHeight w:val="240"/>
        </w:trPr>
        <w:tc>
          <w:tcPr>
            <w:tcW w:w="518" w:type="dxa"/>
            <w:shd w:val="clear" w:color="auto" w:fill="auto"/>
          </w:tcPr>
          <w:p w:rsidR="007A3AD0" w:rsidRPr="008322C7" w:rsidRDefault="007A3AD0" w:rsidP="008322C7">
            <w:pPr>
              <w:spacing w:before="40" w:after="40" w:line="220" w:lineRule="exact"/>
              <w:rPr>
                <w:sz w:val="18"/>
              </w:rPr>
            </w:pPr>
            <w:r w:rsidRPr="008322C7">
              <w:rPr>
                <w:sz w:val="18"/>
              </w:rPr>
              <w:t>3109</w:t>
            </w:r>
          </w:p>
        </w:tc>
        <w:tc>
          <w:tcPr>
            <w:tcW w:w="2743" w:type="dxa"/>
            <w:shd w:val="clear" w:color="auto" w:fill="auto"/>
          </w:tcPr>
          <w:p w:rsidR="007A3AD0" w:rsidRPr="008322C7" w:rsidRDefault="007A3AD0" w:rsidP="008322C7">
            <w:pPr>
              <w:spacing w:before="40" w:after="40" w:line="220" w:lineRule="exact"/>
              <w:ind w:left="113"/>
              <w:rPr>
                <w:sz w:val="18"/>
              </w:rPr>
            </w:pPr>
            <w:r w:rsidRPr="008322C7">
              <w:rPr>
                <w:sz w:val="18"/>
              </w:rPr>
              <w:t>3,6,9-Trietil-3,6,9-trimetil-1,4,7-triperoxonano al 27% como máximo, en agua en diluyente tipo A</w:t>
            </w:r>
          </w:p>
        </w:tc>
        <w:tc>
          <w:tcPr>
            <w:tcW w:w="1134" w:type="dxa"/>
            <w:shd w:val="clear" w:color="auto" w:fill="auto"/>
          </w:tcPr>
          <w:p w:rsidR="007A3AD0" w:rsidRPr="008322C7" w:rsidRDefault="007A3AD0" w:rsidP="008322C7">
            <w:pPr>
              <w:spacing w:before="40" w:after="40" w:line="220" w:lineRule="exact"/>
              <w:ind w:left="113"/>
              <w:jc w:val="right"/>
              <w:rPr>
                <w:sz w:val="18"/>
              </w:rPr>
            </w:pPr>
            <w:r w:rsidRPr="008322C7">
              <w:rPr>
                <w:sz w:val="18"/>
              </w:rPr>
              <w:t>31HA1</w:t>
            </w:r>
          </w:p>
        </w:tc>
        <w:tc>
          <w:tcPr>
            <w:tcW w:w="1417" w:type="dxa"/>
            <w:shd w:val="clear" w:color="auto" w:fill="auto"/>
          </w:tcPr>
          <w:p w:rsidR="007A3AD0" w:rsidRPr="008322C7" w:rsidRDefault="007A3AD0" w:rsidP="008322C7">
            <w:pPr>
              <w:spacing w:before="40" w:after="40" w:line="220" w:lineRule="exact"/>
              <w:ind w:left="113"/>
              <w:jc w:val="right"/>
              <w:rPr>
                <w:sz w:val="18"/>
              </w:rPr>
            </w:pPr>
            <w:r w:rsidRPr="008322C7">
              <w:rPr>
                <w:sz w:val="18"/>
              </w:rPr>
              <w:t>1</w:t>
            </w:r>
            <w:r w:rsidR="008322C7">
              <w:rPr>
                <w:sz w:val="18"/>
              </w:rPr>
              <w:t xml:space="preserve"> </w:t>
            </w:r>
            <w:r w:rsidRPr="008322C7">
              <w:rPr>
                <w:sz w:val="18"/>
              </w:rPr>
              <w:t>000</w:t>
            </w:r>
          </w:p>
        </w:tc>
        <w:tc>
          <w:tcPr>
            <w:tcW w:w="1418" w:type="dxa"/>
            <w:shd w:val="clear" w:color="auto" w:fill="auto"/>
          </w:tcPr>
          <w:p w:rsidR="007A3AD0" w:rsidRPr="008322C7" w:rsidRDefault="007A3AD0" w:rsidP="008322C7">
            <w:pPr>
              <w:spacing w:before="40" w:after="40" w:line="220" w:lineRule="exact"/>
              <w:ind w:left="113"/>
              <w:jc w:val="right"/>
              <w:rPr>
                <w:sz w:val="18"/>
              </w:rPr>
            </w:pPr>
          </w:p>
        </w:tc>
        <w:tc>
          <w:tcPr>
            <w:tcW w:w="1295" w:type="dxa"/>
            <w:shd w:val="clear" w:color="auto" w:fill="auto"/>
          </w:tcPr>
          <w:p w:rsidR="007A3AD0" w:rsidRPr="008322C7" w:rsidRDefault="007A3AD0" w:rsidP="008322C7">
            <w:pPr>
              <w:spacing w:before="40" w:after="40" w:line="220" w:lineRule="exact"/>
              <w:ind w:left="113"/>
              <w:jc w:val="right"/>
              <w:rPr>
                <w:sz w:val="18"/>
              </w:rPr>
            </w:pPr>
          </w:p>
        </w:tc>
      </w:tr>
      <w:tr w:rsidR="008322C7" w:rsidRPr="008322C7" w:rsidTr="009B189E">
        <w:trPr>
          <w:trHeight w:val="240"/>
        </w:trPr>
        <w:tc>
          <w:tcPr>
            <w:tcW w:w="518" w:type="dxa"/>
            <w:tcBorders>
              <w:bottom w:val="single" w:sz="12" w:space="0" w:color="auto"/>
            </w:tcBorders>
            <w:shd w:val="clear" w:color="auto" w:fill="auto"/>
          </w:tcPr>
          <w:p w:rsidR="007A3AD0" w:rsidRPr="008322C7" w:rsidRDefault="007A3AD0" w:rsidP="008322C7">
            <w:pPr>
              <w:spacing w:before="40" w:after="40" w:line="220" w:lineRule="exact"/>
              <w:rPr>
                <w:sz w:val="18"/>
              </w:rPr>
            </w:pPr>
            <w:r w:rsidRPr="008322C7">
              <w:rPr>
                <w:sz w:val="18"/>
              </w:rPr>
              <w:t>3119</w:t>
            </w:r>
          </w:p>
        </w:tc>
        <w:tc>
          <w:tcPr>
            <w:tcW w:w="2743" w:type="dxa"/>
            <w:tcBorders>
              <w:bottom w:val="single" w:sz="12" w:space="0" w:color="auto"/>
            </w:tcBorders>
            <w:shd w:val="clear" w:color="auto" w:fill="auto"/>
          </w:tcPr>
          <w:p w:rsidR="007A3AD0" w:rsidRPr="008322C7" w:rsidRDefault="007A3AD0" w:rsidP="008322C7">
            <w:pPr>
              <w:spacing w:before="40" w:after="40" w:line="220" w:lineRule="exact"/>
              <w:ind w:left="113"/>
              <w:rPr>
                <w:sz w:val="18"/>
              </w:rPr>
            </w:pPr>
            <w:r w:rsidRPr="008322C7">
              <w:rPr>
                <w:sz w:val="18"/>
              </w:rPr>
              <w:t>ter-Amil peroxi-2-etilhexanoato,</w:t>
            </w:r>
            <w:r w:rsidR="008322C7">
              <w:rPr>
                <w:sz w:val="18"/>
              </w:rPr>
              <w:t xml:space="preserve"> </w:t>
            </w:r>
            <w:r w:rsidRPr="008322C7">
              <w:rPr>
                <w:sz w:val="18"/>
              </w:rPr>
              <w:t>al 62% como</w:t>
            </w:r>
            <w:r w:rsidR="008322C7">
              <w:rPr>
                <w:sz w:val="18"/>
              </w:rPr>
              <w:t> </w:t>
            </w:r>
            <w:r w:rsidRPr="008322C7">
              <w:rPr>
                <w:sz w:val="18"/>
              </w:rPr>
              <w:t>máximo, en agua en</w:t>
            </w:r>
            <w:r w:rsidR="008322C7">
              <w:rPr>
                <w:sz w:val="18"/>
              </w:rPr>
              <w:t> </w:t>
            </w:r>
            <w:r w:rsidRPr="008322C7">
              <w:rPr>
                <w:sz w:val="18"/>
              </w:rPr>
              <w:t>diluyente tipo A</w:t>
            </w:r>
          </w:p>
        </w:tc>
        <w:tc>
          <w:tcPr>
            <w:tcW w:w="1134" w:type="dxa"/>
            <w:tcBorders>
              <w:bottom w:val="single" w:sz="12" w:space="0" w:color="auto"/>
            </w:tcBorders>
            <w:shd w:val="clear" w:color="auto" w:fill="auto"/>
          </w:tcPr>
          <w:p w:rsidR="007A3AD0" w:rsidRPr="008322C7" w:rsidRDefault="007A3AD0" w:rsidP="008322C7">
            <w:pPr>
              <w:spacing w:before="40" w:after="40" w:line="220" w:lineRule="exact"/>
              <w:ind w:left="113"/>
              <w:jc w:val="right"/>
              <w:rPr>
                <w:sz w:val="18"/>
              </w:rPr>
            </w:pPr>
            <w:r w:rsidRPr="008322C7">
              <w:rPr>
                <w:sz w:val="18"/>
              </w:rPr>
              <w:t>31HA1</w:t>
            </w:r>
          </w:p>
        </w:tc>
        <w:tc>
          <w:tcPr>
            <w:tcW w:w="1417" w:type="dxa"/>
            <w:tcBorders>
              <w:bottom w:val="single" w:sz="12" w:space="0" w:color="auto"/>
            </w:tcBorders>
            <w:shd w:val="clear" w:color="auto" w:fill="auto"/>
          </w:tcPr>
          <w:p w:rsidR="007A3AD0" w:rsidRPr="008322C7" w:rsidRDefault="007A3AD0" w:rsidP="008322C7">
            <w:pPr>
              <w:spacing w:before="40" w:after="40" w:line="220" w:lineRule="exact"/>
              <w:ind w:left="113"/>
              <w:jc w:val="right"/>
              <w:rPr>
                <w:sz w:val="18"/>
              </w:rPr>
            </w:pPr>
            <w:r w:rsidRPr="008322C7">
              <w:rPr>
                <w:sz w:val="18"/>
              </w:rPr>
              <w:t>1</w:t>
            </w:r>
            <w:r w:rsidR="008322C7">
              <w:rPr>
                <w:sz w:val="18"/>
              </w:rPr>
              <w:t xml:space="preserve"> </w:t>
            </w:r>
            <w:r w:rsidRPr="008322C7">
              <w:rPr>
                <w:sz w:val="18"/>
              </w:rPr>
              <w:t>000</w:t>
            </w:r>
          </w:p>
        </w:tc>
        <w:tc>
          <w:tcPr>
            <w:tcW w:w="1418" w:type="dxa"/>
            <w:tcBorders>
              <w:bottom w:val="single" w:sz="12" w:space="0" w:color="auto"/>
            </w:tcBorders>
            <w:shd w:val="clear" w:color="auto" w:fill="auto"/>
          </w:tcPr>
          <w:p w:rsidR="007A3AD0" w:rsidRPr="008322C7" w:rsidRDefault="007A3AD0" w:rsidP="007D356D">
            <w:pPr>
              <w:spacing w:before="40" w:after="40" w:line="220" w:lineRule="exact"/>
              <w:ind w:left="113"/>
              <w:jc w:val="right"/>
              <w:rPr>
                <w:sz w:val="18"/>
              </w:rPr>
            </w:pPr>
            <w:r w:rsidRPr="008322C7">
              <w:rPr>
                <w:sz w:val="18"/>
              </w:rPr>
              <w:t>+15</w:t>
            </w:r>
            <w:r w:rsidR="007D356D">
              <w:rPr>
                <w:sz w:val="18"/>
              </w:rPr>
              <w:t xml:space="preserve"> ºC</w:t>
            </w:r>
          </w:p>
        </w:tc>
        <w:tc>
          <w:tcPr>
            <w:tcW w:w="1295" w:type="dxa"/>
            <w:tcBorders>
              <w:bottom w:val="single" w:sz="12" w:space="0" w:color="auto"/>
            </w:tcBorders>
            <w:shd w:val="clear" w:color="auto" w:fill="auto"/>
          </w:tcPr>
          <w:p w:rsidR="007A3AD0" w:rsidRPr="008322C7" w:rsidRDefault="007A3AD0" w:rsidP="007D356D">
            <w:pPr>
              <w:spacing w:before="40" w:after="40" w:line="220" w:lineRule="exact"/>
              <w:ind w:left="113"/>
              <w:jc w:val="right"/>
              <w:rPr>
                <w:sz w:val="18"/>
              </w:rPr>
            </w:pPr>
            <w:r w:rsidRPr="008322C7">
              <w:rPr>
                <w:sz w:val="18"/>
              </w:rPr>
              <w:t>+20</w:t>
            </w:r>
            <w:r w:rsidR="007D356D">
              <w:rPr>
                <w:sz w:val="18"/>
              </w:rPr>
              <w:t xml:space="preserve"> ºC</w:t>
            </w:r>
          </w:p>
        </w:tc>
      </w:tr>
    </w:tbl>
    <w:p w:rsidR="007A3AD0" w:rsidRPr="00B654DA" w:rsidRDefault="007A3AD0" w:rsidP="008322C7">
      <w:pPr>
        <w:pStyle w:val="SingleTxtG"/>
        <w:spacing w:before="240"/>
      </w:pPr>
      <w:r w:rsidRPr="00B654DA">
        <w:t>4.1.4.3</w:t>
      </w:r>
      <w:r w:rsidR="007D356D">
        <w:t>, i</w:t>
      </w:r>
      <w:r w:rsidRPr="00B654DA">
        <w:t xml:space="preserve">nstrucción de embalaje/envasado LP902. En </w:t>
      </w:r>
      <w:r w:rsidR="00A069C9" w:rsidRPr="007D356D">
        <w:rPr>
          <w:b/>
        </w:rPr>
        <w:t>“</w:t>
      </w:r>
      <w:r w:rsidRPr="007D356D">
        <w:rPr>
          <w:b/>
        </w:rPr>
        <w:t>Objetos embalados/envasados</w:t>
      </w:r>
      <w:r w:rsidR="00A069C9" w:rsidRPr="007D356D">
        <w:rPr>
          <w:b/>
        </w:rPr>
        <w:t>”</w:t>
      </w:r>
      <w:r w:rsidRPr="00B654DA">
        <w:t xml:space="preserve">, sustitúyase </w:t>
      </w:r>
      <w:r w:rsidR="00A069C9">
        <w:t>“</w:t>
      </w:r>
      <w:r w:rsidRPr="00B654DA">
        <w:t>Embalajes/envases que alcanzan el nivel de prestaciones del grupo de embalaje/envase III.</w:t>
      </w:r>
      <w:r w:rsidR="00A069C9">
        <w:t>”</w:t>
      </w:r>
      <w:r w:rsidRPr="00B654DA">
        <w:t xml:space="preserve"> por:</w:t>
      </w:r>
    </w:p>
    <w:p w:rsidR="007A3AD0" w:rsidRPr="00B654DA" w:rsidRDefault="00A069C9" w:rsidP="007A3AD0">
      <w:pPr>
        <w:pStyle w:val="SingleTxtG"/>
      </w:pPr>
      <w:r>
        <w:t>“</w:t>
      </w:r>
      <w:r w:rsidR="007A3AD0" w:rsidRPr="00B654DA">
        <w:t>Grandes embalajes/envases rígidos que se ajusten al nivel de prestaciones del grupo de embalaje/envase III:</w:t>
      </w:r>
    </w:p>
    <w:p w:rsidR="007A3AD0" w:rsidRPr="00B654DA" w:rsidRDefault="007A3AD0" w:rsidP="007D356D">
      <w:pPr>
        <w:pStyle w:val="SingleTxtG"/>
        <w:ind w:right="1140" w:firstLine="720"/>
        <w:rPr>
          <w:rStyle w:val="SingleTxtGCar"/>
        </w:rPr>
      </w:pPr>
      <w:r w:rsidRPr="00B654DA">
        <w:rPr>
          <w:rStyle w:val="SingleTxtGCar"/>
        </w:rPr>
        <w:t>De acero (50A)</w:t>
      </w:r>
      <w:r w:rsidR="007D356D">
        <w:rPr>
          <w:rStyle w:val="SingleTxtGCar"/>
        </w:rPr>
        <w:t>;</w:t>
      </w:r>
    </w:p>
    <w:p w:rsidR="007A3AD0" w:rsidRPr="00B654DA" w:rsidRDefault="007A3AD0" w:rsidP="007D356D">
      <w:pPr>
        <w:pStyle w:val="SingleTxtG"/>
        <w:ind w:right="1140" w:firstLine="720"/>
        <w:rPr>
          <w:rStyle w:val="SingleTxtGCar"/>
        </w:rPr>
      </w:pPr>
      <w:r w:rsidRPr="00B654DA">
        <w:rPr>
          <w:rStyle w:val="SingleTxtGCar"/>
        </w:rPr>
        <w:t>De aluminio (50B)</w:t>
      </w:r>
      <w:r w:rsidR="007D356D">
        <w:rPr>
          <w:rStyle w:val="SingleTxtGCar"/>
        </w:rPr>
        <w:t>;</w:t>
      </w:r>
    </w:p>
    <w:p w:rsidR="007A3AD0" w:rsidRPr="00B654DA" w:rsidRDefault="007A3AD0" w:rsidP="007D356D">
      <w:pPr>
        <w:pStyle w:val="SingleTxtG"/>
        <w:ind w:right="1140" w:firstLine="720"/>
        <w:rPr>
          <w:rStyle w:val="SingleTxtGCar"/>
        </w:rPr>
      </w:pPr>
      <w:r w:rsidRPr="00B654DA">
        <w:rPr>
          <w:rStyle w:val="SingleTxtGCar"/>
        </w:rPr>
        <w:t>De un metal distinto del acero o del aluminio (50N)</w:t>
      </w:r>
      <w:r w:rsidR="007D356D">
        <w:rPr>
          <w:rStyle w:val="SingleTxtGCar"/>
        </w:rPr>
        <w:t>;</w:t>
      </w:r>
    </w:p>
    <w:p w:rsidR="007A3AD0" w:rsidRPr="00B654DA" w:rsidRDefault="007A3AD0" w:rsidP="007D356D">
      <w:pPr>
        <w:pStyle w:val="SingleTxtG"/>
        <w:ind w:right="1140" w:firstLine="720"/>
        <w:rPr>
          <w:rStyle w:val="SingleTxtGCar"/>
        </w:rPr>
      </w:pPr>
      <w:r w:rsidRPr="00B654DA">
        <w:rPr>
          <w:rStyle w:val="SingleTxtGCar"/>
        </w:rPr>
        <w:t>De plástico rígido (50H)</w:t>
      </w:r>
      <w:r w:rsidR="007D356D">
        <w:rPr>
          <w:rStyle w:val="SingleTxtGCar"/>
        </w:rPr>
        <w:t>;</w:t>
      </w:r>
    </w:p>
    <w:p w:rsidR="007A3AD0" w:rsidRPr="00B654DA" w:rsidRDefault="007A3AD0" w:rsidP="007D356D">
      <w:pPr>
        <w:pStyle w:val="SingleTxtG"/>
        <w:ind w:right="1140" w:firstLine="720"/>
        <w:rPr>
          <w:rStyle w:val="SingleTxtGCar"/>
        </w:rPr>
      </w:pPr>
      <w:r w:rsidRPr="00B654DA">
        <w:rPr>
          <w:rStyle w:val="SingleTxtGCar"/>
        </w:rPr>
        <w:t>De madera natural (50C)</w:t>
      </w:r>
      <w:r w:rsidR="007D356D">
        <w:rPr>
          <w:rStyle w:val="SingleTxtGCar"/>
        </w:rPr>
        <w:t>;</w:t>
      </w:r>
    </w:p>
    <w:p w:rsidR="007A3AD0" w:rsidRPr="00B654DA" w:rsidRDefault="007A3AD0" w:rsidP="007D356D">
      <w:pPr>
        <w:pStyle w:val="SingleTxtG"/>
        <w:ind w:right="1140" w:firstLine="720"/>
        <w:rPr>
          <w:rStyle w:val="SingleTxtGCar"/>
        </w:rPr>
      </w:pPr>
      <w:r w:rsidRPr="00B654DA">
        <w:rPr>
          <w:rStyle w:val="SingleTxtGCar"/>
        </w:rPr>
        <w:t>De madera contrachapada (50D)</w:t>
      </w:r>
      <w:r w:rsidR="007D356D">
        <w:rPr>
          <w:rStyle w:val="SingleTxtGCar"/>
        </w:rPr>
        <w:t>;</w:t>
      </w:r>
    </w:p>
    <w:p w:rsidR="007A3AD0" w:rsidRPr="00B654DA" w:rsidRDefault="007A3AD0" w:rsidP="007D356D">
      <w:pPr>
        <w:pStyle w:val="SingleTxtG"/>
        <w:ind w:right="1140" w:firstLine="720"/>
        <w:rPr>
          <w:rStyle w:val="SingleTxtGCar"/>
        </w:rPr>
      </w:pPr>
      <w:r w:rsidRPr="00B654DA">
        <w:rPr>
          <w:rStyle w:val="SingleTxtGCar"/>
        </w:rPr>
        <w:t>De aglomerado de madera (50F)</w:t>
      </w:r>
      <w:r w:rsidR="007D356D">
        <w:rPr>
          <w:rStyle w:val="SingleTxtGCar"/>
        </w:rPr>
        <w:t>;</w:t>
      </w:r>
    </w:p>
    <w:p w:rsidR="007A3AD0" w:rsidRPr="00B654DA" w:rsidRDefault="007A3AD0" w:rsidP="007A3AD0">
      <w:pPr>
        <w:pStyle w:val="SingleTxtG"/>
        <w:ind w:firstLine="720"/>
        <w:rPr>
          <w:rStyle w:val="SingleTxtGCar"/>
        </w:rPr>
      </w:pPr>
      <w:r w:rsidRPr="00B654DA">
        <w:rPr>
          <w:rStyle w:val="SingleTxtGCar"/>
        </w:rPr>
        <w:t>De cartón rígido (50G)</w:t>
      </w:r>
      <w:r w:rsidR="00A069C9">
        <w:rPr>
          <w:rStyle w:val="SingleTxtGCar"/>
        </w:rPr>
        <w:t>”</w:t>
      </w:r>
      <w:r w:rsidRPr="00B654DA">
        <w:rPr>
          <w:rStyle w:val="SingleTxtGCar"/>
        </w:rPr>
        <w:t>.</w:t>
      </w:r>
    </w:p>
    <w:p w:rsidR="007A3AD0" w:rsidRPr="00B654DA" w:rsidRDefault="007A3AD0" w:rsidP="008322C7">
      <w:pPr>
        <w:pStyle w:val="SingleTxtG"/>
      </w:pPr>
      <w:r w:rsidRPr="00B654DA">
        <w:t>4.1.4.3</w:t>
      </w:r>
      <w:r w:rsidR="007D356D">
        <w:t>, i</w:t>
      </w:r>
      <w:r w:rsidRPr="00B654DA">
        <w:t>nstrucción de embalaje/envasado LP902</w:t>
      </w:r>
      <w:r w:rsidR="008322C7">
        <w:tab/>
      </w:r>
      <w:r w:rsidR="008322C7">
        <w:tab/>
      </w:r>
      <w:r w:rsidRPr="00B654DA">
        <w:t xml:space="preserve">En el párrafo </w:t>
      </w:r>
      <w:r w:rsidR="00A069C9" w:rsidRPr="007D356D">
        <w:rPr>
          <w:b/>
        </w:rPr>
        <w:t>“</w:t>
      </w:r>
      <w:r w:rsidRPr="007D356D">
        <w:rPr>
          <w:b/>
        </w:rPr>
        <w:t>Objetos sin embalar/envasar:</w:t>
      </w:r>
      <w:r w:rsidR="00A069C9" w:rsidRPr="007D356D">
        <w:rPr>
          <w:b/>
        </w:rPr>
        <w:t>”</w:t>
      </w:r>
      <w:r w:rsidRPr="00B654DA">
        <w:t xml:space="preserve">, </w:t>
      </w:r>
      <w:r w:rsidR="007D356D">
        <w:t>m</w:t>
      </w:r>
      <w:r w:rsidRPr="00B654DA">
        <w:t xml:space="preserve">odifíquese el final de la oración para que diga: </w:t>
      </w:r>
      <w:r w:rsidR="00A069C9">
        <w:t>“</w:t>
      </w:r>
      <w:r w:rsidRPr="00B654DA">
        <w:t>cuando se trasladen hacia, desde o entre el lugar en que se fabrican y una planta de montaje, incluidos puntos intermedios de manipulación.</w:t>
      </w:r>
      <w:r w:rsidR="00A069C9">
        <w:t>”</w:t>
      </w:r>
      <w:r w:rsidRPr="00B654DA">
        <w:t>.</w:t>
      </w:r>
    </w:p>
    <w:p w:rsidR="007A3AD0" w:rsidRPr="00B654DA" w:rsidRDefault="007D356D" w:rsidP="007A3AD0">
      <w:pPr>
        <w:pStyle w:val="SingleTxtG"/>
      </w:pPr>
      <w:r>
        <w:t>4.1.4.3, in</w:t>
      </w:r>
      <w:r w:rsidR="007A3AD0" w:rsidRPr="00B654DA">
        <w:t>strucción de embalaje/envasado LP903</w:t>
      </w:r>
      <w:r w:rsidR="008322C7">
        <w:tab/>
      </w:r>
      <w:r w:rsidR="008322C7">
        <w:tab/>
      </w:r>
      <w:r w:rsidR="007A3AD0" w:rsidRPr="00B654DA">
        <w:t xml:space="preserve">En la segunda oración, sustitúyase </w:t>
      </w:r>
      <w:r w:rsidR="00A069C9">
        <w:t>“</w:t>
      </w:r>
      <w:r w:rsidR="007A3AD0" w:rsidRPr="00B654DA">
        <w:t>, incluida una batería instalada en un equipo</w:t>
      </w:r>
      <w:r w:rsidR="00A069C9">
        <w:t>”</w:t>
      </w:r>
      <w:r w:rsidR="007A3AD0" w:rsidRPr="00B654DA">
        <w:t xml:space="preserve"> por </w:t>
      </w:r>
      <w:r w:rsidR="00A069C9">
        <w:t>“</w:t>
      </w:r>
      <w:r w:rsidR="007A3AD0" w:rsidRPr="00B654DA">
        <w:t>y para baterías contenidas en un solo elemento del equipo</w:t>
      </w:r>
      <w:r w:rsidR="00A069C9">
        <w:t>”</w:t>
      </w:r>
      <w:r w:rsidR="007A3AD0" w:rsidRPr="00B654DA">
        <w:t xml:space="preserve">. Modifíquese la última oración antes de las necesidades adicionales para que diga: </w:t>
      </w:r>
      <w:r w:rsidR="00A069C9">
        <w:t>“</w:t>
      </w:r>
      <w:r w:rsidR="007A3AD0" w:rsidRPr="00B654DA">
        <w:t>La batería o el equipo se embalarán/envasarán de modo que queden protegidos contra los daños que puedan resultar de su movimiento o de su colocación en el gran embalaje/envase.</w:t>
      </w:r>
      <w:r w:rsidR="00A069C9">
        <w:t>”</w:t>
      </w:r>
    </w:p>
    <w:p w:rsidR="007A3AD0" w:rsidRPr="00B654DA" w:rsidRDefault="007D356D" w:rsidP="008322C7">
      <w:pPr>
        <w:pStyle w:val="SingleTxtG"/>
        <w:keepNext/>
        <w:keepLines/>
      </w:pPr>
      <w:r>
        <w:lastRenderedPageBreak/>
        <w:t>4.1.4.3, i</w:t>
      </w:r>
      <w:r w:rsidR="007A3AD0" w:rsidRPr="00B654DA">
        <w:t>nstrucción de embalaje/envasado LP904</w:t>
      </w:r>
      <w:r w:rsidR="007A3AD0" w:rsidRPr="00B654DA">
        <w:tab/>
      </w:r>
      <w:r w:rsidR="008322C7">
        <w:tab/>
      </w:r>
      <w:r w:rsidR="007A3AD0" w:rsidRPr="00B654DA">
        <w:t>Modifíquese como sigue:</w:t>
      </w:r>
    </w:p>
    <w:p w:rsidR="007A3AD0" w:rsidRPr="00B654DA" w:rsidRDefault="007A3AD0" w:rsidP="007D356D">
      <w:pPr>
        <w:pStyle w:val="SingleTxtG"/>
        <w:ind w:left="1778"/>
      </w:pPr>
      <w:r w:rsidRPr="00B654DA">
        <w:t xml:space="preserve">En la primera oración, después de </w:t>
      </w:r>
      <w:r w:rsidR="00A069C9">
        <w:t>“</w:t>
      </w:r>
      <w:r w:rsidRPr="00B654DA">
        <w:t>o defectuosas</w:t>
      </w:r>
      <w:r w:rsidR="00A069C9">
        <w:t>”</w:t>
      </w:r>
      <w:r w:rsidRPr="00B654DA">
        <w:t xml:space="preserve">, añádase </w:t>
      </w:r>
      <w:r w:rsidR="00A069C9">
        <w:t>“</w:t>
      </w:r>
      <w:r w:rsidRPr="00B654DA">
        <w:t>y pilas y baterías contenidas en un solo elemento del equipo</w:t>
      </w:r>
      <w:r w:rsidR="00A069C9">
        <w:t>”</w:t>
      </w:r>
      <w:r w:rsidRPr="00B654DA">
        <w:t xml:space="preserve">. Al final de la primera oración, suprímase </w:t>
      </w:r>
      <w:r w:rsidR="00A069C9">
        <w:t>“</w:t>
      </w:r>
      <w:r w:rsidRPr="00B654DA">
        <w:t>, incluidas las instaladas en un equipo</w:t>
      </w:r>
      <w:r w:rsidR="00A069C9">
        <w:t>”</w:t>
      </w:r>
      <w:r w:rsidRPr="00B654DA">
        <w:t>.</w:t>
      </w:r>
    </w:p>
    <w:p w:rsidR="007A3AD0" w:rsidRPr="00B654DA" w:rsidRDefault="007A3AD0" w:rsidP="007D356D">
      <w:pPr>
        <w:pStyle w:val="SingleTxtG"/>
        <w:ind w:left="1778"/>
      </w:pPr>
      <w:r w:rsidRPr="00B654DA">
        <w:t xml:space="preserve">Modifíquese la segunda oración para que diga: </w:t>
      </w:r>
      <w:r w:rsidR="00A069C9">
        <w:t>“</w:t>
      </w:r>
      <w:r w:rsidRPr="00B654DA">
        <w:t>Se autorizan los siguientes grandes embalajes/envases para una batería individual que presente daños o defectos y para</w:t>
      </w:r>
      <w:r w:rsidR="00965478">
        <w:t xml:space="preserve"> </w:t>
      </w:r>
      <w:r w:rsidRPr="00B654DA">
        <w:t xml:space="preserve">pilas y baterías dañadas o defectuosas contenidas en un solo elemento del equipo, siempre que se respeten las disposiciones generales de </w:t>
      </w:r>
      <w:r w:rsidRPr="00402521">
        <w:rPr>
          <w:b/>
        </w:rPr>
        <w:t>4.1.1</w:t>
      </w:r>
      <w:r w:rsidRPr="00B654DA">
        <w:t xml:space="preserve"> y </w:t>
      </w:r>
      <w:r w:rsidRPr="00402521">
        <w:rPr>
          <w:b/>
        </w:rPr>
        <w:t>4.1.3</w:t>
      </w:r>
      <w:r w:rsidRPr="00B654DA">
        <w:t>.</w:t>
      </w:r>
      <w:r w:rsidR="00A069C9">
        <w:t>”</w:t>
      </w:r>
      <w:r w:rsidRPr="00B654DA">
        <w:t>.</w:t>
      </w:r>
    </w:p>
    <w:p w:rsidR="007A3AD0" w:rsidRPr="00B654DA" w:rsidRDefault="007A3AD0" w:rsidP="007D356D">
      <w:pPr>
        <w:pStyle w:val="SingleTxtG"/>
        <w:ind w:left="1778"/>
      </w:pPr>
      <w:r w:rsidRPr="00B654DA">
        <w:t xml:space="preserve">En la tercera oración, sustitúyase </w:t>
      </w:r>
      <w:r w:rsidR="00A069C9">
        <w:t>“</w:t>
      </w:r>
      <w:r w:rsidRPr="00B654DA">
        <w:t>que contenga baterías</w:t>
      </w:r>
      <w:r w:rsidR="00A069C9">
        <w:t>”</w:t>
      </w:r>
      <w:r w:rsidRPr="00B654DA">
        <w:t xml:space="preserve"> por </w:t>
      </w:r>
      <w:r w:rsidR="00A069C9">
        <w:t>“</w:t>
      </w:r>
      <w:r w:rsidRPr="00B654DA">
        <w:t>que contenga pilas y baterías</w:t>
      </w:r>
      <w:r w:rsidR="00A069C9">
        <w:t>”</w:t>
      </w:r>
      <w:r w:rsidRPr="00B654DA">
        <w:t xml:space="preserve">. </w:t>
      </w:r>
    </w:p>
    <w:p w:rsidR="007A3AD0" w:rsidRPr="00B654DA" w:rsidRDefault="007A3AD0" w:rsidP="007D356D">
      <w:pPr>
        <w:pStyle w:val="SingleTxtG"/>
        <w:ind w:left="1778"/>
      </w:pPr>
      <w:r w:rsidRPr="00B654DA">
        <w:t xml:space="preserve">Antes de </w:t>
      </w:r>
      <w:r w:rsidR="00A069C9">
        <w:t>“</w:t>
      </w:r>
      <w:r w:rsidRPr="00B654DA">
        <w:t>De acero (50A)</w:t>
      </w:r>
      <w:r w:rsidR="00A069C9">
        <w:t>”</w:t>
      </w:r>
      <w:r w:rsidRPr="00B654DA">
        <w:t>, añádase la siguiente nueva línea:</w:t>
      </w:r>
    </w:p>
    <w:p w:rsidR="007A3AD0" w:rsidRPr="00B654DA" w:rsidRDefault="007D356D" w:rsidP="007D356D">
      <w:pPr>
        <w:pStyle w:val="SingleTxtG"/>
        <w:ind w:left="1778"/>
      </w:pPr>
      <w:r>
        <w:t>“</w:t>
      </w:r>
      <w:r w:rsidR="007A3AD0" w:rsidRPr="00B654DA">
        <w:t>Grandes embalajes/envases rígidos que se ajusten al nivel de prestaciones del grupo de embalaje/envase II:</w:t>
      </w:r>
      <w:r>
        <w:t>”.</w:t>
      </w:r>
    </w:p>
    <w:p w:rsidR="007A3AD0" w:rsidRPr="00B654DA" w:rsidRDefault="007A3AD0" w:rsidP="007D356D">
      <w:pPr>
        <w:pStyle w:val="SingleTxtG"/>
        <w:ind w:left="1778"/>
      </w:pPr>
      <w:r w:rsidRPr="00B654DA">
        <w:t xml:space="preserve">Después de </w:t>
      </w:r>
      <w:r w:rsidR="00A069C9">
        <w:t>“</w:t>
      </w:r>
      <w:r w:rsidRPr="00B654DA">
        <w:t>De madera contrachapada (50D)</w:t>
      </w:r>
      <w:r w:rsidR="00A069C9">
        <w:t>”</w:t>
      </w:r>
      <w:r w:rsidRPr="00B654DA">
        <w:t xml:space="preserve">, suprímase </w:t>
      </w:r>
      <w:r w:rsidR="00A069C9">
        <w:t>“</w:t>
      </w:r>
      <w:r w:rsidRPr="00B654DA">
        <w:t>Los embalajes/envases se ajustarán al nivel de prestaciones del grupo de embalaje/envase II.</w:t>
      </w:r>
      <w:r w:rsidR="00A069C9">
        <w:t>”</w:t>
      </w:r>
      <w:r w:rsidRPr="00B654DA">
        <w:t>.</w:t>
      </w:r>
    </w:p>
    <w:p w:rsidR="007A3AD0" w:rsidRPr="00B654DA" w:rsidRDefault="007A3AD0" w:rsidP="007D356D">
      <w:pPr>
        <w:pStyle w:val="SingleTxtG"/>
        <w:ind w:left="1778"/>
      </w:pPr>
      <w:r w:rsidRPr="00B654DA">
        <w:t xml:space="preserve">En 1, modifíquese el comienzo de la primera oración para que diga: </w:t>
      </w:r>
      <w:r w:rsidR="00A069C9">
        <w:t>“</w:t>
      </w:r>
      <w:r w:rsidRPr="00B654DA">
        <w:t>La batería dañada o defectuosa o el equipo que contenga tales pilas o baterías...</w:t>
      </w:r>
      <w:r w:rsidR="00A069C9">
        <w:t>”</w:t>
      </w:r>
      <w:r w:rsidRPr="00B654DA">
        <w:t>.</w:t>
      </w:r>
    </w:p>
    <w:p w:rsidR="007A3AD0" w:rsidRPr="00B654DA" w:rsidRDefault="007A3AD0" w:rsidP="007D356D">
      <w:pPr>
        <w:pStyle w:val="SingleTxtG"/>
        <w:ind w:left="1778"/>
      </w:pPr>
      <w:r w:rsidRPr="00B654DA">
        <w:t xml:space="preserve">En 2, modifíquese el comienzo de la oración para que diga </w:t>
      </w:r>
      <w:r w:rsidR="00A069C9">
        <w:t>“</w:t>
      </w:r>
      <w:r w:rsidRPr="00B654DA">
        <w:t>El embalaje/envase interior</w:t>
      </w:r>
      <w:r w:rsidR="00A069C9">
        <w:t>”</w:t>
      </w:r>
      <w:r w:rsidRPr="00B654DA">
        <w:t xml:space="preserve">. Sustitúyase </w:t>
      </w:r>
      <w:r w:rsidR="00A069C9">
        <w:t>“</w:t>
      </w:r>
      <w:r w:rsidRPr="00B654DA">
        <w:t>no conductor</w:t>
      </w:r>
      <w:r w:rsidR="00A069C9">
        <w:t>”</w:t>
      </w:r>
      <w:r w:rsidRPr="00B654DA">
        <w:t xml:space="preserve"> por </w:t>
      </w:r>
      <w:r w:rsidR="003B4E67">
        <w:t>“</w:t>
      </w:r>
      <w:r w:rsidR="003B4E67" w:rsidRPr="00B654DA">
        <w:t>eléctricamente</w:t>
      </w:r>
      <w:r w:rsidRPr="00B654DA">
        <w:t xml:space="preserve"> no conductor</w:t>
      </w:r>
      <w:r w:rsidR="00A069C9">
        <w:t>”</w:t>
      </w:r>
      <w:r w:rsidRPr="00B654DA">
        <w:t>.</w:t>
      </w:r>
    </w:p>
    <w:p w:rsidR="007A3AD0" w:rsidRPr="00B654DA" w:rsidRDefault="007A3AD0" w:rsidP="007D356D">
      <w:pPr>
        <w:pStyle w:val="SingleTxtG"/>
        <w:ind w:left="1778"/>
      </w:pPr>
      <w:r w:rsidRPr="00B654DA">
        <w:t xml:space="preserve">En 4, tras </w:t>
      </w:r>
      <w:r w:rsidR="00A069C9">
        <w:t>“</w:t>
      </w:r>
      <w:r w:rsidRPr="00B654DA">
        <w:t>movimiento de las baterías</w:t>
      </w:r>
      <w:r w:rsidR="00A069C9">
        <w:t>”</w:t>
      </w:r>
      <w:r w:rsidRPr="00B654DA">
        <w:t xml:space="preserve"> añadir </w:t>
      </w:r>
      <w:r w:rsidR="00A069C9">
        <w:t>“</w:t>
      </w:r>
      <w:r w:rsidRPr="00B654DA">
        <w:t>o el equipo</w:t>
      </w:r>
      <w:r w:rsidR="00A069C9">
        <w:t>”</w:t>
      </w:r>
      <w:r w:rsidRPr="00B654DA">
        <w:t xml:space="preserve">. Sustitúyase </w:t>
      </w:r>
      <w:r w:rsidR="00A069C9">
        <w:t>“</w:t>
      </w:r>
      <w:r w:rsidRPr="00B654DA">
        <w:t>no conductor</w:t>
      </w:r>
      <w:r w:rsidR="00A069C9">
        <w:t>”</w:t>
      </w:r>
      <w:r w:rsidRPr="00B654DA">
        <w:t xml:space="preserve"> por </w:t>
      </w:r>
      <w:r w:rsidR="003B4E67">
        <w:t>“</w:t>
      </w:r>
      <w:r w:rsidR="003B4E67" w:rsidRPr="00B654DA">
        <w:t>eléctricamente</w:t>
      </w:r>
      <w:r w:rsidRPr="00B654DA">
        <w:t xml:space="preserve"> no conductor</w:t>
      </w:r>
      <w:r w:rsidR="00A069C9">
        <w:t>”</w:t>
      </w:r>
      <w:r w:rsidRPr="00B654DA">
        <w:t>.</w:t>
      </w:r>
    </w:p>
    <w:p w:rsidR="007A3AD0" w:rsidRPr="00B654DA" w:rsidRDefault="007A3AD0" w:rsidP="007D356D">
      <w:pPr>
        <w:pStyle w:val="SingleTxtG"/>
        <w:ind w:left="1778"/>
      </w:pPr>
      <w:r w:rsidRPr="00B654DA">
        <w:t xml:space="preserve">En la última oración, después de </w:t>
      </w:r>
      <w:r w:rsidR="00A069C9">
        <w:t>“</w:t>
      </w:r>
      <w:r w:rsidRPr="00B654DA">
        <w:t>En el caso de las baterías</w:t>
      </w:r>
      <w:r w:rsidR="00A069C9">
        <w:t>”</w:t>
      </w:r>
      <w:r w:rsidRPr="00B654DA">
        <w:t xml:space="preserve">, añádase </w:t>
      </w:r>
      <w:r w:rsidR="00A069C9">
        <w:t>“</w:t>
      </w:r>
      <w:r w:rsidRPr="00B654DA">
        <w:t>y pilas,</w:t>
      </w:r>
      <w:r w:rsidR="00A069C9">
        <w:t>”</w:t>
      </w:r>
      <w:r w:rsidRPr="00B654DA">
        <w:t>.</w:t>
      </w:r>
    </w:p>
    <w:p w:rsidR="007A3AD0" w:rsidRPr="00B654DA" w:rsidRDefault="007A3AD0" w:rsidP="007D356D">
      <w:pPr>
        <w:pStyle w:val="SingleTxtG"/>
        <w:ind w:left="1778"/>
      </w:pPr>
      <w:r w:rsidRPr="00B654DA">
        <w:t xml:space="preserve">En las necesidades adicionales, después de </w:t>
      </w:r>
      <w:r w:rsidR="00A069C9">
        <w:t>“</w:t>
      </w:r>
      <w:r w:rsidRPr="00B654DA">
        <w:t>baterías</w:t>
      </w:r>
      <w:r w:rsidR="00A069C9">
        <w:t>”</w:t>
      </w:r>
      <w:r w:rsidRPr="00B654DA">
        <w:t xml:space="preserve">, añádase </w:t>
      </w:r>
      <w:r w:rsidR="00A069C9">
        <w:t>“</w:t>
      </w:r>
      <w:r w:rsidRPr="00B654DA">
        <w:t>y pilas</w:t>
      </w:r>
      <w:r w:rsidR="00A069C9">
        <w:t>”</w:t>
      </w:r>
      <w:r w:rsidRPr="00B654DA">
        <w:t>.</w:t>
      </w:r>
    </w:p>
    <w:p w:rsidR="007A3AD0" w:rsidRPr="00B654DA" w:rsidRDefault="007A3AD0" w:rsidP="007A3AD0">
      <w:pPr>
        <w:pStyle w:val="SingleTxtG"/>
      </w:pPr>
      <w:r w:rsidRPr="00B654DA">
        <w:t>4.1.4.3</w:t>
      </w:r>
      <w:r w:rsidRPr="00B654DA">
        <w:tab/>
      </w:r>
      <w:r w:rsidRPr="00B654DA">
        <w:tab/>
        <w:t>Añádase la siguiente instrucción de embalaje/envasado LP03:</w:t>
      </w:r>
    </w:p>
    <w:tbl>
      <w:tblPr>
        <w:tblW w:w="9645" w:type="dxa"/>
        <w:jc w:val="center"/>
        <w:tblLayout w:type="fixed"/>
        <w:tblCellMar>
          <w:left w:w="0" w:type="dxa"/>
          <w:right w:w="113" w:type="dxa"/>
        </w:tblCellMar>
        <w:tblLook w:val="01E0" w:firstRow="1" w:lastRow="1" w:firstColumn="1" w:lastColumn="1" w:noHBand="0" w:noVBand="0"/>
      </w:tblPr>
      <w:tblGrid>
        <w:gridCol w:w="712"/>
        <w:gridCol w:w="8222"/>
        <w:gridCol w:w="711"/>
      </w:tblGrid>
      <w:tr w:rsidR="007A3AD0" w:rsidRPr="00B654DA" w:rsidTr="008322C7">
        <w:trPr>
          <w:jc w:val="center"/>
        </w:trPr>
        <w:tc>
          <w:tcPr>
            <w:tcW w:w="71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7A3AD0" w:rsidRPr="008322C7" w:rsidRDefault="007A3AD0" w:rsidP="008322C7">
            <w:pPr>
              <w:tabs>
                <w:tab w:val="left" w:pos="1418"/>
                <w:tab w:val="left" w:pos="1985"/>
                <w:tab w:val="left" w:pos="2552"/>
                <w:tab w:val="left" w:pos="3119"/>
                <w:tab w:val="left" w:pos="3686"/>
                <w:tab w:val="left" w:pos="4253"/>
                <w:tab w:val="left" w:pos="4820"/>
              </w:tabs>
              <w:spacing w:before="40" w:after="40"/>
              <w:jc w:val="both"/>
              <w:rPr>
                <w:b/>
              </w:rPr>
            </w:pPr>
            <w:r w:rsidRPr="008322C7">
              <w:rPr>
                <w:b/>
              </w:rPr>
              <w:t>LP03</w:t>
            </w:r>
          </w:p>
        </w:tc>
        <w:tc>
          <w:tcPr>
            <w:tcW w:w="8222" w:type="dxa"/>
            <w:tcBorders>
              <w:top w:val="single" w:sz="4" w:space="0" w:color="auto"/>
              <w:left w:val="nil"/>
              <w:bottom w:val="single" w:sz="4" w:space="0" w:color="auto"/>
              <w:right w:val="nil"/>
            </w:tcBorders>
            <w:tcMar>
              <w:top w:w="0" w:type="dxa"/>
              <w:left w:w="57" w:type="dxa"/>
              <w:bottom w:w="0" w:type="dxa"/>
              <w:right w:w="57" w:type="dxa"/>
            </w:tcMar>
            <w:vAlign w:val="center"/>
          </w:tcPr>
          <w:p w:rsidR="007A3AD0" w:rsidRPr="008322C7" w:rsidRDefault="007A3AD0" w:rsidP="008322C7">
            <w:pPr>
              <w:tabs>
                <w:tab w:val="left" w:pos="1418"/>
                <w:tab w:val="left" w:pos="1985"/>
                <w:tab w:val="left" w:pos="2552"/>
                <w:tab w:val="left" w:pos="3119"/>
                <w:tab w:val="left" w:pos="3686"/>
                <w:tab w:val="left" w:pos="4253"/>
                <w:tab w:val="left" w:pos="4820"/>
              </w:tabs>
              <w:spacing w:before="40" w:after="40"/>
              <w:jc w:val="center"/>
              <w:rPr>
                <w:b/>
                <w:iCs/>
              </w:rPr>
            </w:pPr>
            <w:r w:rsidRPr="008322C7">
              <w:rPr>
                <w:b/>
              </w:rPr>
              <w:t>INSTRUCCIÓN DE EMBALAJE/ENVASADO</w:t>
            </w:r>
          </w:p>
        </w:tc>
        <w:tc>
          <w:tcPr>
            <w:tcW w:w="71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A3AD0" w:rsidRPr="008322C7" w:rsidRDefault="007A3AD0" w:rsidP="008322C7">
            <w:pPr>
              <w:tabs>
                <w:tab w:val="left" w:pos="1418"/>
                <w:tab w:val="left" w:pos="1985"/>
                <w:tab w:val="left" w:pos="2552"/>
                <w:tab w:val="left" w:pos="3119"/>
                <w:tab w:val="left" w:pos="3686"/>
                <w:tab w:val="left" w:pos="4253"/>
                <w:tab w:val="left" w:pos="4820"/>
              </w:tabs>
              <w:spacing w:before="40" w:after="40"/>
              <w:jc w:val="right"/>
              <w:rPr>
                <w:b/>
                <w:iCs/>
              </w:rPr>
            </w:pPr>
            <w:r w:rsidRPr="008322C7">
              <w:rPr>
                <w:b/>
                <w:iCs/>
              </w:rPr>
              <w:t>LP03</w:t>
            </w:r>
          </w:p>
        </w:tc>
      </w:tr>
      <w:tr w:rsidR="007A3AD0" w:rsidRPr="00B654DA" w:rsidTr="007A3AD0">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2A072B">
            <w:pPr>
              <w:tabs>
                <w:tab w:val="left" w:pos="1418"/>
                <w:tab w:val="left" w:pos="1985"/>
                <w:tab w:val="left" w:pos="2552"/>
                <w:tab w:val="left" w:pos="3119"/>
                <w:tab w:val="left" w:pos="3686"/>
                <w:tab w:val="left" w:pos="4253"/>
                <w:tab w:val="left" w:pos="4820"/>
              </w:tabs>
              <w:spacing w:before="40" w:after="40"/>
              <w:jc w:val="both"/>
              <w:rPr>
                <w:iCs/>
              </w:rPr>
            </w:pPr>
            <w:r w:rsidRPr="00B654DA">
              <w:t xml:space="preserve">Esta instrucción se aplica a los </w:t>
            </w:r>
            <w:r w:rsidR="002A072B">
              <w:t>n</w:t>
            </w:r>
            <w:r w:rsidRPr="00B654DA">
              <w:t xml:space="preserve">úmeros ONU 3537, 3538, 3540, 3541, 3546, 3547 y </w:t>
            </w:r>
            <w:r w:rsidRPr="00B654DA">
              <w:rPr>
                <w:iCs/>
              </w:rPr>
              <w:t>3548.</w:t>
            </w:r>
          </w:p>
        </w:tc>
      </w:tr>
      <w:tr w:rsidR="007A3AD0" w:rsidRPr="00B654DA" w:rsidTr="007A3AD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7A3AD0" w:rsidRPr="00B654DA" w:rsidRDefault="007A3AD0" w:rsidP="00C64D12">
            <w:pPr>
              <w:tabs>
                <w:tab w:val="left" w:pos="517"/>
                <w:tab w:val="left" w:pos="1418"/>
                <w:tab w:val="left" w:pos="1985"/>
                <w:tab w:val="left" w:pos="2552"/>
                <w:tab w:val="left" w:pos="3119"/>
                <w:tab w:val="left" w:pos="3686"/>
                <w:tab w:val="left" w:pos="4253"/>
                <w:tab w:val="left" w:pos="4820"/>
              </w:tabs>
              <w:spacing w:before="40" w:after="40"/>
              <w:ind w:left="516" w:right="74" w:hanging="516"/>
              <w:jc w:val="both"/>
              <w:rPr>
                <w:iCs/>
              </w:rPr>
            </w:pPr>
            <w:r w:rsidRPr="00B654DA">
              <w:t>1)</w:t>
            </w:r>
            <w:r w:rsidRPr="00B654DA">
              <w:tab/>
              <w:t xml:space="preserve">Se autorizan los siguientes embalajes/envases, siempre que se cumplan las disposiciones generales de </w:t>
            </w:r>
            <w:r w:rsidRPr="00B654DA">
              <w:rPr>
                <w:b/>
              </w:rPr>
              <w:t>4.1.1</w:t>
            </w:r>
            <w:r w:rsidRPr="00B654DA">
              <w:t xml:space="preserve"> y</w:t>
            </w:r>
            <w:r w:rsidR="008322C7">
              <w:t> </w:t>
            </w:r>
            <w:r w:rsidRPr="00B654DA">
              <w:rPr>
                <w:b/>
              </w:rPr>
              <w:t>4.1.3</w:t>
            </w:r>
            <w:r w:rsidRPr="00B654DA">
              <w:rPr>
                <w:iCs/>
              </w:rPr>
              <w:t>:</w:t>
            </w:r>
          </w:p>
        </w:tc>
      </w:tr>
      <w:tr w:rsidR="007A3AD0" w:rsidRPr="00B654DA" w:rsidTr="007A3AD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tabs>
                <w:tab w:val="left" w:pos="517"/>
                <w:tab w:val="left" w:pos="1418"/>
                <w:tab w:val="left" w:pos="1985"/>
                <w:tab w:val="left" w:pos="2552"/>
                <w:tab w:val="left" w:pos="3119"/>
                <w:tab w:val="left" w:pos="3686"/>
                <w:tab w:val="left" w:pos="4253"/>
                <w:tab w:val="left" w:pos="4820"/>
              </w:tabs>
              <w:spacing w:before="40" w:after="40"/>
              <w:jc w:val="both"/>
            </w:pPr>
            <w:r w:rsidRPr="00B654DA">
              <w:tab/>
              <w:t>Grandes embalajes/envases rígidos que se ajusten al nivel de prestaciones del grupo de embalaje/envase II:</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acero (50A)</w:t>
            </w:r>
            <w:r w:rsidR="007D356D">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aluminio (50B)</w:t>
            </w:r>
            <w:r w:rsidR="007D356D">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un metal distinto del acero o del aluminio (50N)</w:t>
            </w:r>
            <w:r w:rsidR="007D356D">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plástico rígido (50H)</w:t>
            </w:r>
            <w:r w:rsidR="007D356D">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madera natural (50C)</w:t>
            </w:r>
            <w:r w:rsidR="007D356D">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madera contrachapada (50D)</w:t>
            </w:r>
            <w:r w:rsidR="007D356D">
              <w:rPr>
                <w:rStyle w:val="SingleTxtGCar"/>
              </w:rPr>
              <w:t>;</w:t>
            </w:r>
          </w:p>
        </w:tc>
      </w:tr>
      <w:tr w:rsidR="007A3AD0" w:rsidRPr="00B654DA" w:rsidTr="007A3AD0">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aglomerado de madera (50F)</w:t>
            </w:r>
            <w:r w:rsidR="007D356D">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pStyle w:val="SingleTxtG"/>
              <w:spacing w:before="40" w:after="40"/>
              <w:rPr>
                <w:rStyle w:val="SingleTxtGCar"/>
              </w:rPr>
            </w:pPr>
            <w:r w:rsidRPr="00B654DA">
              <w:rPr>
                <w:rStyle w:val="SingleTxtGCar"/>
              </w:rPr>
              <w:t>De cartón rígido (50G)</w:t>
            </w:r>
            <w:r w:rsidR="00A069C9">
              <w:rPr>
                <w:rStyle w:val="SingleTxtGCar"/>
              </w:rPr>
              <w:t>”</w:t>
            </w:r>
            <w:r w:rsidRPr="00B654DA">
              <w:rPr>
                <w:rStyle w:val="SingleTxtGCar"/>
              </w:rPr>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tabs>
                <w:tab w:val="left" w:pos="513"/>
                <w:tab w:val="left" w:pos="1418"/>
                <w:tab w:val="left" w:pos="1985"/>
                <w:tab w:val="left" w:pos="2552"/>
                <w:tab w:val="left" w:pos="3119"/>
                <w:tab w:val="left" w:pos="3686"/>
                <w:tab w:val="left" w:pos="4253"/>
                <w:tab w:val="left" w:pos="4820"/>
              </w:tabs>
              <w:spacing w:before="40" w:after="40"/>
              <w:ind w:left="513" w:right="73" w:hanging="513"/>
              <w:jc w:val="both"/>
            </w:pPr>
            <w:r w:rsidRPr="00B654DA">
              <w:t xml:space="preserve">2) </w:t>
            </w:r>
            <w:r w:rsidRPr="00B654DA">
              <w:tab/>
              <w:t>Además, deberán satisfacerse las siguiente condiciones:</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a) </w:t>
            </w:r>
            <w:r w:rsidRPr="00B654DA">
              <w:tab/>
            </w:r>
            <w:r w:rsidRPr="00B654DA">
              <w:rPr>
                <w:rFonts w:eastAsia="Calibri"/>
              </w:rPr>
              <w:t>Los receptáculos incluidos en artículos que contengan líquidos o sólidos deberán construirse con materiales adecuados y asegurados al artículo de tal manera que, en las condiciones normales de transporte, no pueden romperse, perforarse o verter su contenido en el propio artículo o el embalaje/envase exterior;</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b) </w:t>
            </w:r>
            <w:r w:rsidRPr="00B654DA">
              <w:tab/>
            </w:r>
            <w:r w:rsidRPr="00B654DA">
              <w:rPr>
                <w:rFonts w:eastAsia="Calibri"/>
              </w:rPr>
              <w:t>Los receptáculos con cierres que contengan líquidos deberán colocarse con dichos cierres correctamente orientados. Además, los receptáculos deberán</w:t>
            </w:r>
            <w:r w:rsidR="00965478">
              <w:rPr>
                <w:rFonts w:eastAsia="Calibri"/>
              </w:rPr>
              <w:t xml:space="preserve"> </w:t>
            </w:r>
            <w:r w:rsidRPr="00B654DA">
              <w:rPr>
                <w:rFonts w:eastAsia="Calibri"/>
              </w:rPr>
              <w:t>ajustarse a las disposiciones del ensayo de presión interna de 6.1.5.5;</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8322C7">
            <w:pPr>
              <w:keepNext/>
              <w:keepLines/>
              <w:tabs>
                <w:tab w:val="left" w:pos="1418"/>
                <w:tab w:val="left" w:pos="1985"/>
                <w:tab w:val="left" w:pos="2552"/>
                <w:tab w:val="left" w:pos="3119"/>
                <w:tab w:val="left" w:pos="3686"/>
                <w:tab w:val="left" w:pos="4253"/>
                <w:tab w:val="left" w:pos="4820"/>
              </w:tabs>
              <w:spacing w:before="40" w:after="40"/>
              <w:ind w:left="930" w:right="74" w:hanging="425"/>
              <w:jc w:val="both"/>
              <w:rPr>
                <w:rFonts w:eastAsia="Calibri"/>
              </w:rPr>
            </w:pPr>
            <w:r w:rsidRPr="00B654DA">
              <w:lastRenderedPageBreak/>
              <w:t xml:space="preserve">c) </w:t>
            </w:r>
            <w:r w:rsidRPr="00B654DA">
              <w:tab/>
            </w:r>
            <w:r w:rsidRPr="00B654DA">
              <w:rPr>
                <w:rFonts w:eastAsia="Calibri"/>
              </w:rPr>
              <w:t>Los receptáculos que puedan romperse o perforarse fácilmente, tales como los hechos de vidrio, de porcelana o de gres, o de ciertas materias plásticas, irán debidamente sujetos. Una fuga del contenido no deberá entrañar ninguna alteración apreciable de las propiedades protectoras del artículo o las del embalaje/envase exterior.</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d) </w:t>
            </w:r>
            <w:r w:rsidRPr="00B654DA">
              <w:tab/>
            </w:r>
            <w:r w:rsidRPr="00B654DA">
              <w:rPr>
                <w:rFonts w:eastAsia="Calibri"/>
              </w:rPr>
              <w:t>Los receptáculos incluidos en artículos que contengan gases deberán cumplir los requisitos de la sección</w:t>
            </w:r>
            <w:r w:rsidR="007D356D">
              <w:rPr>
                <w:rFonts w:eastAsia="Calibri"/>
              </w:rPr>
              <w:t> </w:t>
            </w:r>
            <w:r w:rsidRPr="00B654DA">
              <w:rPr>
                <w:rFonts w:eastAsia="Calibri"/>
              </w:rPr>
              <w:t>4.1.6 y del capítulo 6.2, según proceda, o ser capaces de ofrecer un nivel de protección equivalente al establecido en las instrucciones de embalaje/envasado P200 o P208;</w:t>
            </w:r>
          </w:p>
        </w:tc>
      </w:tr>
      <w:tr w:rsidR="007A3AD0" w:rsidRPr="00B654DA" w:rsidTr="007A3AD0">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7A3AD0" w:rsidRPr="00B654DA" w:rsidRDefault="007A3AD0" w:rsidP="008322C7">
            <w:pPr>
              <w:tabs>
                <w:tab w:val="left" w:pos="1418"/>
                <w:tab w:val="left" w:pos="1985"/>
                <w:tab w:val="left" w:pos="2552"/>
                <w:tab w:val="left" w:pos="3119"/>
                <w:tab w:val="left" w:pos="3686"/>
                <w:tab w:val="left" w:pos="4253"/>
                <w:tab w:val="left" w:pos="4820"/>
              </w:tabs>
              <w:spacing w:before="40" w:after="40"/>
              <w:ind w:left="933" w:right="73" w:hanging="426"/>
              <w:jc w:val="both"/>
              <w:rPr>
                <w:rFonts w:eastAsia="Calibri"/>
              </w:rPr>
            </w:pPr>
            <w:r w:rsidRPr="00B654DA">
              <w:t xml:space="preserve">e) </w:t>
            </w:r>
            <w:r w:rsidRPr="00B654DA">
              <w:tab/>
            </w:r>
            <w:r w:rsidRPr="00B654DA">
              <w:rPr>
                <w:rFonts w:eastAsia="Calibri"/>
              </w:rPr>
              <w:t>Cuando en el artículo no haya ningún receptáculo, dicho artículo deberá contener plenamente las sustancias peligrosas e impedir su liberación en las condiciones normales de transporte.</w:t>
            </w:r>
          </w:p>
        </w:tc>
      </w:tr>
      <w:tr w:rsidR="008322C7" w:rsidRPr="00B654DA" w:rsidTr="007A3AD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8322C7" w:rsidRPr="00B654DA" w:rsidRDefault="008322C7" w:rsidP="008322C7">
            <w:pPr>
              <w:tabs>
                <w:tab w:val="left" w:pos="513"/>
                <w:tab w:val="left" w:pos="1418"/>
                <w:tab w:val="left" w:pos="1985"/>
                <w:tab w:val="left" w:pos="2552"/>
                <w:tab w:val="left" w:pos="3119"/>
                <w:tab w:val="left" w:pos="3686"/>
                <w:tab w:val="left" w:pos="4253"/>
                <w:tab w:val="left" w:pos="4820"/>
              </w:tabs>
              <w:spacing w:before="40" w:after="40"/>
              <w:ind w:left="513" w:right="73" w:hanging="513"/>
              <w:jc w:val="both"/>
            </w:pPr>
            <w:r w:rsidRPr="00B654DA">
              <w:t xml:space="preserve">3) </w:t>
            </w:r>
            <w:r w:rsidRPr="00B654DA">
              <w:tab/>
              <w:t>Los artículos deberán estar embalados/envasados de manera que se impida su movimiento y su funcionamiento accidental en las condiciones normales de transporte.</w:t>
            </w:r>
          </w:p>
        </w:tc>
      </w:tr>
    </w:tbl>
    <w:p w:rsidR="007A3AD0" w:rsidRPr="00B654DA" w:rsidRDefault="007A3AD0" w:rsidP="008322C7">
      <w:pPr>
        <w:pStyle w:val="SingleTxtG"/>
        <w:spacing w:before="240"/>
      </w:pPr>
      <w:r w:rsidRPr="00B654DA">
        <w:t>4.1.4.3</w:t>
      </w:r>
      <w:r w:rsidRPr="00B654DA">
        <w:tab/>
      </w:r>
      <w:r w:rsidRPr="00B654DA">
        <w:tab/>
        <w:t>Añádase la siguiente instrucción de embalaje/envasado LP905: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7A3AD0" w:rsidRPr="00B654DA" w:rsidTr="00C64D12">
        <w:trPr>
          <w:cantSplit/>
        </w:trPr>
        <w:tc>
          <w:tcPr>
            <w:tcW w:w="853" w:type="dxa"/>
            <w:tcBorders>
              <w:top w:val="single" w:sz="4" w:space="0" w:color="auto"/>
              <w:left w:val="single" w:sz="4" w:space="0" w:color="auto"/>
              <w:bottom w:val="single" w:sz="4" w:space="0" w:color="auto"/>
            </w:tcBorders>
          </w:tcPr>
          <w:p w:rsidR="007A3AD0" w:rsidRPr="00B654DA" w:rsidRDefault="007A3AD0" w:rsidP="008322C7">
            <w:pPr>
              <w:tabs>
                <w:tab w:val="left" w:pos="1418"/>
                <w:tab w:val="left" w:pos="1985"/>
                <w:tab w:val="left" w:pos="2552"/>
                <w:tab w:val="left" w:pos="3119"/>
                <w:tab w:val="left" w:pos="3686"/>
                <w:tab w:val="left" w:pos="4253"/>
                <w:tab w:val="left" w:pos="4820"/>
              </w:tabs>
              <w:spacing w:before="40" w:after="40"/>
              <w:rPr>
                <w:b/>
                <w:bCs/>
              </w:rPr>
            </w:pPr>
            <w:r w:rsidRPr="00B654DA">
              <w:rPr>
                <w:b/>
                <w:bCs/>
              </w:rPr>
              <w:t>LP905</w:t>
            </w:r>
          </w:p>
        </w:tc>
        <w:tc>
          <w:tcPr>
            <w:tcW w:w="7938" w:type="dxa"/>
            <w:tcBorders>
              <w:top w:val="single" w:sz="4" w:space="0" w:color="auto"/>
              <w:bottom w:val="single" w:sz="4" w:space="0" w:color="auto"/>
            </w:tcBorders>
          </w:tcPr>
          <w:p w:rsidR="007A3AD0" w:rsidRPr="00B654DA" w:rsidRDefault="007A3AD0" w:rsidP="008322C7">
            <w:pPr>
              <w:tabs>
                <w:tab w:val="left" w:pos="1418"/>
                <w:tab w:val="left" w:pos="1985"/>
                <w:tab w:val="left" w:pos="2552"/>
                <w:tab w:val="left" w:pos="3119"/>
                <w:tab w:val="left" w:pos="3686"/>
                <w:tab w:val="left" w:pos="4253"/>
                <w:tab w:val="left" w:pos="4820"/>
              </w:tabs>
              <w:spacing w:before="40" w:after="40"/>
              <w:jc w:val="center"/>
              <w:outlineLvl w:val="6"/>
              <w:rPr>
                <w:b/>
                <w:bCs/>
              </w:rPr>
            </w:pPr>
            <w:r w:rsidRPr="00B654DA">
              <w:rPr>
                <w:b/>
                <w:bCs/>
              </w:rPr>
              <w:t>INSTRUCCIÓN DE EMBALAJE/ENVASADO</w:t>
            </w:r>
          </w:p>
        </w:tc>
        <w:tc>
          <w:tcPr>
            <w:tcW w:w="850" w:type="dxa"/>
            <w:tcBorders>
              <w:top w:val="single" w:sz="4" w:space="0" w:color="auto"/>
              <w:bottom w:val="single" w:sz="4" w:space="0" w:color="auto"/>
              <w:right w:val="single" w:sz="4" w:space="0" w:color="auto"/>
            </w:tcBorders>
          </w:tcPr>
          <w:p w:rsidR="007A3AD0" w:rsidRPr="00B654DA" w:rsidRDefault="007A3AD0" w:rsidP="008322C7">
            <w:pPr>
              <w:tabs>
                <w:tab w:val="left" w:pos="1418"/>
                <w:tab w:val="left" w:pos="1985"/>
                <w:tab w:val="left" w:pos="2552"/>
                <w:tab w:val="left" w:pos="3119"/>
                <w:tab w:val="left" w:pos="3686"/>
                <w:tab w:val="left" w:pos="4253"/>
                <w:tab w:val="left" w:pos="4820"/>
              </w:tabs>
              <w:spacing w:before="40" w:after="40"/>
              <w:jc w:val="right"/>
              <w:outlineLvl w:val="8"/>
              <w:rPr>
                <w:b/>
                <w:bCs/>
              </w:rPr>
            </w:pPr>
            <w:r w:rsidRPr="00B654DA">
              <w:rPr>
                <w:b/>
                <w:bCs/>
              </w:rPr>
              <w:t>LP905</w:t>
            </w:r>
          </w:p>
        </w:tc>
      </w:tr>
      <w:tr w:rsidR="007A3AD0" w:rsidRPr="00B654DA" w:rsidTr="00C64D12">
        <w:trPr>
          <w:cantSplit/>
        </w:trPr>
        <w:tc>
          <w:tcPr>
            <w:tcW w:w="9641" w:type="dxa"/>
            <w:gridSpan w:val="3"/>
            <w:tcBorders>
              <w:top w:val="single" w:sz="4" w:space="0" w:color="auto"/>
              <w:left w:val="single" w:sz="4" w:space="0" w:color="auto"/>
              <w:bottom w:val="single" w:sz="4" w:space="0" w:color="auto"/>
              <w:right w:val="single" w:sz="4" w:space="0" w:color="auto"/>
            </w:tcBorders>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right="74"/>
              <w:jc w:val="both"/>
              <w:rPr>
                <w:rFonts w:eastAsia="Calibri"/>
                <w:snapToGrid w:val="0"/>
                <w:lang w:eastAsia="de-DE"/>
              </w:rPr>
            </w:pPr>
            <w:r w:rsidRPr="00B654DA">
              <w:rPr>
                <w:rFonts w:eastAsia="Calibri"/>
                <w:snapToGrid w:val="0"/>
                <w:lang w:eastAsia="de-DE"/>
              </w:rPr>
              <w:t>Esta instrucción se aplica a las series de producció</w:t>
            </w:r>
            <w:r w:rsidR="007D356D">
              <w:rPr>
                <w:rFonts w:eastAsia="Calibri"/>
                <w:snapToGrid w:val="0"/>
                <w:lang w:eastAsia="de-DE"/>
              </w:rPr>
              <w:t>n de los n</w:t>
            </w:r>
            <w:r w:rsidRPr="00B654DA">
              <w:rPr>
                <w:rFonts w:eastAsia="Calibri"/>
                <w:snapToGrid w:val="0"/>
                <w:lang w:eastAsia="de-DE"/>
              </w:rPr>
              <w:t xml:space="preserve">úmeros ONU 3090, 3091, 3480 y 3481 que consistan en no más de 100 pilas y baterías y a los prototipos de pilas y baterías, cuando dichos prototipos se </w:t>
            </w:r>
            <w:r w:rsidRPr="007D356D">
              <w:t>transporten</w:t>
            </w:r>
            <w:r w:rsidRPr="00B654DA">
              <w:rPr>
                <w:rFonts w:eastAsia="Calibri"/>
                <w:snapToGrid w:val="0"/>
                <w:lang w:eastAsia="de-DE"/>
              </w:rPr>
              <w:t xml:space="preserve"> para ser sometidos a ensayo.</w:t>
            </w:r>
          </w:p>
        </w:tc>
      </w:tr>
      <w:tr w:rsidR="007A3AD0" w:rsidRPr="00B654DA" w:rsidTr="00C64D12">
        <w:trPr>
          <w:cantSplit/>
        </w:trPr>
        <w:tc>
          <w:tcPr>
            <w:tcW w:w="9641" w:type="dxa"/>
            <w:gridSpan w:val="3"/>
            <w:tcBorders>
              <w:top w:val="single" w:sz="4" w:space="0" w:color="auto"/>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right="74"/>
              <w:jc w:val="both"/>
            </w:pPr>
            <w:r w:rsidRPr="00B654DA">
              <w:t>Se autorizan los siguientes grandes embalajes/envases para una batería individual y para</w:t>
            </w:r>
            <w:r w:rsidR="00965478">
              <w:t xml:space="preserve"> </w:t>
            </w:r>
            <w:r w:rsidRPr="00B654DA">
              <w:t xml:space="preserve">pilas y baterías contenidas en un solo elemento del equipo, siempre que se respeten las disposiciones generales de </w:t>
            </w:r>
            <w:r w:rsidRPr="00B654DA">
              <w:rPr>
                <w:b/>
              </w:rPr>
              <w:t>4.1.1</w:t>
            </w:r>
            <w:r w:rsidRPr="00B654DA">
              <w:t xml:space="preserve"> y </w:t>
            </w:r>
            <w:r w:rsidRPr="00B654DA">
              <w:rPr>
                <w:b/>
              </w:rPr>
              <w:t>4.1.3</w:t>
            </w:r>
            <w:r w:rsidRPr="00B654DA">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right="74"/>
              <w:jc w:val="both"/>
            </w:pPr>
            <w:r w:rsidRPr="00B654DA">
              <w:t>1)</w:t>
            </w:r>
            <w:r w:rsidRPr="00B654DA">
              <w:tab/>
              <w:t>Para una batería individual:</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pacing w:before="40" w:after="40"/>
              <w:ind w:left="1222" w:right="74" w:hanging="567"/>
              <w:jc w:val="both"/>
            </w:pPr>
            <w:r w:rsidRPr="00B654DA">
              <w:t>Grandes embalajes/envases rígidos que se ajusten al nivel de prestaciones del grupo de embalaje/envase</w:t>
            </w:r>
            <w:r w:rsidR="008322C7">
              <w:t> </w:t>
            </w:r>
            <w:r w:rsidRPr="00B654DA">
              <w:t>II:</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acero (50A)</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aluminio (50B)</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un metal distinto del acero o del aluminio (50N)</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plástico rígido (50H)</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madera natural (50C)</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madera contrachapada (50D)</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aglomerado de madera (50F)</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cartón rígido (50G)</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622" w:right="74"/>
              <w:jc w:val="both"/>
            </w:pPr>
            <w:r w:rsidRPr="00B654DA">
              <w:t>Los grandes embalajes/envases deberán satisfacer también las siguiente condiciones:</w:t>
            </w:r>
          </w:p>
        </w:tc>
      </w:tr>
      <w:tr w:rsidR="007A3AD0" w:rsidRPr="00B654DA" w:rsidTr="00C64D12">
        <w:trPr>
          <w:cantSplit/>
          <w:trHeight w:val="736"/>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pPr>
            <w:r w:rsidRPr="00B654DA">
              <w:rPr>
                <w:bCs/>
              </w:rPr>
              <w:t>a)</w:t>
            </w:r>
            <w:r w:rsidRPr="00B654DA">
              <w:rPr>
                <w:bCs/>
              </w:rPr>
              <w:tab/>
              <w:t>Una batería de tamaño, forma o masa diferente podrá embalarse/envasarse en un embalaje/envase exterior de uno de los modelos tipo sometidos a ensayo arriba enumerados, a condición de que la masa bruta total del bulto no sea superior a la masa bruta para la que se sometió a ensayo el modelo tipo;</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rPr>
                <w:bCs/>
              </w:rPr>
            </w:pPr>
            <w:r w:rsidRPr="00B654DA">
              <w:t>b)</w:t>
            </w:r>
            <w:r w:rsidRPr="00B654DA">
              <w:tab/>
              <w:t>La batería se embalará/envasará en un embalaje/envase interior y se colocará dentro del embalaje/envase exterior;</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rPr>
                <w:bCs/>
              </w:rPr>
            </w:pPr>
            <w:r w:rsidRPr="00B654DA">
              <w:rPr>
                <w:bCs/>
              </w:rPr>
              <w:t>c)</w:t>
            </w:r>
            <w:r w:rsidRPr="00B654DA">
              <w:rPr>
                <w:bCs/>
              </w:rPr>
              <w:tab/>
              <w:t>El embalaje/envase interior se rodeará completamente de suficiente material de aislamiento térmico, incombustible y eléctricamente no conductor que lo proteja contra un desprendimiento peligroso de calor;</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rPr>
                <w:bCs/>
              </w:rPr>
            </w:pPr>
            <w:r w:rsidRPr="00B654DA">
              <w:t>d)</w:t>
            </w:r>
            <w:r w:rsidRPr="00B654DA">
              <w:tab/>
              <w:t>Se adoptarán medidas apropiadas para reducir al mínimo los efectos de las vibraciones y los choques e impedir el movimiento de la batería dentro del bulto que pueda provocar daños o generar condiciones peligrosas durante el transporte. Para cumplir este requisito podrá utilizarse material de relleno incombustible y eléctricamente no conductor, y</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pPr>
            <w:r w:rsidRPr="00B654DA">
              <w:t>e)</w:t>
            </w:r>
            <w:r w:rsidRPr="00B654DA">
              <w:tab/>
              <w:t>La incombustibilidad se determinará con arreglo a una norma aceptada en el país en que se haya diseñado o fabricado el gran embalaje/envase.</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pacing w:before="40" w:after="40"/>
              <w:ind w:left="623" w:right="74" w:hanging="623"/>
              <w:jc w:val="both"/>
            </w:pPr>
            <w:r w:rsidRPr="00B654DA">
              <w:t>2)</w:t>
            </w:r>
            <w:r w:rsidRPr="00B654DA">
              <w:tab/>
              <w:t>Para pilas y baterías contenidas en un solo elemento del equipo:</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pacing w:before="40" w:after="40"/>
              <w:ind w:left="1222" w:right="74" w:hanging="567"/>
              <w:jc w:val="both"/>
            </w:pPr>
            <w:r w:rsidRPr="00B654DA">
              <w:t>Grandes embalajes/envases rígidos que se ajusten al nivel de prestaciones del grupo de embalaje/envase II:</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acero (50A)</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aluminio (50B)</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un metal distinto del acero o del aluminio (50N)</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lastRenderedPageBreak/>
              <w:t>De plástico rígido (50H)</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madera natural (50C)</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madera contrachapada (50D)</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aglomerado de madera (50F)</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pStyle w:val="SingleTxtG"/>
              <w:spacing w:before="40" w:after="40"/>
              <w:ind w:right="74"/>
              <w:rPr>
                <w:rStyle w:val="SingleTxtGCar"/>
              </w:rPr>
            </w:pPr>
            <w:r w:rsidRPr="00B654DA">
              <w:rPr>
                <w:rStyle w:val="SingleTxtGCar"/>
              </w:rPr>
              <w:t>De cartón rígido (50G)</w:t>
            </w:r>
            <w:r w:rsidR="007D356D">
              <w:rPr>
                <w:rStyle w:val="SingleTxtGCar"/>
              </w:rPr>
              <w:t>.</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622" w:right="74"/>
              <w:jc w:val="both"/>
            </w:pPr>
            <w:r w:rsidRPr="00B654DA">
              <w:t>Los grandes embalajes/envases deberán satisfacerse también las siguiente condiciones:</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rPr>
                <w:bCs/>
              </w:rPr>
            </w:pPr>
            <w:r w:rsidRPr="00B654DA">
              <w:rPr>
                <w:bCs/>
              </w:rPr>
              <w:t>a)</w:t>
            </w:r>
            <w:r w:rsidRPr="00B654DA">
              <w:rPr>
                <w:bCs/>
              </w:rPr>
              <w:tab/>
              <w:t>Un único elemento del equipo de tamaño, forma o masa diferente podrá embalarse/envasarse en un embalaje/envase exterior de uno de los modelos tipo sometidos a ensayo arriba enumerados, a condición de que la masa bruta total del bulto no sea superior a la masa bruta para la que se sometió a ensayo el modelo tipo;</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rPr>
                <w:bCs/>
              </w:rPr>
            </w:pPr>
            <w:r w:rsidRPr="00B654DA">
              <w:t>b)</w:t>
            </w:r>
            <w:r w:rsidRPr="00B654DA">
              <w:tab/>
              <w:t>El equipo se construirá o embalará/envasará de modo tal que se impida su puesta en marcha accidental durante el transporte;</w:t>
            </w:r>
          </w:p>
        </w:tc>
      </w:tr>
      <w:tr w:rsidR="007A3AD0" w:rsidRPr="00B654DA" w:rsidTr="00C64D12">
        <w:trPr>
          <w:cantSplit/>
        </w:trPr>
        <w:tc>
          <w:tcPr>
            <w:tcW w:w="9641" w:type="dxa"/>
            <w:gridSpan w:val="3"/>
            <w:tcBorders>
              <w:top w:val="nil"/>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pPr>
            <w:r w:rsidRPr="00B654DA">
              <w:t>c)</w:t>
            </w:r>
            <w:r w:rsidRPr="00B654DA">
              <w:tab/>
              <w:t>Se adoptarán medidas apropiadas para reducir al mínimo los efectos de las vibraciones y los choques e impedir el movimiento del equipo dentro del bulto que pueda provocar daños o generar condiciones peligrosas durante el transporte. Cuando se utilice material de relleno para cumplir este requisito, deberá ser incombustible y eléctricamente no conductor; y</w:t>
            </w:r>
          </w:p>
        </w:tc>
      </w:tr>
      <w:tr w:rsidR="007A3AD0" w:rsidRPr="00B654DA" w:rsidTr="00C64D12">
        <w:trPr>
          <w:cantSplit/>
        </w:trPr>
        <w:tc>
          <w:tcPr>
            <w:tcW w:w="9641" w:type="dxa"/>
            <w:gridSpan w:val="3"/>
            <w:tcBorders>
              <w:top w:val="nil"/>
              <w:left w:val="single" w:sz="4" w:space="0" w:color="auto"/>
              <w:bottom w:val="single" w:sz="4" w:space="0" w:color="auto"/>
              <w:right w:val="single" w:sz="4" w:space="0" w:color="auto"/>
            </w:tcBorders>
          </w:tcPr>
          <w:p w:rsidR="007A3AD0" w:rsidRPr="00B654DA" w:rsidRDefault="007A3AD0" w:rsidP="007D356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left="1222" w:right="74" w:hanging="567"/>
              <w:jc w:val="both"/>
            </w:pPr>
            <w:r w:rsidRPr="00B654DA">
              <w:t>d)</w:t>
            </w:r>
            <w:r w:rsidRPr="00B654DA">
              <w:tab/>
              <w:t>La incombustibilidad se determinará con arreglo a una norma aceptada en el país en que se haya diseñado o fabricado el gran embalaje/envase.</w:t>
            </w:r>
          </w:p>
        </w:tc>
      </w:tr>
      <w:tr w:rsidR="007A3AD0" w:rsidRPr="00B654DA" w:rsidTr="00C64D12">
        <w:trPr>
          <w:cantSplit/>
        </w:trPr>
        <w:tc>
          <w:tcPr>
            <w:tcW w:w="9641" w:type="dxa"/>
            <w:gridSpan w:val="3"/>
            <w:tcBorders>
              <w:top w:val="single" w:sz="4" w:space="0" w:color="auto"/>
              <w:left w:val="single" w:sz="4" w:space="0" w:color="auto"/>
              <w:bottom w:val="nil"/>
              <w:right w:val="single" w:sz="4" w:space="0" w:color="auto"/>
            </w:tcBorders>
          </w:tcPr>
          <w:p w:rsidR="007A3AD0" w:rsidRPr="00B654DA" w:rsidRDefault="007A3AD0" w:rsidP="007D35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right="74"/>
              <w:jc w:val="both"/>
              <w:rPr>
                <w:b/>
              </w:rPr>
            </w:pPr>
            <w:r w:rsidRPr="00B654DA">
              <w:rPr>
                <w:b/>
                <w:bCs/>
              </w:rPr>
              <w:t>Requisito adicional</w:t>
            </w:r>
            <w:r w:rsidRPr="00B654DA">
              <w:rPr>
                <w:b/>
              </w:rPr>
              <w:t>:</w:t>
            </w:r>
          </w:p>
        </w:tc>
      </w:tr>
      <w:tr w:rsidR="007A3AD0" w:rsidRPr="00B654DA" w:rsidTr="00C64D12">
        <w:trPr>
          <w:cantSplit/>
        </w:trPr>
        <w:tc>
          <w:tcPr>
            <w:tcW w:w="9641" w:type="dxa"/>
            <w:gridSpan w:val="3"/>
            <w:tcBorders>
              <w:top w:val="nil"/>
              <w:left w:val="single" w:sz="4" w:space="0" w:color="auto"/>
              <w:bottom w:val="single" w:sz="4" w:space="0" w:color="auto"/>
              <w:right w:val="single" w:sz="4" w:space="0" w:color="auto"/>
            </w:tcBorders>
          </w:tcPr>
          <w:p w:rsidR="007A3AD0" w:rsidRPr="00B654DA" w:rsidRDefault="007A3AD0" w:rsidP="007D35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ind w:right="74"/>
              <w:jc w:val="both"/>
            </w:pPr>
            <w:r w:rsidRPr="00B654DA">
              <w:t>Las pilas y baterías estarán protegidas contra los cortocircuitos.</w:t>
            </w:r>
          </w:p>
        </w:tc>
      </w:tr>
    </w:tbl>
    <w:p w:rsidR="007A3AD0" w:rsidRPr="00B654DA" w:rsidRDefault="007A3AD0" w:rsidP="00FA6AA6">
      <w:pPr>
        <w:pStyle w:val="SingleTxtG"/>
        <w:spacing w:before="240"/>
      </w:pPr>
      <w:r w:rsidRPr="00B654DA">
        <w:t>4.1.4.3</w:t>
      </w:r>
      <w:r w:rsidRPr="00B654DA">
        <w:tab/>
      </w:r>
      <w:r w:rsidRPr="00B654DA">
        <w:tab/>
        <w:t>Añádase la siguiente instrucción de embalaje/envasado LP906:</w:t>
      </w:r>
    </w:p>
    <w:tbl>
      <w:tblPr>
        <w:tblW w:w="9645" w:type="dxa"/>
        <w:jc w:val="center"/>
        <w:tblLayout w:type="fixed"/>
        <w:tblCellMar>
          <w:left w:w="0" w:type="dxa"/>
          <w:right w:w="113" w:type="dxa"/>
        </w:tblCellMar>
        <w:tblLook w:val="01E0" w:firstRow="1" w:lastRow="1" w:firstColumn="1" w:lastColumn="1" w:noHBand="0" w:noVBand="0"/>
      </w:tblPr>
      <w:tblGrid>
        <w:gridCol w:w="854"/>
        <w:gridCol w:w="8080"/>
        <w:gridCol w:w="711"/>
      </w:tblGrid>
      <w:tr w:rsidR="007A3AD0" w:rsidRPr="00B654DA" w:rsidTr="00FA6AA6">
        <w:trPr>
          <w:jc w:val="center"/>
        </w:trPr>
        <w:tc>
          <w:tcPr>
            <w:tcW w:w="85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7A3AD0" w:rsidRPr="00B654DA" w:rsidRDefault="007A3AD0" w:rsidP="00FA6AA6">
            <w:pPr>
              <w:tabs>
                <w:tab w:val="left" w:pos="1418"/>
                <w:tab w:val="left" w:pos="1985"/>
                <w:tab w:val="left" w:pos="2552"/>
                <w:tab w:val="left" w:pos="3119"/>
                <w:tab w:val="left" w:pos="3686"/>
                <w:tab w:val="left" w:pos="4253"/>
                <w:tab w:val="left" w:pos="4820"/>
              </w:tabs>
              <w:spacing w:before="40" w:after="40"/>
              <w:jc w:val="both"/>
              <w:rPr>
                <w:b/>
              </w:rPr>
            </w:pPr>
            <w:r w:rsidRPr="00B654DA">
              <w:rPr>
                <w:b/>
              </w:rPr>
              <w:t>LP906</w:t>
            </w:r>
          </w:p>
        </w:tc>
        <w:tc>
          <w:tcPr>
            <w:tcW w:w="8080" w:type="dxa"/>
            <w:tcBorders>
              <w:top w:val="single" w:sz="4" w:space="0" w:color="auto"/>
              <w:left w:val="nil"/>
              <w:bottom w:val="single" w:sz="4" w:space="0" w:color="auto"/>
              <w:right w:val="nil"/>
            </w:tcBorders>
            <w:tcMar>
              <w:top w:w="0" w:type="dxa"/>
              <w:left w:w="57" w:type="dxa"/>
              <w:bottom w:w="0" w:type="dxa"/>
              <w:right w:w="57" w:type="dxa"/>
            </w:tcMar>
            <w:vAlign w:val="center"/>
          </w:tcPr>
          <w:p w:rsidR="007A3AD0" w:rsidRPr="00B654DA" w:rsidRDefault="007A3AD0" w:rsidP="00FA6AA6">
            <w:pPr>
              <w:tabs>
                <w:tab w:val="left" w:pos="1418"/>
                <w:tab w:val="left" w:pos="1985"/>
                <w:tab w:val="left" w:pos="2552"/>
                <w:tab w:val="left" w:pos="3119"/>
                <w:tab w:val="left" w:pos="3686"/>
                <w:tab w:val="left" w:pos="4253"/>
                <w:tab w:val="left" w:pos="4820"/>
              </w:tabs>
              <w:spacing w:before="40" w:after="40"/>
              <w:jc w:val="center"/>
              <w:rPr>
                <w:b/>
                <w:iCs/>
              </w:rPr>
            </w:pPr>
            <w:r w:rsidRPr="00B654DA">
              <w:rPr>
                <w:b/>
                <w:bCs/>
              </w:rPr>
              <w:t>INSTRUCCIÓN DE EMBALAJE/ENVASADO</w:t>
            </w:r>
          </w:p>
        </w:tc>
        <w:tc>
          <w:tcPr>
            <w:tcW w:w="71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A3AD0" w:rsidRPr="00B654DA" w:rsidRDefault="007A3AD0" w:rsidP="00FA6AA6">
            <w:pPr>
              <w:tabs>
                <w:tab w:val="left" w:pos="1418"/>
                <w:tab w:val="left" w:pos="1985"/>
                <w:tab w:val="left" w:pos="2552"/>
                <w:tab w:val="left" w:pos="3119"/>
                <w:tab w:val="left" w:pos="3686"/>
                <w:tab w:val="left" w:pos="4253"/>
                <w:tab w:val="left" w:pos="4820"/>
              </w:tabs>
              <w:spacing w:before="40" w:after="40"/>
              <w:jc w:val="right"/>
              <w:rPr>
                <w:b/>
                <w:iCs/>
              </w:rPr>
            </w:pPr>
            <w:r w:rsidRPr="00B654DA">
              <w:rPr>
                <w:b/>
                <w:iCs/>
              </w:rPr>
              <w:t>LP906</w:t>
            </w:r>
          </w:p>
        </w:tc>
      </w:tr>
      <w:tr w:rsidR="007A3AD0" w:rsidRPr="00B654DA" w:rsidTr="007A3AD0">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right="74"/>
              <w:jc w:val="both"/>
              <w:rPr>
                <w:iCs/>
              </w:rPr>
            </w:pPr>
            <w:r w:rsidRPr="00B654DA">
              <w:rPr>
                <w:iCs/>
              </w:rPr>
              <w:t>Esta instrucción se aplica a las baterías individuales</w:t>
            </w:r>
            <w:r w:rsidR="002A072B">
              <w:rPr>
                <w:iCs/>
              </w:rPr>
              <w:t xml:space="preserve"> dañadas o defectuosas con los n</w:t>
            </w:r>
            <w:r w:rsidRPr="00B654DA">
              <w:rPr>
                <w:iCs/>
              </w:rPr>
              <w:t>úmeros ONU 3090, 3091, 3480 y 3481 que puedan desarmarse rápidamente o presentar una reacción peligrosa, producción de llama o desprendimiento peligroso de calor o una emisión peligrosa de gases o vapores tóxicos, corrosivos o inflamables en las condiciones normales de transporte</w:t>
            </w:r>
            <w:r w:rsidRPr="00B654DA">
              <w:t>.</w:t>
            </w:r>
          </w:p>
        </w:tc>
      </w:tr>
      <w:tr w:rsidR="007A3AD0" w:rsidRPr="00B654DA" w:rsidTr="007A3AD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right="74"/>
              <w:jc w:val="both"/>
              <w:rPr>
                <w:iCs/>
              </w:rPr>
            </w:pPr>
            <w:r w:rsidRPr="00B654DA">
              <w:t xml:space="preserve">Se autorizan los siguientes embalajes/envases, siempre que se cumplan las disposiciones generales de </w:t>
            </w:r>
            <w:r w:rsidRPr="00B654DA">
              <w:rPr>
                <w:b/>
              </w:rPr>
              <w:t>4.1.1</w:t>
            </w:r>
            <w:r w:rsidRPr="00B654DA">
              <w:t xml:space="preserve"> y </w:t>
            </w:r>
            <w:r w:rsidRPr="00B654DA">
              <w:rPr>
                <w:b/>
              </w:rPr>
              <w:t>4.1.3</w:t>
            </w:r>
            <w:r w:rsidRPr="00B654DA">
              <w:rPr>
                <w:iCs/>
              </w:rPr>
              <w:t>:</w:t>
            </w:r>
          </w:p>
        </w:tc>
      </w:tr>
      <w:tr w:rsidR="007A3AD0" w:rsidRPr="00B654DA" w:rsidTr="007A3AD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right="74"/>
              <w:jc w:val="both"/>
              <w:rPr>
                <w:iCs/>
              </w:rPr>
            </w:pPr>
            <w:r w:rsidRPr="00B654DA">
              <w:rPr>
                <w:bCs/>
                <w:iCs/>
              </w:rPr>
              <w:t xml:space="preserve">Para una batería individual y para </w:t>
            </w:r>
            <w:r w:rsidRPr="00B654DA">
              <w:t>pilas y baterías contenidas en un solo elemento del equipo:</w:t>
            </w:r>
            <w:r w:rsidRPr="00B654DA">
              <w:rPr>
                <w:bCs/>
                <w:iCs/>
              </w:rPr>
              <w:t xml:space="preserve">: </w:t>
            </w:r>
          </w:p>
        </w:tc>
      </w:tr>
      <w:tr w:rsidR="007A3AD0" w:rsidRPr="00B654DA" w:rsidTr="007A3AD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right="74"/>
              <w:jc w:val="both"/>
              <w:rPr>
                <w:bCs/>
                <w:iCs/>
              </w:rPr>
            </w:pPr>
            <w:r w:rsidRPr="00B654DA">
              <w:t>Grandes embalajes/envases rígidos que se ajusten al nivel de prestaciones del grupo de embalaje/envase I</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FA6AA6" w:rsidRDefault="00FA6AA6" w:rsidP="007D356D">
            <w:pPr>
              <w:tabs>
                <w:tab w:val="left" w:pos="1418"/>
                <w:tab w:val="left" w:pos="1985"/>
                <w:tab w:val="left" w:pos="2552"/>
                <w:tab w:val="left" w:pos="3119"/>
                <w:tab w:val="left" w:pos="3686"/>
                <w:tab w:val="left" w:pos="4253"/>
                <w:tab w:val="left" w:pos="4820"/>
              </w:tabs>
              <w:spacing w:before="40" w:after="40"/>
              <w:ind w:left="933" w:right="74" w:hanging="426"/>
              <w:jc w:val="both"/>
            </w:pPr>
            <w:r>
              <w:tab/>
            </w:r>
            <w:r w:rsidR="007A3AD0" w:rsidRPr="00FA6AA6">
              <w:t>De acero (50A)</w:t>
            </w:r>
            <w:r w:rsidR="00354807">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FA6AA6" w:rsidRDefault="00FA6AA6" w:rsidP="007D356D">
            <w:pPr>
              <w:tabs>
                <w:tab w:val="left" w:pos="1418"/>
                <w:tab w:val="left" w:pos="1985"/>
                <w:tab w:val="left" w:pos="2552"/>
                <w:tab w:val="left" w:pos="3119"/>
                <w:tab w:val="left" w:pos="3686"/>
                <w:tab w:val="left" w:pos="4253"/>
                <w:tab w:val="left" w:pos="4820"/>
              </w:tabs>
              <w:spacing w:before="40" w:after="40"/>
              <w:ind w:left="933" w:right="74" w:hanging="426"/>
              <w:jc w:val="both"/>
            </w:pPr>
            <w:r>
              <w:tab/>
            </w:r>
            <w:r w:rsidR="007A3AD0" w:rsidRPr="00FA6AA6">
              <w:t>De aluminio (50B)</w:t>
            </w:r>
            <w:r w:rsidR="00354807">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FA6AA6" w:rsidRDefault="00FA6AA6" w:rsidP="007D356D">
            <w:pPr>
              <w:tabs>
                <w:tab w:val="left" w:pos="1418"/>
                <w:tab w:val="left" w:pos="1985"/>
                <w:tab w:val="left" w:pos="2552"/>
                <w:tab w:val="left" w:pos="3119"/>
                <w:tab w:val="left" w:pos="3686"/>
                <w:tab w:val="left" w:pos="4253"/>
                <w:tab w:val="left" w:pos="4820"/>
              </w:tabs>
              <w:spacing w:before="40" w:after="40"/>
              <w:ind w:left="933" w:right="74" w:hanging="426"/>
              <w:jc w:val="both"/>
            </w:pPr>
            <w:r>
              <w:tab/>
            </w:r>
            <w:r w:rsidR="007A3AD0" w:rsidRPr="00FA6AA6">
              <w:t>De un metal distinto del acero o del aluminio (50N)</w:t>
            </w:r>
            <w:r w:rsidR="00354807">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FA6AA6" w:rsidRDefault="00FA6AA6" w:rsidP="007D356D">
            <w:pPr>
              <w:tabs>
                <w:tab w:val="left" w:pos="1418"/>
                <w:tab w:val="left" w:pos="1985"/>
                <w:tab w:val="left" w:pos="2552"/>
                <w:tab w:val="left" w:pos="3119"/>
                <w:tab w:val="left" w:pos="3686"/>
                <w:tab w:val="left" w:pos="4253"/>
                <w:tab w:val="left" w:pos="4820"/>
              </w:tabs>
              <w:spacing w:before="40" w:after="40"/>
              <w:ind w:left="933" w:right="74" w:hanging="426"/>
              <w:jc w:val="both"/>
            </w:pPr>
            <w:r>
              <w:tab/>
            </w:r>
            <w:r w:rsidR="007A3AD0" w:rsidRPr="00FA6AA6">
              <w:t>De plástico rígido (50H)</w:t>
            </w:r>
            <w:r w:rsidR="00354807">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FA6AA6" w:rsidRDefault="00FA6AA6" w:rsidP="007D356D">
            <w:pPr>
              <w:tabs>
                <w:tab w:val="left" w:pos="1418"/>
                <w:tab w:val="left" w:pos="1985"/>
                <w:tab w:val="left" w:pos="2552"/>
                <w:tab w:val="left" w:pos="3119"/>
                <w:tab w:val="left" w:pos="3686"/>
                <w:tab w:val="left" w:pos="4253"/>
                <w:tab w:val="left" w:pos="4820"/>
              </w:tabs>
              <w:spacing w:before="40" w:after="40"/>
              <w:ind w:left="933" w:right="74" w:hanging="426"/>
              <w:jc w:val="both"/>
            </w:pPr>
            <w:r>
              <w:tab/>
            </w:r>
            <w:r w:rsidR="007A3AD0" w:rsidRPr="00FA6AA6">
              <w:t>De madera contrachapada (50D)</w:t>
            </w:r>
            <w:r w:rsidR="00354807">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FA6AA6" w:rsidRDefault="00FA6AA6" w:rsidP="007D356D">
            <w:pPr>
              <w:tabs>
                <w:tab w:val="left" w:pos="1418"/>
                <w:tab w:val="left" w:pos="1985"/>
                <w:tab w:val="left" w:pos="2552"/>
                <w:tab w:val="left" w:pos="3119"/>
                <w:tab w:val="left" w:pos="3686"/>
                <w:tab w:val="left" w:pos="4253"/>
                <w:tab w:val="left" w:pos="4820"/>
              </w:tabs>
              <w:spacing w:before="40" w:after="40"/>
              <w:ind w:left="933" w:right="74" w:hanging="426"/>
              <w:jc w:val="both"/>
            </w:pPr>
            <w:r>
              <w:tab/>
            </w:r>
            <w:r w:rsidR="007A3AD0" w:rsidRPr="00FA6AA6">
              <w:t>De cartón rígido (50G)</w:t>
            </w:r>
            <w:r w:rsidR="00354807">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513"/>
                <w:tab w:val="left" w:pos="1418"/>
                <w:tab w:val="left" w:pos="1985"/>
                <w:tab w:val="left" w:pos="2552"/>
                <w:tab w:val="left" w:pos="3119"/>
                <w:tab w:val="left" w:pos="3686"/>
                <w:tab w:val="left" w:pos="4253"/>
                <w:tab w:val="left" w:pos="4820"/>
              </w:tabs>
              <w:spacing w:before="40" w:after="40"/>
              <w:ind w:left="513" w:right="74" w:hanging="513"/>
              <w:jc w:val="both"/>
            </w:pPr>
            <w:r w:rsidRPr="00B654DA">
              <w:t>1)</w:t>
            </w:r>
            <w:r w:rsidRPr="00B654DA">
              <w:tab/>
              <w:t xml:space="preserve">Los </w:t>
            </w:r>
            <w:r w:rsidRPr="00B654DA">
              <w:rPr>
                <w:iCs/>
              </w:rPr>
              <w:t xml:space="preserve">embalajes/envases grandes deberán cumplir los requisitos adicionales en caso de que </w:t>
            </w:r>
            <w:r w:rsidRPr="00B654DA">
              <w:t>las baterías</w:t>
            </w:r>
            <w:r w:rsidRPr="00B654DA">
              <w:rPr>
                <w:iCs/>
              </w:rPr>
              <w:t xml:space="preserve"> puedan desarmarse rápidamente o presentar una reacción peligrosa, producción de llama o desprendimiento peligroso de calor o una emisión peligrosa de gases o vapores tóxicos, corrosivos o inflamables</w:t>
            </w:r>
            <w:r w:rsidRPr="00B654DA">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354807">
            <w:pPr>
              <w:tabs>
                <w:tab w:val="left" w:pos="1418"/>
                <w:tab w:val="left" w:pos="1985"/>
                <w:tab w:val="left" w:pos="2552"/>
                <w:tab w:val="left" w:pos="3119"/>
                <w:tab w:val="left" w:pos="3686"/>
                <w:tab w:val="left" w:pos="4253"/>
                <w:tab w:val="left" w:pos="4820"/>
              </w:tabs>
              <w:spacing w:before="40" w:after="40"/>
              <w:ind w:left="933" w:right="74" w:hanging="426"/>
              <w:jc w:val="both"/>
            </w:pPr>
            <w:r w:rsidRPr="00B654DA">
              <w:t>a)</w:t>
            </w:r>
            <w:r w:rsidRPr="00B654DA">
              <w:tab/>
              <w:t xml:space="preserve">La temperatura de la superficie exterior del bulto completo no excederá de 100 </w:t>
            </w:r>
            <w:r w:rsidR="00354807">
              <w:t>º</w:t>
            </w:r>
            <w:r w:rsidRPr="00B654DA">
              <w:t>C. Podrá aceptarse una subida momentánea de la temperatura hasta 200</w:t>
            </w:r>
            <w:r w:rsidR="00354807">
              <w:t xml:space="preserve"> </w:t>
            </w:r>
            <w:r w:rsidRPr="00B654DA">
              <w:t>ºC</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left="933" w:right="74" w:hanging="426"/>
              <w:jc w:val="both"/>
            </w:pPr>
            <w:r w:rsidRPr="00B654DA">
              <w:t xml:space="preserve">b) </w:t>
            </w:r>
            <w:r w:rsidRPr="00B654DA">
              <w:tab/>
              <w:t xml:space="preserve">No deberán producirse llamas en el exterior del </w:t>
            </w:r>
            <w:r w:rsidRPr="00B654DA">
              <w:rPr>
                <w:iCs/>
              </w:rPr>
              <w:t>embalaje/envase</w:t>
            </w:r>
            <w:r w:rsidRPr="00B654DA">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left="933" w:right="74" w:hanging="426"/>
              <w:jc w:val="both"/>
            </w:pPr>
            <w:r w:rsidRPr="00B654DA">
              <w:t xml:space="preserve">c) </w:t>
            </w:r>
            <w:r w:rsidRPr="00B654DA">
              <w:tab/>
              <w:t xml:space="preserve">No deberá salir ningún proyectil del </w:t>
            </w:r>
            <w:r w:rsidRPr="00B654DA">
              <w:rPr>
                <w:iCs/>
              </w:rPr>
              <w:t>embalaje/envase</w:t>
            </w:r>
            <w:r w:rsidRPr="00B654DA">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left="933" w:right="74" w:hanging="426"/>
              <w:jc w:val="both"/>
            </w:pPr>
            <w:r w:rsidRPr="00B654DA">
              <w:t xml:space="preserve">d) </w:t>
            </w:r>
            <w:r w:rsidRPr="00B654DA">
              <w:tab/>
              <w:t xml:space="preserve">Deberá mantenerse la integridad estructural del </w:t>
            </w:r>
            <w:r w:rsidRPr="00B654DA">
              <w:rPr>
                <w:iCs/>
              </w:rPr>
              <w:t>embalaje/envase</w:t>
            </w:r>
            <w:r w:rsidR="00354807">
              <w:rPr>
                <w:iCs/>
              </w:rPr>
              <w:t>; y</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1418"/>
                <w:tab w:val="left" w:pos="1985"/>
                <w:tab w:val="left" w:pos="2552"/>
                <w:tab w:val="left" w:pos="3119"/>
                <w:tab w:val="left" w:pos="3686"/>
                <w:tab w:val="left" w:pos="4253"/>
                <w:tab w:val="left" w:pos="4820"/>
              </w:tabs>
              <w:spacing w:before="40" w:after="40"/>
              <w:ind w:left="933" w:right="74" w:hanging="426"/>
              <w:jc w:val="both"/>
            </w:pPr>
            <w:r w:rsidRPr="00B654DA">
              <w:t xml:space="preserve">e) </w:t>
            </w:r>
            <w:r w:rsidRPr="00B654DA">
              <w:tab/>
              <w:t xml:space="preserve">Los </w:t>
            </w:r>
            <w:r w:rsidRPr="00B654DA">
              <w:rPr>
                <w:iCs/>
              </w:rPr>
              <w:t>embalajes/envases</w:t>
            </w:r>
            <w:r w:rsidRPr="00B654DA">
              <w:t xml:space="preserve"> llevarán un sistema de gestión de gases (por ejemplo, un sistema de filtros, circulación de aire, contención del gas, empaquetado impermeable al gas, etc.), según proceda.</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keepNext/>
              <w:keepLines/>
              <w:tabs>
                <w:tab w:val="left" w:pos="513"/>
                <w:tab w:val="left" w:pos="1418"/>
                <w:tab w:val="left" w:pos="1985"/>
                <w:tab w:val="left" w:pos="2552"/>
                <w:tab w:val="left" w:pos="3119"/>
                <w:tab w:val="left" w:pos="3686"/>
                <w:tab w:val="left" w:pos="4253"/>
                <w:tab w:val="left" w:pos="4820"/>
              </w:tabs>
              <w:spacing w:before="40" w:after="40"/>
              <w:ind w:left="510" w:right="74" w:hanging="510"/>
              <w:jc w:val="both"/>
            </w:pPr>
            <w:r w:rsidRPr="00B654DA">
              <w:lastRenderedPageBreak/>
              <w:t>2)</w:t>
            </w:r>
            <w:r w:rsidRPr="00B654DA">
              <w:tab/>
              <w:t xml:space="preserve">Los requisitos adicionales de los </w:t>
            </w:r>
            <w:r w:rsidRPr="00B654DA">
              <w:rPr>
                <w:iCs/>
              </w:rPr>
              <w:t>embalajes/envases</w:t>
            </w:r>
            <w:r w:rsidRPr="00B654DA">
              <w:t xml:space="preserve"> se verificarán mediante un ensayo según especifique la autoridad competente</w:t>
            </w:r>
            <w:r w:rsidRPr="00B654DA">
              <w:rPr>
                <w:b/>
                <w:vertAlign w:val="superscript"/>
              </w:rPr>
              <w:t>a</w:t>
            </w:r>
            <w:r w:rsidRPr="00B654DA">
              <w:t>.</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7D356D">
            <w:pPr>
              <w:tabs>
                <w:tab w:val="left" w:pos="513"/>
                <w:tab w:val="left" w:pos="1418"/>
                <w:tab w:val="left" w:pos="1985"/>
                <w:tab w:val="left" w:pos="2552"/>
                <w:tab w:val="left" w:pos="3119"/>
                <w:tab w:val="left" w:pos="3686"/>
                <w:tab w:val="left" w:pos="4253"/>
                <w:tab w:val="left" w:pos="4820"/>
              </w:tabs>
              <w:spacing w:before="40" w:after="40"/>
              <w:ind w:left="513" w:right="74" w:hanging="513"/>
              <w:jc w:val="both"/>
            </w:pPr>
            <w:r w:rsidRPr="00B654DA">
              <w:tab/>
              <w:t xml:space="preserve">Se llevará un informe </w:t>
            </w:r>
            <w:r w:rsidR="00354807">
              <w:t xml:space="preserve">de verificación que se mostrará </w:t>
            </w:r>
            <w:r w:rsidRPr="00B654DA">
              <w:t>cuando se solicite. En dicho informe figurarán, como mínimo, el nombre, el número, la masa, el tipo y la capacidad de almacenamiento de energía de las pilas o baterías, la identificación del embalaje/envase y los datos de ensayo con arreglo al método de verificación especificado por la autoridad competente.</w:t>
            </w:r>
          </w:p>
        </w:tc>
      </w:tr>
      <w:tr w:rsidR="007A3AD0" w:rsidRPr="00B654DA" w:rsidTr="007A3AD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7A3AD0" w:rsidRPr="00B654DA" w:rsidRDefault="007A3AD0" w:rsidP="00354807">
            <w:pPr>
              <w:tabs>
                <w:tab w:val="left" w:pos="513"/>
                <w:tab w:val="left" w:pos="1418"/>
                <w:tab w:val="left" w:pos="1985"/>
                <w:tab w:val="left" w:pos="2552"/>
                <w:tab w:val="left" w:pos="3119"/>
                <w:tab w:val="left" w:pos="3686"/>
                <w:tab w:val="left" w:pos="4253"/>
                <w:tab w:val="left" w:pos="4820"/>
              </w:tabs>
              <w:spacing w:before="40" w:after="40"/>
              <w:ind w:left="513" w:right="74" w:hanging="513"/>
              <w:jc w:val="both"/>
            </w:pPr>
            <w:r w:rsidRPr="00B654DA">
              <w:t xml:space="preserve">3) </w:t>
            </w:r>
            <w:r w:rsidRPr="00B654DA">
              <w:tab/>
              <w:t>Cuando se use hielo seco o nitrógeno líquido como refrigerante, se aplicarán las prescripciones de la sección</w:t>
            </w:r>
            <w:r w:rsidR="00354807">
              <w:t> </w:t>
            </w:r>
            <w:r w:rsidRPr="00B654DA">
              <w:t>5.5.3. El recipiente primario y el embalaje/envase secundario mantendrán su integridad a la temperatura del refrigerante usado así como a las temperaturas y presiones que pudieran producirse si se perdiese la refrigeración.</w:t>
            </w:r>
          </w:p>
        </w:tc>
      </w:tr>
      <w:tr w:rsidR="007A3AD0" w:rsidRPr="00B654DA" w:rsidTr="007A3AD0">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7A3AD0" w:rsidRPr="00FA6AA6" w:rsidRDefault="007A3AD0" w:rsidP="007D356D">
            <w:pPr>
              <w:tabs>
                <w:tab w:val="left" w:pos="1418"/>
                <w:tab w:val="left" w:pos="1985"/>
                <w:tab w:val="left" w:pos="2552"/>
                <w:tab w:val="left" w:pos="3119"/>
                <w:tab w:val="left" w:pos="3686"/>
                <w:tab w:val="left" w:pos="4253"/>
                <w:tab w:val="left" w:pos="4820"/>
              </w:tabs>
              <w:spacing w:before="40" w:after="40"/>
              <w:ind w:left="507" w:right="74" w:hanging="507"/>
              <w:jc w:val="both"/>
              <w:rPr>
                <w:b/>
              </w:rPr>
            </w:pPr>
            <w:r w:rsidRPr="00FA6AA6">
              <w:rPr>
                <w:b/>
              </w:rPr>
              <w:t>Requisito adicional:</w:t>
            </w:r>
          </w:p>
        </w:tc>
      </w:tr>
      <w:tr w:rsidR="007A3AD0" w:rsidRPr="00B654DA" w:rsidTr="007A3AD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7A3AD0" w:rsidRPr="00B654DA" w:rsidRDefault="007A3AD0" w:rsidP="00354807">
            <w:pPr>
              <w:tabs>
                <w:tab w:val="left" w:pos="1418"/>
                <w:tab w:val="left" w:pos="1985"/>
                <w:tab w:val="left" w:pos="2552"/>
                <w:tab w:val="left" w:pos="3119"/>
                <w:tab w:val="left" w:pos="3686"/>
                <w:tab w:val="left" w:pos="4253"/>
                <w:tab w:val="left" w:pos="4820"/>
              </w:tabs>
              <w:spacing w:before="40" w:after="40"/>
              <w:ind w:left="425" w:right="74" w:hanging="425"/>
              <w:jc w:val="both"/>
            </w:pPr>
            <w:r w:rsidRPr="00B654DA">
              <w:t>Las baterías estarán protegidas contra los cortocircuitos.</w:t>
            </w:r>
          </w:p>
        </w:tc>
      </w:tr>
      <w:tr w:rsidR="007A3AD0" w:rsidRPr="00B654DA" w:rsidTr="007A3AD0">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513"/>
                <w:tab w:val="left" w:pos="1418"/>
                <w:tab w:val="left" w:pos="1985"/>
                <w:tab w:val="left" w:pos="2552"/>
                <w:tab w:val="left" w:pos="3119"/>
                <w:tab w:val="left" w:pos="3686"/>
                <w:tab w:val="left" w:pos="4253"/>
                <w:tab w:val="left" w:pos="4820"/>
              </w:tabs>
              <w:spacing w:before="40" w:after="40"/>
              <w:ind w:left="513" w:right="74" w:hanging="513"/>
              <w:jc w:val="both"/>
              <w:rPr>
                <w:i/>
              </w:rPr>
            </w:pPr>
            <w:r w:rsidRPr="00B654DA">
              <w:rPr>
                <w:b/>
                <w:vertAlign w:val="superscript"/>
              </w:rPr>
              <w:t>a</w:t>
            </w:r>
            <w:r w:rsidRPr="00B654DA">
              <w:rPr>
                <w:i/>
              </w:rPr>
              <w:tab/>
              <w:t>Para evaluar el comportamiento del embalaje/envase podrán utilizarse los siguientes criterios:</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a)</w:t>
            </w:r>
            <w:r w:rsidRPr="00B654DA">
              <w:rPr>
                <w:i/>
              </w:rPr>
              <w:tab/>
              <w:t>La evaluación se realizará con arreglo a un sistema de control de la calidad (como se describe, por ejemplo, en la sección 2.9.4. e)) que permita el seguimiento de los resultados de los ensayos, los datos de referencia y los modelos de caracterización utilizados;</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 xml:space="preserve">b) </w:t>
            </w:r>
            <w:r w:rsidRPr="00B654DA">
              <w:rPr>
                <w:i/>
              </w:rPr>
              <w:tab/>
              <w:t>Se identificará y cuantificará claramente la lista de los peligros previstos en caso de destrucción térmica del tipo de pila o batería en las condiciones de transporte (por ejemplo, si se utiliza un recipiente primario, si se conoce el estado de carga, si se utiliza una cantidad suficiente de material de relleno absorbente y eléctricamente no conductor etc.); para ello podrá utilizarse la lista de referencia de posibles peligros para las pilas o baterías de litio (que puedan desarmarse rápidamente o presentar una reacción peligrosa, producción de llama o desprendimiento peligroso de calor o una emisión peligrosa de gases o vapores tóxicos, corrosivos o inflamables. La cuantificación de esos peligros se basará en la bibliografía científica disponible;</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 xml:space="preserve">c) </w:t>
            </w:r>
            <w:r w:rsidRPr="00B654DA">
              <w:rPr>
                <w:i/>
              </w:rPr>
              <w:tab/>
              <w:t>Se identificarán y caracterizarán los efectos mitigantes del embalaje/envase, sobre la base de la naturaleza de la protección facilitada y las propiedades de los materiales empleados en su construcción. Para justificar esa evaluación se utilizará una lista de planos y características técnicas (densidad [kg·m</w:t>
            </w:r>
            <w:r w:rsidRPr="00B654DA">
              <w:rPr>
                <w:i/>
                <w:vertAlign w:val="superscript"/>
              </w:rPr>
              <w:t>-3</w:t>
            </w:r>
            <w:r w:rsidRPr="00B654DA">
              <w:rPr>
                <w:i/>
              </w:rPr>
              <w:t>], calor específico [J·kg</w:t>
            </w:r>
            <w:r w:rsidRPr="00B654DA">
              <w:rPr>
                <w:i/>
                <w:vertAlign w:val="superscript"/>
              </w:rPr>
              <w:t>-1</w:t>
            </w:r>
            <w:r w:rsidRPr="00B654DA">
              <w:rPr>
                <w:i/>
              </w:rPr>
              <w:t>·K</w:t>
            </w:r>
            <w:r w:rsidRPr="00B654DA">
              <w:rPr>
                <w:i/>
                <w:vertAlign w:val="superscript"/>
              </w:rPr>
              <w:t>-1</w:t>
            </w:r>
            <w:r w:rsidRPr="00B654DA">
              <w:rPr>
                <w:i/>
              </w:rPr>
              <w:t>], valor calorífico [kJ·kg</w:t>
            </w:r>
            <w:r w:rsidRPr="00B654DA">
              <w:rPr>
                <w:i/>
                <w:vertAlign w:val="superscript"/>
              </w:rPr>
              <w:t>-1</w:t>
            </w:r>
            <w:r w:rsidRPr="00B654DA">
              <w:rPr>
                <w:i/>
              </w:rPr>
              <w:t>], conductividad térmica [W·m</w:t>
            </w:r>
            <w:r w:rsidRPr="00B654DA">
              <w:rPr>
                <w:i/>
                <w:vertAlign w:val="superscript"/>
              </w:rPr>
              <w:t>-1</w:t>
            </w:r>
            <w:r w:rsidRPr="00B654DA">
              <w:rPr>
                <w:i/>
              </w:rPr>
              <w:t>·K</w:t>
            </w:r>
            <w:r w:rsidRPr="00B654DA">
              <w:rPr>
                <w:i/>
                <w:vertAlign w:val="superscript"/>
              </w:rPr>
              <w:t>-1</w:t>
            </w:r>
            <w:r w:rsidRPr="00B654DA">
              <w:rPr>
                <w:i/>
              </w:rPr>
              <w:t>], temperatura de fusión y temperatura de inflamación [K], coeficiente de transferencia calorífica del embalaje/envase secundario [W·m</w:t>
            </w:r>
            <w:r w:rsidRPr="00B654DA">
              <w:rPr>
                <w:i/>
                <w:vertAlign w:val="superscript"/>
              </w:rPr>
              <w:t>2</w:t>
            </w:r>
            <w:r w:rsidRPr="00B654DA">
              <w:rPr>
                <w:i/>
              </w:rPr>
              <w:t>·K</w:t>
            </w:r>
            <w:r w:rsidRPr="00B654DA">
              <w:rPr>
                <w:i/>
                <w:vertAlign w:val="superscript"/>
              </w:rPr>
              <w:t>-1</w:t>
            </w:r>
            <w:r w:rsidRPr="00B654DA">
              <w:rPr>
                <w:i/>
              </w:rPr>
              <w:t>], …);</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 xml:space="preserve">d) </w:t>
            </w:r>
            <w:r w:rsidRPr="00B654DA">
              <w:rPr>
                <w:i/>
              </w:rPr>
              <w:tab/>
              <w:t>Mediante el ensayo y cualesquiera otros cálculos de apoyo se evaluará el resultado de la destrucción térmica de la pila o batería dentro del embalaje/envase en las condiciones normales de transporte;</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 xml:space="preserve">e) </w:t>
            </w:r>
            <w:r w:rsidRPr="00B654DA">
              <w:rPr>
                <w:i/>
              </w:rPr>
              <w:tab/>
              <w:t>Si no se conociera el estado de carga de la pila o batería, la evaluación se hará con el valor más alto posible del estado de carga correspondiente a las condiciones de uso de la pila o batería;</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 xml:space="preserve">f) </w:t>
            </w:r>
            <w:r w:rsidRPr="00B654DA">
              <w:rPr>
                <w:i/>
              </w:rPr>
              <w:tab/>
              <w:t>Se describirán las condiciones del entorno en que puede utilizarse el embalaje/envase (incluidas las posibles consecuencias de la emisión de gas o humo al medio ambiente, como la ventilación u otros métodos) con arreglo al sistema de gestión de gases del embalaje/envase;</w:t>
            </w:r>
          </w:p>
        </w:tc>
      </w:tr>
      <w:tr w:rsidR="007A3AD0" w:rsidRPr="00B654DA" w:rsidTr="007A3AD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7A3AD0" w:rsidRPr="00B654DA" w:rsidRDefault="007A3AD0" w:rsidP="007D356D">
            <w:pPr>
              <w:tabs>
                <w:tab w:val="left" w:pos="950"/>
              </w:tabs>
              <w:spacing w:before="40" w:after="40" w:line="236" w:lineRule="atLeast"/>
              <w:ind w:left="505" w:right="74"/>
              <w:jc w:val="both"/>
              <w:rPr>
                <w:i/>
              </w:rPr>
            </w:pPr>
            <w:r w:rsidRPr="00B654DA">
              <w:rPr>
                <w:i/>
              </w:rPr>
              <w:t xml:space="preserve">g) </w:t>
            </w:r>
            <w:r w:rsidRPr="00B654DA">
              <w:rPr>
                <w:i/>
              </w:rPr>
              <w:tab/>
              <w:t>En los ensayos o el modelo de cálculo se considerará el peor escenario posible para el desencadenamiento y la propagación de la destrucción térmica dentro de la pila o batería: ese escenario incluirá el peor fallo posible que pueda ocurrir en las condiciones normales de transporte y la mayor emisión de calor y llamas para la posible propagación de la reacción;</w:t>
            </w:r>
          </w:p>
        </w:tc>
      </w:tr>
      <w:tr w:rsidR="00FA6AA6" w:rsidRPr="00B654DA" w:rsidTr="007A3AD0">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FA6AA6" w:rsidRPr="00B654DA" w:rsidRDefault="00FA6AA6" w:rsidP="007D356D">
            <w:pPr>
              <w:tabs>
                <w:tab w:val="left" w:pos="950"/>
              </w:tabs>
              <w:spacing w:before="40" w:after="40" w:line="236" w:lineRule="atLeast"/>
              <w:ind w:left="505" w:right="74"/>
              <w:jc w:val="both"/>
              <w:rPr>
                <w:i/>
              </w:rPr>
            </w:pPr>
            <w:r w:rsidRPr="00B654DA">
              <w:rPr>
                <w:i/>
              </w:rPr>
              <w:t xml:space="preserve">h) </w:t>
            </w:r>
            <w:r w:rsidRPr="00B654DA">
              <w:rPr>
                <w:i/>
              </w:rPr>
              <w:tab/>
              <w:t>Las consecuencias del escenario se evaluarán a lo largo de un período que abarque todas las posibles consecuencias (es decir, un período de 24 horas)</w:t>
            </w:r>
            <w:r w:rsidR="00354807">
              <w:rPr>
                <w:i/>
              </w:rPr>
              <w:t>.</w:t>
            </w:r>
          </w:p>
        </w:tc>
      </w:tr>
    </w:tbl>
    <w:p w:rsidR="007A3AD0" w:rsidRPr="00354807" w:rsidRDefault="007A3AD0" w:rsidP="00FA6AA6">
      <w:pPr>
        <w:pStyle w:val="SingleTxtG"/>
        <w:spacing w:before="240"/>
        <w:rPr>
          <w:rStyle w:val="Strong"/>
          <w:b w:val="0"/>
          <w:bCs w:val="0"/>
        </w:rPr>
      </w:pPr>
      <w:r w:rsidRPr="00B654DA">
        <w:t>4.1.5.12</w:t>
      </w:r>
      <w:r w:rsidRPr="00B654DA">
        <w:rPr>
          <w:b/>
          <w:bCs/>
        </w:rPr>
        <w:tab/>
      </w:r>
      <w:r w:rsidRPr="00354807">
        <w:rPr>
          <w:rStyle w:val="Strong"/>
          <w:b w:val="0"/>
        </w:rPr>
        <w:t xml:space="preserve">Sustitúyase </w:t>
      </w:r>
      <w:r w:rsidR="00A069C9" w:rsidRPr="00354807">
        <w:rPr>
          <w:rStyle w:val="Strong"/>
          <w:b w:val="0"/>
        </w:rPr>
        <w:t>“</w:t>
      </w:r>
      <w:r w:rsidRPr="00354807">
        <w:rPr>
          <w:rStyle w:val="Strong"/>
          <w:b w:val="0"/>
        </w:rPr>
        <w:t>riesgo</w:t>
      </w:r>
      <w:r w:rsidR="00A069C9" w:rsidRPr="00354807">
        <w:rPr>
          <w:rStyle w:val="Strong"/>
          <w:b w:val="0"/>
        </w:rPr>
        <w:t>”</w:t>
      </w:r>
      <w:r w:rsidRPr="00354807">
        <w:rPr>
          <w:rStyle w:val="Strong"/>
          <w:b w:val="0"/>
        </w:rPr>
        <w:t xml:space="preserve"> por </w:t>
      </w:r>
      <w:r w:rsidR="00A069C9" w:rsidRPr="00354807">
        <w:rPr>
          <w:rStyle w:val="Strong"/>
          <w:b w:val="0"/>
        </w:rPr>
        <w:t>“</w:t>
      </w:r>
      <w:r w:rsidRPr="00354807">
        <w:rPr>
          <w:rStyle w:val="Strong"/>
          <w:b w:val="0"/>
        </w:rPr>
        <w:t>peligro</w:t>
      </w:r>
      <w:r w:rsidR="00A069C9" w:rsidRPr="00354807">
        <w:rPr>
          <w:rStyle w:val="Strong"/>
          <w:b w:val="0"/>
        </w:rPr>
        <w:t>”</w:t>
      </w:r>
      <w:r w:rsidRPr="00354807">
        <w:rPr>
          <w:rStyle w:val="Strong"/>
          <w:b w:val="0"/>
        </w:rPr>
        <w:t>.</w:t>
      </w:r>
    </w:p>
    <w:p w:rsidR="007A3AD0" w:rsidRPr="00B654DA" w:rsidRDefault="007A3AD0" w:rsidP="007A3AD0">
      <w:pPr>
        <w:pStyle w:val="SingleTxtG"/>
      </w:pPr>
      <w:r w:rsidRPr="00B654DA">
        <w:t>4.1.6.1.4</w:t>
      </w:r>
      <w:r w:rsidRPr="00B654DA">
        <w:tab/>
        <w:t xml:space="preserve">En la tercera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4.1.7.2.3</w:t>
      </w:r>
      <w:r w:rsidRPr="00B654DA">
        <w:tab/>
        <w:t xml:space="preserve">Al final, sustitúyase </w:t>
      </w:r>
      <w:r w:rsidR="00A069C9">
        <w:t>“</w:t>
      </w:r>
      <w:r w:rsidRPr="00B654DA">
        <w:t>7.1.5.3.1</w:t>
      </w:r>
      <w:r w:rsidR="00A069C9">
        <w:t>”</w:t>
      </w:r>
      <w:r w:rsidRPr="00B654DA">
        <w:t xml:space="preserve"> por </w:t>
      </w:r>
      <w:r w:rsidR="00A069C9">
        <w:t>“</w:t>
      </w:r>
      <w:r w:rsidRPr="00B654DA">
        <w:t>7.1.5.3</w:t>
      </w:r>
      <w:r w:rsidR="00A069C9">
        <w:t>”</w:t>
      </w:r>
      <w:r w:rsidRPr="00B654DA">
        <w:t>.</w:t>
      </w:r>
    </w:p>
    <w:p w:rsidR="007A3AD0" w:rsidRPr="00B654DA" w:rsidRDefault="007A3AD0" w:rsidP="007A3AD0">
      <w:pPr>
        <w:pStyle w:val="SingleTxtG"/>
        <w:rPr>
          <w:rStyle w:val="Strong"/>
          <w:b w:val="0"/>
          <w:bCs w:val="0"/>
        </w:rPr>
      </w:pPr>
      <w:r w:rsidRPr="00B654DA">
        <w:t>4.1.8.1</w:t>
      </w:r>
      <w:r w:rsidRPr="00B654DA">
        <w:tab/>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4.1.9.1.5</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H1G"/>
      </w:pPr>
      <w:r w:rsidRPr="00B654DA">
        <w:tab/>
      </w:r>
      <w:r w:rsidRPr="00B654DA">
        <w:tab/>
        <w:t>Capítulo 4.2</w:t>
      </w:r>
    </w:p>
    <w:p w:rsidR="007A3AD0" w:rsidRPr="00B654DA" w:rsidRDefault="007A3AD0" w:rsidP="007A3AD0">
      <w:pPr>
        <w:pStyle w:val="SingleTxtG"/>
      </w:pPr>
      <w:r w:rsidRPr="00B654DA">
        <w:t>4.2.1.19.1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lastRenderedPageBreak/>
        <w:t>4.2.5.2.6</w:t>
      </w:r>
      <w:r w:rsidR="00354807">
        <w:t>, i</w:t>
      </w:r>
      <w:r w:rsidRPr="00B654DA">
        <w:t>nstrucciones de transporte en cisternas portátiles T23</w:t>
      </w:r>
      <w:r w:rsidRPr="00B654DA">
        <w:tab/>
        <w:t xml:space="preserve">En la primera línea después del título, añádase una nueva oración que diga lo siguiente: </w:t>
      </w:r>
      <w:r w:rsidR="00A069C9">
        <w:t>“</w:t>
      </w:r>
      <w:r w:rsidRPr="00B654DA">
        <w:t>Las formulaciones</w:t>
      </w:r>
      <w:r w:rsidR="00965478">
        <w:t xml:space="preserve"> </w:t>
      </w:r>
      <w:r w:rsidRPr="00B654DA">
        <w:t>que se enumeran a continuación también podrán transportarse embaladas/envasadas de conformidad con el método de embalaje/envasado OP8 de la instrucción de embalaje/envasado P520 de 4.1.4.1, con el mismo control y las mismas temperaturas de emergencia, si procede.</w:t>
      </w:r>
      <w:r w:rsidR="00A069C9">
        <w:t>”</w:t>
      </w:r>
      <w:r w:rsidRPr="00B654DA">
        <w:t>.</w:t>
      </w:r>
    </w:p>
    <w:p w:rsidR="007A3AD0" w:rsidRPr="00B654DA" w:rsidRDefault="007A3AD0" w:rsidP="007A3AD0">
      <w:pPr>
        <w:pStyle w:val="SingleTxtG"/>
      </w:pPr>
      <w:r w:rsidRPr="00B654DA">
        <w:t>4.2.5.2.6</w:t>
      </w:r>
      <w:r w:rsidR="00354807">
        <w:t>, i</w:t>
      </w:r>
      <w:r w:rsidRPr="00B654DA">
        <w:t>nstrucciones de transporte en cisternas portátiles T23, nota d)</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4.2.5.3</w:t>
      </w:r>
      <w:r w:rsidR="00354807">
        <w:t>, d</w:t>
      </w:r>
      <w:r w:rsidRPr="00B654DA">
        <w:t>isposición especial para el transporte en cisternas portátiles TP10</w:t>
      </w:r>
      <w:r w:rsidRPr="00B654DA">
        <w:tab/>
        <w:t xml:space="preserve">Añádase al final la nueva frase siguiente: </w:t>
      </w:r>
      <w:r w:rsidR="00A069C9">
        <w:t>“</w:t>
      </w:r>
      <w:r w:rsidRPr="00B654DA">
        <w:t>Se podrá presentar para el transporte una cisterna portátil después de la fecha de vencimiento de la última inspección durante un período que no exceda de tres meses de fecha del último ensayo, después del vaciado, pero antes de la limpieza, con objeto de someterlas al siguiente ensayo o inspección requeridos antes de volver a llenarlas.</w:t>
      </w:r>
      <w:r w:rsidR="00A069C9">
        <w:t>”</w:t>
      </w:r>
      <w:r w:rsidRPr="00B654DA">
        <w:t>.</w:t>
      </w:r>
    </w:p>
    <w:p w:rsidR="007A3AD0" w:rsidRPr="00B654DA" w:rsidRDefault="007A3AD0" w:rsidP="007A3AD0">
      <w:pPr>
        <w:pStyle w:val="H1G"/>
      </w:pPr>
      <w:r w:rsidRPr="00B654DA">
        <w:tab/>
      </w:r>
      <w:r w:rsidRPr="00B654DA">
        <w:tab/>
        <w:t>Capítulo 4.3</w:t>
      </w:r>
    </w:p>
    <w:p w:rsidR="007A3AD0" w:rsidRPr="00B654DA" w:rsidRDefault="007A3AD0" w:rsidP="007A3AD0">
      <w:pPr>
        <w:pStyle w:val="SingleTxtG"/>
        <w:rPr>
          <w:rStyle w:val="Strong"/>
          <w:b w:val="0"/>
          <w:bCs w:val="0"/>
        </w:rPr>
      </w:pPr>
      <w:r w:rsidRPr="00B654DA">
        <w:t>4.3.1.12</w:t>
      </w:r>
      <w:r w:rsidRPr="00B654DA">
        <w:tab/>
        <w:t xml:space="preserve">Hacia el final,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H1G"/>
      </w:pPr>
      <w:r w:rsidRPr="00B654DA">
        <w:tab/>
      </w:r>
      <w:r w:rsidRPr="00B654DA">
        <w:tab/>
        <w:t>Capítulo 5.1</w:t>
      </w:r>
    </w:p>
    <w:p w:rsidR="007A3AD0" w:rsidRPr="00B654DA" w:rsidRDefault="007A3AD0" w:rsidP="007A3AD0">
      <w:pPr>
        <w:pStyle w:val="SingleTxtG"/>
      </w:pPr>
      <w:r w:rsidRPr="00B654DA">
        <w:t>5.1.1</w:t>
      </w:r>
      <w:r w:rsidRPr="00B654DA">
        <w:tab/>
        <w:t>Al final, añádase la siguiente nota:</w:t>
      </w:r>
    </w:p>
    <w:p w:rsidR="007A3AD0" w:rsidRPr="00B654DA" w:rsidRDefault="00A069C9" w:rsidP="007A3AD0">
      <w:pPr>
        <w:pStyle w:val="SingleTxtG"/>
        <w:rPr>
          <w:i/>
        </w:rPr>
      </w:pPr>
      <w:r>
        <w:rPr>
          <w:i/>
        </w:rPr>
        <w:t>“</w:t>
      </w:r>
      <w:r w:rsidR="007A3AD0" w:rsidRPr="00AE38A2">
        <w:rPr>
          <w:b/>
          <w:i/>
        </w:rPr>
        <w:t>NOTA:</w:t>
      </w:r>
      <w:r w:rsidR="007A3AD0" w:rsidRPr="00B654DA">
        <w:rPr>
          <w:i/>
        </w:rPr>
        <w:tab/>
        <w:t>De conformidad con el SMA, un pictograma del SMA que no sea necesario en virtud de lo previsto en la presente Reglamentación solo debería aparecer en el transporte como parte de una etiqueta SMA completa y no de manera independiente (véase SMA 1.4.10.4.4).</w:t>
      </w:r>
      <w:r>
        <w:rPr>
          <w:i/>
        </w:rPr>
        <w:t>”</w:t>
      </w:r>
      <w:r w:rsidR="00354807">
        <w:rPr>
          <w:i/>
        </w:rPr>
        <w:t>.</w:t>
      </w:r>
    </w:p>
    <w:p w:rsidR="007A3AD0" w:rsidRPr="00B654DA" w:rsidRDefault="007A3AD0" w:rsidP="007A3AD0">
      <w:pPr>
        <w:pStyle w:val="SingleTxtG"/>
      </w:pPr>
      <w:r w:rsidRPr="00B654DA">
        <w:t>5.1.4</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H1G"/>
      </w:pPr>
      <w:r w:rsidRPr="00B654DA">
        <w:tab/>
      </w:r>
      <w:r w:rsidRPr="00B654DA">
        <w:tab/>
        <w:t>Capítulo 5</w:t>
      </w:r>
      <w:r w:rsidR="00402521">
        <w:t>.</w:t>
      </w:r>
      <w:r w:rsidRPr="00B654DA">
        <w:t>2</w:t>
      </w:r>
    </w:p>
    <w:p w:rsidR="007A3AD0" w:rsidRPr="00B654DA" w:rsidRDefault="007A3AD0" w:rsidP="007A3AD0">
      <w:pPr>
        <w:pStyle w:val="SingleTxtG"/>
      </w:pPr>
      <w:r w:rsidRPr="00B654DA">
        <w:t>5.2.1.3</w:t>
      </w:r>
      <w:r w:rsidRPr="00B654DA">
        <w:tab/>
      </w:r>
      <w:r w:rsidRPr="00B654DA">
        <w:tab/>
        <w:t xml:space="preserve">Después de </w:t>
      </w:r>
      <w:r w:rsidR="00A069C9">
        <w:t>“</w:t>
      </w:r>
      <w:r w:rsidRPr="00B654DA">
        <w:t>embalajes/envases de socorro</w:t>
      </w:r>
      <w:r w:rsidR="00A069C9">
        <w:t>”</w:t>
      </w:r>
      <w:r w:rsidRPr="00B654DA">
        <w:t xml:space="preserve">, añádase </w:t>
      </w:r>
      <w:r w:rsidR="00A069C9">
        <w:t>“</w:t>
      </w:r>
      <w:r w:rsidRPr="00B654DA">
        <w:t>incluidos los grandes embalajes/envases de socorro</w:t>
      </w:r>
      <w:r w:rsidR="00A069C9">
        <w:t>”</w:t>
      </w:r>
      <w:r w:rsidRPr="00B654DA">
        <w:t>.</w:t>
      </w:r>
    </w:p>
    <w:p w:rsidR="007A3AD0" w:rsidRPr="00B654DA" w:rsidRDefault="007A3AD0" w:rsidP="007A3AD0">
      <w:pPr>
        <w:pStyle w:val="SingleTxtG"/>
      </w:pPr>
      <w:r w:rsidRPr="00B654DA">
        <w:t>5.2.2.1.1</w:t>
      </w:r>
      <w:r w:rsidRPr="00B654DA">
        <w:tab/>
        <w:t xml:space="preserve">Sustitúyase por </w:t>
      </w:r>
      <w:r w:rsidR="00A069C9">
        <w:t>“</w:t>
      </w:r>
      <w:r w:rsidRPr="00B654DA">
        <w:t>riesgos</w:t>
      </w:r>
      <w:r w:rsidR="00A069C9">
        <w:t>”</w:t>
      </w:r>
      <w:r w:rsidRPr="00B654DA">
        <w:t xml:space="preserve"> por </w:t>
      </w:r>
      <w:r w:rsidR="00A069C9">
        <w:t>“</w:t>
      </w:r>
      <w:r w:rsidRPr="00B654DA">
        <w:t>peligros</w:t>
      </w:r>
      <w:r w:rsidR="00A069C9">
        <w:t>”</w:t>
      </w:r>
      <w:r w:rsidRPr="00B654DA">
        <w:t xml:space="preserve"> y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5.2.2.1.2</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3904D0">
        <w:t xml:space="preserve"> seis veces</w:t>
      </w:r>
      <w:r w:rsidRPr="00B654DA">
        <w:t>.</w:t>
      </w:r>
    </w:p>
    <w:p w:rsidR="007A3AD0" w:rsidRPr="00B654DA" w:rsidRDefault="007A3AD0" w:rsidP="007A3AD0">
      <w:pPr>
        <w:pStyle w:val="SingleTxtG"/>
      </w:pPr>
      <w:r w:rsidRPr="00B654DA">
        <w:t>5.2.2.1.3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3904D0">
        <w:t xml:space="preserve"> tres veces</w:t>
      </w:r>
      <w:r w:rsidRPr="00B654DA">
        <w:t>.</w:t>
      </w:r>
    </w:p>
    <w:p w:rsidR="007A3AD0" w:rsidRPr="00B654DA" w:rsidRDefault="007A3AD0" w:rsidP="007A3AD0">
      <w:pPr>
        <w:pStyle w:val="SingleTxtG"/>
      </w:pPr>
      <w:r w:rsidRPr="00B654DA">
        <w:t xml:space="preserve">5.2.2.1.3.1 </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003904D0">
        <w:t xml:space="preserve"> dos veces</w:t>
      </w:r>
      <w:r w:rsidRPr="00B654DA">
        <w:t>.</w:t>
      </w:r>
    </w:p>
    <w:p w:rsidR="007A3AD0" w:rsidRPr="00B654DA" w:rsidRDefault="007A3AD0" w:rsidP="007A3AD0">
      <w:pPr>
        <w:pStyle w:val="SingleTxtG"/>
      </w:pPr>
      <w:r w:rsidRPr="00B654DA">
        <w:t>5.2.2.1.4</w:t>
      </w:r>
      <w:r w:rsidRPr="00B654DA">
        <w:tab/>
        <w:t xml:space="preserve">Sustitúyase por </w:t>
      </w:r>
      <w:r w:rsidR="00A069C9">
        <w:t>“</w:t>
      </w:r>
      <w:r w:rsidRPr="00B654DA">
        <w:t>riesgos</w:t>
      </w:r>
      <w:r w:rsidR="00A069C9">
        <w:t>”</w:t>
      </w:r>
      <w:r w:rsidRPr="00B654DA">
        <w:t xml:space="preserve"> por </w:t>
      </w:r>
      <w:r w:rsidR="00A069C9">
        <w:t>“</w:t>
      </w:r>
      <w:r w:rsidRPr="00B654DA">
        <w:t>peligros</w:t>
      </w:r>
      <w:r w:rsidR="00A069C9">
        <w:t>”</w:t>
      </w:r>
      <w:r w:rsidRPr="00B654DA">
        <w:t xml:space="preserve"> y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5.2.2.1.5</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tabs>
          <w:tab w:val="left" w:pos="2268"/>
        </w:tabs>
      </w:pPr>
      <w:r w:rsidRPr="00B654DA">
        <w:t>5.2.2.1.6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5.2.2.1.9</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5.2.2.1.10</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 xml:space="preserve"> cuatro veces.</w:t>
      </w:r>
    </w:p>
    <w:p w:rsidR="007A3AD0" w:rsidRPr="00B654DA" w:rsidRDefault="007A3AD0" w:rsidP="007A3AD0">
      <w:pPr>
        <w:pStyle w:val="SingleTxtG"/>
      </w:pPr>
      <w:r w:rsidRPr="00B654DA">
        <w:t xml:space="preserve">5.2.2.1.11 </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rPr>
          <w:bCs/>
        </w:rPr>
      </w:pPr>
      <w:r w:rsidRPr="00B654DA">
        <w:t>Añádase la nueva subsección 5.2.2.1.13 siguiente:</w:t>
      </w:r>
    </w:p>
    <w:p w:rsidR="007A3AD0" w:rsidRPr="00B654DA" w:rsidRDefault="00A069C9" w:rsidP="007A3AD0">
      <w:pPr>
        <w:pStyle w:val="SingleTxtG"/>
        <w:spacing w:line="240" w:lineRule="auto"/>
        <w:rPr>
          <w:i/>
        </w:rPr>
      </w:pPr>
      <w:r w:rsidRPr="003904D0">
        <w:t>“</w:t>
      </w:r>
      <w:r w:rsidR="007A3AD0" w:rsidRPr="003904D0">
        <w:t>5.2.2.1.13</w:t>
      </w:r>
      <w:r w:rsidR="007A3AD0" w:rsidRPr="00B654DA">
        <w:rPr>
          <w:i/>
        </w:rPr>
        <w:tab/>
        <w:t xml:space="preserve">Etiquetas de los artículos que contengan mercancías peligrosas transportadas como </w:t>
      </w:r>
      <w:r w:rsidR="003904D0">
        <w:rPr>
          <w:i/>
        </w:rPr>
        <w:t>n</w:t>
      </w:r>
      <w:r w:rsidR="007A3AD0" w:rsidRPr="00B654DA">
        <w:rPr>
          <w:i/>
        </w:rPr>
        <w:t>úmeros ONU 3537, 3538, 3539, 3540, 3541, 3542, 3543, 3544, 3545, 3546, 3547 y 3548</w:t>
      </w:r>
    </w:p>
    <w:p w:rsidR="007A3AD0" w:rsidRPr="00B654DA" w:rsidRDefault="007A3AD0" w:rsidP="007A3AD0">
      <w:pPr>
        <w:pStyle w:val="SingleTxtG"/>
        <w:spacing w:line="240" w:lineRule="auto"/>
      </w:pPr>
      <w:r w:rsidRPr="00B654DA">
        <w:t>5.2.2.1.13.1</w:t>
      </w:r>
      <w:r w:rsidRPr="00B654DA">
        <w:tab/>
        <w:t>Los bultos que contengan mercancías peligrosas incluidas en artículos y las mercancías peligrosas incluidas en artículos transportados sin embalar llevarán las</w:t>
      </w:r>
      <w:r w:rsidR="00965478">
        <w:t xml:space="preserve"> </w:t>
      </w:r>
      <w:r w:rsidRPr="00B654DA">
        <w:t xml:space="preserve">etiquetas que corresponda según 5.2.2.1.2 en las que se reflejen los peligros establecidos según 2.0.5. </w:t>
      </w:r>
      <w:r w:rsidRPr="00B654DA">
        <w:lastRenderedPageBreak/>
        <w:t>Si el artículo contiene una o varias baterías de litio con un contenido total de litio inferior a 2 g, en el caso de las baterías de litio metálico, o una capacidad nominal inferior a 100 Wh, en el caso de las baterías de iones de litio, el bulto o el artículo sin embalar llevará la marca de batería de litio (</w:t>
      </w:r>
      <w:r w:rsidR="003904D0">
        <w:t>f</w:t>
      </w:r>
      <w:r w:rsidRPr="00B654DA">
        <w:t xml:space="preserve">igura 5.2.5). Si el artículo contiene una o varias baterías de litio con un contenido total de litio superior a 2 g, en el caso de las baterías de litio metálico, o una capacidad nominal superior a 100 Wh, en el caso de las baterías de iones de litio, el bulto o el artículo sin embalar llevará la marca de batería de litio (5.2.2.1.2 </w:t>
      </w:r>
      <w:r w:rsidR="003904D0">
        <w:t>núm</w:t>
      </w:r>
      <w:r w:rsidRPr="00B654DA">
        <w:t>. 9A).</w:t>
      </w:r>
    </w:p>
    <w:p w:rsidR="007A3AD0" w:rsidRPr="00B654DA" w:rsidRDefault="007A3AD0" w:rsidP="007A3AD0">
      <w:pPr>
        <w:pStyle w:val="SingleTxtG"/>
        <w:rPr>
          <w:bCs/>
        </w:rPr>
      </w:pPr>
      <w:r w:rsidRPr="00B654DA">
        <w:t>5.2.2.1.13.2</w:t>
      </w:r>
      <w:r w:rsidRPr="00B654DA">
        <w:tab/>
        <w:t>Cuando sea necesario asegurarse de que los artículos que contienen mercancías peligrosas líquidas permanezcan en su orientación prevista, se colocarán marcas de orientación que satisfagan lo dispuesto en 5.2.1.7.1 de manera visible al menos en dos lados verticales opuestos del bulto o del artículo sin embalar cuando sea posible, con las flechas apuntando en la dirección vertical correcta.</w:t>
      </w:r>
      <w:r w:rsidR="00A069C9">
        <w:t>”</w:t>
      </w:r>
      <w:r w:rsidRPr="00B654DA">
        <w:t>.</w:t>
      </w:r>
    </w:p>
    <w:p w:rsidR="007A3AD0" w:rsidRPr="00B654DA" w:rsidRDefault="007A3AD0" w:rsidP="007A3AD0">
      <w:pPr>
        <w:pStyle w:val="SingleTxtG"/>
      </w:pPr>
      <w:r w:rsidRPr="00B654DA">
        <w:t>5.2.2.2.1.1.3</w:t>
      </w:r>
      <w:r w:rsidRPr="00B654DA">
        <w:tab/>
        <w:t xml:space="preserve">En la primera oración, después de </w:t>
      </w:r>
      <w:r w:rsidR="00A069C9">
        <w:t>“</w:t>
      </w:r>
      <w:r w:rsidRPr="00B654DA">
        <w:t>las dimensiones podrán reducirse</w:t>
      </w:r>
      <w:r w:rsidR="00A069C9">
        <w:t>”</w:t>
      </w:r>
      <w:r w:rsidRPr="00B654DA">
        <w:t xml:space="preserve">, añádase </w:t>
      </w:r>
      <w:r w:rsidR="00A069C9">
        <w:t>“</w:t>
      </w:r>
      <w:r w:rsidRPr="00B654DA">
        <w:t>proporcionalmente</w:t>
      </w:r>
      <w:r w:rsidR="00A069C9">
        <w:t>”</w:t>
      </w:r>
      <w:r w:rsidRPr="00B654DA">
        <w:t>. Suprímanse las oraciones segunda y tercera (</w:t>
      </w:r>
      <w:r w:rsidR="00A069C9">
        <w:t>“</w:t>
      </w:r>
      <w:r w:rsidRPr="00B654DA">
        <w:t>La línea interna seguirá estando a 5 mm del borde de la etiqueta. El grosor mínimo de la línea interna del borde se mantendrá en 2 mm.</w:t>
      </w:r>
      <w:r w:rsidR="00A069C9">
        <w:t>”</w:t>
      </w:r>
      <w:r w:rsidRPr="00B654DA">
        <w:t>).</w:t>
      </w:r>
    </w:p>
    <w:p w:rsidR="007A3AD0" w:rsidRPr="00B654DA" w:rsidRDefault="007A3AD0" w:rsidP="007A3AD0">
      <w:pPr>
        <w:pStyle w:val="SingleTxtG"/>
        <w:rPr>
          <w:iCs/>
        </w:rPr>
      </w:pPr>
      <w:r w:rsidRPr="00B654DA">
        <w:t>5.2.2.2.1.2</w:t>
      </w:r>
      <w:r w:rsidRPr="00B654DA">
        <w:tab/>
        <w:t xml:space="preserve">En la primera oración, después de </w:t>
      </w:r>
      <w:r w:rsidR="00A069C9">
        <w:t>“</w:t>
      </w:r>
      <w:r w:rsidRPr="00B654DA">
        <w:t>ISO 7225:2005</w:t>
      </w:r>
      <w:r w:rsidR="00A069C9">
        <w:t>”</w:t>
      </w:r>
      <w:r w:rsidRPr="00B654DA">
        <w:t xml:space="preserve">, añádase </w:t>
      </w:r>
      <w:r w:rsidR="00A069C9">
        <w:t>“</w:t>
      </w:r>
      <w:r w:rsidR="003904D0">
        <w:t>Botellas de gas – E</w:t>
      </w:r>
      <w:r w:rsidRPr="00B654DA">
        <w:t>tiquetas de precaución</w:t>
      </w:r>
      <w:r w:rsidR="00A069C9">
        <w:t>”</w:t>
      </w:r>
      <w:r w:rsidRPr="00B654DA">
        <w:t xml:space="preserve"> y suprímase en la segunda frase. </w:t>
      </w:r>
    </w:p>
    <w:p w:rsidR="007A3AD0" w:rsidRPr="00B654DA" w:rsidRDefault="007A3AD0" w:rsidP="007A3AD0">
      <w:pPr>
        <w:pStyle w:val="SingleTxtG"/>
        <w:rPr>
          <w:rStyle w:val="Strong"/>
          <w:b w:val="0"/>
          <w:bCs w:val="0"/>
        </w:rPr>
      </w:pPr>
      <w:r w:rsidRPr="00B654DA">
        <w:t>5.2.2.2.1.3</w:t>
      </w:r>
      <w:r w:rsidRPr="00B654DA">
        <w:tab/>
        <w:t>Sustitúyase</w:t>
      </w:r>
      <w:r w:rsidR="00965478">
        <w:t xml:space="preserv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5.2.2.2.1.5</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5.2.2.2.2</w:t>
      </w:r>
      <w:r w:rsidRPr="00B654DA">
        <w:tab/>
        <w:t>Modifíquese para que diga lo siguiente:</w:t>
      </w:r>
    </w:p>
    <w:p w:rsidR="007A3AD0" w:rsidRPr="00B654DA" w:rsidRDefault="00A069C9" w:rsidP="007A3AD0">
      <w:pPr>
        <w:pStyle w:val="SingleTxtG"/>
      </w:pPr>
      <w:r>
        <w:t>“</w:t>
      </w:r>
      <w:r w:rsidR="007A3AD0" w:rsidRPr="00B654DA">
        <w:t>5.2.2.2.2</w:t>
      </w:r>
      <w:r w:rsidR="007A3AD0" w:rsidRPr="00B654DA">
        <w:tab/>
        <w:t>Modelos de etiquetas</w:t>
      </w:r>
    </w:p>
    <w:p w:rsidR="007A3AD0" w:rsidRPr="00B654DA" w:rsidRDefault="007A3AD0" w:rsidP="007A3AD0"/>
    <w:p w:rsidR="007A3AD0" w:rsidRPr="00B654DA" w:rsidRDefault="007A3AD0" w:rsidP="007A3AD0">
      <w:pPr>
        <w:spacing w:line="240" w:lineRule="auto"/>
      </w:pPr>
    </w:p>
    <w:p w:rsidR="007A3AD0" w:rsidRPr="00B654DA" w:rsidRDefault="007A3AD0" w:rsidP="007A3AD0">
      <w:pPr>
        <w:spacing w:line="240" w:lineRule="auto"/>
        <w:sectPr w:rsidR="007A3AD0" w:rsidRPr="00B654DA" w:rsidSect="007A3AD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8"/>
        <w:gridCol w:w="1471"/>
        <w:gridCol w:w="3643"/>
        <w:gridCol w:w="896"/>
        <w:gridCol w:w="1371"/>
        <w:gridCol w:w="1497"/>
        <w:gridCol w:w="3012"/>
      </w:tblGrid>
      <w:tr w:rsidR="007A3AD0" w:rsidRPr="00CB1E16" w:rsidTr="007A3AD0">
        <w:trPr>
          <w:cantSplit/>
        </w:trPr>
        <w:tc>
          <w:tcPr>
            <w:tcW w:w="0" w:type="auto"/>
            <w:shd w:val="clear" w:color="auto" w:fill="auto"/>
            <w:vAlign w:val="center"/>
          </w:tcPr>
          <w:p w:rsidR="007A3AD0" w:rsidRPr="00CB1E16" w:rsidRDefault="00931C6C" w:rsidP="00565AED">
            <w:pPr>
              <w:spacing w:before="60" w:after="60"/>
              <w:jc w:val="center"/>
              <w:rPr>
                <w:b/>
                <w:sz w:val="18"/>
                <w:szCs w:val="18"/>
                <w:lang w:eastAsia="ru-RU"/>
              </w:rPr>
            </w:pPr>
            <w:r>
              <w:rPr>
                <w:b/>
                <w:sz w:val="18"/>
                <w:szCs w:val="18"/>
                <w:lang w:eastAsia="ru-RU"/>
              </w:rPr>
              <w:lastRenderedPageBreak/>
              <w:t>Núm. de modelo de etiqueta</w:t>
            </w:r>
          </w:p>
        </w:tc>
        <w:tc>
          <w:tcPr>
            <w:tcW w:w="1471"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División o categoría</w:t>
            </w:r>
          </w:p>
        </w:tc>
        <w:tc>
          <w:tcPr>
            <w:tcW w:w="3643"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 xml:space="preserve">Símbolo y color del símbolo </w:t>
            </w:r>
          </w:p>
        </w:tc>
        <w:tc>
          <w:tcPr>
            <w:tcW w:w="0" w:type="auto"/>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Fondo</w:t>
            </w:r>
          </w:p>
        </w:tc>
        <w:tc>
          <w:tcPr>
            <w:tcW w:w="0" w:type="auto"/>
            <w:shd w:val="clear" w:color="auto" w:fill="auto"/>
            <w:vAlign w:val="center"/>
          </w:tcPr>
          <w:p w:rsidR="007A3AD0" w:rsidRPr="00CB1E16" w:rsidRDefault="007A3AD0" w:rsidP="00931C6C">
            <w:pPr>
              <w:spacing w:before="60" w:after="60"/>
              <w:jc w:val="center"/>
              <w:rPr>
                <w:b/>
                <w:sz w:val="18"/>
                <w:szCs w:val="18"/>
                <w:lang w:eastAsia="ru-RU"/>
              </w:rPr>
            </w:pPr>
            <w:r w:rsidRPr="00CB1E16">
              <w:rPr>
                <w:b/>
                <w:sz w:val="18"/>
                <w:szCs w:val="18"/>
                <w:lang w:eastAsia="ru-RU"/>
              </w:rPr>
              <w:t>Cifra en la esquina inferior (y color de la</w:t>
            </w:r>
            <w:r w:rsidR="00931C6C">
              <w:rPr>
                <w:b/>
                <w:sz w:val="18"/>
                <w:szCs w:val="18"/>
                <w:lang w:eastAsia="ru-RU"/>
              </w:rPr>
              <w:t> </w:t>
            </w:r>
            <w:r w:rsidRPr="00CB1E16">
              <w:rPr>
                <w:b/>
                <w:sz w:val="18"/>
                <w:szCs w:val="18"/>
                <w:lang w:eastAsia="ru-RU"/>
              </w:rPr>
              <w:t>cifra)</w:t>
            </w:r>
          </w:p>
        </w:tc>
        <w:tc>
          <w:tcPr>
            <w:tcW w:w="0" w:type="auto"/>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Modelos de etiquetas</w:t>
            </w:r>
          </w:p>
        </w:tc>
        <w:tc>
          <w:tcPr>
            <w:tcW w:w="0" w:type="auto"/>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Nota</w:t>
            </w:r>
          </w:p>
        </w:tc>
      </w:tr>
      <w:tr w:rsidR="007A3AD0" w:rsidRPr="00CB1E16" w:rsidTr="007A3AD0">
        <w:trPr>
          <w:cantSplit/>
          <w:trHeight w:val="430"/>
          <w:tblHeader/>
        </w:trPr>
        <w:tc>
          <w:tcPr>
            <w:tcW w:w="0" w:type="auto"/>
            <w:gridSpan w:val="7"/>
            <w:shd w:val="clear" w:color="auto" w:fill="auto"/>
            <w:vAlign w:val="center"/>
          </w:tcPr>
          <w:p w:rsidR="007A3AD0" w:rsidRPr="00CB1E16" w:rsidRDefault="007A3AD0" w:rsidP="00565AED">
            <w:pPr>
              <w:spacing w:before="60" w:after="60"/>
              <w:jc w:val="center"/>
              <w:rPr>
                <w:sz w:val="18"/>
                <w:szCs w:val="18"/>
                <w:lang w:eastAsia="ru-RU"/>
              </w:rPr>
            </w:pPr>
            <w:r w:rsidRPr="00CB1E16">
              <w:rPr>
                <w:b/>
                <w:sz w:val="18"/>
                <w:szCs w:val="18"/>
                <w:lang w:eastAsia="ru-RU"/>
              </w:rPr>
              <w:t>Clase 1: Sustancias o artículos explosivos</w:t>
            </w:r>
          </w:p>
        </w:tc>
      </w:tr>
      <w:tr w:rsidR="007A3AD0" w:rsidRPr="00CB1E16" w:rsidTr="007A3AD0">
        <w:trPr>
          <w:cantSplit/>
        </w:trPr>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w:t>
            </w:r>
          </w:p>
        </w:tc>
        <w:tc>
          <w:tcPr>
            <w:tcW w:w="1471" w:type="dxa"/>
            <w:shd w:val="clear" w:color="auto" w:fill="auto"/>
          </w:tcPr>
          <w:p w:rsidR="007A3AD0" w:rsidRPr="00CB1E16" w:rsidRDefault="007A3AD0" w:rsidP="00931C6C">
            <w:pPr>
              <w:spacing w:before="60" w:after="60"/>
              <w:jc w:val="center"/>
              <w:rPr>
                <w:sz w:val="18"/>
                <w:szCs w:val="18"/>
                <w:lang w:eastAsia="ru-RU"/>
              </w:rPr>
            </w:pPr>
            <w:r w:rsidRPr="00CB1E16">
              <w:rPr>
                <w:sz w:val="18"/>
                <w:szCs w:val="18"/>
                <w:lang w:eastAsia="ru-RU"/>
              </w:rPr>
              <w:t>Divisiones 1.1, 1.2,</w:t>
            </w:r>
            <w:r w:rsidR="00931C6C">
              <w:rPr>
                <w:sz w:val="18"/>
                <w:szCs w:val="18"/>
                <w:lang w:eastAsia="ru-RU"/>
              </w:rPr>
              <w:t> </w:t>
            </w:r>
            <w:r w:rsidRPr="00CB1E16">
              <w:rPr>
                <w:sz w:val="18"/>
                <w:szCs w:val="18"/>
                <w:lang w:eastAsia="ru-RU"/>
              </w:rPr>
              <w:t>1.3</w:t>
            </w:r>
          </w:p>
        </w:tc>
        <w:tc>
          <w:tcPr>
            <w:tcW w:w="3643" w:type="dxa"/>
            <w:shd w:val="clear" w:color="auto" w:fill="auto"/>
          </w:tcPr>
          <w:p w:rsidR="007A3AD0" w:rsidRPr="00CB1E16" w:rsidRDefault="00931C6C" w:rsidP="00565AED">
            <w:pPr>
              <w:spacing w:before="60" w:after="60"/>
              <w:jc w:val="center"/>
              <w:rPr>
                <w:sz w:val="18"/>
                <w:szCs w:val="18"/>
                <w:lang w:eastAsia="ru-RU"/>
              </w:rPr>
            </w:pPr>
            <w:r>
              <w:rPr>
                <w:sz w:val="18"/>
                <w:szCs w:val="18"/>
                <w:lang w:eastAsia="ru-RU"/>
              </w:rPr>
              <w:t>B</w:t>
            </w:r>
            <w:r w:rsidR="007A3AD0" w:rsidRPr="00CB1E16">
              <w:rPr>
                <w:sz w:val="18"/>
                <w:szCs w:val="18"/>
                <w:lang w:eastAsia="ru-RU"/>
              </w:rPr>
              <w:t>omba explotando: negro</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Anaranjado</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w:t>
            </w:r>
            <w:r w:rsidR="00565AED" w:rsidRPr="00CB1E16">
              <w:rPr>
                <w:sz w:val="18"/>
                <w:szCs w:val="18"/>
                <w:lang w:eastAsia="ru-RU"/>
              </w:rPr>
              <w:br/>
            </w:r>
            <w:r w:rsidRPr="00CB1E16">
              <w:rPr>
                <w:sz w:val="18"/>
                <w:szCs w:val="18"/>
                <w:lang w:eastAsia="ru-RU"/>
              </w:rPr>
              <w:t>(negro)</w:t>
            </w:r>
          </w:p>
        </w:tc>
        <w:tc>
          <w:tcPr>
            <w:tcW w:w="0" w:type="auto"/>
            <w:shd w:val="clear" w:color="auto" w:fill="auto"/>
            <w:vAlign w:val="center"/>
          </w:tcPr>
          <w:p w:rsidR="007A3AD0" w:rsidRPr="00CB1E16" w:rsidRDefault="007A3AD0" w:rsidP="00565AED">
            <w:pPr>
              <w:spacing w:before="60" w:after="60"/>
              <w:jc w:val="center"/>
              <w:rPr>
                <w:sz w:val="18"/>
                <w:szCs w:val="18"/>
                <w:lang w:eastAsia="ru-RU"/>
              </w:rPr>
            </w:pPr>
            <w:r w:rsidRPr="00CB1E16">
              <w:rPr>
                <w:rFonts w:eastAsia="SimSun"/>
                <w:noProof/>
                <w:sz w:val="18"/>
                <w:szCs w:val="18"/>
                <w:lang w:val="en-GB" w:eastAsia="en-GB"/>
              </w:rPr>
              <w:drawing>
                <wp:inline distT="0" distB="0" distL="0" distR="0" wp14:anchorId="747D7B74" wp14:editId="0CF5F58C">
                  <wp:extent cx="862330" cy="862330"/>
                  <wp:effectExtent l="19050" t="0" r="0" b="0"/>
                  <wp:docPr id="14"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0" w:type="auto"/>
            <w:shd w:val="clear" w:color="auto" w:fill="auto"/>
          </w:tcPr>
          <w:p w:rsidR="007A3AD0" w:rsidRPr="00CB1E16" w:rsidRDefault="007A3AD0" w:rsidP="00931C6C">
            <w:pPr>
              <w:spacing w:before="60" w:after="60"/>
              <w:rPr>
                <w:sz w:val="18"/>
                <w:szCs w:val="18"/>
                <w:lang w:eastAsia="ru-RU"/>
              </w:rPr>
            </w:pPr>
            <w:r w:rsidRPr="00CB1E16">
              <w:rPr>
                <w:b/>
                <w:sz w:val="18"/>
                <w:szCs w:val="18"/>
                <w:vertAlign w:val="superscript"/>
                <w:lang w:eastAsia="ru-RU"/>
              </w:rPr>
              <w:sym w:font="Wingdings 2" w:char="F0D6"/>
            </w:r>
            <w:r w:rsidRPr="00CB1E16">
              <w:rPr>
                <w:b/>
                <w:sz w:val="18"/>
                <w:szCs w:val="18"/>
                <w:vertAlign w:val="superscript"/>
                <w:lang w:eastAsia="ru-RU"/>
              </w:rPr>
              <w:sym w:font="Wingdings 2" w:char="F0D6"/>
            </w:r>
            <w:r w:rsidR="00965478">
              <w:rPr>
                <w:sz w:val="18"/>
                <w:szCs w:val="18"/>
                <w:lang w:eastAsia="ru-RU"/>
              </w:rPr>
              <w:t xml:space="preserve"> </w:t>
            </w:r>
            <w:r w:rsidRPr="00CB1E16">
              <w:rPr>
                <w:sz w:val="18"/>
                <w:szCs w:val="18"/>
                <w:lang w:eastAsia="ru-RU"/>
              </w:rPr>
              <w:t>Espacio para la división – déjese en blanco si las propiedades explosivas constituyen el peligro secundario</w:t>
            </w:r>
          </w:p>
          <w:p w:rsidR="007A3AD0" w:rsidRPr="00CB1E16" w:rsidRDefault="007A3AD0" w:rsidP="00931C6C">
            <w:pPr>
              <w:spacing w:before="60" w:after="60"/>
              <w:rPr>
                <w:sz w:val="18"/>
                <w:szCs w:val="18"/>
                <w:lang w:eastAsia="ru-RU"/>
              </w:rPr>
            </w:pPr>
            <w:r w:rsidRPr="00CB1E16">
              <w:rPr>
                <w:b/>
                <w:sz w:val="18"/>
                <w:szCs w:val="18"/>
                <w:vertAlign w:val="superscript"/>
                <w:lang w:eastAsia="ru-RU"/>
              </w:rPr>
              <w:sym w:font="Wingdings 2" w:char="F0D6"/>
            </w:r>
            <w:r w:rsidR="00965478">
              <w:rPr>
                <w:sz w:val="18"/>
                <w:szCs w:val="18"/>
                <w:lang w:eastAsia="ru-RU"/>
              </w:rPr>
              <w:t xml:space="preserve"> </w:t>
            </w:r>
            <w:r w:rsidRPr="00CB1E16">
              <w:rPr>
                <w:sz w:val="18"/>
                <w:szCs w:val="18"/>
                <w:lang w:eastAsia="ru-RU"/>
              </w:rPr>
              <w:t xml:space="preserve">Espacio para el grupo de compatibilidad </w:t>
            </w:r>
            <w:r w:rsidR="00931C6C">
              <w:rPr>
                <w:sz w:val="18"/>
                <w:szCs w:val="18"/>
                <w:lang w:eastAsia="ru-RU"/>
              </w:rPr>
              <w:t>–</w:t>
            </w:r>
            <w:r w:rsidRPr="00CB1E16">
              <w:rPr>
                <w:sz w:val="18"/>
                <w:szCs w:val="18"/>
                <w:lang w:eastAsia="ru-RU"/>
              </w:rPr>
              <w:t xml:space="preserve"> déjese en blanco si las propiedades explosivas constituyen el peligro secundario</w:t>
            </w:r>
          </w:p>
          <w:p w:rsidR="007A3AD0" w:rsidRPr="00CB1E16" w:rsidRDefault="007A3AD0" w:rsidP="00565AED">
            <w:pPr>
              <w:spacing w:before="60" w:after="60"/>
              <w:ind w:hanging="326"/>
              <w:rPr>
                <w:sz w:val="18"/>
                <w:szCs w:val="18"/>
                <w:lang w:eastAsia="ru-RU"/>
              </w:rPr>
            </w:pPr>
          </w:p>
        </w:tc>
      </w:tr>
      <w:tr w:rsidR="007A3AD0" w:rsidRPr="00CB1E16" w:rsidTr="007A3AD0">
        <w:trPr>
          <w:cantSplit/>
        </w:trPr>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1.4</w:t>
            </w:r>
          </w:p>
        </w:tc>
        <w:tc>
          <w:tcPr>
            <w:tcW w:w="1471"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División 1.4</w:t>
            </w:r>
          </w:p>
        </w:tc>
        <w:tc>
          <w:tcPr>
            <w:tcW w:w="3643"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1.4: negro</w:t>
            </w:r>
          </w:p>
          <w:p w:rsidR="007A3AD0" w:rsidRPr="00CB1E16" w:rsidRDefault="007A3AD0" w:rsidP="00F00C44">
            <w:pPr>
              <w:spacing w:before="60" w:after="60"/>
              <w:rPr>
                <w:sz w:val="18"/>
                <w:szCs w:val="18"/>
                <w:lang w:eastAsia="ru-RU"/>
              </w:rPr>
            </w:pPr>
            <w:r w:rsidRPr="00CB1E16">
              <w:rPr>
                <w:sz w:val="18"/>
                <w:szCs w:val="18"/>
                <w:lang w:eastAsia="ru-RU"/>
              </w:rPr>
              <w:t>Los números tendrán aproximadamente 30</w:t>
            </w:r>
            <w:r w:rsidR="00F00C44" w:rsidRPr="00CB1E16">
              <w:rPr>
                <w:sz w:val="18"/>
                <w:szCs w:val="18"/>
                <w:lang w:eastAsia="ru-RU"/>
              </w:rPr>
              <w:t> </w:t>
            </w:r>
            <w:r w:rsidRPr="00CB1E16">
              <w:rPr>
                <w:sz w:val="18"/>
                <w:szCs w:val="18"/>
                <w:lang w:eastAsia="ru-RU"/>
              </w:rPr>
              <w:t>mm de altura por 5 mm de anchura (en las etiquetas de 100 mm x 100 mm)</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Anaranjado</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w:t>
            </w:r>
            <w:r w:rsidR="00565AED" w:rsidRPr="00CB1E16">
              <w:rPr>
                <w:sz w:val="18"/>
                <w:szCs w:val="18"/>
                <w:lang w:eastAsia="ru-RU"/>
              </w:rPr>
              <w:br/>
            </w:r>
            <w:r w:rsidRPr="00CB1E16">
              <w:rPr>
                <w:sz w:val="18"/>
                <w:szCs w:val="18"/>
                <w:lang w:eastAsia="ru-RU"/>
              </w:rPr>
              <w:t>(negro)</w:t>
            </w:r>
          </w:p>
        </w:tc>
        <w:tc>
          <w:tcPr>
            <w:tcW w:w="0" w:type="auto"/>
            <w:shd w:val="clear" w:color="auto" w:fill="auto"/>
            <w:vAlign w:val="center"/>
          </w:tcPr>
          <w:p w:rsidR="007A3AD0" w:rsidRPr="00CB1E16" w:rsidRDefault="007A3AD0" w:rsidP="00565AED">
            <w:pPr>
              <w:spacing w:before="60" w:after="60"/>
              <w:jc w:val="center"/>
              <w:rPr>
                <w:sz w:val="18"/>
                <w:szCs w:val="18"/>
                <w:lang w:eastAsia="ru-RU"/>
              </w:rPr>
            </w:pPr>
            <w:r w:rsidRPr="00CB1E16">
              <w:rPr>
                <w:rFonts w:eastAsia="SimSun"/>
                <w:noProof/>
                <w:sz w:val="18"/>
                <w:szCs w:val="18"/>
                <w:lang w:val="en-GB" w:eastAsia="en-GB"/>
              </w:rPr>
              <w:drawing>
                <wp:inline distT="0" distB="0" distL="0" distR="0" wp14:anchorId="52D9BE9F" wp14:editId="0672AD89">
                  <wp:extent cx="862330" cy="862330"/>
                  <wp:effectExtent l="19050" t="0" r="0" b="0"/>
                  <wp:docPr id="17"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4"/>
                          <pic:cNvPicPr>
                            <a:picLocks noChangeAspect="1" noChangeArrowheads="1"/>
                          </pic:cNvPicPr>
                        </pic:nvPicPr>
                        <pic:blipFill>
                          <a:blip r:embed="rId18"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0" w:type="auto"/>
            <w:shd w:val="clear" w:color="auto" w:fill="auto"/>
          </w:tcPr>
          <w:p w:rsidR="007A3AD0" w:rsidRPr="00CB1E16" w:rsidRDefault="007A3AD0" w:rsidP="00565AED">
            <w:pPr>
              <w:spacing w:before="60" w:after="60"/>
              <w:rPr>
                <w:sz w:val="18"/>
                <w:szCs w:val="18"/>
                <w:lang w:eastAsia="ru-RU"/>
              </w:rPr>
            </w:pPr>
            <w:r w:rsidRPr="00CB1E16">
              <w:rPr>
                <w:b/>
                <w:sz w:val="18"/>
                <w:szCs w:val="18"/>
                <w:vertAlign w:val="superscript"/>
                <w:lang w:eastAsia="ru-RU"/>
              </w:rPr>
              <w:sym w:font="Wingdings 2" w:char="F0D6"/>
            </w:r>
            <w:r w:rsidR="00965478">
              <w:rPr>
                <w:sz w:val="18"/>
                <w:szCs w:val="18"/>
                <w:lang w:eastAsia="ru-RU"/>
              </w:rPr>
              <w:t xml:space="preserve"> </w:t>
            </w:r>
            <w:r w:rsidRPr="00CB1E16">
              <w:rPr>
                <w:sz w:val="18"/>
                <w:szCs w:val="18"/>
                <w:lang w:eastAsia="ru-RU"/>
              </w:rPr>
              <w:t>Espacio para el grupo de compatibilidad</w:t>
            </w:r>
          </w:p>
        </w:tc>
      </w:tr>
      <w:tr w:rsidR="007A3AD0" w:rsidRPr="00CB1E16" w:rsidTr="007A3AD0">
        <w:trPr>
          <w:cantSplit/>
        </w:trPr>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1.5</w:t>
            </w:r>
          </w:p>
        </w:tc>
        <w:tc>
          <w:tcPr>
            <w:tcW w:w="1471"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División 1.5</w:t>
            </w:r>
          </w:p>
        </w:tc>
        <w:tc>
          <w:tcPr>
            <w:tcW w:w="3643"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1.5: negro</w:t>
            </w:r>
          </w:p>
          <w:p w:rsidR="007A3AD0" w:rsidRPr="00CB1E16" w:rsidRDefault="007A3AD0" w:rsidP="00F00C44">
            <w:pPr>
              <w:spacing w:before="60" w:after="60"/>
              <w:rPr>
                <w:sz w:val="18"/>
                <w:szCs w:val="18"/>
                <w:lang w:eastAsia="ru-RU"/>
              </w:rPr>
            </w:pPr>
            <w:r w:rsidRPr="00CB1E16">
              <w:rPr>
                <w:sz w:val="18"/>
                <w:szCs w:val="18"/>
                <w:lang w:eastAsia="ru-RU"/>
              </w:rPr>
              <w:t>Los números tendrán aproximadamente 30</w:t>
            </w:r>
            <w:r w:rsidR="00F00C44" w:rsidRPr="00CB1E16">
              <w:rPr>
                <w:sz w:val="18"/>
                <w:szCs w:val="18"/>
                <w:lang w:eastAsia="ru-RU"/>
              </w:rPr>
              <w:t> </w:t>
            </w:r>
            <w:r w:rsidRPr="00CB1E16">
              <w:rPr>
                <w:sz w:val="18"/>
                <w:szCs w:val="18"/>
                <w:lang w:eastAsia="ru-RU"/>
              </w:rPr>
              <w:t>mm de altura por 5 mm de anchura (en las etiquetas de 100 mm x 100 mm)</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Anaranjado</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w:t>
            </w:r>
            <w:r w:rsidR="00565AED" w:rsidRPr="00CB1E16">
              <w:rPr>
                <w:sz w:val="18"/>
                <w:szCs w:val="18"/>
                <w:lang w:eastAsia="ru-RU"/>
              </w:rPr>
              <w:br/>
            </w:r>
            <w:r w:rsidRPr="00CB1E16">
              <w:rPr>
                <w:sz w:val="18"/>
                <w:szCs w:val="18"/>
                <w:lang w:eastAsia="ru-RU"/>
              </w:rPr>
              <w:t>(negro)</w:t>
            </w:r>
          </w:p>
        </w:tc>
        <w:tc>
          <w:tcPr>
            <w:tcW w:w="0" w:type="auto"/>
            <w:shd w:val="clear" w:color="auto" w:fill="auto"/>
            <w:vAlign w:val="center"/>
          </w:tcPr>
          <w:p w:rsidR="007A3AD0" w:rsidRPr="00CB1E16" w:rsidRDefault="007A3AD0" w:rsidP="00565AED">
            <w:pPr>
              <w:spacing w:before="60" w:after="60"/>
              <w:jc w:val="center"/>
              <w:rPr>
                <w:sz w:val="18"/>
                <w:szCs w:val="18"/>
                <w:lang w:eastAsia="ru-RU"/>
              </w:rPr>
            </w:pPr>
            <w:r w:rsidRPr="00CB1E16">
              <w:rPr>
                <w:rFonts w:eastAsia="SimSun"/>
                <w:noProof/>
                <w:sz w:val="18"/>
                <w:szCs w:val="18"/>
                <w:lang w:val="en-GB" w:eastAsia="en-GB"/>
              </w:rPr>
              <w:drawing>
                <wp:inline distT="0" distB="0" distL="0" distR="0" wp14:anchorId="78781717" wp14:editId="321AC1A5">
                  <wp:extent cx="862330" cy="862330"/>
                  <wp:effectExtent l="19050" t="0" r="0" b="0"/>
                  <wp:docPr id="18"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5"/>
                          <pic:cNvPicPr>
                            <a:picLocks noChangeAspect="1" noChangeArrowheads="1"/>
                          </pic:cNvPicPr>
                        </pic:nvPicPr>
                        <pic:blipFill>
                          <a:blip r:embed="rId19"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0" w:type="auto"/>
            <w:shd w:val="clear" w:color="auto" w:fill="auto"/>
          </w:tcPr>
          <w:p w:rsidR="007A3AD0" w:rsidRPr="00CB1E16" w:rsidRDefault="007A3AD0" w:rsidP="00565AED">
            <w:pPr>
              <w:spacing w:before="60" w:after="60"/>
              <w:rPr>
                <w:sz w:val="18"/>
                <w:szCs w:val="18"/>
                <w:lang w:eastAsia="ru-RU"/>
              </w:rPr>
            </w:pPr>
            <w:r w:rsidRPr="00CB1E16">
              <w:rPr>
                <w:b/>
                <w:sz w:val="18"/>
                <w:szCs w:val="18"/>
                <w:vertAlign w:val="superscript"/>
                <w:lang w:eastAsia="ru-RU"/>
              </w:rPr>
              <w:sym w:font="Wingdings 2" w:char="F0D6"/>
            </w:r>
            <w:r w:rsidR="00965478">
              <w:rPr>
                <w:sz w:val="18"/>
                <w:szCs w:val="18"/>
                <w:lang w:eastAsia="ru-RU"/>
              </w:rPr>
              <w:t xml:space="preserve"> </w:t>
            </w:r>
            <w:r w:rsidRPr="00CB1E16">
              <w:rPr>
                <w:sz w:val="18"/>
                <w:szCs w:val="18"/>
                <w:lang w:eastAsia="ru-RU"/>
              </w:rPr>
              <w:t>Espacio para el grupo de compatibilidad</w:t>
            </w:r>
          </w:p>
        </w:tc>
      </w:tr>
      <w:tr w:rsidR="007A3AD0" w:rsidRPr="00CB1E16" w:rsidTr="007A3AD0">
        <w:trPr>
          <w:cantSplit/>
          <w:trHeight w:val="1648"/>
        </w:trPr>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1.6</w:t>
            </w:r>
          </w:p>
        </w:tc>
        <w:tc>
          <w:tcPr>
            <w:tcW w:w="1471"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División 1.6</w:t>
            </w:r>
          </w:p>
        </w:tc>
        <w:tc>
          <w:tcPr>
            <w:tcW w:w="3643"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1.6: negro</w:t>
            </w:r>
          </w:p>
          <w:p w:rsidR="007A3AD0" w:rsidRPr="00CB1E16" w:rsidRDefault="007A3AD0" w:rsidP="00F00C44">
            <w:pPr>
              <w:spacing w:before="60" w:after="60"/>
              <w:rPr>
                <w:sz w:val="18"/>
                <w:szCs w:val="18"/>
                <w:lang w:eastAsia="ru-RU"/>
              </w:rPr>
            </w:pPr>
            <w:r w:rsidRPr="00CB1E16">
              <w:rPr>
                <w:sz w:val="18"/>
                <w:szCs w:val="18"/>
                <w:lang w:eastAsia="ru-RU"/>
              </w:rPr>
              <w:t>Los números tendrán aproximadamente 30</w:t>
            </w:r>
            <w:r w:rsidR="00F00C44" w:rsidRPr="00CB1E16">
              <w:rPr>
                <w:sz w:val="18"/>
                <w:szCs w:val="18"/>
                <w:lang w:eastAsia="ru-RU"/>
              </w:rPr>
              <w:t> </w:t>
            </w:r>
            <w:r w:rsidRPr="00CB1E16">
              <w:rPr>
                <w:sz w:val="18"/>
                <w:szCs w:val="18"/>
                <w:lang w:eastAsia="ru-RU"/>
              </w:rPr>
              <w:t>mm de altura por 5 mm de anchura (en las etiquetas de 100 mm x 100 mm)</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Anaranjado</w:t>
            </w:r>
          </w:p>
        </w:tc>
        <w:tc>
          <w:tcPr>
            <w:tcW w:w="0" w:type="auto"/>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1</w:t>
            </w:r>
            <w:r w:rsidR="00565AED" w:rsidRPr="00CB1E16">
              <w:rPr>
                <w:sz w:val="18"/>
                <w:szCs w:val="18"/>
                <w:lang w:eastAsia="ru-RU"/>
              </w:rPr>
              <w:br/>
            </w:r>
            <w:r w:rsidRPr="00CB1E16">
              <w:rPr>
                <w:sz w:val="18"/>
                <w:szCs w:val="18"/>
                <w:lang w:eastAsia="ru-RU"/>
              </w:rPr>
              <w:t>(negro)</w:t>
            </w:r>
          </w:p>
        </w:tc>
        <w:tc>
          <w:tcPr>
            <w:tcW w:w="0" w:type="auto"/>
            <w:shd w:val="clear" w:color="auto" w:fill="auto"/>
            <w:vAlign w:val="center"/>
          </w:tcPr>
          <w:p w:rsidR="007A3AD0" w:rsidRPr="00CB1E16" w:rsidRDefault="007A3AD0" w:rsidP="00565AED">
            <w:pPr>
              <w:spacing w:before="60" w:after="60"/>
              <w:jc w:val="center"/>
              <w:rPr>
                <w:sz w:val="18"/>
                <w:szCs w:val="18"/>
                <w:lang w:eastAsia="ru-RU"/>
              </w:rPr>
            </w:pPr>
            <w:r w:rsidRPr="00CB1E16">
              <w:rPr>
                <w:rFonts w:eastAsia="SimSun"/>
                <w:noProof/>
                <w:sz w:val="18"/>
                <w:szCs w:val="18"/>
                <w:lang w:val="en-GB" w:eastAsia="en-GB"/>
              </w:rPr>
              <w:drawing>
                <wp:inline distT="0" distB="0" distL="0" distR="0" wp14:anchorId="4783AD2F" wp14:editId="2197C08A">
                  <wp:extent cx="862330" cy="862330"/>
                  <wp:effectExtent l="19050" t="0" r="0" b="0"/>
                  <wp:docPr id="19"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6"/>
                          <pic:cNvPicPr>
                            <a:picLocks noChangeAspect="1" noChangeArrowheads="1"/>
                          </pic:cNvPicPr>
                        </pic:nvPicPr>
                        <pic:blipFill>
                          <a:blip r:embed="rId20"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0" w:type="auto"/>
            <w:shd w:val="clear" w:color="auto" w:fill="auto"/>
          </w:tcPr>
          <w:p w:rsidR="007A3AD0" w:rsidRPr="00CB1E16" w:rsidRDefault="007A3AD0" w:rsidP="00565AED">
            <w:pPr>
              <w:spacing w:before="60" w:after="60"/>
              <w:rPr>
                <w:sz w:val="18"/>
                <w:szCs w:val="18"/>
                <w:lang w:eastAsia="ru-RU"/>
              </w:rPr>
            </w:pPr>
            <w:r w:rsidRPr="00CB1E16">
              <w:rPr>
                <w:b/>
                <w:sz w:val="18"/>
                <w:szCs w:val="18"/>
                <w:vertAlign w:val="superscript"/>
                <w:lang w:eastAsia="ru-RU"/>
              </w:rPr>
              <w:sym w:font="Wingdings 2" w:char="F0D6"/>
            </w:r>
            <w:r w:rsidR="00965478">
              <w:rPr>
                <w:sz w:val="18"/>
                <w:szCs w:val="18"/>
                <w:lang w:eastAsia="ru-RU"/>
              </w:rPr>
              <w:t xml:space="preserve"> </w:t>
            </w:r>
            <w:r w:rsidRPr="00CB1E16">
              <w:rPr>
                <w:sz w:val="18"/>
                <w:szCs w:val="18"/>
                <w:lang w:eastAsia="ru-RU"/>
              </w:rPr>
              <w:t>Espacio para el grupo de compatibilidad</w:t>
            </w:r>
          </w:p>
        </w:tc>
      </w:tr>
    </w:tbl>
    <w:p w:rsidR="007A3AD0" w:rsidRPr="00B654DA" w:rsidRDefault="007A3AD0" w:rsidP="007A3AD0"/>
    <w:p w:rsidR="00565AED" w:rsidRDefault="00565AED">
      <w:pPr>
        <w:spacing w:line="240" w:lineRule="auto"/>
      </w:pPr>
      <w:r>
        <w:br w:type="page"/>
      </w:r>
    </w:p>
    <w:p w:rsidR="00CB1E16" w:rsidRPr="00B654DA" w:rsidRDefault="00CB1E16" w:rsidP="007A3AD0"/>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
        <w:gridCol w:w="2268"/>
        <w:gridCol w:w="1559"/>
        <w:gridCol w:w="992"/>
        <w:gridCol w:w="2268"/>
        <w:gridCol w:w="1843"/>
        <w:gridCol w:w="1701"/>
        <w:gridCol w:w="1417"/>
      </w:tblGrid>
      <w:tr w:rsidR="00F00C44" w:rsidRPr="00CB1E16" w:rsidTr="008F1D6F">
        <w:trPr>
          <w:cantSplit/>
        </w:trPr>
        <w:tc>
          <w:tcPr>
            <w:tcW w:w="880" w:type="dxa"/>
            <w:shd w:val="clear" w:color="auto" w:fill="auto"/>
            <w:vAlign w:val="center"/>
          </w:tcPr>
          <w:p w:rsidR="007A3AD0" w:rsidRPr="00CB1E16" w:rsidRDefault="007A3AD0" w:rsidP="00CB1E16">
            <w:pPr>
              <w:spacing w:before="60" w:after="60"/>
              <w:jc w:val="center"/>
              <w:rPr>
                <w:b/>
                <w:sz w:val="18"/>
                <w:szCs w:val="18"/>
                <w:lang w:eastAsia="ru-RU"/>
              </w:rPr>
            </w:pPr>
            <w:r w:rsidRPr="00CB1E16">
              <w:rPr>
                <w:b/>
                <w:sz w:val="18"/>
                <w:szCs w:val="18"/>
                <w:lang w:eastAsia="ru-RU"/>
              </w:rPr>
              <w:t>N</w:t>
            </w:r>
            <w:r w:rsidR="00CB1E16">
              <w:rPr>
                <w:b/>
                <w:sz w:val="18"/>
                <w:szCs w:val="18"/>
                <w:lang w:eastAsia="ru-RU"/>
              </w:rPr>
              <w:t>úm.</w:t>
            </w:r>
            <w:r w:rsidRPr="00CB1E16">
              <w:rPr>
                <w:b/>
                <w:sz w:val="18"/>
                <w:szCs w:val="18"/>
                <w:lang w:eastAsia="ru-RU"/>
              </w:rPr>
              <w:t xml:space="preserve"> de modelo de etiqueta</w:t>
            </w:r>
          </w:p>
        </w:tc>
        <w:tc>
          <w:tcPr>
            <w:tcW w:w="2268"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División o categoría</w:t>
            </w:r>
          </w:p>
        </w:tc>
        <w:tc>
          <w:tcPr>
            <w:tcW w:w="1559"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 xml:space="preserve">Símbolo y color del símbolo </w:t>
            </w:r>
          </w:p>
        </w:tc>
        <w:tc>
          <w:tcPr>
            <w:tcW w:w="992"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Fondo</w:t>
            </w:r>
          </w:p>
        </w:tc>
        <w:tc>
          <w:tcPr>
            <w:tcW w:w="2268"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Cifra en la esquina inferior (y</w:t>
            </w:r>
            <w:r w:rsidR="00565AED" w:rsidRPr="00CB1E16">
              <w:rPr>
                <w:b/>
                <w:sz w:val="18"/>
                <w:szCs w:val="18"/>
                <w:lang w:eastAsia="ru-RU"/>
              </w:rPr>
              <w:t> </w:t>
            </w:r>
            <w:r w:rsidRPr="00CB1E16">
              <w:rPr>
                <w:b/>
                <w:sz w:val="18"/>
                <w:szCs w:val="18"/>
                <w:lang w:eastAsia="ru-RU"/>
              </w:rPr>
              <w:t>color de la cifra)</w:t>
            </w:r>
          </w:p>
        </w:tc>
        <w:tc>
          <w:tcPr>
            <w:tcW w:w="3544" w:type="dxa"/>
            <w:gridSpan w:val="2"/>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Modelos de etiquetas</w:t>
            </w:r>
          </w:p>
        </w:tc>
        <w:tc>
          <w:tcPr>
            <w:tcW w:w="1417" w:type="dxa"/>
            <w:shd w:val="clear" w:color="auto" w:fill="auto"/>
            <w:vAlign w:val="center"/>
          </w:tcPr>
          <w:p w:rsidR="007A3AD0" w:rsidRPr="00CB1E16" w:rsidRDefault="007A3AD0" w:rsidP="00565AED">
            <w:pPr>
              <w:spacing w:before="60" w:after="60"/>
              <w:jc w:val="center"/>
              <w:rPr>
                <w:b/>
                <w:sz w:val="18"/>
                <w:szCs w:val="18"/>
                <w:lang w:eastAsia="ru-RU"/>
              </w:rPr>
            </w:pPr>
            <w:r w:rsidRPr="00CB1E16">
              <w:rPr>
                <w:b/>
                <w:sz w:val="18"/>
                <w:szCs w:val="18"/>
                <w:lang w:eastAsia="ru-RU"/>
              </w:rPr>
              <w:t>Nota</w:t>
            </w:r>
          </w:p>
        </w:tc>
      </w:tr>
      <w:tr w:rsidR="007A3AD0" w:rsidRPr="00CB1E16" w:rsidTr="007A3AD0">
        <w:trPr>
          <w:cantSplit/>
          <w:trHeight w:val="353"/>
          <w:tblHeader/>
        </w:trPr>
        <w:tc>
          <w:tcPr>
            <w:tcW w:w="0" w:type="auto"/>
            <w:gridSpan w:val="8"/>
            <w:shd w:val="clear" w:color="auto" w:fill="auto"/>
            <w:vAlign w:val="center"/>
          </w:tcPr>
          <w:p w:rsidR="007A3AD0" w:rsidRPr="00CB1E16" w:rsidRDefault="007A3AD0" w:rsidP="00565AED">
            <w:pPr>
              <w:spacing w:before="60" w:after="60"/>
              <w:jc w:val="center"/>
              <w:rPr>
                <w:sz w:val="18"/>
                <w:szCs w:val="18"/>
                <w:lang w:eastAsia="ru-RU"/>
              </w:rPr>
            </w:pPr>
            <w:r w:rsidRPr="00CB1E16">
              <w:rPr>
                <w:b/>
                <w:sz w:val="18"/>
                <w:szCs w:val="18"/>
                <w:lang w:eastAsia="ru-RU"/>
              </w:rPr>
              <w:t xml:space="preserve">Clase 2: </w:t>
            </w:r>
            <w:r w:rsidRPr="00CB1E16">
              <w:rPr>
                <w:rFonts w:eastAsia="Calibri"/>
                <w:b/>
                <w:sz w:val="18"/>
                <w:szCs w:val="18"/>
              </w:rPr>
              <w:t>Gases</w:t>
            </w:r>
          </w:p>
        </w:tc>
      </w:tr>
      <w:tr w:rsidR="00CB1E16" w:rsidRPr="00CB1E16" w:rsidTr="008F1D6F">
        <w:trPr>
          <w:cantSplit/>
        </w:trPr>
        <w:tc>
          <w:tcPr>
            <w:tcW w:w="880" w:type="dxa"/>
            <w:shd w:val="clear" w:color="auto" w:fill="auto"/>
          </w:tcPr>
          <w:p w:rsidR="007A3AD0" w:rsidRPr="00CB1E16" w:rsidRDefault="007A3AD0" w:rsidP="00565AED">
            <w:pPr>
              <w:keepNext/>
              <w:keepLines/>
              <w:spacing w:before="60" w:after="60"/>
              <w:jc w:val="center"/>
              <w:rPr>
                <w:sz w:val="18"/>
                <w:szCs w:val="18"/>
                <w:lang w:eastAsia="ru-RU"/>
              </w:rPr>
            </w:pPr>
            <w:r w:rsidRPr="00CB1E16">
              <w:rPr>
                <w:sz w:val="18"/>
                <w:szCs w:val="18"/>
                <w:lang w:eastAsia="ru-RU"/>
              </w:rPr>
              <w:t>2.1</w:t>
            </w:r>
          </w:p>
        </w:tc>
        <w:tc>
          <w:tcPr>
            <w:tcW w:w="2268" w:type="dxa"/>
            <w:shd w:val="clear" w:color="auto" w:fill="auto"/>
          </w:tcPr>
          <w:p w:rsidR="007A3AD0" w:rsidRPr="00CB1E16" w:rsidRDefault="007A3AD0" w:rsidP="008F1D6F">
            <w:pPr>
              <w:keepNext/>
              <w:keepLines/>
              <w:spacing w:before="60" w:after="60"/>
              <w:jc w:val="center"/>
              <w:rPr>
                <w:sz w:val="18"/>
                <w:szCs w:val="18"/>
                <w:lang w:eastAsia="ru-RU"/>
              </w:rPr>
            </w:pPr>
            <w:r w:rsidRPr="00CB1E16">
              <w:rPr>
                <w:sz w:val="18"/>
                <w:szCs w:val="18"/>
                <w:lang w:eastAsia="ru-RU"/>
              </w:rPr>
              <w:t>División 2.1:</w:t>
            </w:r>
            <w:r w:rsidR="00F00C44" w:rsidRPr="00CB1E16">
              <w:rPr>
                <w:sz w:val="18"/>
                <w:szCs w:val="18"/>
                <w:lang w:eastAsia="ru-RU"/>
              </w:rPr>
              <w:br/>
            </w:r>
            <w:r w:rsidRPr="00CB1E16">
              <w:rPr>
                <w:sz w:val="18"/>
                <w:szCs w:val="18"/>
                <w:lang w:eastAsia="ru-RU"/>
              </w:rPr>
              <w:t>Gases inflamables (excepto en los casos previstos en 5.2.2.2.1.6 d))</w:t>
            </w:r>
          </w:p>
        </w:tc>
        <w:tc>
          <w:tcPr>
            <w:tcW w:w="1559" w:type="dxa"/>
            <w:shd w:val="clear" w:color="auto" w:fill="auto"/>
          </w:tcPr>
          <w:p w:rsidR="007A3AD0" w:rsidRPr="00CB1E16" w:rsidRDefault="007A3AD0" w:rsidP="00565AED">
            <w:pPr>
              <w:keepNext/>
              <w:keepLines/>
              <w:spacing w:before="60" w:after="60"/>
              <w:jc w:val="center"/>
              <w:rPr>
                <w:sz w:val="18"/>
                <w:szCs w:val="18"/>
                <w:lang w:eastAsia="ru-RU"/>
              </w:rPr>
            </w:pPr>
            <w:r w:rsidRPr="00CB1E16">
              <w:rPr>
                <w:sz w:val="18"/>
                <w:szCs w:val="18"/>
                <w:lang w:eastAsia="ru-RU"/>
              </w:rPr>
              <w:t>Llama: negro o blanco</w:t>
            </w:r>
          </w:p>
        </w:tc>
        <w:tc>
          <w:tcPr>
            <w:tcW w:w="992" w:type="dxa"/>
            <w:shd w:val="clear" w:color="auto" w:fill="auto"/>
          </w:tcPr>
          <w:p w:rsidR="007A3AD0" w:rsidRPr="00CB1E16" w:rsidRDefault="007A3AD0" w:rsidP="00565AED">
            <w:pPr>
              <w:keepNext/>
              <w:keepLines/>
              <w:spacing w:before="60" w:after="60"/>
              <w:jc w:val="center"/>
              <w:rPr>
                <w:sz w:val="18"/>
                <w:szCs w:val="18"/>
                <w:lang w:eastAsia="ru-RU"/>
              </w:rPr>
            </w:pPr>
            <w:r w:rsidRPr="00CB1E16">
              <w:rPr>
                <w:sz w:val="18"/>
                <w:szCs w:val="18"/>
                <w:lang w:eastAsia="ru-RU"/>
              </w:rPr>
              <w:t>Rojo</w:t>
            </w:r>
          </w:p>
        </w:tc>
        <w:tc>
          <w:tcPr>
            <w:tcW w:w="2268" w:type="dxa"/>
            <w:shd w:val="clear" w:color="auto" w:fill="auto"/>
          </w:tcPr>
          <w:p w:rsidR="007A3AD0" w:rsidRPr="00CB1E16" w:rsidRDefault="007A3AD0" w:rsidP="00565AED">
            <w:pPr>
              <w:keepNext/>
              <w:keepLines/>
              <w:spacing w:before="60" w:after="60"/>
              <w:jc w:val="center"/>
              <w:rPr>
                <w:sz w:val="18"/>
                <w:szCs w:val="18"/>
                <w:lang w:eastAsia="ru-RU"/>
              </w:rPr>
            </w:pPr>
            <w:r w:rsidRPr="00CB1E16">
              <w:rPr>
                <w:sz w:val="18"/>
                <w:szCs w:val="18"/>
                <w:lang w:eastAsia="ru-RU"/>
              </w:rPr>
              <w:t>2</w:t>
            </w:r>
            <w:r w:rsidR="00565AED" w:rsidRPr="00CB1E16">
              <w:rPr>
                <w:sz w:val="18"/>
                <w:szCs w:val="18"/>
                <w:lang w:eastAsia="ru-RU"/>
              </w:rPr>
              <w:br/>
            </w:r>
            <w:r w:rsidRPr="00CB1E16">
              <w:rPr>
                <w:sz w:val="18"/>
                <w:szCs w:val="18"/>
                <w:lang w:eastAsia="ru-RU"/>
              </w:rPr>
              <w:t>(negro o blanco)</w:t>
            </w:r>
          </w:p>
        </w:tc>
        <w:tc>
          <w:tcPr>
            <w:tcW w:w="1843" w:type="dxa"/>
            <w:shd w:val="clear" w:color="auto" w:fill="auto"/>
            <w:vAlign w:val="center"/>
          </w:tcPr>
          <w:p w:rsidR="007A3AD0" w:rsidRPr="00CB1E16" w:rsidRDefault="007A3AD0" w:rsidP="00565AED">
            <w:pPr>
              <w:keepNext/>
              <w:keepLines/>
              <w:spacing w:before="60" w:after="60"/>
              <w:jc w:val="center"/>
              <w:rPr>
                <w:rFonts w:ascii="Arial" w:hAnsi="Arial" w:cs="Arial"/>
                <w:sz w:val="18"/>
                <w:szCs w:val="18"/>
                <w:lang w:eastAsia="ru-RU"/>
              </w:rPr>
            </w:pPr>
            <w:r w:rsidRPr="00CB1E16">
              <w:rPr>
                <w:rFonts w:eastAsia="SimSun"/>
                <w:noProof/>
                <w:sz w:val="18"/>
                <w:szCs w:val="18"/>
                <w:lang w:val="en-GB" w:eastAsia="en-GB"/>
              </w:rPr>
              <w:drawing>
                <wp:inline distT="0" distB="0" distL="0" distR="0" wp14:anchorId="55C22727" wp14:editId="1464E5C7">
                  <wp:extent cx="871220" cy="871220"/>
                  <wp:effectExtent l="19050" t="0" r="5080" b="0"/>
                  <wp:docPr id="20"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ouge2_noir"/>
                          <pic:cNvPicPr>
                            <a:picLocks noChangeAspect="1" noChangeArrowheads="1"/>
                          </pic:cNvPicPr>
                        </pic:nvPicPr>
                        <pic:blipFill>
                          <a:blip r:embed="rId21" cstate="print"/>
                          <a:srcRect/>
                          <a:stretch>
                            <a:fillRect/>
                          </a:stretch>
                        </pic:blipFill>
                        <pic:spPr bwMode="auto">
                          <a:xfrm>
                            <a:off x="0" y="0"/>
                            <a:ext cx="871220" cy="871220"/>
                          </a:xfrm>
                          <a:prstGeom prst="rect">
                            <a:avLst/>
                          </a:prstGeom>
                          <a:noFill/>
                          <a:ln w="9525">
                            <a:noFill/>
                            <a:miter lim="800000"/>
                            <a:headEnd/>
                            <a:tailEnd/>
                          </a:ln>
                        </pic:spPr>
                      </pic:pic>
                    </a:graphicData>
                  </a:graphic>
                </wp:inline>
              </w:drawing>
            </w:r>
          </w:p>
        </w:tc>
        <w:tc>
          <w:tcPr>
            <w:tcW w:w="1701" w:type="dxa"/>
            <w:shd w:val="clear" w:color="auto" w:fill="auto"/>
            <w:vAlign w:val="center"/>
          </w:tcPr>
          <w:p w:rsidR="007A3AD0" w:rsidRPr="00CB1E16" w:rsidRDefault="007A3AD0" w:rsidP="00565AED">
            <w:pPr>
              <w:keepNext/>
              <w:keepLines/>
              <w:spacing w:before="60" w:after="60"/>
              <w:jc w:val="center"/>
              <w:rPr>
                <w:rFonts w:ascii="Arial" w:hAnsi="Arial" w:cs="Arial"/>
                <w:sz w:val="18"/>
                <w:szCs w:val="18"/>
                <w:lang w:eastAsia="ru-RU"/>
              </w:rPr>
            </w:pPr>
            <w:r w:rsidRPr="00CB1E16">
              <w:rPr>
                <w:rFonts w:eastAsia="SimSun"/>
                <w:noProof/>
                <w:sz w:val="18"/>
                <w:szCs w:val="18"/>
                <w:lang w:val="en-GB" w:eastAsia="en-GB"/>
              </w:rPr>
              <w:drawing>
                <wp:inline distT="0" distB="0" distL="0" distR="0" wp14:anchorId="7DCFB844" wp14:editId="24DCF2A7">
                  <wp:extent cx="871220" cy="871220"/>
                  <wp:effectExtent l="19050" t="0" r="5080" b="0"/>
                  <wp:docPr id="21"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ouge2"/>
                          <pic:cNvPicPr>
                            <a:picLocks noChangeAspect="1" noChangeArrowheads="1"/>
                          </pic:cNvPicPr>
                        </pic:nvPicPr>
                        <pic:blipFill>
                          <a:blip r:embed="rId22" cstate="print"/>
                          <a:srcRect/>
                          <a:stretch>
                            <a:fillRect/>
                          </a:stretch>
                        </pic:blipFill>
                        <pic:spPr bwMode="auto">
                          <a:xfrm>
                            <a:off x="0" y="0"/>
                            <a:ext cx="871220" cy="871220"/>
                          </a:xfrm>
                          <a:prstGeom prst="rect">
                            <a:avLst/>
                          </a:prstGeom>
                          <a:noFill/>
                          <a:ln w="9525">
                            <a:noFill/>
                            <a:miter lim="800000"/>
                            <a:headEnd/>
                            <a:tailEnd/>
                          </a:ln>
                        </pic:spPr>
                      </pic:pic>
                    </a:graphicData>
                  </a:graphic>
                </wp:inline>
              </w:drawing>
            </w:r>
          </w:p>
        </w:tc>
        <w:tc>
          <w:tcPr>
            <w:tcW w:w="1417" w:type="dxa"/>
            <w:shd w:val="clear" w:color="auto" w:fill="auto"/>
          </w:tcPr>
          <w:p w:rsidR="007A3AD0" w:rsidRPr="00CB1E16" w:rsidRDefault="007A3AD0" w:rsidP="00565AED">
            <w:pPr>
              <w:keepNext/>
              <w:keepLines/>
              <w:spacing w:before="60" w:after="60"/>
              <w:jc w:val="center"/>
              <w:rPr>
                <w:rFonts w:ascii="Arial" w:hAnsi="Arial" w:cs="Arial"/>
                <w:sz w:val="18"/>
                <w:szCs w:val="18"/>
                <w:lang w:eastAsia="ru-RU"/>
              </w:rPr>
            </w:pPr>
            <w:r w:rsidRPr="00CB1E16">
              <w:rPr>
                <w:rFonts w:ascii="Arial" w:hAnsi="Arial" w:cs="Arial"/>
                <w:sz w:val="18"/>
                <w:szCs w:val="18"/>
                <w:lang w:eastAsia="ru-RU"/>
              </w:rPr>
              <w:t>-</w:t>
            </w:r>
          </w:p>
        </w:tc>
      </w:tr>
      <w:tr w:rsidR="00CB1E16" w:rsidRPr="00CB1E16" w:rsidTr="008F1D6F">
        <w:trPr>
          <w:cantSplit/>
        </w:trPr>
        <w:tc>
          <w:tcPr>
            <w:tcW w:w="880" w:type="dxa"/>
            <w:shd w:val="clear" w:color="auto" w:fill="auto"/>
          </w:tcPr>
          <w:p w:rsidR="007A3AD0" w:rsidRPr="00CB1E16" w:rsidRDefault="00CB1E16" w:rsidP="00565AED">
            <w:pPr>
              <w:spacing w:before="60" w:after="60"/>
              <w:jc w:val="center"/>
              <w:rPr>
                <w:sz w:val="18"/>
                <w:szCs w:val="18"/>
                <w:lang w:eastAsia="ru-RU"/>
              </w:rPr>
            </w:pPr>
            <w:r>
              <w:rPr>
                <w:sz w:val="18"/>
                <w:szCs w:val="18"/>
                <w:lang w:eastAsia="ru-RU"/>
              </w:rPr>
              <w:t>2</w:t>
            </w:r>
            <w:r w:rsidR="007A3AD0" w:rsidRPr="00CB1E16">
              <w:rPr>
                <w:sz w:val="18"/>
                <w:szCs w:val="18"/>
                <w:lang w:eastAsia="ru-RU"/>
              </w:rPr>
              <w:t>.2</w:t>
            </w:r>
          </w:p>
        </w:tc>
        <w:tc>
          <w:tcPr>
            <w:tcW w:w="2268" w:type="dxa"/>
            <w:shd w:val="clear" w:color="auto" w:fill="auto"/>
          </w:tcPr>
          <w:p w:rsidR="007A3AD0" w:rsidRPr="00CB1E16" w:rsidRDefault="007A3AD0" w:rsidP="00F00C44">
            <w:pPr>
              <w:spacing w:before="60" w:after="60"/>
              <w:jc w:val="center"/>
              <w:rPr>
                <w:sz w:val="18"/>
                <w:szCs w:val="18"/>
                <w:lang w:eastAsia="ru-RU"/>
              </w:rPr>
            </w:pPr>
            <w:r w:rsidRPr="00CB1E16">
              <w:rPr>
                <w:sz w:val="18"/>
                <w:szCs w:val="18"/>
                <w:lang w:eastAsia="ru-RU"/>
              </w:rPr>
              <w:t>División 2.2:</w:t>
            </w:r>
            <w:r w:rsidR="00F00C44" w:rsidRPr="00CB1E16">
              <w:rPr>
                <w:sz w:val="18"/>
                <w:szCs w:val="18"/>
                <w:lang w:eastAsia="ru-RU"/>
              </w:rPr>
              <w:br/>
            </w:r>
            <w:r w:rsidRPr="00CB1E16">
              <w:rPr>
                <w:sz w:val="18"/>
                <w:szCs w:val="18"/>
                <w:lang w:eastAsia="ru-RU"/>
              </w:rPr>
              <w:t>Gases no inflamables, no</w:t>
            </w:r>
            <w:r w:rsidR="00F00C44" w:rsidRPr="00CB1E16">
              <w:rPr>
                <w:sz w:val="18"/>
                <w:szCs w:val="18"/>
                <w:lang w:eastAsia="ru-RU"/>
              </w:rPr>
              <w:t> </w:t>
            </w:r>
            <w:r w:rsidRPr="00CB1E16">
              <w:rPr>
                <w:sz w:val="18"/>
                <w:szCs w:val="18"/>
                <w:lang w:eastAsia="ru-RU"/>
              </w:rPr>
              <w:t>tóxicos</w:t>
            </w:r>
          </w:p>
        </w:tc>
        <w:tc>
          <w:tcPr>
            <w:tcW w:w="1559"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Bombona: negro o blanco</w:t>
            </w:r>
          </w:p>
        </w:tc>
        <w:tc>
          <w:tcPr>
            <w:tcW w:w="992"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Verde</w:t>
            </w:r>
          </w:p>
        </w:tc>
        <w:tc>
          <w:tcPr>
            <w:tcW w:w="2268"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2</w:t>
            </w:r>
            <w:r w:rsidR="00565AED" w:rsidRPr="00CB1E16">
              <w:rPr>
                <w:sz w:val="18"/>
                <w:szCs w:val="18"/>
                <w:lang w:eastAsia="ru-RU"/>
              </w:rPr>
              <w:br/>
            </w:r>
            <w:r w:rsidRPr="00CB1E16">
              <w:rPr>
                <w:sz w:val="18"/>
                <w:szCs w:val="18"/>
                <w:lang w:eastAsia="ru-RU"/>
              </w:rPr>
              <w:t>(negro o blanco)</w:t>
            </w:r>
          </w:p>
        </w:tc>
        <w:tc>
          <w:tcPr>
            <w:tcW w:w="1843" w:type="dxa"/>
            <w:shd w:val="clear" w:color="auto" w:fill="auto"/>
            <w:vAlign w:val="center"/>
          </w:tcPr>
          <w:p w:rsidR="007A3AD0" w:rsidRPr="00CB1E16" w:rsidRDefault="007A3AD0" w:rsidP="00565AED">
            <w:pPr>
              <w:spacing w:before="60" w:after="60"/>
              <w:jc w:val="center"/>
              <w:rPr>
                <w:rFonts w:ascii="Arial" w:hAnsi="Arial" w:cs="Arial"/>
                <w:sz w:val="18"/>
                <w:szCs w:val="18"/>
                <w:lang w:eastAsia="ru-RU"/>
              </w:rPr>
            </w:pPr>
            <w:r w:rsidRPr="00CB1E16">
              <w:rPr>
                <w:rFonts w:eastAsia="SimSun"/>
                <w:noProof/>
                <w:sz w:val="18"/>
                <w:szCs w:val="18"/>
                <w:lang w:val="en-GB" w:eastAsia="en-GB"/>
              </w:rPr>
              <w:drawing>
                <wp:inline distT="0" distB="0" distL="0" distR="0" wp14:anchorId="4B55C483" wp14:editId="3460B93F">
                  <wp:extent cx="871220" cy="871220"/>
                  <wp:effectExtent l="19050" t="0" r="5080" b="0"/>
                  <wp:docPr id="22"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ert"/>
                          <pic:cNvPicPr>
                            <a:picLocks noChangeAspect="1" noChangeArrowheads="1"/>
                          </pic:cNvPicPr>
                        </pic:nvPicPr>
                        <pic:blipFill>
                          <a:blip r:embed="rId23" cstate="print"/>
                          <a:srcRect/>
                          <a:stretch>
                            <a:fillRect/>
                          </a:stretch>
                        </pic:blipFill>
                        <pic:spPr bwMode="auto">
                          <a:xfrm>
                            <a:off x="0" y="0"/>
                            <a:ext cx="871220" cy="871220"/>
                          </a:xfrm>
                          <a:prstGeom prst="rect">
                            <a:avLst/>
                          </a:prstGeom>
                          <a:noFill/>
                          <a:ln w="9525">
                            <a:noFill/>
                            <a:miter lim="800000"/>
                            <a:headEnd/>
                            <a:tailEnd/>
                          </a:ln>
                        </pic:spPr>
                      </pic:pic>
                    </a:graphicData>
                  </a:graphic>
                </wp:inline>
              </w:drawing>
            </w:r>
          </w:p>
        </w:tc>
        <w:tc>
          <w:tcPr>
            <w:tcW w:w="1701" w:type="dxa"/>
            <w:shd w:val="clear" w:color="auto" w:fill="auto"/>
            <w:vAlign w:val="center"/>
          </w:tcPr>
          <w:p w:rsidR="007A3AD0" w:rsidRPr="00CB1E16" w:rsidRDefault="007A3AD0" w:rsidP="00565AED">
            <w:pPr>
              <w:spacing w:before="60" w:after="60"/>
              <w:jc w:val="center"/>
              <w:rPr>
                <w:rFonts w:ascii="Arial" w:hAnsi="Arial" w:cs="Arial"/>
                <w:sz w:val="18"/>
                <w:szCs w:val="18"/>
                <w:lang w:eastAsia="ru-RU"/>
              </w:rPr>
            </w:pPr>
            <w:r w:rsidRPr="00CB1E16">
              <w:rPr>
                <w:rFonts w:eastAsia="SimSun"/>
                <w:noProof/>
                <w:sz w:val="18"/>
                <w:szCs w:val="18"/>
                <w:lang w:val="en-GB" w:eastAsia="en-GB"/>
              </w:rPr>
              <w:drawing>
                <wp:inline distT="0" distB="0" distL="0" distR="0" wp14:anchorId="7DAF6FB0" wp14:editId="4E5CAFEB">
                  <wp:extent cx="871220" cy="871220"/>
                  <wp:effectExtent l="19050" t="0" r="5080" b="0"/>
                  <wp:docPr id="23"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ert_blanc"/>
                          <pic:cNvPicPr>
                            <a:picLocks noChangeAspect="1" noChangeArrowheads="1"/>
                          </pic:cNvPicPr>
                        </pic:nvPicPr>
                        <pic:blipFill>
                          <a:blip r:embed="rId24" cstate="print"/>
                          <a:srcRect/>
                          <a:stretch>
                            <a:fillRect/>
                          </a:stretch>
                        </pic:blipFill>
                        <pic:spPr bwMode="auto">
                          <a:xfrm>
                            <a:off x="0" y="0"/>
                            <a:ext cx="871220" cy="871220"/>
                          </a:xfrm>
                          <a:prstGeom prst="rect">
                            <a:avLst/>
                          </a:prstGeom>
                          <a:noFill/>
                          <a:ln w="9525">
                            <a:noFill/>
                            <a:miter lim="800000"/>
                            <a:headEnd/>
                            <a:tailEnd/>
                          </a:ln>
                        </pic:spPr>
                      </pic:pic>
                    </a:graphicData>
                  </a:graphic>
                </wp:inline>
              </w:drawing>
            </w:r>
          </w:p>
        </w:tc>
        <w:tc>
          <w:tcPr>
            <w:tcW w:w="1417" w:type="dxa"/>
            <w:shd w:val="clear" w:color="auto" w:fill="auto"/>
          </w:tcPr>
          <w:p w:rsidR="007A3AD0" w:rsidRPr="00CB1E16" w:rsidRDefault="007A3AD0" w:rsidP="00565AED">
            <w:pPr>
              <w:spacing w:before="60" w:after="60"/>
              <w:jc w:val="center"/>
              <w:rPr>
                <w:rFonts w:ascii="Arial" w:hAnsi="Arial" w:cs="Arial"/>
                <w:sz w:val="18"/>
                <w:szCs w:val="18"/>
                <w:lang w:eastAsia="ru-RU"/>
              </w:rPr>
            </w:pPr>
            <w:r w:rsidRPr="00CB1E16">
              <w:rPr>
                <w:rFonts w:ascii="Arial" w:hAnsi="Arial" w:cs="Arial"/>
                <w:sz w:val="18"/>
                <w:szCs w:val="18"/>
                <w:lang w:eastAsia="ru-RU"/>
              </w:rPr>
              <w:t>-</w:t>
            </w:r>
          </w:p>
        </w:tc>
      </w:tr>
      <w:tr w:rsidR="00F00C44" w:rsidRPr="00CB1E16" w:rsidTr="008F1D6F">
        <w:trPr>
          <w:cantSplit/>
        </w:trPr>
        <w:tc>
          <w:tcPr>
            <w:tcW w:w="880"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2.3</w:t>
            </w:r>
          </w:p>
        </w:tc>
        <w:tc>
          <w:tcPr>
            <w:tcW w:w="2268" w:type="dxa"/>
            <w:shd w:val="clear" w:color="auto" w:fill="auto"/>
          </w:tcPr>
          <w:p w:rsidR="007A3AD0" w:rsidRPr="00CB1E16" w:rsidRDefault="007A3AD0" w:rsidP="00F00C44">
            <w:pPr>
              <w:spacing w:before="60" w:after="60"/>
              <w:jc w:val="center"/>
              <w:rPr>
                <w:sz w:val="18"/>
                <w:szCs w:val="18"/>
                <w:lang w:eastAsia="ru-RU"/>
              </w:rPr>
            </w:pPr>
            <w:r w:rsidRPr="00CB1E16">
              <w:rPr>
                <w:sz w:val="18"/>
                <w:szCs w:val="18"/>
                <w:lang w:eastAsia="ru-RU"/>
              </w:rPr>
              <w:t>División 2.3:</w:t>
            </w:r>
            <w:r w:rsidR="00F00C44" w:rsidRPr="00CB1E16">
              <w:rPr>
                <w:sz w:val="18"/>
                <w:szCs w:val="18"/>
                <w:lang w:eastAsia="ru-RU"/>
              </w:rPr>
              <w:br/>
            </w:r>
            <w:r w:rsidRPr="00CB1E16">
              <w:rPr>
                <w:sz w:val="18"/>
                <w:szCs w:val="18"/>
                <w:lang w:eastAsia="ru-RU"/>
              </w:rPr>
              <w:t>Gases tóxicos</w:t>
            </w:r>
          </w:p>
        </w:tc>
        <w:tc>
          <w:tcPr>
            <w:tcW w:w="1559"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Calavera y tibias cruzadas: negro</w:t>
            </w:r>
          </w:p>
        </w:tc>
        <w:tc>
          <w:tcPr>
            <w:tcW w:w="992"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Blanco</w:t>
            </w:r>
          </w:p>
        </w:tc>
        <w:tc>
          <w:tcPr>
            <w:tcW w:w="2268" w:type="dxa"/>
            <w:shd w:val="clear" w:color="auto" w:fill="auto"/>
          </w:tcPr>
          <w:p w:rsidR="007A3AD0" w:rsidRPr="00CB1E16" w:rsidRDefault="007A3AD0" w:rsidP="00565AED">
            <w:pPr>
              <w:spacing w:before="60" w:after="60"/>
              <w:jc w:val="center"/>
              <w:rPr>
                <w:sz w:val="18"/>
                <w:szCs w:val="18"/>
                <w:lang w:eastAsia="ru-RU"/>
              </w:rPr>
            </w:pPr>
            <w:r w:rsidRPr="00CB1E16">
              <w:rPr>
                <w:sz w:val="18"/>
                <w:szCs w:val="18"/>
                <w:lang w:eastAsia="ru-RU"/>
              </w:rPr>
              <w:t>2</w:t>
            </w:r>
            <w:r w:rsidR="00565AED" w:rsidRPr="00CB1E16">
              <w:rPr>
                <w:sz w:val="18"/>
                <w:szCs w:val="18"/>
                <w:lang w:eastAsia="ru-RU"/>
              </w:rPr>
              <w:br/>
            </w:r>
            <w:r w:rsidRPr="00CB1E16">
              <w:rPr>
                <w:sz w:val="18"/>
                <w:szCs w:val="18"/>
                <w:lang w:eastAsia="ru-RU"/>
              </w:rPr>
              <w:t>(negro)</w:t>
            </w:r>
          </w:p>
        </w:tc>
        <w:tc>
          <w:tcPr>
            <w:tcW w:w="3544" w:type="dxa"/>
            <w:gridSpan w:val="2"/>
            <w:shd w:val="clear" w:color="auto" w:fill="auto"/>
          </w:tcPr>
          <w:p w:rsidR="007A3AD0" w:rsidRPr="00CB1E16" w:rsidRDefault="007A3AD0" w:rsidP="00565AED">
            <w:pPr>
              <w:spacing w:before="60" w:after="60"/>
              <w:jc w:val="center"/>
              <w:rPr>
                <w:rFonts w:ascii="Arial" w:hAnsi="Arial" w:cs="Arial"/>
                <w:sz w:val="18"/>
                <w:szCs w:val="18"/>
                <w:lang w:eastAsia="ru-RU"/>
              </w:rPr>
            </w:pPr>
            <w:r w:rsidRPr="00CB1E16">
              <w:rPr>
                <w:rFonts w:eastAsia="SimSun"/>
                <w:noProof/>
                <w:sz w:val="18"/>
                <w:szCs w:val="18"/>
                <w:lang w:val="en-GB" w:eastAsia="en-GB"/>
              </w:rPr>
              <w:drawing>
                <wp:inline distT="0" distB="0" distL="0" distR="0" wp14:anchorId="54D5A34F" wp14:editId="22E6FED8">
                  <wp:extent cx="862330" cy="862330"/>
                  <wp:effectExtent l="19050" t="0" r="0" b="0"/>
                  <wp:docPr id="24"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kull_2"/>
                          <pic:cNvPicPr>
                            <a:picLocks noChangeAspect="1" noChangeArrowheads="1"/>
                          </pic:cNvPicPr>
                        </pic:nvPicPr>
                        <pic:blipFill>
                          <a:blip r:embed="rId25"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1417" w:type="dxa"/>
            <w:shd w:val="clear" w:color="auto" w:fill="auto"/>
          </w:tcPr>
          <w:p w:rsidR="007A3AD0" w:rsidRPr="00CB1E16" w:rsidRDefault="007A3AD0" w:rsidP="00565AED">
            <w:pPr>
              <w:spacing w:before="60" w:after="60"/>
              <w:jc w:val="center"/>
              <w:rPr>
                <w:rFonts w:ascii="Arial" w:hAnsi="Arial" w:cs="Arial"/>
                <w:sz w:val="18"/>
                <w:szCs w:val="18"/>
                <w:lang w:eastAsia="ru-RU"/>
              </w:rPr>
            </w:pPr>
            <w:r w:rsidRPr="00CB1E16">
              <w:rPr>
                <w:rFonts w:ascii="Arial" w:hAnsi="Arial" w:cs="Arial"/>
                <w:sz w:val="18"/>
                <w:szCs w:val="18"/>
                <w:lang w:eastAsia="ru-RU"/>
              </w:rPr>
              <w:t>-</w:t>
            </w:r>
          </w:p>
        </w:tc>
      </w:tr>
    </w:tbl>
    <w:p w:rsidR="00565AED" w:rsidRPr="00B654DA" w:rsidRDefault="00565AED" w:rsidP="00565AED">
      <w:pPr>
        <w:spacing w:before="60" w:after="60"/>
        <w:jc w:val="center"/>
        <w:rPr>
          <w:b/>
          <w:sz w:val="18"/>
          <w:szCs w:val="18"/>
          <w:lang w:eastAsia="ru-RU"/>
        </w:rPr>
      </w:pPr>
    </w:p>
    <w:p w:rsidR="00565AED" w:rsidRDefault="00565AED">
      <w:pPr>
        <w:spacing w:line="240" w:lineRule="auto"/>
        <w:rPr>
          <w:b/>
          <w:sz w:val="18"/>
          <w:szCs w:val="18"/>
          <w:lang w:eastAsia="ru-RU"/>
        </w:rPr>
      </w:pPr>
      <w:r>
        <w:rPr>
          <w:b/>
          <w:sz w:val="18"/>
          <w:szCs w:val="18"/>
          <w:lang w:eastAsia="ru-RU"/>
        </w:rP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
        <w:gridCol w:w="2268"/>
        <w:gridCol w:w="1559"/>
        <w:gridCol w:w="992"/>
        <w:gridCol w:w="2268"/>
        <w:gridCol w:w="1772"/>
        <w:gridCol w:w="1772"/>
        <w:gridCol w:w="1417"/>
      </w:tblGrid>
      <w:tr w:rsidR="008F1D6F" w:rsidRPr="00CB1E16" w:rsidTr="00F3652F">
        <w:trPr>
          <w:cantSplit/>
        </w:trPr>
        <w:tc>
          <w:tcPr>
            <w:tcW w:w="880" w:type="dxa"/>
            <w:shd w:val="clear" w:color="auto" w:fill="auto"/>
            <w:vAlign w:val="center"/>
          </w:tcPr>
          <w:p w:rsidR="008F1D6F" w:rsidRPr="00CB1E16" w:rsidRDefault="008F1D6F" w:rsidP="00F3652F">
            <w:pPr>
              <w:spacing w:before="60" w:after="60"/>
              <w:jc w:val="center"/>
              <w:rPr>
                <w:b/>
                <w:sz w:val="18"/>
                <w:szCs w:val="18"/>
                <w:lang w:eastAsia="ru-RU"/>
              </w:rPr>
            </w:pPr>
            <w:r w:rsidRPr="00CB1E16">
              <w:rPr>
                <w:b/>
                <w:sz w:val="18"/>
                <w:szCs w:val="18"/>
                <w:lang w:eastAsia="ru-RU"/>
              </w:rPr>
              <w:lastRenderedPageBreak/>
              <w:t>N</w:t>
            </w:r>
            <w:r>
              <w:rPr>
                <w:b/>
                <w:sz w:val="18"/>
                <w:szCs w:val="18"/>
                <w:lang w:eastAsia="ru-RU"/>
              </w:rPr>
              <w:t>úm.</w:t>
            </w:r>
            <w:r w:rsidRPr="00CB1E16">
              <w:rPr>
                <w:b/>
                <w:sz w:val="18"/>
                <w:szCs w:val="18"/>
                <w:lang w:eastAsia="ru-RU"/>
              </w:rPr>
              <w:t xml:space="preserve"> de modelo de etiqueta</w:t>
            </w:r>
          </w:p>
        </w:tc>
        <w:tc>
          <w:tcPr>
            <w:tcW w:w="2268" w:type="dxa"/>
            <w:shd w:val="clear" w:color="auto" w:fill="auto"/>
            <w:vAlign w:val="center"/>
          </w:tcPr>
          <w:p w:rsidR="008F1D6F" w:rsidRPr="00CB1E16" w:rsidRDefault="008F1D6F" w:rsidP="00F3652F">
            <w:pPr>
              <w:spacing w:before="60" w:after="60"/>
              <w:jc w:val="center"/>
              <w:rPr>
                <w:b/>
                <w:sz w:val="18"/>
                <w:szCs w:val="18"/>
                <w:lang w:eastAsia="ru-RU"/>
              </w:rPr>
            </w:pPr>
            <w:r w:rsidRPr="00CB1E16">
              <w:rPr>
                <w:b/>
                <w:sz w:val="18"/>
                <w:szCs w:val="18"/>
                <w:lang w:eastAsia="ru-RU"/>
              </w:rPr>
              <w:t>División o categoría</w:t>
            </w:r>
          </w:p>
        </w:tc>
        <w:tc>
          <w:tcPr>
            <w:tcW w:w="1559" w:type="dxa"/>
            <w:shd w:val="clear" w:color="auto" w:fill="auto"/>
            <w:vAlign w:val="center"/>
          </w:tcPr>
          <w:p w:rsidR="008F1D6F" w:rsidRPr="00CB1E16" w:rsidRDefault="008F1D6F" w:rsidP="00D26921">
            <w:pPr>
              <w:spacing w:before="60" w:after="60"/>
              <w:jc w:val="center"/>
              <w:rPr>
                <w:b/>
                <w:sz w:val="18"/>
                <w:szCs w:val="18"/>
                <w:lang w:eastAsia="ru-RU"/>
              </w:rPr>
            </w:pPr>
            <w:r w:rsidRPr="00CB1E16">
              <w:rPr>
                <w:b/>
                <w:sz w:val="18"/>
                <w:szCs w:val="18"/>
                <w:lang w:eastAsia="ru-RU"/>
              </w:rPr>
              <w:t>Símbolo y color del</w:t>
            </w:r>
            <w:r w:rsidR="00D26921">
              <w:rPr>
                <w:b/>
                <w:sz w:val="18"/>
                <w:szCs w:val="18"/>
                <w:lang w:eastAsia="ru-RU"/>
              </w:rPr>
              <w:t> </w:t>
            </w:r>
            <w:r w:rsidRPr="00CB1E16">
              <w:rPr>
                <w:b/>
                <w:sz w:val="18"/>
                <w:szCs w:val="18"/>
                <w:lang w:eastAsia="ru-RU"/>
              </w:rPr>
              <w:t xml:space="preserve">símbolo </w:t>
            </w:r>
          </w:p>
        </w:tc>
        <w:tc>
          <w:tcPr>
            <w:tcW w:w="992" w:type="dxa"/>
            <w:shd w:val="clear" w:color="auto" w:fill="auto"/>
            <w:vAlign w:val="center"/>
          </w:tcPr>
          <w:p w:rsidR="008F1D6F" w:rsidRPr="00CB1E16" w:rsidRDefault="008F1D6F" w:rsidP="00F3652F">
            <w:pPr>
              <w:spacing w:before="60" w:after="60"/>
              <w:jc w:val="center"/>
              <w:rPr>
                <w:b/>
                <w:sz w:val="18"/>
                <w:szCs w:val="18"/>
                <w:lang w:eastAsia="ru-RU"/>
              </w:rPr>
            </w:pPr>
            <w:r w:rsidRPr="00CB1E16">
              <w:rPr>
                <w:b/>
                <w:sz w:val="18"/>
                <w:szCs w:val="18"/>
                <w:lang w:eastAsia="ru-RU"/>
              </w:rPr>
              <w:t>Fondo</w:t>
            </w:r>
          </w:p>
        </w:tc>
        <w:tc>
          <w:tcPr>
            <w:tcW w:w="2268" w:type="dxa"/>
            <w:shd w:val="clear" w:color="auto" w:fill="auto"/>
            <w:vAlign w:val="center"/>
          </w:tcPr>
          <w:p w:rsidR="008F1D6F" w:rsidRPr="00CB1E16" w:rsidRDefault="008F1D6F" w:rsidP="00F3652F">
            <w:pPr>
              <w:spacing w:before="60" w:after="60"/>
              <w:jc w:val="center"/>
              <w:rPr>
                <w:b/>
                <w:sz w:val="18"/>
                <w:szCs w:val="18"/>
                <w:lang w:eastAsia="ru-RU"/>
              </w:rPr>
            </w:pPr>
            <w:r w:rsidRPr="00CB1E16">
              <w:rPr>
                <w:b/>
                <w:sz w:val="18"/>
                <w:szCs w:val="18"/>
                <w:lang w:eastAsia="ru-RU"/>
              </w:rPr>
              <w:t>Cifra en la esquina inferior (y color de la cifra)</w:t>
            </w:r>
          </w:p>
        </w:tc>
        <w:tc>
          <w:tcPr>
            <w:tcW w:w="3544" w:type="dxa"/>
            <w:gridSpan w:val="2"/>
            <w:shd w:val="clear" w:color="auto" w:fill="auto"/>
            <w:vAlign w:val="center"/>
          </w:tcPr>
          <w:p w:rsidR="008F1D6F" w:rsidRPr="00CB1E16" w:rsidRDefault="008F1D6F" w:rsidP="00F3652F">
            <w:pPr>
              <w:spacing w:before="60" w:after="60"/>
              <w:jc w:val="center"/>
              <w:rPr>
                <w:b/>
                <w:sz w:val="18"/>
                <w:szCs w:val="18"/>
                <w:lang w:eastAsia="ru-RU"/>
              </w:rPr>
            </w:pPr>
            <w:r w:rsidRPr="00CB1E16">
              <w:rPr>
                <w:b/>
                <w:sz w:val="18"/>
                <w:szCs w:val="18"/>
                <w:lang w:eastAsia="ru-RU"/>
              </w:rPr>
              <w:t>Modelos de etiquetas</w:t>
            </w:r>
          </w:p>
        </w:tc>
        <w:tc>
          <w:tcPr>
            <w:tcW w:w="1417" w:type="dxa"/>
            <w:shd w:val="clear" w:color="auto" w:fill="auto"/>
            <w:vAlign w:val="center"/>
          </w:tcPr>
          <w:p w:rsidR="008F1D6F" w:rsidRPr="00CB1E16" w:rsidRDefault="008F1D6F" w:rsidP="00F3652F">
            <w:pPr>
              <w:spacing w:before="60" w:after="60"/>
              <w:jc w:val="center"/>
              <w:rPr>
                <w:b/>
                <w:sz w:val="18"/>
                <w:szCs w:val="18"/>
                <w:lang w:eastAsia="ru-RU"/>
              </w:rPr>
            </w:pPr>
            <w:r w:rsidRPr="00CB1E16">
              <w:rPr>
                <w:b/>
                <w:sz w:val="18"/>
                <w:szCs w:val="18"/>
                <w:lang w:eastAsia="ru-RU"/>
              </w:rPr>
              <w:t>Nota</w:t>
            </w:r>
          </w:p>
        </w:tc>
      </w:tr>
      <w:tr w:rsidR="008F1D6F" w:rsidRPr="00CB1E16" w:rsidTr="00F3652F">
        <w:trPr>
          <w:cantSplit/>
        </w:trPr>
        <w:tc>
          <w:tcPr>
            <w:tcW w:w="12928" w:type="dxa"/>
            <w:gridSpan w:val="8"/>
            <w:shd w:val="clear" w:color="auto" w:fill="auto"/>
            <w:vAlign w:val="center"/>
          </w:tcPr>
          <w:p w:rsidR="008F1D6F" w:rsidRPr="00CB1E16" w:rsidRDefault="008F1D6F" w:rsidP="008F1D6F">
            <w:pPr>
              <w:spacing w:before="60" w:after="60"/>
              <w:jc w:val="center"/>
              <w:rPr>
                <w:b/>
                <w:sz w:val="18"/>
                <w:szCs w:val="18"/>
                <w:lang w:eastAsia="ru-RU"/>
              </w:rPr>
            </w:pPr>
            <w:r w:rsidRPr="00CB1E16">
              <w:rPr>
                <w:b/>
                <w:sz w:val="18"/>
                <w:szCs w:val="18"/>
                <w:lang w:eastAsia="ru-RU"/>
              </w:rPr>
              <w:t>Clase 3: Líquidos inflamables</w:t>
            </w:r>
          </w:p>
        </w:tc>
      </w:tr>
      <w:tr w:rsidR="008F1D6F" w:rsidRPr="00CB1E16" w:rsidTr="008F1D6F">
        <w:trPr>
          <w:cantSplit/>
        </w:trPr>
        <w:tc>
          <w:tcPr>
            <w:tcW w:w="880"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3</w:t>
            </w:r>
          </w:p>
        </w:tc>
        <w:tc>
          <w:tcPr>
            <w:tcW w:w="2268" w:type="dxa"/>
            <w:shd w:val="clear" w:color="auto" w:fill="auto"/>
          </w:tcPr>
          <w:p w:rsidR="008F1D6F" w:rsidRPr="00CB1E16" w:rsidRDefault="008F1D6F" w:rsidP="008F1D6F">
            <w:pPr>
              <w:keepNext/>
              <w:keepLines/>
              <w:autoSpaceDE w:val="0"/>
              <w:autoSpaceDN w:val="0"/>
              <w:adjustRightInd w:val="0"/>
              <w:spacing w:before="60" w:after="60"/>
              <w:jc w:val="center"/>
              <w:rPr>
                <w:sz w:val="18"/>
                <w:szCs w:val="18"/>
                <w:lang w:eastAsia="ru-RU"/>
              </w:rPr>
            </w:pPr>
            <w:r w:rsidRPr="00CB1E16">
              <w:rPr>
                <w:sz w:val="18"/>
                <w:szCs w:val="18"/>
                <w:lang w:eastAsia="ru-RU"/>
              </w:rPr>
              <w:t>-</w:t>
            </w:r>
          </w:p>
        </w:tc>
        <w:tc>
          <w:tcPr>
            <w:tcW w:w="1559" w:type="dxa"/>
            <w:shd w:val="clear" w:color="auto" w:fill="auto"/>
          </w:tcPr>
          <w:p w:rsidR="008F1D6F" w:rsidRPr="00CB1E16" w:rsidRDefault="008F1D6F" w:rsidP="008F1D6F">
            <w:pPr>
              <w:keepNext/>
              <w:keepLines/>
              <w:autoSpaceDE w:val="0"/>
              <w:autoSpaceDN w:val="0"/>
              <w:adjustRightInd w:val="0"/>
              <w:spacing w:before="60" w:after="60"/>
              <w:jc w:val="center"/>
              <w:rPr>
                <w:sz w:val="18"/>
                <w:szCs w:val="18"/>
                <w:lang w:eastAsia="ru-RU"/>
              </w:rPr>
            </w:pPr>
            <w:r w:rsidRPr="00CB1E16">
              <w:rPr>
                <w:sz w:val="18"/>
                <w:szCs w:val="18"/>
                <w:lang w:eastAsia="ru-RU"/>
              </w:rPr>
              <w:t>Llama: negro o blanco</w:t>
            </w:r>
          </w:p>
        </w:tc>
        <w:tc>
          <w:tcPr>
            <w:tcW w:w="992"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Rojo</w:t>
            </w:r>
          </w:p>
        </w:tc>
        <w:tc>
          <w:tcPr>
            <w:tcW w:w="2268"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3</w:t>
            </w:r>
            <w:r w:rsidRPr="00CB1E16">
              <w:rPr>
                <w:sz w:val="18"/>
                <w:szCs w:val="18"/>
                <w:lang w:eastAsia="ru-RU"/>
              </w:rPr>
              <w:br/>
              <w:t>(negro o blanco)</w:t>
            </w:r>
          </w:p>
        </w:tc>
        <w:tc>
          <w:tcPr>
            <w:tcW w:w="1772" w:type="dxa"/>
            <w:shd w:val="clear" w:color="auto" w:fill="auto"/>
            <w:vAlign w:val="center"/>
          </w:tcPr>
          <w:p w:rsidR="008F1D6F" w:rsidRPr="00CB1E16" w:rsidRDefault="008F1D6F" w:rsidP="008F1D6F">
            <w:pPr>
              <w:spacing w:before="60" w:after="60"/>
              <w:jc w:val="center"/>
              <w:rPr>
                <w:b/>
                <w:sz w:val="18"/>
                <w:szCs w:val="18"/>
                <w:lang w:eastAsia="ru-RU"/>
              </w:rPr>
            </w:pPr>
            <w:r w:rsidRPr="00CB1E16">
              <w:rPr>
                <w:rFonts w:eastAsia="SimSun"/>
                <w:noProof/>
                <w:sz w:val="18"/>
                <w:szCs w:val="18"/>
                <w:lang w:val="en-GB" w:eastAsia="en-GB"/>
              </w:rPr>
              <w:drawing>
                <wp:inline distT="0" distB="0" distL="0" distR="0" wp14:anchorId="27015658" wp14:editId="795A440F">
                  <wp:extent cx="854075" cy="854075"/>
                  <wp:effectExtent l="19050" t="0" r="3175" b="0"/>
                  <wp:docPr id="88"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ouge3_noir"/>
                          <pic:cNvPicPr>
                            <a:picLocks noChangeAspect="1" noChangeArrowheads="1"/>
                          </pic:cNvPicPr>
                        </pic:nvPicPr>
                        <pic:blipFill>
                          <a:blip r:embed="rId26"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c>
          <w:tcPr>
            <w:tcW w:w="1772" w:type="dxa"/>
            <w:shd w:val="clear" w:color="auto" w:fill="auto"/>
            <w:vAlign w:val="center"/>
          </w:tcPr>
          <w:p w:rsidR="008F1D6F" w:rsidRPr="00CB1E16" w:rsidRDefault="008F1D6F" w:rsidP="008F1D6F">
            <w:pPr>
              <w:spacing w:before="60" w:after="60"/>
              <w:jc w:val="center"/>
              <w:rPr>
                <w:b/>
                <w:sz w:val="18"/>
                <w:szCs w:val="18"/>
                <w:lang w:eastAsia="ru-RU"/>
              </w:rPr>
            </w:pPr>
            <w:r w:rsidRPr="00CB1E16">
              <w:rPr>
                <w:rFonts w:eastAsia="SimSun"/>
                <w:noProof/>
                <w:sz w:val="18"/>
                <w:szCs w:val="18"/>
                <w:lang w:val="en-GB" w:eastAsia="en-GB"/>
              </w:rPr>
              <w:drawing>
                <wp:inline distT="0" distB="0" distL="0" distR="0" wp14:anchorId="7BBFB080" wp14:editId="03E32740">
                  <wp:extent cx="854075" cy="854075"/>
                  <wp:effectExtent l="19050" t="0" r="3175" b="0"/>
                  <wp:docPr id="89"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ouge3"/>
                          <pic:cNvPicPr>
                            <a:picLocks noChangeAspect="1" noChangeArrowheads="1"/>
                          </pic:cNvPicPr>
                        </pic:nvPicPr>
                        <pic:blipFill>
                          <a:blip r:embed="rId27"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c>
          <w:tcPr>
            <w:tcW w:w="1417" w:type="dxa"/>
            <w:shd w:val="clear" w:color="auto" w:fill="auto"/>
          </w:tcPr>
          <w:p w:rsidR="008F1D6F" w:rsidRPr="00CB1E16" w:rsidRDefault="008F1D6F" w:rsidP="008F1D6F">
            <w:pPr>
              <w:spacing w:before="60" w:after="60"/>
              <w:jc w:val="center"/>
              <w:rPr>
                <w:b/>
                <w:sz w:val="18"/>
                <w:szCs w:val="18"/>
                <w:lang w:eastAsia="ru-RU"/>
              </w:rPr>
            </w:pPr>
            <w:r>
              <w:rPr>
                <w:b/>
                <w:sz w:val="18"/>
                <w:szCs w:val="18"/>
                <w:lang w:eastAsia="ru-RU"/>
              </w:rPr>
              <w:t>-</w:t>
            </w:r>
          </w:p>
        </w:tc>
      </w:tr>
      <w:tr w:rsidR="008F1D6F" w:rsidRPr="00CB1E16" w:rsidTr="00F3652F">
        <w:trPr>
          <w:cantSplit/>
        </w:trPr>
        <w:tc>
          <w:tcPr>
            <w:tcW w:w="12928" w:type="dxa"/>
            <w:gridSpan w:val="8"/>
            <w:shd w:val="clear" w:color="auto" w:fill="auto"/>
          </w:tcPr>
          <w:p w:rsidR="008F1D6F" w:rsidRDefault="008F1D6F" w:rsidP="008F1D6F">
            <w:pPr>
              <w:spacing w:before="60" w:after="60"/>
              <w:jc w:val="center"/>
              <w:rPr>
                <w:b/>
                <w:sz w:val="18"/>
                <w:szCs w:val="18"/>
                <w:lang w:eastAsia="ru-RU"/>
              </w:rPr>
            </w:pPr>
            <w:r w:rsidRPr="00CB1E16">
              <w:rPr>
                <w:b/>
                <w:sz w:val="18"/>
                <w:szCs w:val="18"/>
                <w:lang w:eastAsia="ru-RU"/>
              </w:rPr>
              <w:t>Clase 4: Sólidos inflamables, sustancias que presentan riesgo de combustión espontánea y sustancias que,</w:t>
            </w:r>
            <w:r w:rsidRPr="00CB1E16">
              <w:rPr>
                <w:b/>
                <w:sz w:val="18"/>
                <w:szCs w:val="18"/>
                <w:lang w:eastAsia="ru-RU"/>
              </w:rPr>
              <w:br/>
              <w:t>en contacto con el agua, desprenden gases inflamables</w:t>
            </w:r>
          </w:p>
        </w:tc>
      </w:tr>
      <w:tr w:rsidR="008F1D6F" w:rsidRPr="00CB1E16" w:rsidTr="00F3652F">
        <w:trPr>
          <w:cantSplit/>
        </w:trPr>
        <w:tc>
          <w:tcPr>
            <w:tcW w:w="880"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4.1</w:t>
            </w:r>
          </w:p>
        </w:tc>
        <w:tc>
          <w:tcPr>
            <w:tcW w:w="2268"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División 4.1:</w:t>
            </w:r>
            <w:r w:rsidRPr="00CB1E16">
              <w:rPr>
                <w:sz w:val="18"/>
                <w:szCs w:val="18"/>
                <w:lang w:eastAsia="ru-RU"/>
              </w:rPr>
              <w:br/>
              <w:t>Sólidos inflamables, sustancias que reaccionan espontáneamente, explosivos sólidos insensibilizados</w:t>
            </w:r>
            <w:r w:rsidRPr="00CB1E16">
              <w:rPr>
                <w:sz w:val="18"/>
                <w:szCs w:val="18"/>
                <w:lang w:eastAsia="ru-RU"/>
              </w:rPr>
              <w:br/>
              <w:t>y sustancias polimerizantes</w:t>
            </w:r>
          </w:p>
        </w:tc>
        <w:tc>
          <w:tcPr>
            <w:tcW w:w="1559"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Llama: negro</w:t>
            </w:r>
          </w:p>
        </w:tc>
        <w:tc>
          <w:tcPr>
            <w:tcW w:w="992"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 xml:space="preserve">Blanco con </w:t>
            </w:r>
            <w:r>
              <w:rPr>
                <w:sz w:val="18"/>
                <w:szCs w:val="18"/>
                <w:lang w:eastAsia="ru-RU"/>
              </w:rPr>
              <w:t xml:space="preserve">7 </w:t>
            </w:r>
            <w:r w:rsidRPr="00CB1E16">
              <w:rPr>
                <w:spacing w:val="-2"/>
                <w:sz w:val="18"/>
                <w:szCs w:val="18"/>
              </w:rPr>
              <w:t>f</w:t>
            </w:r>
            <w:r w:rsidRPr="00CB1E16">
              <w:rPr>
                <w:spacing w:val="1"/>
                <w:sz w:val="18"/>
                <w:szCs w:val="18"/>
              </w:rPr>
              <w:t>ra</w:t>
            </w:r>
            <w:r w:rsidRPr="00CB1E16">
              <w:rPr>
                <w:spacing w:val="-1"/>
                <w:sz w:val="18"/>
                <w:szCs w:val="18"/>
              </w:rPr>
              <w:t>n</w:t>
            </w:r>
            <w:r w:rsidRPr="00CB1E16">
              <w:rPr>
                <w:spacing w:val="2"/>
                <w:sz w:val="18"/>
                <w:szCs w:val="18"/>
              </w:rPr>
              <w:t>j</w:t>
            </w:r>
            <w:r w:rsidRPr="00CB1E16">
              <w:rPr>
                <w:sz w:val="18"/>
                <w:szCs w:val="18"/>
              </w:rPr>
              <w:t>as</w:t>
            </w:r>
            <w:r w:rsidRPr="00CB1E16">
              <w:rPr>
                <w:spacing w:val="-5"/>
                <w:sz w:val="18"/>
                <w:szCs w:val="18"/>
              </w:rPr>
              <w:t xml:space="preserve"> </w:t>
            </w:r>
            <w:r w:rsidRPr="00CB1E16">
              <w:rPr>
                <w:spacing w:val="-1"/>
                <w:sz w:val="18"/>
                <w:szCs w:val="18"/>
              </w:rPr>
              <w:t>v</w:t>
            </w:r>
            <w:r w:rsidRPr="00CB1E16">
              <w:rPr>
                <w:sz w:val="18"/>
                <w:szCs w:val="18"/>
              </w:rPr>
              <w:t>e</w:t>
            </w:r>
            <w:r w:rsidRPr="00CB1E16">
              <w:rPr>
                <w:spacing w:val="1"/>
                <w:sz w:val="18"/>
                <w:szCs w:val="18"/>
              </w:rPr>
              <w:t>r</w:t>
            </w:r>
            <w:r w:rsidRPr="00CB1E16">
              <w:rPr>
                <w:sz w:val="18"/>
                <w:szCs w:val="18"/>
              </w:rPr>
              <w:t>ti</w:t>
            </w:r>
            <w:r w:rsidRPr="00CB1E16">
              <w:rPr>
                <w:spacing w:val="1"/>
                <w:sz w:val="18"/>
                <w:szCs w:val="18"/>
              </w:rPr>
              <w:t>ca</w:t>
            </w:r>
            <w:r w:rsidRPr="00CB1E16">
              <w:rPr>
                <w:sz w:val="18"/>
                <w:szCs w:val="18"/>
              </w:rPr>
              <w:t>l</w:t>
            </w:r>
            <w:r w:rsidRPr="00CB1E16">
              <w:rPr>
                <w:spacing w:val="1"/>
                <w:sz w:val="18"/>
                <w:szCs w:val="18"/>
              </w:rPr>
              <w:t>es</w:t>
            </w:r>
            <w:r w:rsidRPr="00CB1E16">
              <w:rPr>
                <w:sz w:val="18"/>
                <w:szCs w:val="18"/>
                <w:lang w:eastAsia="ru-RU"/>
              </w:rPr>
              <w:t xml:space="preserve"> rojas</w:t>
            </w:r>
          </w:p>
        </w:tc>
        <w:tc>
          <w:tcPr>
            <w:tcW w:w="2268" w:type="dxa"/>
            <w:shd w:val="clear" w:color="auto" w:fill="auto"/>
          </w:tcPr>
          <w:p w:rsidR="008F1D6F" w:rsidRPr="00CB1E16" w:rsidRDefault="008F1D6F" w:rsidP="008F1D6F">
            <w:pPr>
              <w:keepNext/>
              <w:keepLines/>
              <w:spacing w:before="60" w:after="60"/>
              <w:jc w:val="center"/>
              <w:rPr>
                <w:sz w:val="18"/>
                <w:szCs w:val="18"/>
                <w:lang w:eastAsia="ru-RU"/>
              </w:rPr>
            </w:pPr>
            <w:r w:rsidRPr="00CB1E16">
              <w:rPr>
                <w:sz w:val="18"/>
                <w:szCs w:val="18"/>
                <w:lang w:eastAsia="ru-RU"/>
              </w:rPr>
              <w:t>4</w:t>
            </w:r>
            <w:r w:rsidRPr="00CB1E16">
              <w:rPr>
                <w:sz w:val="18"/>
                <w:szCs w:val="18"/>
                <w:lang w:eastAsia="ru-RU"/>
              </w:rPr>
              <w:br/>
              <w:t>(negro)</w:t>
            </w:r>
          </w:p>
        </w:tc>
        <w:tc>
          <w:tcPr>
            <w:tcW w:w="3544" w:type="dxa"/>
            <w:gridSpan w:val="2"/>
            <w:shd w:val="clear" w:color="auto" w:fill="auto"/>
            <w:vAlign w:val="center"/>
          </w:tcPr>
          <w:p w:rsidR="008F1D6F" w:rsidRPr="00CB1E16" w:rsidRDefault="008F1D6F" w:rsidP="008F1D6F">
            <w:pPr>
              <w:spacing w:before="60" w:after="60"/>
              <w:jc w:val="center"/>
              <w:rPr>
                <w:rFonts w:eastAsia="SimSun"/>
                <w:noProof/>
                <w:sz w:val="18"/>
                <w:szCs w:val="18"/>
              </w:rPr>
            </w:pPr>
            <w:r w:rsidRPr="00CB1E16">
              <w:rPr>
                <w:rFonts w:eastAsia="SimSun"/>
                <w:noProof/>
                <w:sz w:val="18"/>
                <w:szCs w:val="18"/>
                <w:lang w:val="en-GB" w:eastAsia="en-GB"/>
              </w:rPr>
              <w:drawing>
                <wp:inline distT="0" distB="0" distL="0" distR="0" wp14:anchorId="6F870FC6" wp14:editId="2B751338">
                  <wp:extent cx="888365" cy="880110"/>
                  <wp:effectExtent l="19050" t="0" r="6985" b="0"/>
                  <wp:docPr id="84"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tripes"/>
                          <pic:cNvPicPr>
                            <a:picLocks noChangeAspect="1" noChangeArrowheads="1"/>
                          </pic:cNvPicPr>
                        </pic:nvPicPr>
                        <pic:blipFill>
                          <a:blip r:embed="rId28" cstate="print"/>
                          <a:srcRect/>
                          <a:stretch>
                            <a:fillRect/>
                          </a:stretch>
                        </pic:blipFill>
                        <pic:spPr bwMode="auto">
                          <a:xfrm>
                            <a:off x="0" y="0"/>
                            <a:ext cx="888365" cy="880110"/>
                          </a:xfrm>
                          <a:prstGeom prst="rect">
                            <a:avLst/>
                          </a:prstGeom>
                          <a:noFill/>
                          <a:ln w="9525">
                            <a:noFill/>
                            <a:miter lim="800000"/>
                            <a:headEnd/>
                            <a:tailEnd/>
                          </a:ln>
                        </pic:spPr>
                      </pic:pic>
                    </a:graphicData>
                  </a:graphic>
                </wp:inline>
              </w:drawing>
            </w:r>
          </w:p>
        </w:tc>
        <w:tc>
          <w:tcPr>
            <w:tcW w:w="1417" w:type="dxa"/>
            <w:shd w:val="clear" w:color="auto" w:fill="auto"/>
          </w:tcPr>
          <w:p w:rsidR="008F1D6F" w:rsidRDefault="008F1D6F" w:rsidP="008F1D6F">
            <w:pPr>
              <w:spacing w:before="60" w:after="60"/>
              <w:jc w:val="center"/>
              <w:rPr>
                <w:b/>
                <w:sz w:val="18"/>
                <w:szCs w:val="18"/>
                <w:lang w:eastAsia="ru-RU"/>
              </w:rPr>
            </w:pPr>
            <w:r>
              <w:rPr>
                <w:b/>
                <w:sz w:val="18"/>
                <w:szCs w:val="18"/>
                <w:lang w:eastAsia="ru-RU"/>
              </w:rPr>
              <w:t>-</w:t>
            </w:r>
          </w:p>
        </w:tc>
      </w:tr>
      <w:tr w:rsidR="008F1D6F" w:rsidRPr="00CB1E16" w:rsidTr="00F3652F">
        <w:trPr>
          <w:cantSplit/>
        </w:trPr>
        <w:tc>
          <w:tcPr>
            <w:tcW w:w="880"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4.2</w:t>
            </w:r>
          </w:p>
        </w:tc>
        <w:tc>
          <w:tcPr>
            <w:tcW w:w="2268"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División 4.2:</w:t>
            </w:r>
            <w:r w:rsidRPr="00CB1E16">
              <w:rPr>
                <w:sz w:val="18"/>
                <w:szCs w:val="18"/>
                <w:lang w:eastAsia="ru-RU"/>
              </w:rPr>
              <w:br/>
              <w:t>Sustancias que presentan riesgo de combustión espontánea</w:t>
            </w:r>
          </w:p>
        </w:tc>
        <w:tc>
          <w:tcPr>
            <w:tcW w:w="1559"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Llama: negro</w:t>
            </w:r>
          </w:p>
        </w:tc>
        <w:tc>
          <w:tcPr>
            <w:tcW w:w="992"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Mitad superior blanco, mitad inferior rojo</w:t>
            </w:r>
          </w:p>
        </w:tc>
        <w:tc>
          <w:tcPr>
            <w:tcW w:w="2268"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4</w:t>
            </w:r>
            <w:r w:rsidRPr="00CB1E16">
              <w:rPr>
                <w:sz w:val="18"/>
                <w:szCs w:val="18"/>
                <w:lang w:eastAsia="ru-RU"/>
              </w:rPr>
              <w:br/>
              <w:t>(negro)</w:t>
            </w:r>
          </w:p>
        </w:tc>
        <w:tc>
          <w:tcPr>
            <w:tcW w:w="3544" w:type="dxa"/>
            <w:gridSpan w:val="2"/>
            <w:shd w:val="clear" w:color="auto" w:fill="auto"/>
            <w:vAlign w:val="center"/>
          </w:tcPr>
          <w:p w:rsidR="008F1D6F" w:rsidRPr="00CB1E16" w:rsidRDefault="008F1D6F" w:rsidP="008F1D6F">
            <w:pPr>
              <w:spacing w:before="60" w:after="60"/>
              <w:jc w:val="center"/>
              <w:rPr>
                <w:rFonts w:eastAsia="SimSun"/>
                <w:noProof/>
                <w:sz w:val="18"/>
                <w:szCs w:val="18"/>
              </w:rPr>
            </w:pPr>
            <w:r w:rsidRPr="00CB1E16">
              <w:rPr>
                <w:rFonts w:eastAsia="SimSun"/>
                <w:noProof/>
                <w:sz w:val="18"/>
                <w:szCs w:val="18"/>
                <w:lang w:val="en-GB" w:eastAsia="en-GB"/>
              </w:rPr>
              <w:drawing>
                <wp:inline distT="0" distB="0" distL="0" distR="0" wp14:anchorId="6C6436BB" wp14:editId="5B949885">
                  <wp:extent cx="871220" cy="880110"/>
                  <wp:effectExtent l="19050" t="0" r="5080" b="0"/>
                  <wp:docPr id="85"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an-red"/>
                          <pic:cNvPicPr>
                            <a:picLocks noChangeAspect="1" noChangeArrowheads="1"/>
                          </pic:cNvPicPr>
                        </pic:nvPicPr>
                        <pic:blipFill>
                          <a:blip r:embed="rId29" cstate="print"/>
                          <a:srcRect/>
                          <a:stretch>
                            <a:fillRect/>
                          </a:stretch>
                        </pic:blipFill>
                        <pic:spPr bwMode="auto">
                          <a:xfrm>
                            <a:off x="0" y="0"/>
                            <a:ext cx="871220" cy="880110"/>
                          </a:xfrm>
                          <a:prstGeom prst="rect">
                            <a:avLst/>
                          </a:prstGeom>
                          <a:noFill/>
                          <a:ln w="9525">
                            <a:noFill/>
                            <a:miter lim="800000"/>
                            <a:headEnd/>
                            <a:tailEnd/>
                          </a:ln>
                        </pic:spPr>
                      </pic:pic>
                    </a:graphicData>
                  </a:graphic>
                </wp:inline>
              </w:drawing>
            </w:r>
          </w:p>
        </w:tc>
        <w:tc>
          <w:tcPr>
            <w:tcW w:w="1417" w:type="dxa"/>
            <w:shd w:val="clear" w:color="auto" w:fill="auto"/>
          </w:tcPr>
          <w:p w:rsidR="008F1D6F" w:rsidRDefault="008F1D6F" w:rsidP="008F1D6F">
            <w:pPr>
              <w:spacing w:before="60" w:after="60"/>
              <w:jc w:val="center"/>
              <w:rPr>
                <w:b/>
                <w:sz w:val="18"/>
                <w:szCs w:val="18"/>
                <w:lang w:eastAsia="ru-RU"/>
              </w:rPr>
            </w:pPr>
            <w:r>
              <w:rPr>
                <w:b/>
                <w:sz w:val="18"/>
                <w:szCs w:val="18"/>
                <w:lang w:eastAsia="ru-RU"/>
              </w:rPr>
              <w:t>-</w:t>
            </w:r>
          </w:p>
        </w:tc>
      </w:tr>
      <w:tr w:rsidR="008F1D6F" w:rsidRPr="00CB1E16" w:rsidTr="00F3652F">
        <w:trPr>
          <w:cantSplit/>
        </w:trPr>
        <w:tc>
          <w:tcPr>
            <w:tcW w:w="880"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4.3</w:t>
            </w:r>
          </w:p>
        </w:tc>
        <w:tc>
          <w:tcPr>
            <w:tcW w:w="2268"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División 4.3:</w:t>
            </w:r>
            <w:r w:rsidRPr="00CB1E16">
              <w:rPr>
                <w:sz w:val="18"/>
                <w:szCs w:val="18"/>
                <w:lang w:eastAsia="ru-RU"/>
              </w:rPr>
              <w:br/>
              <w:t>Sustancias que, en contacto con el agua, desprenden gases inflamables</w:t>
            </w:r>
          </w:p>
        </w:tc>
        <w:tc>
          <w:tcPr>
            <w:tcW w:w="1559"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Llama: negro o blanco</w:t>
            </w:r>
          </w:p>
        </w:tc>
        <w:tc>
          <w:tcPr>
            <w:tcW w:w="992"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Azul</w:t>
            </w:r>
          </w:p>
        </w:tc>
        <w:tc>
          <w:tcPr>
            <w:tcW w:w="2268" w:type="dxa"/>
            <w:shd w:val="clear" w:color="auto" w:fill="auto"/>
          </w:tcPr>
          <w:p w:rsidR="008F1D6F" w:rsidRPr="00CB1E16" w:rsidRDefault="008F1D6F" w:rsidP="008F1D6F">
            <w:pPr>
              <w:spacing w:before="60" w:after="60"/>
              <w:jc w:val="center"/>
              <w:rPr>
                <w:sz w:val="18"/>
                <w:szCs w:val="18"/>
                <w:lang w:eastAsia="ru-RU"/>
              </w:rPr>
            </w:pPr>
            <w:r w:rsidRPr="00CB1E16">
              <w:rPr>
                <w:sz w:val="18"/>
                <w:szCs w:val="18"/>
                <w:lang w:eastAsia="ru-RU"/>
              </w:rPr>
              <w:t>4</w:t>
            </w:r>
            <w:r w:rsidRPr="00CB1E16">
              <w:rPr>
                <w:sz w:val="18"/>
                <w:szCs w:val="18"/>
                <w:lang w:eastAsia="ru-RU"/>
              </w:rPr>
              <w:br/>
              <w:t>(negro o blanco)</w:t>
            </w:r>
          </w:p>
        </w:tc>
        <w:tc>
          <w:tcPr>
            <w:tcW w:w="1772" w:type="dxa"/>
            <w:shd w:val="clear" w:color="auto" w:fill="auto"/>
            <w:vAlign w:val="center"/>
          </w:tcPr>
          <w:p w:rsidR="008F1D6F" w:rsidRPr="00CB1E16" w:rsidRDefault="008F1D6F" w:rsidP="008F1D6F">
            <w:pPr>
              <w:spacing w:before="60" w:after="60"/>
              <w:jc w:val="center"/>
              <w:rPr>
                <w:rFonts w:eastAsia="SimSun"/>
                <w:noProof/>
                <w:sz w:val="18"/>
                <w:szCs w:val="18"/>
              </w:rPr>
            </w:pPr>
            <w:r w:rsidRPr="00CB1E16">
              <w:rPr>
                <w:rFonts w:eastAsia="SimSun"/>
                <w:noProof/>
                <w:sz w:val="18"/>
                <w:szCs w:val="18"/>
                <w:lang w:val="en-GB" w:eastAsia="en-GB"/>
              </w:rPr>
              <w:drawing>
                <wp:inline distT="0" distB="0" distL="0" distR="0" wp14:anchorId="72A27F53" wp14:editId="5EFB7E00">
                  <wp:extent cx="888365" cy="888365"/>
                  <wp:effectExtent l="19050" t="0" r="6985" b="0"/>
                  <wp:docPr id="86"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eu4_noir"/>
                          <pic:cNvPicPr>
                            <a:picLocks noChangeAspect="1" noChangeArrowheads="1"/>
                          </pic:cNvPicPr>
                        </pic:nvPicPr>
                        <pic:blipFill>
                          <a:blip r:embed="rId30"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1772" w:type="dxa"/>
            <w:shd w:val="clear" w:color="auto" w:fill="auto"/>
            <w:vAlign w:val="center"/>
          </w:tcPr>
          <w:p w:rsidR="008F1D6F" w:rsidRPr="00CB1E16" w:rsidRDefault="008F1D6F" w:rsidP="008F1D6F">
            <w:pPr>
              <w:spacing w:before="60" w:after="60"/>
              <w:jc w:val="center"/>
              <w:rPr>
                <w:rFonts w:eastAsia="SimSun"/>
                <w:noProof/>
                <w:sz w:val="18"/>
                <w:szCs w:val="18"/>
              </w:rPr>
            </w:pPr>
            <w:r w:rsidRPr="00CB1E16">
              <w:rPr>
                <w:rFonts w:eastAsia="SimSun"/>
                <w:noProof/>
                <w:sz w:val="18"/>
                <w:szCs w:val="18"/>
                <w:lang w:val="en-GB" w:eastAsia="en-GB"/>
              </w:rPr>
              <w:drawing>
                <wp:inline distT="0" distB="0" distL="0" distR="0" wp14:anchorId="24CEBE86" wp14:editId="2A6FD4FA">
                  <wp:extent cx="888365" cy="888365"/>
                  <wp:effectExtent l="19050" t="0" r="6985" b="0"/>
                  <wp:docPr id="87"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eu4"/>
                          <pic:cNvPicPr>
                            <a:picLocks noChangeAspect="1" noChangeArrowheads="1"/>
                          </pic:cNvPicPr>
                        </pic:nvPicPr>
                        <pic:blipFill>
                          <a:blip r:embed="rId31"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1417" w:type="dxa"/>
            <w:shd w:val="clear" w:color="auto" w:fill="auto"/>
          </w:tcPr>
          <w:p w:rsidR="008F1D6F" w:rsidRDefault="008F1D6F" w:rsidP="008F1D6F">
            <w:pPr>
              <w:spacing w:before="60" w:after="60"/>
              <w:jc w:val="center"/>
              <w:rPr>
                <w:b/>
                <w:sz w:val="18"/>
                <w:szCs w:val="18"/>
                <w:lang w:eastAsia="ru-RU"/>
              </w:rPr>
            </w:pPr>
            <w:r>
              <w:rPr>
                <w:b/>
                <w:sz w:val="18"/>
                <w:szCs w:val="18"/>
                <w:lang w:eastAsia="ru-RU"/>
              </w:rPr>
              <w:t>-</w:t>
            </w:r>
          </w:p>
        </w:tc>
      </w:tr>
    </w:tbl>
    <w:p w:rsidR="008F1D6F" w:rsidRDefault="008F1D6F">
      <w:pPr>
        <w:spacing w:line="240" w:lineRule="auto"/>
        <w:rPr>
          <w:b/>
          <w:sz w:val="18"/>
          <w:szCs w:val="18"/>
          <w:lang w:eastAsia="ru-RU"/>
        </w:rPr>
      </w:pPr>
    </w:p>
    <w:p w:rsidR="008F1D6F" w:rsidRDefault="008F1D6F">
      <w:pPr>
        <w:spacing w:line="240" w:lineRule="auto"/>
        <w:rPr>
          <w:b/>
          <w:sz w:val="18"/>
          <w:szCs w:val="18"/>
          <w:lang w:eastAsia="ru-RU"/>
        </w:rPr>
      </w:pPr>
    </w:p>
    <w:p w:rsidR="00FC62A8" w:rsidRDefault="00FC62A8">
      <w:pPr>
        <w:spacing w:line="240" w:lineRule="auto"/>
        <w:rPr>
          <w:b/>
          <w:sz w:val="18"/>
          <w:szCs w:val="18"/>
          <w:lang w:eastAsia="ru-RU"/>
        </w:rPr>
      </w:pPr>
      <w:r>
        <w:rPr>
          <w:b/>
          <w:sz w:val="18"/>
          <w:szCs w:val="18"/>
          <w:lang w:eastAsia="ru-RU"/>
        </w:rPr>
        <w:br w:type="page"/>
      </w:r>
    </w:p>
    <w:p w:rsidR="005546EB" w:rsidRDefault="005546EB">
      <w:pPr>
        <w:spacing w:line="240" w:lineRule="auto"/>
        <w:rPr>
          <w:b/>
          <w:sz w:val="18"/>
          <w:szCs w:val="18"/>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3"/>
        <w:gridCol w:w="1582"/>
        <w:gridCol w:w="1540"/>
        <w:gridCol w:w="1302"/>
        <w:gridCol w:w="1359"/>
        <w:gridCol w:w="1727"/>
        <w:gridCol w:w="1606"/>
        <w:gridCol w:w="2929"/>
      </w:tblGrid>
      <w:tr w:rsidR="00637A26" w:rsidRPr="005546EB" w:rsidTr="00637A26">
        <w:trPr>
          <w:cantSplit/>
        </w:trPr>
        <w:tc>
          <w:tcPr>
            <w:tcW w:w="883" w:type="dxa"/>
            <w:shd w:val="clear" w:color="auto" w:fill="auto"/>
            <w:vAlign w:val="center"/>
          </w:tcPr>
          <w:p w:rsidR="00FC62A8" w:rsidRPr="005546EB" w:rsidRDefault="00FC62A8" w:rsidP="005546EB">
            <w:pPr>
              <w:spacing w:before="60" w:after="60"/>
              <w:jc w:val="center"/>
              <w:rPr>
                <w:b/>
                <w:sz w:val="18"/>
                <w:szCs w:val="18"/>
                <w:lang w:eastAsia="ru-RU"/>
              </w:rPr>
            </w:pPr>
            <w:r w:rsidRPr="005546EB">
              <w:rPr>
                <w:b/>
                <w:sz w:val="18"/>
                <w:szCs w:val="18"/>
                <w:lang w:eastAsia="ru-RU"/>
              </w:rPr>
              <w:t>N</w:t>
            </w:r>
            <w:r w:rsidR="005546EB">
              <w:rPr>
                <w:b/>
                <w:sz w:val="18"/>
                <w:szCs w:val="18"/>
                <w:lang w:eastAsia="ru-RU"/>
              </w:rPr>
              <w:t>úm.</w:t>
            </w:r>
            <w:r w:rsidRPr="005546EB">
              <w:rPr>
                <w:b/>
                <w:sz w:val="18"/>
                <w:szCs w:val="18"/>
                <w:lang w:eastAsia="ru-RU"/>
              </w:rPr>
              <w:t xml:space="preserve"> de modelo de etiqueta</w:t>
            </w:r>
          </w:p>
        </w:tc>
        <w:tc>
          <w:tcPr>
            <w:tcW w:w="1582" w:type="dxa"/>
            <w:shd w:val="clear" w:color="auto" w:fill="auto"/>
            <w:vAlign w:val="center"/>
          </w:tcPr>
          <w:p w:rsidR="00FC62A8" w:rsidRPr="005546EB" w:rsidRDefault="00FC62A8" w:rsidP="00637A26">
            <w:pPr>
              <w:spacing w:before="60" w:after="60"/>
              <w:jc w:val="center"/>
              <w:rPr>
                <w:b/>
                <w:sz w:val="18"/>
                <w:szCs w:val="18"/>
                <w:lang w:eastAsia="ru-RU"/>
              </w:rPr>
            </w:pPr>
            <w:r w:rsidRPr="005546EB">
              <w:rPr>
                <w:b/>
                <w:sz w:val="18"/>
                <w:szCs w:val="18"/>
                <w:lang w:eastAsia="ru-RU"/>
              </w:rPr>
              <w:t xml:space="preserve">División o </w:t>
            </w:r>
            <w:r w:rsidR="00637A26">
              <w:rPr>
                <w:b/>
                <w:sz w:val="18"/>
                <w:szCs w:val="18"/>
                <w:lang w:eastAsia="ru-RU"/>
              </w:rPr>
              <w:br/>
              <w:t>c</w:t>
            </w:r>
            <w:r w:rsidRPr="005546EB">
              <w:rPr>
                <w:b/>
                <w:sz w:val="18"/>
                <w:szCs w:val="18"/>
                <w:lang w:eastAsia="ru-RU"/>
              </w:rPr>
              <w:t>ategoría</w:t>
            </w:r>
          </w:p>
        </w:tc>
        <w:tc>
          <w:tcPr>
            <w:tcW w:w="1540" w:type="dxa"/>
            <w:shd w:val="clear" w:color="auto" w:fill="auto"/>
            <w:vAlign w:val="center"/>
          </w:tcPr>
          <w:p w:rsidR="00FC62A8" w:rsidRPr="005546EB" w:rsidRDefault="00FC62A8" w:rsidP="005546EB">
            <w:pPr>
              <w:spacing w:before="60" w:after="60"/>
              <w:jc w:val="center"/>
              <w:rPr>
                <w:b/>
                <w:sz w:val="18"/>
                <w:szCs w:val="18"/>
                <w:lang w:eastAsia="ru-RU"/>
              </w:rPr>
            </w:pPr>
            <w:r w:rsidRPr="005546EB">
              <w:rPr>
                <w:b/>
                <w:sz w:val="18"/>
                <w:szCs w:val="18"/>
                <w:lang w:eastAsia="ru-RU"/>
              </w:rPr>
              <w:t>Símbolo y color del</w:t>
            </w:r>
            <w:r w:rsidR="005546EB">
              <w:rPr>
                <w:b/>
                <w:sz w:val="18"/>
                <w:szCs w:val="18"/>
                <w:lang w:eastAsia="ru-RU"/>
              </w:rPr>
              <w:t> </w:t>
            </w:r>
            <w:r w:rsidRPr="005546EB">
              <w:rPr>
                <w:b/>
                <w:sz w:val="18"/>
                <w:szCs w:val="18"/>
                <w:lang w:eastAsia="ru-RU"/>
              </w:rPr>
              <w:t xml:space="preserve">símbolo </w:t>
            </w:r>
          </w:p>
        </w:tc>
        <w:tc>
          <w:tcPr>
            <w:tcW w:w="1302" w:type="dxa"/>
            <w:shd w:val="clear" w:color="auto" w:fill="auto"/>
            <w:vAlign w:val="center"/>
          </w:tcPr>
          <w:p w:rsidR="00FC62A8" w:rsidRPr="005546EB" w:rsidRDefault="00FC62A8" w:rsidP="00232FA4">
            <w:pPr>
              <w:spacing w:before="60" w:after="60"/>
              <w:jc w:val="center"/>
              <w:rPr>
                <w:b/>
                <w:sz w:val="18"/>
                <w:szCs w:val="18"/>
                <w:lang w:eastAsia="ru-RU"/>
              </w:rPr>
            </w:pPr>
            <w:r w:rsidRPr="005546EB">
              <w:rPr>
                <w:b/>
                <w:sz w:val="18"/>
                <w:szCs w:val="18"/>
                <w:lang w:eastAsia="ru-RU"/>
              </w:rPr>
              <w:t>Fondo</w:t>
            </w:r>
          </w:p>
        </w:tc>
        <w:tc>
          <w:tcPr>
            <w:tcW w:w="1359" w:type="dxa"/>
            <w:shd w:val="clear" w:color="auto" w:fill="auto"/>
            <w:vAlign w:val="center"/>
          </w:tcPr>
          <w:p w:rsidR="00FC62A8" w:rsidRPr="005546EB" w:rsidRDefault="00FC62A8" w:rsidP="005546EB">
            <w:pPr>
              <w:spacing w:before="60" w:after="60"/>
              <w:jc w:val="center"/>
              <w:rPr>
                <w:b/>
                <w:sz w:val="18"/>
                <w:szCs w:val="18"/>
                <w:lang w:eastAsia="ru-RU"/>
              </w:rPr>
            </w:pPr>
            <w:r w:rsidRPr="005546EB">
              <w:rPr>
                <w:b/>
                <w:sz w:val="18"/>
                <w:szCs w:val="18"/>
                <w:lang w:eastAsia="ru-RU"/>
              </w:rPr>
              <w:t>Cifra en la esquina inferior (y color de</w:t>
            </w:r>
            <w:r w:rsidR="005546EB">
              <w:rPr>
                <w:b/>
                <w:sz w:val="18"/>
                <w:szCs w:val="18"/>
                <w:lang w:eastAsia="ru-RU"/>
              </w:rPr>
              <w:t> </w:t>
            </w:r>
            <w:r w:rsidRPr="005546EB">
              <w:rPr>
                <w:b/>
                <w:sz w:val="18"/>
                <w:szCs w:val="18"/>
                <w:lang w:eastAsia="ru-RU"/>
              </w:rPr>
              <w:t>la</w:t>
            </w:r>
            <w:r w:rsidR="005546EB">
              <w:rPr>
                <w:b/>
                <w:sz w:val="18"/>
                <w:szCs w:val="18"/>
                <w:lang w:eastAsia="ru-RU"/>
              </w:rPr>
              <w:t> </w:t>
            </w:r>
            <w:r w:rsidRPr="005546EB">
              <w:rPr>
                <w:b/>
                <w:sz w:val="18"/>
                <w:szCs w:val="18"/>
                <w:lang w:eastAsia="ru-RU"/>
              </w:rPr>
              <w:t>cifra)</w:t>
            </w:r>
          </w:p>
        </w:tc>
        <w:tc>
          <w:tcPr>
            <w:tcW w:w="3333" w:type="dxa"/>
            <w:gridSpan w:val="2"/>
            <w:shd w:val="clear" w:color="auto" w:fill="auto"/>
            <w:vAlign w:val="center"/>
          </w:tcPr>
          <w:p w:rsidR="00FC62A8" w:rsidRPr="005546EB" w:rsidRDefault="00FC62A8" w:rsidP="00232FA4">
            <w:pPr>
              <w:spacing w:before="60" w:after="60"/>
              <w:jc w:val="center"/>
              <w:rPr>
                <w:b/>
                <w:sz w:val="18"/>
                <w:szCs w:val="18"/>
                <w:lang w:eastAsia="ru-RU"/>
              </w:rPr>
            </w:pPr>
            <w:r w:rsidRPr="005546EB">
              <w:rPr>
                <w:b/>
                <w:sz w:val="18"/>
                <w:szCs w:val="18"/>
                <w:lang w:eastAsia="ru-RU"/>
              </w:rPr>
              <w:t>Modelos de etiquetas</w:t>
            </w:r>
          </w:p>
        </w:tc>
        <w:tc>
          <w:tcPr>
            <w:tcW w:w="2929" w:type="dxa"/>
            <w:shd w:val="clear" w:color="auto" w:fill="auto"/>
            <w:vAlign w:val="center"/>
          </w:tcPr>
          <w:p w:rsidR="00FC62A8" w:rsidRPr="005546EB" w:rsidRDefault="00FC62A8" w:rsidP="00232FA4">
            <w:pPr>
              <w:spacing w:before="60" w:after="60"/>
              <w:jc w:val="center"/>
              <w:rPr>
                <w:b/>
                <w:sz w:val="18"/>
                <w:szCs w:val="18"/>
                <w:lang w:eastAsia="ru-RU"/>
              </w:rPr>
            </w:pPr>
            <w:r w:rsidRPr="005546EB">
              <w:rPr>
                <w:b/>
                <w:sz w:val="18"/>
                <w:szCs w:val="18"/>
                <w:lang w:eastAsia="ru-RU"/>
              </w:rPr>
              <w:t>Nota</w:t>
            </w:r>
          </w:p>
        </w:tc>
      </w:tr>
      <w:tr w:rsidR="00FC62A8" w:rsidRPr="005546EB" w:rsidTr="00232FA4">
        <w:trPr>
          <w:cantSplit/>
        </w:trPr>
        <w:tc>
          <w:tcPr>
            <w:tcW w:w="12928" w:type="dxa"/>
            <w:gridSpan w:val="8"/>
            <w:shd w:val="clear" w:color="auto" w:fill="auto"/>
            <w:vAlign w:val="center"/>
          </w:tcPr>
          <w:p w:rsidR="00FC62A8" w:rsidRPr="005546EB" w:rsidRDefault="00FC62A8" w:rsidP="00232FA4">
            <w:pPr>
              <w:spacing w:before="60" w:after="60"/>
              <w:jc w:val="center"/>
              <w:rPr>
                <w:b/>
                <w:sz w:val="18"/>
                <w:szCs w:val="18"/>
                <w:lang w:eastAsia="ru-RU"/>
              </w:rPr>
            </w:pPr>
            <w:r w:rsidRPr="005546EB">
              <w:rPr>
                <w:b/>
                <w:sz w:val="18"/>
                <w:szCs w:val="18"/>
                <w:lang w:eastAsia="ru-RU"/>
              </w:rPr>
              <w:t>Clase 5: Sustancias comburentes y peróxidos orgánicos</w:t>
            </w:r>
          </w:p>
        </w:tc>
      </w:tr>
      <w:tr w:rsidR="005546EB" w:rsidRPr="005546EB" w:rsidTr="00637A26">
        <w:trPr>
          <w:cantSplit/>
        </w:trPr>
        <w:tc>
          <w:tcPr>
            <w:tcW w:w="883" w:type="dxa"/>
            <w:shd w:val="clear" w:color="auto" w:fill="auto"/>
          </w:tcPr>
          <w:p w:rsidR="00FC62A8" w:rsidRPr="005546EB" w:rsidRDefault="00FC62A8" w:rsidP="00FC62A8">
            <w:pPr>
              <w:keepNext/>
              <w:keepLines/>
              <w:spacing w:before="60" w:after="60"/>
              <w:jc w:val="center"/>
              <w:rPr>
                <w:sz w:val="18"/>
                <w:szCs w:val="18"/>
                <w:lang w:eastAsia="ru-RU"/>
              </w:rPr>
            </w:pPr>
            <w:r w:rsidRPr="005546EB">
              <w:rPr>
                <w:sz w:val="18"/>
                <w:szCs w:val="18"/>
                <w:lang w:eastAsia="ru-RU"/>
              </w:rPr>
              <w:t>5.1</w:t>
            </w:r>
          </w:p>
        </w:tc>
        <w:tc>
          <w:tcPr>
            <w:tcW w:w="1582" w:type="dxa"/>
            <w:shd w:val="clear" w:color="auto" w:fill="auto"/>
          </w:tcPr>
          <w:p w:rsidR="00FC62A8" w:rsidRPr="005546EB" w:rsidRDefault="00FC62A8" w:rsidP="00FC62A8">
            <w:pPr>
              <w:keepNext/>
              <w:keepLines/>
              <w:spacing w:before="60" w:after="60"/>
              <w:jc w:val="center"/>
              <w:rPr>
                <w:sz w:val="18"/>
                <w:szCs w:val="18"/>
                <w:lang w:eastAsia="ru-RU"/>
              </w:rPr>
            </w:pPr>
            <w:r w:rsidRPr="005546EB">
              <w:rPr>
                <w:sz w:val="18"/>
                <w:szCs w:val="18"/>
                <w:lang w:eastAsia="ru-RU"/>
              </w:rPr>
              <w:t>División 5.1:</w:t>
            </w:r>
            <w:r w:rsidRPr="005546EB">
              <w:rPr>
                <w:sz w:val="18"/>
                <w:szCs w:val="18"/>
                <w:lang w:eastAsia="ru-RU"/>
              </w:rPr>
              <w:br/>
              <w:t>Sustancias comburentes</w:t>
            </w:r>
          </w:p>
        </w:tc>
        <w:tc>
          <w:tcPr>
            <w:tcW w:w="1540" w:type="dxa"/>
            <w:shd w:val="clear" w:color="auto" w:fill="auto"/>
          </w:tcPr>
          <w:p w:rsidR="00FC62A8" w:rsidRPr="005546EB" w:rsidRDefault="00FC62A8" w:rsidP="00FC62A8">
            <w:pPr>
              <w:keepNext/>
              <w:keepLines/>
              <w:spacing w:before="60" w:after="60"/>
              <w:jc w:val="center"/>
              <w:rPr>
                <w:sz w:val="18"/>
                <w:szCs w:val="18"/>
                <w:lang w:eastAsia="ru-RU"/>
              </w:rPr>
            </w:pPr>
            <w:r w:rsidRPr="005546EB">
              <w:rPr>
                <w:sz w:val="18"/>
                <w:szCs w:val="18"/>
                <w:lang w:eastAsia="ru-RU"/>
              </w:rPr>
              <w:t>Llama sobre un círculo: negro</w:t>
            </w:r>
          </w:p>
        </w:tc>
        <w:tc>
          <w:tcPr>
            <w:tcW w:w="1302" w:type="dxa"/>
            <w:shd w:val="clear" w:color="auto" w:fill="auto"/>
          </w:tcPr>
          <w:p w:rsidR="00FC62A8" w:rsidRPr="005546EB" w:rsidRDefault="00FC62A8" w:rsidP="00FC62A8">
            <w:pPr>
              <w:keepNext/>
              <w:keepLines/>
              <w:spacing w:before="60" w:after="60"/>
              <w:jc w:val="center"/>
              <w:rPr>
                <w:sz w:val="18"/>
                <w:szCs w:val="18"/>
                <w:lang w:eastAsia="ru-RU"/>
              </w:rPr>
            </w:pPr>
            <w:r w:rsidRPr="005546EB">
              <w:rPr>
                <w:sz w:val="18"/>
                <w:szCs w:val="18"/>
                <w:lang w:eastAsia="ru-RU"/>
              </w:rPr>
              <w:t>Amarillo</w:t>
            </w:r>
          </w:p>
        </w:tc>
        <w:tc>
          <w:tcPr>
            <w:tcW w:w="1359" w:type="dxa"/>
            <w:shd w:val="clear" w:color="auto" w:fill="auto"/>
          </w:tcPr>
          <w:p w:rsidR="00FC62A8" w:rsidRPr="005546EB" w:rsidRDefault="00FC62A8" w:rsidP="00FC62A8">
            <w:pPr>
              <w:keepNext/>
              <w:keepLines/>
              <w:spacing w:before="60" w:after="60"/>
              <w:jc w:val="center"/>
              <w:rPr>
                <w:sz w:val="18"/>
                <w:szCs w:val="18"/>
                <w:lang w:eastAsia="ru-RU"/>
              </w:rPr>
            </w:pPr>
            <w:r w:rsidRPr="005546EB">
              <w:rPr>
                <w:sz w:val="18"/>
                <w:szCs w:val="18"/>
                <w:lang w:eastAsia="ru-RU"/>
              </w:rPr>
              <w:t>5.1</w:t>
            </w:r>
            <w:r w:rsidRPr="005546EB">
              <w:rPr>
                <w:sz w:val="18"/>
                <w:szCs w:val="18"/>
                <w:lang w:eastAsia="ru-RU"/>
              </w:rPr>
              <w:br/>
              <w:t>(negro)</w:t>
            </w:r>
          </w:p>
        </w:tc>
        <w:tc>
          <w:tcPr>
            <w:tcW w:w="3333" w:type="dxa"/>
            <w:gridSpan w:val="2"/>
            <w:shd w:val="clear" w:color="auto" w:fill="auto"/>
            <w:vAlign w:val="center"/>
          </w:tcPr>
          <w:p w:rsidR="00FC62A8" w:rsidRPr="005546EB" w:rsidRDefault="00FC62A8" w:rsidP="00FC62A8">
            <w:pPr>
              <w:keepNext/>
              <w:keepLines/>
              <w:spacing w:before="60" w:after="60"/>
              <w:jc w:val="center"/>
              <w:rPr>
                <w:rFonts w:ascii="Arial" w:hAnsi="Arial" w:cs="Arial"/>
                <w:sz w:val="18"/>
                <w:szCs w:val="18"/>
                <w:lang w:eastAsia="ru-RU"/>
              </w:rPr>
            </w:pPr>
            <w:r w:rsidRPr="005546EB">
              <w:rPr>
                <w:rFonts w:eastAsia="SimSun"/>
                <w:noProof/>
                <w:sz w:val="18"/>
                <w:szCs w:val="18"/>
                <w:lang w:val="en-GB" w:eastAsia="en-GB"/>
              </w:rPr>
              <w:drawing>
                <wp:inline distT="0" distB="0" distL="0" distR="0" wp14:anchorId="04309D41" wp14:editId="580D69C1">
                  <wp:extent cx="854075" cy="854075"/>
                  <wp:effectExtent l="19050" t="0" r="3175" b="0"/>
                  <wp:docPr id="75"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aune5-1"/>
                          <pic:cNvPicPr>
                            <a:picLocks noChangeAspect="1" noChangeArrowheads="1"/>
                          </pic:cNvPicPr>
                        </pic:nvPicPr>
                        <pic:blipFill>
                          <a:blip r:embed="rId32"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c>
          <w:tcPr>
            <w:tcW w:w="2929" w:type="dxa"/>
            <w:shd w:val="clear" w:color="auto" w:fill="auto"/>
          </w:tcPr>
          <w:p w:rsidR="00FC62A8" w:rsidRPr="005546EB" w:rsidRDefault="00FC62A8" w:rsidP="00FC62A8">
            <w:pPr>
              <w:keepNext/>
              <w:keepLines/>
              <w:spacing w:before="60" w:after="60"/>
              <w:jc w:val="center"/>
              <w:rPr>
                <w:rFonts w:ascii="Arial" w:hAnsi="Arial" w:cs="Arial"/>
                <w:sz w:val="18"/>
                <w:szCs w:val="18"/>
                <w:lang w:eastAsia="ru-RU"/>
              </w:rPr>
            </w:pPr>
            <w:r w:rsidRPr="005546EB">
              <w:rPr>
                <w:rFonts w:ascii="Arial" w:hAnsi="Arial" w:cs="Arial"/>
                <w:sz w:val="18"/>
                <w:szCs w:val="18"/>
                <w:lang w:eastAsia="ru-RU"/>
              </w:rPr>
              <w:t>-</w:t>
            </w:r>
          </w:p>
        </w:tc>
      </w:tr>
      <w:tr w:rsidR="005546EB" w:rsidRPr="005546EB" w:rsidTr="00637A26">
        <w:trPr>
          <w:cantSplit/>
        </w:trPr>
        <w:tc>
          <w:tcPr>
            <w:tcW w:w="883"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5.2</w:t>
            </w:r>
          </w:p>
        </w:tc>
        <w:tc>
          <w:tcPr>
            <w:tcW w:w="1582"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División 5.2:</w:t>
            </w:r>
            <w:r w:rsidRPr="005546EB">
              <w:rPr>
                <w:sz w:val="18"/>
                <w:szCs w:val="18"/>
                <w:lang w:eastAsia="ru-RU"/>
              </w:rPr>
              <w:br/>
              <w:t>Peróxidos orgánicos</w:t>
            </w:r>
          </w:p>
        </w:tc>
        <w:tc>
          <w:tcPr>
            <w:tcW w:w="1540"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Llama: negro o blanco</w:t>
            </w:r>
          </w:p>
        </w:tc>
        <w:tc>
          <w:tcPr>
            <w:tcW w:w="1302" w:type="dxa"/>
            <w:shd w:val="clear" w:color="auto" w:fill="auto"/>
          </w:tcPr>
          <w:p w:rsidR="00FC62A8" w:rsidRPr="005546EB" w:rsidRDefault="00FC62A8" w:rsidP="005546EB">
            <w:pPr>
              <w:spacing w:before="60" w:after="60"/>
              <w:jc w:val="center"/>
              <w:rPr>
                <w:sz w:val="18"/>
                <w:szCs w:val="18"/>
                <w:lang w:eastAsia="ru-RU"/>
              </w:rPr>
            </w:pPr>
            <w:r w:rsidRPr="005546EB">
              <w:rPr>
                <w:sz w:val="18"/>
                <w:szCs w:val="18"/>
                <w:lang w:eastAsia="ru-RU"/>
              </w:rPr>
              <w:t>Mitad superior rojo, mitad inferior amarillo</w:t>
            </w:r>
          </w:p>
        </w:tc>
        <w:tc>
          <w:tcPr>
            <w:tcW w:w="1359"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5.2</w:t>
            </w:r>
            <w:r w:rsidRPr="005546EB">
              <w:rPr>
                <w:sz w:val="18"/>
                <w:szCs w:val="18"/>
                <w:lang w:eastAsia="ru-RU"/>
              </w:rPr>
              <w:br/>
              <w:t>(negro)</w:t>
            </w:r>
          </w:p>
        </w:tc>
        <w:tc>
          <w:tcPr>
            <w:tcW w:w="1727" w:type="dxa"/>
            <w:shd w:val="clear" w:color="auto" w:fill="auto"/>
          </w:tcPr>
          <w:p w:rsidR="00FC62A8" w:rsidRPr="005546EB" w:rsidRDefault="00FC62A8" w:rsidP="00FC62A8">
            <w:pPr>
              <w:keepNext/>
              <w:keepLines/>
              <w:spacing w:before="60" w:after="60"/>
              <w:jc w:val="center"/>
              <w:rPr>
                <w:rFonts w:ascii="Arial" w:hAnsi="Arial" w:cs="Arial"/>
                <w:sz w:val="18"/>
                <w:szCs w:val="18"/>
                <w:lang w:eastAsia="ru-RU"/>
              </w:rPr>
            </w:pPr>
            <w:r w:rsidRPr="005546EB">
              <w:rPr>
                <w:rFonts w:eastAsia="SimSun"/>
                <w:noProof/>
                <w:sz w:val="18"/>
                <w:szCs w:val="18"/>
                <w:lang w:val="en-GB" w:eastAsia="en-GB"/>
              </w:rPr>
              <w:drawing>
                <wp:inline distT="0" distB="0" distL="0" distR="0" wp14:anchorId="54B3EF41" wp14:editId="15EE6296">
                  <wp:extent cx="862330" cy="862330"/>
                  <wp:effectExtent l="1905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5-2red_noir"/>
                          <pic:cNvPicPr>
                            <a:picLocks noChangeAspect="1" noChangeArrowheads="1"/>
                          </pic:cNvPicPr>
                        </pic:nvPicPr>
                        <pic:blipFill>
                          <a:blip r:embed="rId33"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1606" w:type="dxa"/>
            <w:shd w:val="clear" w:color="auto" w:fill="auto"/>
          </w:tcPr>
          <w:p w:rsidR="00FC62A8" w:rsidRPr="005546EB" w:rsidRDefault="00FC62A8" w:rsidP="00FC62A8">
            <w:pPr>
              <w:keepNext/>
              <w:keepLines/>
              <w:spacing w:before="60" w:after="60"/>
              <w:rPr>
                <w:rFonts w:ascii="Arial" w:hAnsi="Arial" w:cs="Arial"/>
                <w:sz w:val="18"/>
                <w:szCs w:val="18"/>
                <w:lang w:eastAsia="ru-RU"/>
              </w:rPr>
            </w:pPr>
            <w:r w:rsidRPr="005546EB">
              <w:rPr>
                <w:rFonts w:eastAsia="SimSun"/>
                <w:noProof/>
                <w:sz w:val="18"/>
                <w:szCs w:val="18"/>
                <w:lang w:val="en-GB" w:eastAsia="en-GB"/>
              </w:rPr>
              <w:drawing>
                <wp:inline distT="0" distB="0" distL="0" distR="0" wp14:anchorId="4F5051C4" wp14:editId="575DA5E4">
                  <wp:extent cx="880110" cy="871220"/>
                  <wp:effectExtent l="1905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2red"/>
                          <pic:cNvPicPr>
                            <a:picLocks noChangeAspect="1" noChangeArrowheads="1"/>
                          </pic:cNvPicPr>
                        </pic:nvPicPr>
                        <pic:blipFill>
                          <a:blip r:embed="rId34" cstate="print"/>
                          <a:srcRect/>
                          <a:stretch>
                            <a:fillRect/>
                          </a:stretch>
                        </pic:blipFill>
                        <pic:spPr bwMode="auto">
                          <a:xfrm>
                            <a:off x="0" y="0"/>
                            <a:ext cx="880110" cy="871220"/>
                          </a:xfrm>
                          <a:prstGeom prst="rect">
                            <a:avLst/>
                          </a:prstGeom>
                          <a:noFill/>
                          <a:ln w="9525">
                            <a:noFill/>
                            <a:miter lim="800000"/>
                            <a:headEnd/>
                            <a:tailEnd/>
                          </a:ln>
                        </pic:spPr>
                      </pic:pic>
                    </a:graphicData>
                  </a:graphic>
                </wp:inline>
              </w:drawing>
            </w:r>
          </w:p>
        </w:tc>
        <w:tc>
          <w:tcPr>
            <w:tcW w:w="2929" w:type="dxa"/>
            <w:shd w:val="clear" w:color="auto" w:fill="auto"/>
          </w:tcPr>
          <w:p w:rsidR="00FC62A8" w:rsidRPr="005546EB" w:rsidRDefault="00FC62A8" w:rsidP="00FC62A8">
            <w:pPr>
              <w:keepNext/>
              <w:keepLines/>
              <w:spacing w:before="60" w:after="60"/>
              <w:jc w:val="center"/>
              <w:rPr>
                <w:rFonts w:ascii="Arial" w:hAnsi="Arial" w:cs="Arial"/>
                <w:sz w:val="18"/>
                <w:szCs w:val="18"/>
                <w:lang w:eastAsia="ru-RU"/>
              </w:rPr>
            </w:pPr>
            <w:r w:rsidRPr="005546EB">
              <w:rPr>
                <w:rFonts w:ascii="Arial" w:hAnsi="Arial" w:cs="Arial"/>
                <w:sz w:val="18"/>
                <w:szCs w:val="18"/>
                <w:lang w:eastAsia="ru-RU"/>
              </w:rPr>
              <w:t>-</w:t>
            </w:r>
          </w:p>
        </w:tc>
      </w:tr>
      <w:tr w:rsidR="00FC62A8" w:rsidRPr="005546EB" w:rsidTr="00232FA4">
        <w:trPr>
          <w:cantSplit/>
        </w:trPr>
        <w:tc>
          <w:tcPr>
            <w:tcW w:w="12928" w:type="dxa"/>
            <w:gridSpan w:val="8"/>
            <w:shd w:val="clear" w:color="auto" w:fill="auto"/>
            <w:vAlign w:val="center"/>
          </w:tcPr>
          <w:p w:rsidR="00FC62A8" w:rsidRPr="005546EB" w:rsidRDefault="00FC62A8" w:rsidP="00FC62A8">
            <w:pPr>
              <w:keepNext/>
              <w:keepLines/>
              <w:spacing w:before="60" w:after="60"/>
              <w:jc w:val="center"/>
              <w:rPr>
                <w:rFonts w:ascii="Arial" w:hAnsi="Arial" w:cs="Arial"/>
                <w:sz w:val="18"/>
                <w:szCs w:val="18"/>
                <w:lang w:eastAsia="ru-RU"/>
              </w:rPr>
            </w:pPr>
            <w:r w:rsidRPr="005546EB">
              <w:rPr>
                <w:b/>
                <w:sz w:val="18"/>
                <w:szCs w:val="18"/>
                <w:lang w:eastAsia="ru-RU"/>
              </w:rPr>
              <w:t>Clase 6: Sustancias tóxicas y sustancias infecciosas</w:t>
            </w:r>
          </w:p>
        </w:tc>
      </w:tr>
      <w:tr w:rsidR="005546EB" w:rsidRPr="005546EB" w:rsidTr="00637A26">
        <w:trPr>
          <w:cantSplit/>
        </w:trPr>
        <w:tc>
          <w:tcPr>
            <w:tcW w:w="883"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6.1</w:t>
            </w:r>
          </w:p>
        </w:tc>
        <w:tc>
          <w:tcPr>
            <w:tcW w:w="1582"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División 6.1:</w:t>
            </w:r>
            <w:r w:rsidRPr="005546EB">
              <w:rPr>
                <w:sz w:val="18"/>
                <w:szCs w:val="18"/>
                <w:lang w:eastAsia="ru-RU"/>
              </w:rPr>
              <w:br/>
              <w:t>Sustancias tóxicas</w:t>
            </w:r>
          </w:p>
        </w:tc>
        <w:tc>
          <w:tcPr>
            <w:tcW w:w="1540"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Calavera y tibias cruzadas: negro</w:t>
            </w:r>
          </w:p>
        </w:tc>
        <w:tc>
          <w:tcPr>
            <w:tcW w:w="1302"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Blanco</w:t>
            </w:r>
          </w:p>
        </w:tc>
        <w:tc>
          <w:tcPr>
            <w:tcW w:w="1359"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6</w:t>
            </w:r>
            <w:r w:rsidRPr="005546EB">
              <w:rPr>
                <w:sz w:val="18"/>
                <w:szCs w:val="18"/>
                <w:lang w:eastAsia="ru-RU"/>
              </w:rPr>
              <w:br/>
              <w:t>(negro)</w:t>
            </w:r>
          </w:p>
        </w:tc>
        <w:tc>
          <w:tcPr>
            <w:tcW w:w="3333" w:type="dxa"/>
            <w:gridSpan w:val="2"/>
            <w:shd w:val="clear" w:color="auto" w:fill="auto"/>
          </w:tcPr>
          <w:p w:rsidR="00FC62A8" w:rsidRPr="005546EB" w:rsidRDefault="00FC62A8" w:rsidP="00FC62A8">
            <w:pPr>
              <w:keepNext/>
              <w:keepLines/>
              <w:spacing w:before="60" w:after="60"/>
              <w:jc w:val="center"/>
              <w:rPr>
                <w:rFonts w:eastAsia="SimSun"/>
                <w:noProof/>
                <w:sz w:val="18"/>
                <w:szCs w:val="18"/>
              </w:rPr>
            </w:pPr>
            <w:r w:rsidRPr="005546EB">
              <w:rPr>
                <w:rFonts w:eastAsia="SimSun"/>
                <w:noProof/>
                <w:sz w:val="18"/>
                <w:szCs w:val="18"/>
                <w:lang w:val="en-GB" w:eastAsia="en-GB"/>
              </w:rPr>
              <w:drawing>
                <wp:inline distT="0" distB="0" distL="0" distR="0" wp14:anchorId="3ED764E3" wp14:editId="68463CB7">
                  <wp:extent cx="871220" cy="871220"/>
                  <wp:effectExtent l="19050" t="0" r="5080" b="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kull6"/>
                          <pic:cNvPicPr>
                            <a:picLocks noChangeAspect="1" noChangeArrowheads="1"/>
                          </pic:cNvPicPr>
                        </pic:nvPicPr>
                        <pic:blipFill>
                          <a:blip r:embed="rId35" cstate="print"/>
                          <a:srcRect/>
                          <a:stretch>
                            <a:fillRect/>
                          </a:stretch>
                        </pic:blipFill>
                        <pic:spPr bwMode="auto">
                          <a:xfrm>
                            <a:off x="0" y="0"/>
                            <a:ext cx="871220" cy="871220"/>
                          </a:xfrm>
                          <a:prstGeom prst="rect">
                            <a:avLst/>
                          </a:prstGeom>
                          <a:noFill/>
                          <a:ln w="9525">
                            <a:noFill/>
                            <a:miter lim="800000"/>
                            <a:headEnd/>
                            <a:tailEnd/>
                          </a:ln>
                        </pic:spPr>
                      </pic:pic>
                    </a:graphicData>
                  </a:graphic>
                </wp:inline>
              </w:drawing>
            </w:r>
          </w:p>
        </w:tc>
        <w:tc>
          <w:tcPr>
            <w:tcW w:w="2929" w:type="dxa"/>
            <w:shd w:val="clear" w:color="auto" w:fill="auto"/>
          </w:tcPr>
          <w:p w:rsidR="00FC62A8" w:rsidRPr="005546EB" w:rsidRDefault="00FC62A8" w:rsidP="00FC62A8">
            <w:pPr>
              <w:keepNext/>
              <w:keepLines/>
              <w:spacing w:before="60" w:after="60"/>
              <w:jc w:val="center"/>
              <w:rPr>
                <w:rFonts w:ascii="Arial" w:hAnsi="Arial" w:cs="Arial"/>
                <w:sz w:val="18"/>
                <w:szCs w:val="18"/>
                <w:lang w:eastAsia="ru-RU"/>
              </w:rPr>
            </w:pPr>
            <w:r w:rsidRPr="005546EB">
              <w:rPr>
                <w:rFonts w:ascii="Arial" w:hAnsi="Arial" w:cs="Arial"/>
                <w:sz w:val="18"/>
                <w:szCs w:val="18"/>
                <w:lang w:eastAsia="ru-RU"/>
              </w:rPr>
              <w:t>-</w:t>
            </w:r>
          </w:p>
        </w:tc>
      </w:tr>
      <w:tr w:rsidR="005546EB" w:rsidRPr="005546EB" w:rsidTr="00637A26">
        <w:trPr>
          <w:cantSplit/>
        </w:trPr>
        <w:tc>
          <w:tcPr>
            <w:tcW w:w="883"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6.2</w:t>
            </w:r>
          </w:p>
        </w:tc>
        <w:tc>
          <w:tcPr>
            <w:tcW w:w="1582"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División 6.2:</w:t>
            </w:r>
            <w:r w:rsidRPr="005546EB">
              <w:rPr>
                <w:sz w:val="18"/>
                <w:szCs w:val="18"/>
                <w:lang w:eastAsia="ru-RU"/>
              </w:rPr>
              <w:br/>
              <w:t>Sustancias infecciosas</w:t>
            </w:r>
          </w:p>
        </w:tc>
        <w:tc>
          <w:tcPr>
            <w:tcW w:w="1540"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Tres medias lunas sobre un círculo: negro</w:t>
            </w:r>
          </w:p>
        </w:tc>
        <w:tc>
          <w:tcPr>
            <w:tcW w:w="1302" w:type="dxa"/>
            <w:shd w:val="clear" w:color="auto" w:fill="auto"/>
          </w:tcPr>
          <w:p w:rsidR="00FC62A8" w:rsidRPr="005546EB" w:rsidRDefault="00FC62A8" w:rsidP="00FC62A8">
            <w:pPr>
              <w:spacing w:before="60" w:after="60"/>
              <w:jc w:val="center"/>
              <w:rPr>
                <w:sz w:val="18"/>
                <w:szCs w:val="18"/>
                <w:lang w:eastAsia="ru-RU"/>
              </w:rPr>
            </w:pPr>
            <w:r w:rsidRPr="005546EB">
              <w:rPr>
                <w:sz w:val="18"/>
                <w:szCs w:val="18"/>
                <w:lang w:eastAsia="ru-RU"/>
              </w:rPr>
              <w:t>Blanco</w:t>
            </w:r>
          </w:p>
        </w:tc>
        <w:tc>
          <w:tcPr>
            <w:tcW w:w="1359" w:type="dxa"/>
            <w:shd w:val="clear" w:color="auto" w:fill="auto"/>
          </w:tcPr>
          <w:p w:rsidR="00FC62A8" w:rsidRPr="005546EB" w:rsidRDefault="00FC62A8" w:rsidP="00FC62A8">
            <w:pPr>
              <w:tabs>
                <w:tab w:val="left" w:pos="1418"/>
                <w:tab w:val="left" w:pos="1496"/>
              </w:tabs>
              <w:spacing w:before="60" w:after="60"/>
              <w:jc w:val="center"/>
              <w:rPr>
                <w:rFonts w:ascii="Arial" w:hAnsi="Arial" w:cs="Arial"/>
                <w:sz w:val="18"/>
                <w:szCs w:val="18"/>
                <w:lang w:eastAsia="ru-RU"/>
              </w:rPr>
            </w:pPr>
            <w:r w:rsidRPr="005546EB">
              <w:rPr>
                <w:sz w:val="18"/>
                <w:szCs w:val="18"/>
                <w:lang w:eastAsia="ru-RU"/>
              </w:rPr>
              <w:t>6</w:t>
            </w:r>
            <w:r w:rsidRPr="005546EB">
              <w:rPr>
                <w:sz w:val="18"/>
                <w:szCs w:val="18"/>
                <w:lang w:eastAsia="ru-RU"/>
              </w:rPr>
              <w:br/>
              <w:t>(negro)</w:t>
            </w:r>
          </w:p>
        </w:tc>
        <w:tc>
          <w:tcPr>
            <w:tcW w:w="3333" w:type="dxa"/>
            <w:gridSpan w:val="2"/>
            <w:shd w:val="clear" w:color="auto" w:fill="auto"/>
          </w:tcPr>
          <w:p w:rsidR="00FC62A8" w:rsidRPr="005546EB" w:rsidRDefault="00FC62A8" w:rsidP="00FC62A8">
            <w:pPr>
              <w:keepNext/>
              <w:keepLines/>
              <w:spacing w:before="60" w:after="60"/>
              <w:jc w:val="center"/>
              <w:rPr>
                <w:rFonts w:eastAsia="SimSun"/>
                <w:noProof/>
                <w:sz w:val="18"/>
                <w:szCs w:val="18"/>
              </w:rPr>
            </w:pPr>
            <w:r w:rsidRPr="005546EB">
              <w:rPr>
                <w:rFonts w:eastAsia="SimSun"/>
                <w:noProof/>
                <w:sz w:val="18"/>
                <w:szCs w:val="18"/>
                <w:lang w:val="en-GB" w:eastAsia="en-GB"/>
              </w:rPr>
              <w:drawing>
                <wp:inline distT="0" distB="0" distL="0" distR="0" wp14:anchorId="308ECA4E" wp14:editId="70F3EEF2">
                  <wp:extent cx="862330" cy="862330"/>
                  <wp:effectExtent l="1905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6"/>
                          <pic:cNvPicPr>
                            <a:picLocks noChangeAspect="1" noChangeArrowheads="1"/>
                          </pic:cNvPicPr>
                        </pic:nvPicPr>
                        <pic:blipFill>
                          <a:blip r:embed="rId36"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2929" w:type="dxa"/>
            <w:shd w:val="clear" w:color="auto" w:fill="auto"/>
          </w:tcPr>
          <w:p w:rsidR="00FC62A8" w:rsidRPr="005546EB" w:rsidRDefault="00FC62A8" w:rsidP="005546EB">
            <w:pPr>
              <w:spacing w:before="60" w:after="60"/>
              <w:rPr>
                <w:sz w:val="18"/>
                <w:szCs w:val="18"/>
                <w:lang w:eastAsia="ru-RU"/>
              </w:rPr>
            </w:pPr>
            <w:r w:rsidRPr="005546EB">
              <w:rPr>
                <w:sz w:val="18"/>
                <w:szCs w:val="18"/>
                <w:lang w:eastAsia="ru-RU"/>
              </w:rPr>
              <w:t xml:space="preserve">La mitad inferior de la etiqueta podrá llevar las leyendas: “SUSTANCIA INFECCIOSA” y “En caso de daño, derrame o fuga, avísese inmediatamente a las autoridades sanitarias” en color negro </w:t>
            </w:r>
          </w:p>
        </w:tc>
      </w:tr>
    </w:tbl>
    <w:p w:rsidR="00AF4D43" w:rsidRDefault="00AF4D43" w:rsidP="00565AED">
      <w:pPr>
        <w:spacing w:before="60" w:after="60"/>
        <w:jc w:val="center"/>
        <w:rPr>
          <w:b/>
          <w:sz w:val="18"/>
          <w:szCs w:val="18"/>
          <w:lang w:eastAsia="ru-RU"/>
        </w:rPr>
      </w:pPr>
    </w:p>
    <w:p w:rsidR="00637A26" w:rsidRDefault="00637A26">
      <w:pPr>
        <w:spacing w:line="240" w:lineRule="auto"/>
        <w:rPr>
          <w:b/>
          <w:sz w:val="18"/>
          <w:szCs w:val="18"/>
          <w:lang w:eastAsia="ru-RU"/>
        </w:rPr>
      </w:pPr>
      <w:r>
        <w:rPr>
          <w:b/>
          <w:sz w:val="18"/>
          <w:szCs w:val="18"/>
          <w:lang w:eastAsia="ru-RU"/>
        </w:rP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883"/>
        <w:gridCol w:w="1582"/>
        <w:gridCol w:w="1540"/>
        <w:gridCol w:w="1701"/>
        <w:gridCol w:w="1644"/>
        <w:gridCol w:w="1985"/>
        <w:gridCol w:w="3572"/>
      </w:tblGrid>
      <w:tr w:rsidR="00637A26" w:rsidRPr="005546EB" w:rsidTr="00BB6E70">
        <w:trPr>
          <w:cantSplit/>
        </w:trPr>
        <w:tc>
          <w:tcPr>
            <w:tcW w:w="883"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lastRenderedPageBreak/>
              <w:t>N</w:t>
            </w:r>
            <w:r>
              <w:rPr>
                <w:b/>
                <w:sz w:val="18"/>
                <w:szCs w:val="18"/>
                <w:lang w:eastAsia="ru-RU"/>
              </w:rPr>
              <w:t>úm.</w:t>
            </w:r>
            <w:r w:rsidRPr="005546EB">
              <w:rPr>
                <w:b/>
                <w:sz w:val="18"/>
                <w:szCs w:val="18"/>
                <w:lang w:eastAsia="ru-RU"/>
              </w:rPr>
              <w:t xml:space="preserve"> de modelo de etiqueta</w:t>
            </w:r>
          </w:p>
        </w:tc>
        <w:tc>
          <w:tcPr>
            <w:tcW w:w="1582"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t xml:space="preserve">División o </w:t>
            </w:r>
            <w:r>
              <w:rPr>
                <w:b/>
                <w:sz w:val="18"/>
                <w:szCs w:val="18"/>
                <w:lang w:eastAsia="ru-RU"/>
              </w:rPr>
              <w:br/>
              <w:t>c</w:t>
            </w:r>
            <w:r w:rsidRPr="005546EB">
              <w:rPr>
                <w:b/>
                <w:sz w:val="18"/>
                <w:szCs w:val="18"/>
                <w:lang w:eastAsia="ru-RU"/>
              </w:rPr>
              <w:t>ategoría</w:t>
            </w:r>
          </w:p>
        </w:tc>
        <w:tc>
          <w:tcPr>
            <w:tcW w:w="1540"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t>Símbolo y color del</w:t>
            </w:r>
            <w:r>
              <w:rPr>
                <w:b/>
                <w:sz w:val="18"/>
                <w:szCs w:val="18"/>
                <w:lang w:eastAsia="ru-RU"/>
              </w:rPr>
              <w:t> </w:t>
            </w:r>
            <w:r w:rsidRPr="005546EB">
              <w:rPr>
                <w:b/>
                <w:sz w:val="18"/>
                <w:szCs w:val="18"/>
                <w:lang w:eastAsia="ru-RU"/>
              </w:rPr>
              <w:t xml:space="preserve">símbolo </w:t>
            </w:r>
          </w:p>
        </w:tc>
        <w:tc>
          <w:tcPr>
            <w:tcW w:w="1701"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t>Fondo</w:t>
            </w:r>
          </w:p>
        </w:tc>
        <w:tc>
          <w:tcPr>
            <w:tcW w:w="1644"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t>Cifra en la esquina inferior (y color de</w:t>
            </w:r>
            <w:r>
              <w:rPr>
                <w:b/>
                <w:sz w:val="18"/>
                <w:szCs w:val="18"/>
                <w:lang w:eastAsia="ru-RU"/>
              </w:rPr>
              <w:t> </w:t>
            </w:r>
            <w:r w:rsidRPr="005546EB">
              <w:rPr>
                <w:b/>
                <w:sz w:val="18"/>
                <w:szCs w:val="18"/>
                <w:lang w:eastAsia="ru-RU"/>
              </w:rPr>
              <w:t>la</w:t>
            </w:r>
            <w:r>
              <w:rPr>
                <w:b/>
                <w:sz w:val="18"/>
                <w:szCs w:val="18"/>
                <w:lang w:eastAsia="ru-RU"/>
              </w:rPr>
              <w:t> </w:t>
            </w:r>
            <w:r w:rsidRPr="005546EB">
              <w:rPr>
                <w:b/>
                <w:sz w:val="18"/>
                <w:szCs w:val="18"/>
                <w:lang w:eastAsia="ru-RU"/>
              </w:rPr>
              <w:t>cifra)</w:t>
            </w:r>
          </w:p>
        </w:tc>
        <w:tc>
          <w:tcPr>
            <w:tcW w:w="1985"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t>Modelos de etiquetas</w:t>
            </w:r>
          </w:p>
        </w:tc>
        <w:tc>
          <w:tcPr>
            <w:tcW w:w="3572" w:type="dxa"/>
            <w:shd w:val="clear" w:color="auto" w:fill="auto"/>
            <w:vAlign w:val="center"/>
          </w:tcPr>
          <w:p w:rsidR="00637A26" w:rsidRPr="005546EB" w:rsidRDefault="00637A26" w:rsidP="00232FA4">
            <w:pPr>
              <w:spacing w:before="60" w:after="60"/>
              <w:jc w:val="center"/>
              <w:rPr>
                <w:b/>
                <w:sz w:val="18"/>
                <w:szCs w:val="18"/>
                <w:lang w:eastAsia="ru-RU"/>
              </w:rPr>
            </w:pPr>
            <w:r w:rsidRPr="005546EB">
              <w:rPr>
                <w:b/>
                <w:sz w:val="18"/>
                <w:szCs w:val="18"/>
                <w:lang w:eastAsia="ru-RU"/>
              </w:rPr>
              <w:t>Nota</w:t>
            </w:r>
          </w:p>
        </w:tc>
      </w:tr>
      <w:tr w:rsidR="00402521" w:rsidRPr="005546EB" w:rsidTr="00BB6E70">
        <w:trPr>
          <w:cantSplit/>
        </w:trPr>
        <w:tc>
          <w:tcPr>
            <w:tcW w:w="1644" w:type="dxa"/>
            <w:gridSpan w:val="7"/>
            <w:shd w:val="clear" w:color="auto" w:fill="auto"/>
          </w:tcPr>
          <w:p w:rsidR="00402521" w:rsidRPr="00402521" w:rsidRDefault="00402521" w:rsidP="00402521">
            <w:pPr>
              <w:keepNext/>
              <w:keepLines/>
              <w:tabs>
                <w:tab w:val="left" w:pos="239"/>
              </w:tabs>
              <w:spacing w:before="60" w:after="60"/>
              <w:jc w:val="center"/>
              <w:rPr>
                <w:b/>
                <w:sz w:val="18"/>
                <w:szCs w:val="18"/>
                <w:lang w:eastAsia="ru-RU"/>
              </w:rPr>
            </w:pPr>
            <w:r>
              <w:rPr>
                <w:b/>
                <w:sz w:val="18"/>
                <w:szCs w:val="18"/>
                <w:lang w:eastAsia="ru-RU"/>
              </w:rPr>
              <w:t>Clase 7: Material radiactivo</w:t>
            </w:r>
          </w:p>
        </w:tc>
      </w:tr>
      <w:tr w:rsidR="00637A26" w:rsidRPr="005546EB" w:rsidTr="00BB6E70">
        <w:trPr>
          <w:cantSplit/>
        </w:trPr>
        <w:tc>
          <w:tcPr>
            <w:tcW w:w="883" w:type="dxa"/>
            <w:shd w:val="clear" w:color="auto" w:fill="auto"/>
          </w:tcPr>
          <w:p w:rsidR="00637A26" w:rsidRPr="00637A26" w:rsidRDefault="00637A26" w:rsidP="00637A26">
            <w:pPr>
              <w:keepNext/>
              <w:keepLines/>
              <w:spacing w:before="60" w:after="60"/>
              <w:jc w:val="center"/>
              <w:rPr>
                <w:sz w:val="18"/>
                <w:szCs w:val="18"/>
                <w:lang w:eastAsia="ru-RU"/>
              </w:rPr>
            </w:pPr>
            <w:r w:rsidRPr="00637A26">
              <w:rPr>
                <w:sz w:val="18"/>
                <w:szCs w:val="18"/>
                <w:lang w:eastAsia="ru-RU"/>
              </w:rPr>
              <w:t>7A</w:t>
            </w:r>
          </w:p>
        </w:tc>
        <w:tc>
          <w:tcPr>
            <w:tcW w:w="1582" w:type="dxa"/>
            <w:shd w:val="clear" w:color="auto" w:fill="auto"/>
          </w:tcPr>
          <w:p w:rsidR="00637A26" w:rsidRPr="00637A26" w:rsidRDefault="00637A26" w:rsidP="00637A26">
            <w:pPr>
              <w:keepNext/>
              <w:keepLines/>
              <w:spacing w:before="60" w:after="60"/>
              <w:jc w:val="center"/>
              <w:rPr>
                <w:sz w:val="18"/>
                <w:szCs w:val="18"/>
                <w:lang w:eastAsia="ru-RU"/>
              </w:rPr>
            </w:pPr>
            <w:r w:rsidRPr="00637A26">
              <w:rPr>
                <w:sz w:val="18"/>
                <w:szCs w:val="18"/>
                <w:lang w:eastAsia="ru-RU"/>
              </w:rPr>
              <w:t>Categoría I</w:t>
            </w:r>
          </w:p>
        </w:tc>
        <w:tc>
          <w:tcPr>
            <w:tcW w:w="1540" w:type="dxa"/>
            <w:shd w:val="clear" w:color="auto" w:fill="auto"/>
          </w:tcPr>
          <w:p w:rsidR="00637A26" w:rsidRPr="00637A26" w:rsidRDefault="00637A26" w:rsidP="00637A26">
            <w:pPr>
              <w:keepNext/>
              <w:keepLines/>
              <w:spacing w:before="60" w:after="60"/>
              <w:jc w:val="center"/>
              <w:rPr>
                <w:sz w:val="18"/>
                <w:szCs w:val="18"/>
                <w:lang w:eastAsia="ru-RU"/>
              </w:rPr>
            </w:pPr>
            <w:r w:rsidRPr="00637A26">
              <w:rPr>
                <w:sz w:val="18"/>
                <w:szCs w:val="18"/>
                <w:lang w:eastAsia="ru-RU"/>
              </w:rPr>
              <w:t>Trébol: negro</w:t>
            </w:r>
          </w:p>
        </w:tc>
        <w:tc>
          <w:tcPr>
            <w:tcW w:w="1701" w:type="dxa"/>
            <w:shd w:val="clear" w:color="auto" w:fill="auto"/>
          </w:tcPr>
          <w:p w:rsidR="00637A26" w:rsidRPr="00637A26" w:rsidRDefault="00637A26" w:rsidP="00637A26">
            <w:pPr>
              <w:keepNext/>
              <w:keepLines/>
              <w:tabs>
                <w:tab w:val="left" w:pos="1418"/>
                <w:tab w:val="left" w:pos="1496"/>
              </w:tabs>
              <w:spacing w:before="60" w:after="60"/>
              <w:jc w:val="center"/>
              <w:rPr>
                <w:sz w:val="18"/>
                <w:szCs w:val="18"/>
                <w:lang w:eastAsia="ru-RU"/>
              </w:rPr>
            </w:pPr>
            <w:r w:rsidRPr="00637A26">
              <w:rPr>
                <w:sz w:val="18"/>
                <w:szCs w:val="18"/>
                <w:lang w:eastAsia="ru-RU"/>
              </w:rPr>
              <w:t>Blanco</w:t>
            </w:r>
          </w:p>
        </w:tc>
        <w:tc>
          <w:tcPr>
            <w:tcW w:w="1644" w:type="dxa"/>
            <w:shd w:val="clear" w:color="auto" w:fill="auto"/>
          </w:tcPr>
          <w:p w:rsidR="00637A26" w:rsidRPr="00637A26" w:rsidRDefault="00637A26" w:rsidP="001F1400">
            <w:pPr>
              <w:keepNext/>
              <w:keepLines/>
              <w:spacing w:before="60" w:after="60"/>
              <w:jc w:val="center"/>
              <w:rPr>
                <w:sz w:val="18"/>
                <w:szCs w:val="18"/>
                <w:lang w:eastAsia="ru-RU"/>
              </w:rPr>
            </w:pPr>
            <w:r w:rsidRPr="00637A26">
              <w:rPr>
                <w:sz w:val="18"/>
                <w:szCs w:val="18"/>
                <w:lang w:eastAsia="ru-RU"/>
              </w:rPr>
              <w:t>7</w:t>
            </w:r>
            <w:r>
              <w:rPr>
                <w:sz w:val="18"/>
                <w:szCs w:val="18"/>
                <w:lang w:eastAsia="ru-RU"/>
              </w:rPr>
              <w:br/>
            </w:r>
            <w:r w:rsidRPr="00637A26">
              <w:rPr>
                <w:sz w:val="18"/>
                <w:szCs w:val="18"/>
                <w:lang w:eastAsia="ru-RU"/>
              </w:rPr>
              <w:t>(negro)</w:t>
            </w:r>
          </w:p>
        </w:tc>
        <w:tc>
          <w:tcPr>
            <w:tcW w:w="1985" w:type="dxa"/>
            <w:shd w:val="clear" w:color="auto" w:fill="auto"/>
            <w:vAlign w:val="center"/>
          </w:tcPr>
          <w:p w:rsidR="00637A26" w:rsidRPr="005546EB" w:rsidRDefault="00637A26" w:rsidP="00637A26">
            <w:pPr>
              <w:spacing w:before="60" w:after="60"/>
              <w:jc w:val="center"/>
              <w:rPr>
                <w:b/>
                <w:sz w:val="18"/>
                <w:szCs w:val="18"/>
                <w:lang w:eastAsia="ru-RU"/>
              </w:rPr>
            </w:pPr>
            <w:r w:rsidRPr="00637A26">
              <w:rPr>
                <w:rFonts w:eastAsia="SimSun"/>
                <w:noProof/>
                <w:sz w:val="18"/>
                <w:szCs w:val="18"/>
                <w:lang w:val="en-GB" w:eastAsia="en-GB"/>
              </w:rPr>
              <w:drawing>
                <wp:inline distT="0" distB="0" distL="0" distR="0" wp14:anchorId="63D2E9F9" wp14:editId="2D66EEFE">
                  <wp:extent cx="888365" cy="888365"/>
                  <wp:effectExtent l="19050" t="0" r="6985" b="0"/>
                  <wp:docPr id="90"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adioactive1"/>
                          <pic:cNvPicPr>
                            <a:picLocks noChangeAspect="1" noChangeArrowheads="1"/>
                          </pic:cNvPicPr>
                        </pic:nvPicPr>
                        <pic:blipFill>
                          <a:blip r:embed="rId37"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3572" w:type="dxa"/>
            <w:shd w:val="clear" w:color="auto" w:fill="auto"/>
          </w:tcPr>
          <w:p w:rsidR="00637A26" w:rsidRPr="00637A26" w:rsidRDefault="00637A26" w:rsidP="001F1400">
            <w:pPr>
              <w:keepNext/>
              <w:keepLines/>
              <w:tabs>
                <w:tab w:val="left" w:pos="239"/>
              </w:tabs>
              <w:spacing w:before="60" w:after="60"/>
              <w:rPr>
                <w:sz w:val="18"/>
                <w:szCs w:val="18"/>
                <w:lang w:eastAsia="ru-RU"/>
              </w:rPr>
            </w:pPr>
            <w:r w:rsidRPr="00637A26">
              <w:rPr>
                <w:sz w:val="18"/>
                <w:szCs w:val="18"/>
                <w:lang w:eastAsia="ru-RU"/>
              </w:rPr>
              <w:t xml:space="preserve">Texto (obligatorio) en negro, en la mitad inferior de la etiqueta: </w:t>
            </w:r>
            <w:r w:rsidR="001F1400">
              <w:rPr>
                <w:sz w:val="18"/>
                <w:szCs w:val="18"/>
                <w:lang w:eastAsia="ru-RU"/>
              </w:rPr>
              <w:br/>
            </w:r>
            <w:r w:rsidRPr="00637A26">
              <w:rPr>
                <w:sz w:val="18"/>
                <w:szCs w:val="18"/>
                <w:lang w:eastAsia="ru-RU"/>
              </w:rPr>
              <w:t>“RADIACTIVO”</w:t>
            </w:r>
            <w:r w:rsidR="001F1400">
              <w:rPr>
                <w:sz w:val="18"/>
                <w:szCs w:val="18"/>
                <w:lang w:eastAsia="ru-RU"/>
              </w:rPr>
              <w:br/>
            </w:r>
            <w:r w:rsidRPr="00637A26">
              <w:rPr>
                <w:sz w:val="18"/>
                <w:szCs w:val="18"/>
                <w:lang w:eastAsia="ru-RU"/>
              </w:rPr>
              <w:t>“CONTENIDO</w:t>
            </w:r>
            <w:r w:rsidR="001F1400">
              <w:rPr>
                <w:sz w:val="18"/>
                <w:szCs w:val="18"/>
                <w:lang w:eastAsia="ru-RU"/>
              </w:rPr>
              <w:t>...”</w:t>
            </w:r>
            <w:r w:rsidR="001F1400">
              <w:rPr>
                <w:sz w:val="18"/>
                <w:szCs w:val="18"/>
                <w:lang w:eastAsia="ru-RU"/>
              </w:rPr>
              <w:br/>
            </w:r>
            <w:r w:rsidRPr="00637A26">
              <w:rPr>
                <w:sz w:val="18"/>
                <w:szCs w:val="18"/>
                <w:lang w:eastAsia="ru-RU"/>
              </w:rPr>
              <w:t>“ACTIVIDAD</w:t>
            </w:r>
            <w:r w:rsidR="001F1400">
              <w:rPr>
                <w:sz w:val="18"/>
                <w:szCs w:val="18"/>
                <w:lang w:eastAsia="ru-RU"/>
              </w:rPr>
              <w:t>...”</w:t>
            </w:r>
            <w:r w:rsidR="001F1400">
              <w:rPr>
                <w:sz w:val="18"/>
                <w:szCs w:val="18"/>
                <w:lang w:eastAsia="ru-RU"/>
              </w:rPr>
              <w:br/>
            </w:r>
            <w:r w:rsidRPr="00637A26">
              <w:rPr>
                <w:sz w:val="18"/>
                <w:szCs w:val="18"/>
                <w:lang w:eastAsia="ru-RU"/>
              </w:rPr>
              <w:t>La palabra “RADIACTIVO” irá seguida de una barra vertical roja</w:t>
            </w:r>
            <w:r w:rsidR="001F1400">
              <w:rPr>
                <w:sz w:val="18"/>
                <w:szCs w:val="18"/>
                <w:lang w:eastAsia="ru-RU"/>
              </w:rPr>
              <w:t>.</w:t>
            </w:r>
          </w:p>
        </w:tc>
      </w:tr>
      <w:tr w:rsidR="00637A26" w:rsidRPr="005546EB" w:rsidTr="00BB6E70">
        <w:trPr>
          <w:cantSplit/>
        </w:trPr>
        <w:tc>
          <w:tcPr>
            <w:tcW w:w="883" w:type="dxa"/>
            <w:shd w:val="clear" w:color="auto" w:fill="auto"/>
          </w:tcPr>
          <w:p w:rsidR="00637A26" w:rsidRPr="00637A26" w:rsidRDefault="00637A26" w:rsidP="00637A26">
            <w:pPr>
              <w:spacing w:before="60" w:after="60"/>
              <w:jc w:val="center"/>
              <w:rPr>
                <w:sz w:val="18"/>
                <w:szCs w:val="18"/>
                <w:lang w:eastAsia="ru-RU"/>
              </w:rPr>
            </w:pPr>
            <w:r w:rsidRPr="00637A26">
              <w:rPr>
                <w:sz w:val="18"/>
                <w:szCs w:val="18"/>
                <w:lang w:eastAsia="ru-RU"/>
              </w:rPr>
              <w:t>7B</w:t>
            </w:r>
          </w:p>
        </w:tc>
        <w:tc>
          <w:tcPr>
            <w:tcW w:w="1582" w:type="dxa"/>
            <w:shd w:val="clear" w:color="auto" w:fill="auto"/>
          </w:tcPr>
          <w:p w:rsidR="00637A26" w:rsidRPr="00637A26" w:rsidRDefault="00637A26" w:rsidP="00F80083">
            <w:pPr>
              <w:spacing w:before="60" w:after="60"/>
              <w:jc w:val="center"/>
              <w:rPr>
                <w:sz w:val="18"/>
                <w:szCs w:val="18"/>
                <w:lang w:eastAsia="ru-RU"/>
              </w:rPr>
            </w:pPr>
            <w:r w:rsidRPr="00637A26">
              <w:rPr>
                <w:sz w:val="18"/>
                <w:szCs w:val="18"/>
                <w:lang w:eastAsia="ru-RU"/>
              </w:rPr>
              <w:t>Categoría II</w:t>
            </w:r>
          </w:p>
        </w:tc>
        <w:tc>
          <w:tcPr>
            <w:tcW w:w="1540" w:type="dxa"/>
            <w:shd w:val="clear" w:color="auto" w:fill="auto"/>
          </w:tcPr>
          <w:p w:rsidR="00637A26" w:rsidRPr="00637A26" w:rsidRDefault="00637A26" w:rsidP="00637A26">
            <w:pPr>
              <w:spacing w:before="60" w:after="60"/>
              <w:jc w:val="center"/>
              <w:rPr>
                <w:sz w:val="18"/>
                <w:szCs w:val="18"/>
                <w:lang w:eastAsia="ru-RU"/>
              </w:rPr>
            </w:pPr>
            <w:r w:rsidRPr="00637A26">
              <w:rPr>
                <w:sz w:val="18"/>
                <w:szCs w:val="18"/>
                <w:lang w:eastAsia="ru-RU"/>
              </w:rPr>
              <w:t>Trébol: negro</w:t>
            </w:r>
          </w:p>
        </w:tc>
        <w:tc>
          <w:tcPr>
            <w:tcW w:w="1701" w:type="dxa"/>
            <w:shd w:val="clear" w:color="auto" w:fill="auto"/>
          </w:tcPr>
          <w:p w:rsidR="00637A26" w:rsidRPr="00637A26" w:rsidRDefault="00637A26" w:rsidP="00637A26">
            <w:pPr>
              <w:tabs>
                <w:tab w:val="left" w:pos="1418"/>
                <w:tab w:val="left" w:pos="1496"/>
              </w:tabs>
              <w:spacing w:before="60" w:after="60"/>
              <w:jc w:val="center"/>
              <w:rPr>
                <w:sz w:val="18"/>
                <w:szCs w:val="18"/>
                <w:lang w:eastAsia="ru-RU"/>
              </w:rPr>
            </w:pPr>
            <w:r w:rsidRPr="00637A26">
              <w:rPr>
                <w:sz w:val="18"/>
                <w:szCs w:val="18"/>
                <w:lang w:eastAsia="ru-RU"/>
              </w:rPr>
              <w:t xml:space="preserve">Mitad superior amarillo con borde blanco, mitad inferior blanco </w:t>
            </w:r>
          </w:p>
        </w:tc>
        <w:tc>
          <w:tcPr>
            <w:tcW w:w="1644" w:type="dxa"/>
            <w:shd w:val="clear" w:color="auto" w:fill="auto"/>
          </w:tcPr>
          <w:p w:rsidR="00637A26" w:rsidRPr="00637A26" w:rsidRDefault="00637A26" w:rsidP="006F6A88">
            <w:pPr>
              <w:tabs>
                <w:tab w:val="left" w:pos="1418"/>
                <w:tab w:val="left" w:pos="1496"/>
              </w:tabs>
              <w:spacing w:before="60" w:after="60"/>
              <w:jc w:val="center"/>
              <w:rPr>
                <w:sz w:val="18"/>
                <w:szCs w:val="18"/>
                <w:lang w:eastAsia="ru-RU"/>
              </w:rPr>
            </w:pPr>
            <w:r w:rsidRPr="00637A26">
              <w:rPr>
                <w:sz w:val="18"/>
                <w:szCs w:val="18"/>
                <w:lang w:eastAsia="ru-RU"/>
              </w:rPr>
              <w:t>7</w:t>
            </w:r>
            <w:r w:rsidR="006F6A88">
              <w:rPr>
                <w:sz w:val="18"/>
                <w:szCs w:val="18"/>
                <w:lang w:eastAsia="ru-RU"/>
              </w:rPr>
              <w:br/>
            </w:r>
            <w:r w:rsidRPr="00637A26">
              <w:rPr>
                <w:sz w:val="18"/>
                <w:szCs w:val="18"/>
                <w:lang w:eastAsia="ru-RU"/>
              </w:rPr>
              <w:t>(negro)</w:t>
            </w:r>
          </w:p>
        </w:tc>
        <w:tc>
          <w:tcPr>
            <w:tcW w:w="1985" w:type="dxa"/>
            <w:shd w:val="clear" w:color="auto" w:fill="auto"/>
            <w:vAlign w:val="center"/>
          </w:tcPr>
          <w:p w:rsidR="00637A26" w:rsidRPr="00637A26" w:rsidRDefault="00637A26" w:rsidP="00637A26">
            <w:pPr>
              <w:tabs>
                <w:tab w:val="left" w:pos="1418"/>
                <w:tab w:val="left" w:pos="1496"/>
              </w:tabs>
              <w:spacing w:before="60" w:after="60"/>
              <w:jc w:val="center"/>
              <w:rPr>
                <w:rFonts w:ascii="Arial" w:hAnsi="Arial" w:cs="Arial"/>
                <w:sz w:val="18"/>
                <w:szCs w:val="18"/>
                <w:lang w:eastAsia="ru-RU"/>
              </w:rPr>
            </w:pPr>
            <w:r w:rsidRPr="00637A26">
              <w:rPr>
                <w:rFonts w:eastAsia="SimSun"/>
                <w:noProof/>
                <w:sz w:val="18"/>
                <w:szCs w:val="18"/>
                <w:lang w:val="en-GB" w:eastAsia="en-GB"/>
              </w:rPr>
              <w:drawing>
                <wp:inline distT="0" distB="0" distL="0" distR="0" wp14:anchorId="1B91DD3A" wp14:editId="45E0B8EF">
                  <wp:extent cx="862330" cy="862330"/>
                  <wp:effectExtent l="19050" t="0" r="0" b="0"/>
                  <wp:docPr id="91"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adioactive2"/>
                          <pic:cNvPicPr>
                            <a:picLocks noChangeAspect="1" noChangeArrowheads="1"/>
                          </pic:cNvPicPr>
                        </pic:nvPicPr>
                        <pic:blipFill>
                          <a:blip r:embed="rId38"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tc>
        <w:tc>
          <w:tcPr>
            <w:tcW w:w="3572" w:type="dxa"/>
            <w:shd w:val="clear" w:color="auto" w:fill="auto"/>
          </w:tcPr>
          <w:p w:rsidR="00637A26" w:rsidRPr="00637A26" w:rsidRDefault="00637A26" w:rsidP="00BB6E70">
            <w:pPr>
              <w:spacing w:before="60" w:after="60"/>
              <w:rPr>
                <w:sz w:val="18"/>
                <w:szCs w:val="18"/>
                <w:lang w:eastAsia="ru-RU"/>
              </w:rPr>
            </w:pPr>
            <w:r w:rsidRPr="00637A26">
              <w:rPr>
                <w:sz w:val="18"/>
                <w:szCs w:val="18"/>
                <w:lang w:eastAsia="ru-RU"/>
              </w:rPr>
              <w:t xml:space="preserve">Texto (obligatorio) en negro, en la mitad inferior de la etiqueta: </w:t>
            </w:r>
            <w:r w:rsidR="001F1400">
              <w:rPr>
                <w:sz w:val="18"/>
                <w:szCs w:val="18"/>
                <w:lang w:eastAsia="ru-RU"/>
              </w:rPr>
              <w:br/>
            </w:r>
            <w:r w:rsidRPr="00637A26">
              <w:rPr>
                <w:sz w:val="18"/>
                <w:szCs w:val="18"/>
                <w:lang w:eastAsia="ru-RU"/>
              </w:rPr>
              <w:t>“RADIACTIVO”</w:t>
            </w:r>
            <w:r w:rsidR="001F1400">
              <w:rPr>
                <w:sz w:val="18"/>
                <w:szCs w:val="18"/>
                <w:lang w:eastAsia="ru-RU"/>
              </w:rPr>
              <w:br/>
            </w:r>
            <w:r w:rsidRPr="00637A26">
              <w:rPr>
                <w:sz w:val="18"/>
                <w:szCs w:val="18"/>
                <w:lang w:eastAsia="ru-RU"/>
              </w:rPr>
              <w:t>“CONTENIDO</w:t>
            </w:r>
            <w:r w:rsidR="001F1400">
              <w:rPr>
                <w:sz w:val="18"/>
                <w:szCs w:val="18"/>
                <w:lang w:eastAsia="ru-RU"/>
              </w:rPr>
              <w:t>...”</w:t>
            </w:r>
            <w:r w:rsidR="001F1400">
              <w:rPr>
                <w:sz w:val="18"/>
                <w:szCs w:val="18"/>
                <w:lang w:eastAsia="ru-RU"/>
              </w:rPr>
              <w:br/>
            </w:r>
            <w:r w:rsidRPr="00637A26">
              <w:rPr>
                <w:sz w:val="18"/>
                <w:szCs w:val="18"/>
                <w:lang w:eastAsia="ru-RU"/>
              </w:rPr>
              <w:t>“ACTIVIDAD</w:t>
            </w:r>
            <w:r w:rsidR="001F1400">
              <w:rPr>
                <w:sz w:val="18"/>
                <w:szCs w:val="18"/>
                <w:lang w:eastAsia="ru-RU"/>
              </w:rPr>
              <w:t>...”</w:t>
            </w:r>
            <w:r w:rsidR="001F1400">
              <w:rPr>
                <w:sz w:val="18"/>
                <w:szCs w:val="18"/>
                <w:lang w:eastAsia="ru-RU"/>
              </w:rPr>
              <w:br/>
            </w:r>
            <w:r w:rsidRPr="00637A26">
              <w:rPr>
                <w:sz w:val="18"/>
                <w:szCs w:val="18"/>
                <w:lang w:eastAsia="ru-RU"/>
              </w:rPr>
              <w:t>En un recuadro de líneas negras: “</w:t>
            </w:r>
            <w:r w:rsidR="00744132" w:rsidRPr="00637A26">
              <w:rPr>
                <w:sz w:val="18"/>
                <w:szCs w:val="18"/>
                <w:lang w:eastAsia="ru-RU"/>
              </w:rPr>
              <w:t>ÍNDICE</w:t>
            </w:r>
            <w:r w:rsidRPr="00637A26">
              <w:rPr>
                <w:sz w:val="18"/>
                <w:szCs w:val="18"/>
                <w:lang w:eastAsia="ru-RU"/>
              </w:rPr>
              <w:t xml:space="preserve"> DE TRANSPORTE”</w:t>
            </w:r>
            <w:r w:rsidR="001F1400">
              <w:rPr>
                <w:sz w:val="18"/>
                <w:szCs w:val="18"/>
                <w:lang w:eastAsia="ru-RU"/>
              </w:rPr>
              <w:t>.</w:t>
            </w:r>
            <w:r w:rsidR="001F1400">
              <w:rPr>
                <w:sz w:val="18"/>
                <w:szCs w:val="18"/>
                <w:lang w:eastAsia="ru-RU"/>
              </w:rPr>
              <w:br/>
            </w:r>
            <w:r w:rsidRPr="00637A26">
              <w:rPr>
                <w:sz w:val="18"/>
                <w:szCs w:val="18"/>
                <w:lang w:eastAsia="ru-RU"/>
              </w:rPr>
              <w:t>La palabra “RADIACTIVO” irá seguida de dos barras verticales rojas</w:t>
            </w:r>
            <w:r w:rsidR="001F1400">
              <w:rPr>
                <w:sz w:val="18"/>
                <w:szCs w:val="18"/>
                <w:lang w:eastAsia="ru-RU"/>
              </w:rPr>
              <w:t>.</w:t>
            </w:r>
          </w:p>
        </w:tc>
      </w:tr>
      <w:tr w:rsidR="00637A26" w:rsidRPr="005546EB" w:rsidTr="00BB6E70">
        <w:trPr>
          <w:cantSplit/>
        </w:trPr>
        <w:tc>
          <w:tcPr>
            <w:tcW w:w="883" w:type="dxa"/>
            <w:shd w:val="clear" w:color="auto" w:fill="auto"/>
          </w:tcPr>
          <w:p w:rsidR="00637A26" w:rsidRPr="00637A26" w:rsidRDefault="00637A26" w:rsidP="00637A26">
            <w:pPr>
              <w:spacing w:before="60" w:after="60"/>
              <w:jc w:val="center"/>
              <w:rPr>
                <w:sz w:val="18"/>
                <w:szCs w:val="18"/>
                <w:lang w:eastAsia="ru-RU"/>
              </w:rPr>
            </w:pPr>
            <w:r w:rsidRPr="00637A26">
              <w:rPr>
                <w:sz w:val="18"/>
                <w:szCs w:val="18"/>
                <w:lang w:eastAsia="ru-RU"/>
              </w:rPr>
              <w:t>7C</w:t>
            </w:r>
          </w:p>
        </w:tc>
        <w:tc>
          <w:tcPr>
            <w:tcW w:w="1582" w:type="dxa"/>
            <w:shd w:val="clear" w:color="auto" w:fill="auto"/>
          </w:tcPr>
          <w:p w:rsidR="00637A26" w:rsidRPr="00637A26" w:rsidRDefault="00637A26" w:rsidP="00637A26">
            <w:pPr>
              <w:spacing w:before="60" w:after="60"/>
              <w:jc w:val="center"/>
              <w:rPr>
                <w:sz w:val="18"/>
                <w:szCs w:val="18"/>
                <w:lang w:eastAsia="ru-RU"/>
              </w:rPr>
            </w:pPr>
            <w:r w:rsidRPr="00637A26">
              <w:rPr>
                <w:sz w:val="18"/>
                <w:szCs w:val="18"/>
                <w:lang w:eastAsia="ru-RU"/>
              </w:rPr>
              <w:t>Categoría III</w:t>
            </w:r>
          </w:p>
        </w:tc>
        <w:tc>
          <w:tcPr>
            <w:tcW w:w="1540" w:type="dxa"/>
            <w:shd w:val="clear" w:color="auto" w:fill="auto"/>
          </w:tcPr>
          <w:p w:rsidR="00637A26" w:rsidRPr="00637A26" w:rsidRDefault="00637A26" w:rsidP="00637A26">
            <w:pPr>
              <w:spacing w:before="60" w:after="60"/>
              <w:jc w:val="center"/>
              <w:rPr>
                <w:sz w:val="18"/>
                <w:szCs w:val="18"/>
                <w:lang w:eastAsia="ru-RU"/>
              </w:rPr>
            </w:pPr>
            <w:r w:rsidRPr="00637A26">
              <w:rPr>
                <w:sz w:val="18"/>
                <w:szCs w:val="18"/>
                <w:lang w:eastAsia="ru-RU"/>
              </w:rPr>
              <w:t>Trébol: negro</w:t>
            </w:r>
          </w:p>
        </w:tc>
        <w:tc>
          <w:tcPr>
            <w:tcW w:w="1701" w:type="dxa"/>
            <w:shd w:val="clear" w:color="auto" w:fill="auto"/>
          </w:tcPr>
          <w:p w:rsidR="00637A26" w:rsidRPr="00637A26" w:rsidRDefault="00637A26" w:rsidP="00637A26">
            <w:pPr>
              <w:tabs>
                <w:tab w:val="left" w:pos="1418"/>
                <w:tab w:val="left" w:pos="1496"/>
              </w:tabs>
              <w:spacing w:before="60" w:after="60"/>
              <w:jc w:val="center"/>
              <w:rPr>
                <w:sz w:val="18"/>
                <w:szCs w:val="18"/>
                <w:lang w:eastAsia="ru-RU"/>
              </w:rPr>
            </w:pPr>
            <w:r w:rsidRPr="00637A26">
              <w:rPr>
                <w:sz w:val="18"/>
                <w:szCs w:val="18"/>
                <w:lang w:eastAsia="ru-RU"/>
              </w:rPr>
              <w:t xml:space="preserve">Mitad superior amarillo con borde blanco, mitad inferior blanco </w:t>
            </w:r>
          </w:p>
        </w:tc>
        <w:tc>
          <w:tcPr>
            <w:tcW w:w="1644" w:type="dxa"/>
            <w:shd w:val="clear" w:color="auto" w:fill="auto"/>
          </w:tcPr>
          <w:p w:rsidR="00637A26" w:rsidRPr="00637A26" w:rsidRDefault="00637A26" w:rsidP="006F6A88">
            <w:pPr>
              <w:tabs>
                <w:tab w:val="left" w:pos="1418"/>
                <w:tab w:val="left" w:pos="1496"/>
              </w:tabs>
              <w:spacing w:before="60" w:after="60"/>
              <w:jc w:val="center"/>
              <w:rPr>
                <w:sz w:val="18"/>
                <w:szCs w:val="18"/>
                <w:lang w:eastAsia="ru-RU"/>
              </w:rPr>
            </w:pPr>
            <w:r w:rsidRPr="00637A26">
              <w:rPr>
                <w:sz w:val="18"/>
                <w:szCs w:val="18"/>
                <w:lang w:eastAsia="ru-RU"/>
              </w:rPr>
              <w:t>7</w:t>
            </w:r>
            <w:r w:rsidR="006F6A88">
              <w:rPr>
                <w:sz w:val="18"/>
                <w:szCs w:val="18"/>
                <w:lang w:eastAsia="ru-RU"/>
              </w:rPr>
              <w:br/>
            </w:r>
            <w:r w:rsidRPr="00637A26">
              <w:rPr>
                <w:sz w:val="18"/>
                <w:szCs w:val="18"/>
                <w:lang w:eastAsia="ru-RU"/>
              </w:rPr>
              <w:t>(negro)</w:t>
            </w:r>
          </w:p>
        </w:tc>
        <w:tc>
          <w:tcPr>
            <w:tcW w:w="1985" w:type="dxa"/>
            <w:shd w:val="clear" w:color="auto" w:fill="auto"/>
            <w:vAlign w:val="center"/>
          </w:tcPr>
          <w:p w:rsidR="00637A26" w:rsidRPr="00637A26" w:rsidRDefault="00637A26" w:rsidP="00637A26">
            <w:pPr>
              <w:tabs>
                <w:tab w:val="left" w:pos="1418"/>
                <w:tab w:val="left" w:pos="1496"/>
              </w:tabs>
              <w:spacing w:before="60" w:after="60"/>
              <w:jc w:val="center"/>
              <w:rPr>
                <w:rFonts w:ascii="Arial" w:hAnsi="Arial" w:cs="Arial"/>
                <w:sz w:val="18"/>
                <w:szCs w:val="18"/>
                <w:lang w:eastAsia="ru-RU"/>
              </w:rPr>
            </w:pPr>
            <w:r w:rsidRPr="00637A26">
              <w:rPr>
                <w:rFonts w:eastAsia="SimSun"/>
                <w:noProof/>
                <w:sz w:val="18"/>
                <w:szCs w:val="18"/>
                <w:lang w:val="en-GB" w:eastAsia="en-GB"/>
              </w:rPr>
              <w:drawing>
                <wp:inline distT="0" distB="0" distL="0" distR="0" wp14:anchorId="48639A4C" wp14:editId="30233631">
                  <wp:extent cx="871220" cy="871220"/>
                  <wp:effectExtent l="19050" t="0" r="5080" b="0"/>
                  <wp:docPr id="92"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adioactive3"/>
                          <pic:cNvPicPr>
                            <a:picLocks noChangeAspect="1" noChangeArrowheads="1"/>
                          </pic:cNvPicPr>
                        </pic:nvPicPr>
                        <pic:blipFill>
                          <a:blip r:embed="rId39" cstate="print"/>
                          <a:srcRect/>
                          <a:stretch>
                            <a:fillRect/>
                          </a:stretch>
                        </pic:blipFill>
                        <pic:spPr bwMode="auto">
                          <a:xfrm>
                            <a:off x="0" y="0"/>
                            <a:ext cx="871220" cy="871220"/>
                          </a:xfrm>
                          <a:prstGeom prst="rect">
                            <a:avLst/>
                          </a:prstGeom>
                          <a:noFill/>
                          <a:ln w="9525">
                            <a:noFill/>
                            <a:miter lim="800000"/>
                            <a:headEnd/>
                            <a:tailEnd/>
                          </a:ln>
                        </pic:spPr>
                      </pic:pic>
                    </a:graphicData>
                  </a:graphic>
                </wp:inline>
              </w:drawing>
            </w:r>
          </w:p>
        </w:tc>
        <w:tc>
          <w:tcPr>
            <w:tcW w:w="3572" w:type="dxa"/>
            <w:shd w:val="clear" w:color="auto" w:fill="auto"/>
          </w:tcPr>
          <w:p w:rsidR="00637A26" w:rsidRPr="00637A26" w:rsidRDefault="00637A26" w:rsidP="001F1400">
            <w:pPr>
              <w:spacing w:before="60" w:after="60"/>
              <w:rPr>
                <w:sz w:val="18"/>
                <w:szCs w:val="18"/>
                <w:lang w:eastAsia="ru-RU"/>
              </w:rPr>
            </w:pPr>
            <w:r w:rsidRPr="00637A26">
              <w:rPr>
                <w:sz w:val="18"/>
                <w:szCs w:val="18"/>
                <w:lang w:eastAsia="ru-RU"/>
              </w:rPr>
              <w:t xml:space="preserve">Texto (obligatorio) en negro, en la mitad inferior de la etiqueta: </w:t>
            </w:r>
            <w:r w:rsidR="001F1400">
              <w:rPr>
                <w:sz w:val="18"/>
                <w:szCs w:val="18"/>
                <w:lang w:eastAsia="ru-RU"/>
              </w:rPr>
              <w:br/>
            </w:r>
            <w:r w:rsidRPr="00637A26">
              <w:rPr>
                <w:sz w:val="18"/>
                <w:szCs w:val="18"/>
                <w:lang w:eastAsia="ru-RU"/>
              </w:rPr>
              <w:t>“RADIACTIVO”</w:t>
            </w:r>
            <w:r w:rsidR="001F1400">
              <w:rPr>
                <w:sz w:val="18"/>
                <w:szCs w:val="18"/>
                <w:lang w:eastAsia="ru-RU"/>
              </w:rPr>
              <w:br/>
            </w:r>
            <w:r w:rsidRPr="00637A26">
              <w:rPr>
                <w:sz w:val="18"/>
                <w:szCs w:val="18"/>
                <w:lang w:eastAsia="ru-RU"/>
              </w:rPr>
              <w:t>“CONTENIDO</w:t>
            </w:r>
            <w:r w:rsidR="001F1400">
              <w:rPr>
                <w:sz w:val="18"/>
                <w:szCs w:val="18"/>
                <w:lang w:eastAsia="ru-RU"/>
              </w:rPr>
              <w:t>...”</w:t>
            </w:r>
            <w:r w:rsidR="001F1400">
              <w:rPr>
                <w:sz w:val="18"/>
                <w:szCs w:val="18"/>
                <w:lang w:eastAsia="ru-RU"/>
              </w:rPr>
              <w:br/>
            </w:r>
            <w:r w:rsidRPr="00637A26">
              <w:rPr>
                <w:sz w:val="18"/>
                <w:szCs w:val="18"/>
                <w:lang w:eastAsia="ru-RU"/>
              </w:rPr>
              <w:t>“ACTIVIDAD</w:t>
            </w:r>
            <w:r w:rsidR="001F1400">
              <w:rPr>
                <w:sz w:val="18"/>
                <w:szCs w:val="18"/>
                <w:lang w:eastAsia="ru-RU"/>
              </w:rPr>
              <w:t>...”</w:t>
            </w:r>
            <w:r w:rsidR="001F1400">
              <w:rPr>
                <w:sz w:val="18"/>
                <w:szCs w:val="18"/>
                <w:lang w:eastAsia="ru-RU"/>
              </w:rPr>
              <w:br/>
            </w:r>
            <w:r w:rsidRPr="00637A26">
              <w:rPr>
                <w:sz w:val="18"/>
                <w:szCs w:val="18"/>
                <w:lang w:eastAsia="ru-RU"/>
              </w:rPr>
              <w:t>En un recuadro de líneas negras: “</w:t>
            </w:r>
            <w:r w:rsidR="00744132" w:rsidRPr="00637A26">
              <w:rPr>
                <w:sz w:val="18"/>
                <w:szCs w:val="18"/>
                <w:lang w:eastAsia="ru-RU"/>
              </w:rPr>
              <w:t>ÍNDICE</w:t>
            </w:r>
            <w:r w:rsidRPr="00637A26">
              <w:rPr>
                <w:sz w:val="18"/>
                <w:szCs w:val="18"/>
                <w:lang w:eastAsia="ru-RU"/>
              </w:rPr>
              <w:t xml:space="preserve"> DE TRANSPORTE”</w:t>
            </w:r>
            <w:r w:rsidR="001F1400">
              <w:rPr>
                <w:sz w:val="18"/>
                <w:szCs w:val="18"/>
                <w:lang w:eastAsia="ru-RU"/>
              </w:rPr>
              <w:t>.</w:t>
            </w:r>
            <w:r w:rsidR="001F1400">
              <w:rPr>
                <w:sz w:val="18"/>
                <w:szCs w:val="18"/>
                <w:lang w:eastAsia="ru-RU"/>
              </w:rPr>
              <w:br/>
            </w:r>
            <w:r w:rsidRPr="00637A26">
              <w:rPr>
                <w:sz w:val="18"/>
                <w:szCs w:val="18"/>
                <w:lang w:eastAsia="ru-RU"/>
              </w:rPr>
              <w:t>La palabra “RADIACTIVO” irá seguida de tres barras verticales rojas</w:t>
            </w:r>
            <w:r w:rsidR="001F1400">
              <w:rPr>
                <w:sz w:val="18"/>
                <w:szCs w:val="18"/>
                <w:lang w:eastAsia="ru-RU"/>
              </w:rPr>
              <w:t>.</w:t>
            </w:r>
          </w:p>
        </w:tc>
      </w:tr>
      <w:tr w:rsidR="00637A26" w:rsidRPr="005546EB" w:rsidTr="00BB6E70">
        <w:trPr>
          <w:cantSplit/>
        </w:trPr>
        <w:tc>
          <w:tcPr>
            <w:tcW w:w="883" w:type="dxa"/>
            <w:shd w:val="clear" w:color="auto" w:fill="auto"/>
          </w:tcPr>
          <w:p w:rsidR="00637A26" w:rsidRPr="00637A26" w:rsidRDefault="00637A26" w:rsidP="00637A26">
            <w:pPr>
              <w:keepNext/>
              <w:keepLines/>
              <w:spacing w:before="60" w:after="60"/>
              <w:jc w:val="center"/>
              <w:rPr>
                <w:sz w:val="18"/>
                <w:szCs w:val="18"/>
                <w:lang w:eastAsia="ru-RU"/>
              </w:rPr>
            </w:pPr>
            <w:r w:rsidRPr="00637A26">
              <w:rPr>
                <w:sz w:val="18"/>
                <w:szCs w:val="18"/>
                <w:lang w:eastAsia="ru-RU"/>
              </w:rPr>
              <w:t>7E</w:t>
            </w:r>
          </w:p>
        </w:tc>
        <w:tc>
          <w:tcPr>
            <w:tcW w:w="1582" w:type="dxa"/>
            <w:shd w:val="clear" w:color="auto" w:fill="auto"/>
          </w:tcPr>
          <w:p w:rsidR="00637A26" w:rsidRPr="00637A26" w:rsidRDefault="00637A26" w:rsidP="00637A26">
            <w:pPr>
              <w:keepNext/>
              <w:keepLines/>
              <w:spacing w:before="60" w:after="60"/>
              <w:jc w:val="center"/>
              <w:rPr>
                <w:sz w:val="18"/>
                <w:szCs w:val="18"/>
                <w:lang w:eastAsia="ru-RU"/>
              </w:rPr>
            </w:pPr>
            <w:r w:rsidRPr="00637A26">
              <w:rPr>
                <w:sz w:val="18"/>
                <w:szCs w:val="18"/>
                <w:lang w:eastAsia="ru-RU"/>
              </w:rPr>
              <w:t>Material fisionable</w:t>
            </w:r>
          </w:p>
        </w:tc>
        <w:tc>
          <w:tcPr>
            <w:tcW w:w="1540" w:type="dxa"/>
            <w:shd w:val="clear" w:color="auto" w:fill="auto"/>
          </w:tcPr>
          <w:p w:rsidR="00637A26" w:rsidRPr="00637A26" w:rsidRDefault="00637A26" w:rsidP="00637A26">
            <w:pPr>
              <w:keepNext/>
              <w:keepLines/>
              <w:spacing w:before="60" w:after="60"/>
              <w:jc w:val="center"/>
              <w:rPr>
                <w:sz w:val="18"/>
                <w:szCs w:val="18"/>
                <w:lang w:eastAsia="ru-RU"/>
              </w:rPr>
            </w:pPr>
            <w:r w:rsidRPr="00637A26">
              <w:rPr>
                <w:sz w:val="18"/>
                <w:szCs w:val="18"/>
                <w:lang w:eastAsia="ru-RU"/>
              </w:rPr>
              <w:t>-</w:t>
            </w:r>
          </w:p>
        </w:tc>
        <w:tc>
          <w:tcPr>
            <w:tcW w:w="1701" w:type="dxa"/>
            <w:shd w:val="clear" w:color="auto" w:fill="auto"/>
          </w:tcPr>
          <w:p w:rsidR="00637A26" w:rsidRPr="00637A26" w:rsidRDefault="00637A26" w:rsidP="00637A26">
            <w:pPr>
              <w:keepNext/>
              <w:keepLines/>
              <w:tabs>
                <w:tab w:val="left" w:pos="1418"/>
                <w:tab w:val="left" w:pos="1496"/>
              </w:tabs>
              <w:spacing w:before="60" w:after="60"/>
              <w:jc w:val="center"/>
              <w:rPr>
                <w:sz w:val="18"/>
                <w:szCs w:val="18"/>
                <w:lang w:eastAsia="ru-RU"/>
              </w:rPr>
            </w:pPr>
            <w:r w:rsidRPr="00637A26">
              <w:rPr>
                <w:sz w:val="18"/>
                <w:szCs w:val="18"/>
                <w:lang w:eastAsia="ru-RU"/>
              </w:rPr>
              <w:t>Blanco</w:t>
            </w:r>
          </w:p>
        </w:tc>
        <w:tc>
          <w:tcPr>
            <w:tcW w:w="1644" w:type="dxa"/>
            <w:shd w:val="clear" w:color="auto" w:fill="auto"/>
          </w:tcPr>
          <w:p w:rsidR="00637A26" w:rsidRPr="00637A26" w:rsidRDefault="00637A26" w:rsidP="006F6A88">
            <w:pPr>
              <w:keepNext/>
              <w:keepLines/>
              <w:tabs>
                <w:tab w:val="left" w:pos="1418"/>
                <w:tab w:val="left" w:pos="1496"/>
              </w:tabs>
              <w:spacing w:before="60" w:after="60"/>
              <w:jc w:val="center"/>
              <w:rPr>
                <w:sz w:val="18"/>
                <w:szCs w:val="18"/>
                <w:lang w:eastAsia="ru-RU"/>
              </w:rPr>
            </w:pPr>
            <w:r w:rsidRPr="00637A26">
              <w:rPr>
                <w:sz w:val="18"/>
                <w:szCs w:val="18"/>
                <w:lang w:eastAsia="ru-RU"/>
              </w:rPr>
              <w:t>7</w:t>
            </w:r>
            <w:r w:rsidR="006F6A88">
              <w:rPr>
                <w:sz w:val="18"/>
                <w:szCs w:val="18"/>
                <w:lang w:eastAsia="ru-RU"/>
              </w:rPr>
              <w:br/>
            </w:r>
            <w:r w:rsidRPr="00637A26">
              <w:rPr>
                <w:sz w:val="18"/>
                <w:szCs w:val="18"/>
                <w:lang w:eastAsia="ru-RU"/>
              </w:rPr>
              <w:t>(negro)</w:t>
            </w:r>
          </w:p>
        </w:tc>
        <w:tc>
          <w:tcPr>
            <w:tcW w:w="1985" w:type="dxa"/>
            <w:shd w:val="clear" w:color="auto" w:fill="auto"/>
            <w:vAlign w:val="center"/>
          </w:tcPr>
          <w:p w:rsidR="00637A26" w:rsidRPr="00637A26" w:rsidRDefault="00637A26" w:rsidP="00637A26">
            <w:pPr>
              <w:keepNext/>
              <w:keepLines/>
              <w:tabs>
                <w:tab w:val="left" w:pos="1418"/>
                <w:tab w:val="left" w:pos="1496"/>
              </w:tabs>
              <w:spacing w:before="60" w:after="60"/>
              <w:jc w:val="center"/>
              <w:rPr>
                <w:rFonts w:ascii="Arial" w:hAnsi="Arial" w:cs="Arial"/>
                <w:sz w:val="18"/>
                <w:szCs w:val="18"/>
                <w:lang w:eastAsia="ru-RU"/>
              </w:rPr>
            </w:pPr>
            <w:r w:rsidRPr="00637A26">
              <w:rPr>
                <w:rFonts w:eastAsia="SimSun"/>
                <w:noProof/>
                <w:sz w:val="18"/>
                <w:szCs w:val="18"/>
                <w:lang w:val="en-GB" w:eastAsia="en-GB"/>
              </w:rPr>
              <w:drawing>
                <wp:inline distT="0" distB="0" distL="0" distR="0" wp14:anchorId="709081FB" wp14:editId="72D77776">
                  <wp:extent cx="854075" cy="854075"/>
                  <wp:effectExtent l="19050" t="0" r="3175" b="0"/>
                  <wp:docPr id="93"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issile"/>
                          <pic:cNvPicPr>
                            <a:picLocks noChangeAspect="1" noChangeArrowheads="1"/>
                          </pic:cNvPicPr>
                        </pic:nvPicPr>
                        <pic:blipFill>
                          <a:blip r:embed="rId40"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c>
          <w:tcPr>
            <w:tcW w:w="3572" w:type="dxa"/>
            <w:shd w:val="clear" w:color="auto" w:fill="auto"/>
          </w:tcPr>
          <w:p w:rsidR="00637A26" w:rsidRPr="00637A26" w:rsidRDefault="00637A26" w:rsidP="001F1400">
            <w:pPr>
              <w:keepNext/>
              <w:keepLines/>
              <w:spacing w:before="60" w:after="60"/>
              <w:rPr>
                <w:rFonts w:ascii="Arial" w:hAnsi="Arial" w:cs="Arial"/>
                <w:sz w:val="18"/>
                <w:szCs w:val="18"/>
                <w:lang w:eastAsia="ru-RU"/>
              </w:rPr>
            </w:pPr>
            <w:r w:rsidRPr="00637A26">
              <w:rPr>
                <w:sz w:val="18"/>
                <w:szCs w:val="18"/>
                <w:lang w:eastAsia="ru-RU"/>
              </w:rPr>
              <w:t>Texto (obligatorio) en negro, en la mitad superior de la etiqueta:</w:t>
            </w:r>
            <w:r w:rsidR="001F1400">
              <w:rPr>
                <w:sz w:val="18"/>
                <w:szCs w:val="18"/>
                <w:lang w:eastAsia="ru-RU"/>
              </w:rPr>
              <w:t xml:space="preserve"> </w:t>
            </w:r>
            <w:r w:rsidRPr="00637A26">
              <w:rPr>
                <w:sz w:val="18"/>
                <w:szCs w:val="18"/>
                <w:lang w:eastAsia="ru-RU"/>
              </w:rPr>
              <w:t>“SUSTANCIAS FISIONABLES”</w:t>
            </w:r>
            <w:r w:rsidR="001F1400">
              <w:rPr>
                <w:sz w:val="18"/>
                <w:szCs w:val="18"/>
                <w:lang w:eastAsia="ru-RU"/>
              </w:rPr>
              <w:br/>
            </w:r>
            <w:r w:rsidRPr="00637A26">
              <w:rPr>
                <w:sz w:val="18"/>
                <w:szCs w:val="18"/>
                <w:lang w:eastAsia="ru-RU"/>
              </w:rPr>
              <w:t>En un recuadro de líneas negras, en la mitad inferior de la etiqueta: “</w:t>
            </w:r>
            <w:r w:rsidR="00744132" w:rsidRPr="00637A26">
              <w:rPr>
                <w:sz w:val="18"/>
                <w:szCs w:val="18"/>
                <w:lang w:eastAsia="ru-RU"/>
              </w:rPr>
              <w:t>ÍNDICE</w:t>
            </w:r>
            <w:r w:rsidRPr="00637A26">
              <w:rPr>
                <w:sz w:val="18"/>
                <w:szCs w:val="18"/>
                <w:lang w:eastAsia="ru-RU"/>
              </w:rPr>
              <w:t xml:space="preserve"> DE SEGURIDAD CON RESPECTO A LA CRITICIDAD”</w:t>
            </w:r>
            <w:r w:rsidR="001F1400">
              <w:rPr>
                <w:sz w:val="18"/>
                <w:szCs w:val="18"/>
                <w:lang w:eastAsia="ru-RU"/>
              </w:rPr>
              <w:t>.</w:t>
            </w:r>
          </w:p>
        </w:tc>
      </w:tr>
    </w:tbl>
    <w:p w:rsidR="00637A26" w:rsidRDefault="00637A26">
      <w:pPr>
        <w:spacing w:line="240" w:lineRule="auto"/>
        <w:rPr>
          <w:b/>
          <w:sz w:val="18"/>
          <w:szCs w:val="18"/>
          <w:lang w:eastAsia="ru-RU"/>
        </w:rPr>
      </w:pPr>
      <w:r>
        <w:rPr>
          <w:b/>
          <w:sz w:val="18"/>
          <w:szCs w:val="18"/>
          <w:lang w:eastAsia="ru-RU"/>
        </w:rPr>
        <w:br w:type="page"/>
      </w:r>
    </w:p>
    <w:p w:rsidR="00FC62A8" w:rsidRDefault="00FC62A8" w:rsidP="00565AED">
      <w:pPr>
        <w:spacing w:before="60" w:after="60"/>
        <w:jc w:val="center"/>
        <w:rPr>
          <w:b/>
          <w:sz w:val="18"/>
          <w:szCs w:val="18"/>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3"/>
        <w:gridCol w:w="1414"/>
        <w:gridCol w:w="2127"/>
        <w:gridCol w:w="1842"/>
        <w:gridCol w:w="2268"/>
        <w:gridCol w:w="2694"/>
        <w:gridCol w:w="1700"/>
      </w:tblGrid>
      <w:tr w:rsidR="00637A26" w:rsidRPr="005546EB" w:rsidTr="00012C79">
        <w:trPr>
          <w:cantSplit/>
        </w:trPr>
        <w:tc>
          <w:tcPr>
            <w:tcW w:w="883"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N</w:t>
            </w:r>
            <w:r>
              <w:rPr>
                <w:b/>
                <w:sz w:val="18"/>
                <w:szCs w:val="18"/>
                <w:lang w:eastAsia="ru-RU"/>
              </w:rPr>
              <w:t>úm.</w:t>
            </w:r>
            <w:r w:rsidRPr="005546EB">
              <w:rPr>
                <w:b/>
                <w:sz w:val="18"/>
                <w:szCs w:val="18"/>
                <w:lang w:eastAsia="ru-RU"/>
              </w:rPr>
              <w:t xml:space="preserve"> de modelo de etiqueta</w:t>
            </w:r>
          </w:p>
        </w:tc>
        <w:tc>
          <w:tcPr>
            <w:tcW w:w="1414"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 xml:space="preserve">División o </w:t>
            </w:r>
            <w:r>
              <w:rPr>
                <w:b/>
                <w:sz w:val="18"/>
                <w:szCs w:val="18"/>
                <w:lang w:eastAsia="ru-RU"/>
              </w:rPr>
              <w:br/>
              <w:t>c</w:t>
            </w:r>
            <w:r w:rsidRPr="005546EB">
              <w:rPr>
                <w:b/>
                <w:sz w:val="18"/>
                <w:szCs w:val="18"/>
                <w:lang w:eastAsia="ru-RU"/>
              </w:rPr>
              <w:t>ategoría</w:t>
            </w:r>
          </w:p>
        </w:tc>
        <w:tc>
          <w:tcPr>
            <w:tcW w:w="2127"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Símbolo y color del</w:t>
            </w:r>
            <w:r>
              <w:rPr>
                <w:b/>
                <w:sz w:val="18"/>
                <w:szCs w:val="18"/>
                <w:lang w:eastAsia="ru-RU"/>
              </w:rPr>
              <w:t> </w:t>
            </w:r>
            <w:r w:rsidRPr="005546EB">
              <w:rPr>
                <w:b/>
                <w:sz w:val="18"/>
                <w:szCs w:val="18"/>
                <w:lang w:eastAsia="ru-RU"/>
              </w:rPr>
              <w:t xml:space="preserve">símbolo </w:t>
            </w:r>
          </w:p>
        </w:tc>
        <w:tc>
          <w:tcPr>
            <w:tcW w:w="1842"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Fondo</w:t>
            </w:r>
          </w:p>
        </w:tc>
        <w:tc>
          <w:tcPr>
            <w:tcW w:w="2268"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Cifra en la esquina inferior (y color de</w:t>
            </w:r>
            <w:r>
              <w:rPr>
                <w:b/>
                <w:sz w:val="18"/>
                <w:szCs w:val="18"/>
                <w:lang w:eastAsia="ru-RU"/>
              </w:rPr>
              <w:t> </w:t>
            </w:r>
            <w:r w:rsidRPr="005546EB">
              <w:rPr>
                <w:b/>
                <w:sz w:val="18"/>
                <w:szCs w:val="18"/>
                <w:lang w:eastAsia="ru-RU"/>
              </w:rPr>
              <w:t>la</w:t>
            </w:r>
            <w:r>
              <w:rPr>
                <w:b/>
                <w:sz w:val="18"/>
                <w:szCs w:val="18"/>
                <w:lang w:eastAsia="ru-RU"/>
              </w:rPr>
              <w:t> </w:t>
            </w:r>
            <w:r w:rsidRPr="005546EB">
              <w:rPr>
                <w:b/>
                <w:sz w:val="18"/>
                <w:szCs w:val="18"/>
                <w:lang w:eastAsia="ru-RU"/>
              </w:rPr>
              <w:t>cifra)</w:t>
            </w:r>
          </w:p>
        </w:tc>
        <w:tc>
          <w:tcPr>
            <w:tcW w:w="2694"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Modelos de etiquetas</w:t>
            </w:r>
          </w:p>
        </w:tc>
        <w:tc>
          <w:tcPr>
            <w:tcW w:w="1700" w:type="dxa"/>
            <w:shd w:val="clear" w:color="auto" w:fill="auto"/>
            <w:vAlign w:val="center"/>
          </w:tcPr>
          <w:p w:rsidR="00637A26" w:rsidRPr="005546EB" w:rsidRDefault="00637A26" w:rsidP="002041AD">
            <w:pPr>
              <w:spacing w:before="60" w:after="60"/>
              <w:jc w:val="center"/>
              <w:rPr>
                <w:b/>
                <w:sz w:val="18"/>
                <w:szCs w:val="18"/>
                <w:lang w:eastAsia="ru-RU"/>
              </w:rPr>
            </w:pPr>
            <w:r w:rsidRPr="005546EB">
              <w:rPr>
                <w:b/>
                <w:sz w:val="18"/>
                <w:szCs w:val="18"/>
                <w:lang w:eastAsia="ru-RU"/>
              </w:rPr>
              <w:t>Nota</w:t>
            </w:r>
          </w:p>
        </w:tc>
      </w:tr>
      <w:tr w:rsidR="00637A26" w:rsidRPr="005546EB" w:rsidTr="00232FA4">
        <w:trPr>
          <w:cantSplit/>
        </w:trPr>
        <w:tc>
          <w:tcPr>
            <w:tcW w:w="12928" w:type="dxa"/>
            <w:gridSpan w:val="7"/>
            <w:shd w:val="clear" w:color="auto" w:fill="auto"/>
            <w:vAlign w:val="center"/>
          </w:tcPr>
          <w:p w:rsidR="00637A26" w:rsidRPr="005546EB" w:rsidRDefault="00637A26" w:rsidP="002041AD">
            <w:pPr>
              <w:spacing w:before="60" w:after="60"/>
              <w:jc w:val="center"/>
              <w:rPr>
                <w:b/>
                <w:sz w:val="18"/>
                <w:szCs w:val="18"/>
                <w:lang w:eastAsia="ru-RU"/>
              </w:rPr>
            </w:pPr>
            <w:r w:rsidRPr="00637A26">
              <w:rPr>
                <w:b/>
                <w:sz w:val="18"/>
                <w:szCs w:val="18"/>
                <w:lang w:eastAsia="ru-RU"/>
              </w:rPr>
              <w:t>Clase 8: Sustancias corrosivas</w:t>
            </w:r>
          </w:p>
        </w:tc>
      </w:tr>
      <w:tr w:rsidR="002041AD" w:rsidRPr="005546EB" w:rsidTr="00012C79">
        <w:trPr>
          <w:cantSplit/>
        </w:trPr>
        <w:tc>
          <w:tcPr>
            <w:tcW w:w="883"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8</w:t>
            </w:r>
          </w:p>
        </w:tc>
        <w:tc>
          <w:tcPr>
            <w:tcW w:w="1414"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w:t>
            </w:r>
          </w:p>
        </w:tc>
        <w:tc>
          <w:tcPr>
            <w:tcW w:w="2127" w:type="dxa"/>
            <w:shd w:val="clear" w:color="auto" w:fill="auto"/>
          </w:tcPr>
          <w:p w:rsidR="002041AD" w:rsidRPr="00B654DA" w:rsidRDefault="00A3657E" w:rsidP="002041AD">
            <w:pPr>
              <w:spacing w:before="60" w:after="60"/>
              <w:rPr>
                <w:sz w:val="18"/>
                <w:szCs w:val="18"/>
                <w:lang w:eastAsia="ru-RU"/>
              </w:rPr>
            </w:pPr>
            <w:r>
              <w:rPr>
                <w:sz w:val="18"/>
                <w:szCs w:val="18"/>
                <w:lang w:eastAsia="ru-RU"/>
              </w:rPr>
              <w:t>L</w:t>
            </w:r>
            <w:r w:rsidR="002041AD" w:rsidRPr="00B654DA">
              <w:rPr>
                <w:sz w:val="18"/>
                <w:szCs w:val="18"/>
                <w:lang w:eastAsia="ru-RU"/>
              </w:rPr>
              <w:t>íquidos goteando de dos tubos de ensayo sobre una mano y un metal: negro</w:t>
            </w:r>
          </w:p>
        </w:tc>
        <w:tc>
          <w:tcPr>
            <w:tcW w:w="1842" w:type="dxa"/>
            <w:shd w:val="clear" w:color="auto" w:fill="auto"/>
          </w:tcPr>
          <w:p w:rsidR="002041AD" w:rsidRPr="00B654DA" w:rsidRDefault="002041AD" w:rsidP="00012C79">
            <w:pPr>
              <w:tabs>
                <w:tab w:val="left" w:pos="1418"/>
                <w:tab w:val="left" w:pos="1496"/>
              </w:tabs>
              <w:spacing w:before="60" w:after="60"/>
              <w:jc w:val="center"/>
              <w:rPr>
                <w:sz w:val="18"/>
                <w:szCs w:val="18"/>
                <w:lang w:eastAsia="ru-RU"/>
              </w:rPr>
            </w:pPr>
            <w:r w:rsidRPr="00B654DA">
              <w:rPr>
                <w:sz w:val="18"/>
                <w:szCs w:val="18"/>
                <w:lang w:eastAsia="ru-RU"/>
              </w:rPr>
              <w:t>Mitad superior blanco, mitad inferior negro con borde blanco</w:t>
            </w:r>
            <w:r w:rsidR="00965478">
              <w:rPr>
                <w:sz w:val="18"/>
                <w:szCs w:val="18"/>
                <w:lang w:eastAsia="ru-RU"/>
              </w:rPr>
              <w:t xml:space="preserve"> </w:t>
            </w:r>
          </w:p>
        </w:tc>
        <w:tc>
          <w:tcPr>
            <w:tcW w:w="2268" w:type="dxa"/>
            <w:shd w:val="clear" w:color="auto" w:fill="auto"/>
          </w:tcPr>
          <w:p w:rsidR="002041AD" w:rsidRPr="00B654DA" w:rsidRDefault="002041AD" w:rsidP="002041AD">
            <w:pPr>
              <w:tabs>
                <w:tab w:val="left" w:pos="1418"/>
                <w:tab w:val="left" w:pos="1496"/>
              </w:tabs>
              <w:spacing w:before="60" w:after="60"/>
              <w:jc w:val="center"/>
              <w:rPr>
                <w:sz w:val="18"/>
                <w:szCs w:val="18"/>
                <w:lang w:eastAsia="ru-RU"/>
              </w:rPr>
            </w:pPr>
            <w:r w:rsidRPr="00B654DA">
              <w:rPr>
                <w:sz w:val="18"/>
                <w:szCs w:val="18"/>
                <w:lang w:eastAsia="ru-RU"/>
              </w:rPr>
              <w:t>8</w:t>
            </w:r>
            <w:r>
              <w:rPr>
                <w:sz w:val="18"/>
                <w:szCs w:val="18"/>
                <w:lang w:eastAsia="ru-RU"/>
              </w:rPr>
              <w:br/>
            </w:r>
            <w:r w:rsidRPr="00B654DA">
              <w:rPr>
                <w:sz w:val="18"/>
                <w:szCs w:val="18"/>
                <w:lang w:eastAsia="ru-RU"/>
              </w:rPr>
              <w:t>(blanco)</w:t>
            </w:r>
          </w:p>
        </w:tc>
        <w:tc>
          <w:tcPr>
            <w:tcW w:w="2694" w:type="dxa"/>
            <w:shd w:val="clear" w:color="auto" w:fill="auto"/>
            <w:vAlign w:val="center"/>
          </w:tcPr>
          <w:p w:rsidR="002041AD" w:rsidRPr="005546EB" w:rsidRDefault="002041AD" w:rsidP="002041AD">
            <w:pPr>
              <w:spacing w:before="60" w:after="60"/>
              <w:jc w:val="center"/>
              <w:rPr>
                <w:b/>
                <w:sz w:val="18"/>
                <w:szCs w:val="18"/>
                <w:lang w:eastAsia="ru-RU"/>
              </w:rPr>
            </w:pPr>
            <w:r w:rsidRPr="00B654DA">
              <w:rPr>
                <w:rFonts w:eastAsia="SimSun"/>
                <w:noProof/>
                <w:lang w:val="en-GB" w:eastAsia="en-GB"/>
              </w:rPr>
              <w:drawing>
                <wp:inline distT="0" distB="0" distL="0" distR="0" wp14:anchorId="044C0782" wp14:editId="73C8B906">
                  <wp:extent cx="854075" cy="854075"/>
                  <wp:effectExtent l="19050" t="0" r="3175" b="0"/>
                  <wp:docPr id="94"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cide"/>
                          <pic:cNvPicPr>
                            <a:picLocks noChangeAspect="1" noChangeArrowheads="1"/>
                          </pic:cNvPicPr>
                        </pic:nvPicPr>
                        <pic:blipFill>
                          <a:blip r:embed="rId41"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c>
          <w:tcPr>
            <w:tcW w:w="1700" w:type="dxa"/>
            <w:shd w:val="clear" w:color="auto" w:fill="auto"/>
          </w:tcPr>
          <w:p w:rsidR="002041AD" w:rsidRPr="005546EB" w:rsidRDefault="002041AD" w:rsidP="002041AD">
            <w:pPr>
              <w:spacing w:before="60" w:after="60"/>
              <w:jc w:val="center"/>
              <w:rPr>
                <w:b/>
                <w:sz w:val="18"/>
                <w:szCs w:val="18"/>
                <w:lang w:eastAsia="ru-RU"/>
              </w:rPr>
            </w:pPr>
            <w:r>
              <w:rPr>
                <w:b/>
                <w:sz w:val="18"/>
                <w:szCs w:val="18"/>
                <w:lang w:eastAsia="ru-RU"/>
              </w:rPr>
              <w:t>-</w:t>
            </w:r>
          </w:p>
        </w:tc>
      </w:tr>
      <w:tr w:rsidR="002041AD" w:rsidRPr="005546EB" w:rsidTr="00232FA4">
        <w:trPr>
          <w:cantSplit/>
        </w:trPr>
        <w:tc>
          <w:tcPr>
            <w:tcW w:w="12928" w:type="dxa"/>
            <w:gridSpan w:val="7"/>
            <w:shd w:val="clear" w:color="auto" w:fill="auto"/>
            <w:vAlign w:val="center"/>
          </w:tcPr>
          <w:p w:rsidR="002041AD" w:rsidRPr="005546EB" w:rsidRDefault="002041AD" w:rsidP="002041AD">
            <w:pPr>
              <w:spacing w:before="60" w:after="60"/>
              <w:jc w:val="center"/>
              <w:rPr>
                <w:b/>
                <w:sz w:val="18"/>
                <w:szCs w:val="18"/>
                <w:lang w:eastAsia="ru-RU"/>
              </w:rPr>
            </w:pPr>
            <w:r w:rsidRPr="002041AD">
              <w:rPr>
                <w:b/>
                <w:sz w:val="18"/>
                <w:szCs w:val="18"/>
                <w:lang w:eastAsia="ru-RU"/>
              </w:rPr>
              <w:t>Clase 9: Sustancias y objetos peligrosos varios, incluidas las sustancias peligrosas para el medio ambiente</w:t>
            </w:r>
          </w:p>
        </w:tc>
      </w:tr>
      <w:tr w:rsidR="002041AD" w:rsidRPr="005546EB" w:rsidTr="00012C79">
        <w:trPr>
          <w:cantSplit/>
        </w:trPr>
        <w:tc>
          <w:tcPr>
            <w:tcW w:w="883"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9</w:t>
            </w:r>
          </w:p>
        </w:tc>
        <w:tc>
          <w:tcPr>
            <w:tcW w:w="1414"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w:t>
            </w:r>
          </w:p>
        </w:tc>
        <w:tc>
          <w:tcPr>
            <w:tcW w:w="2127" w:type="dxa"/>
            <w:shd w:val="clear" w:color="auto" w:fill="auto"/>
          </w:tcPr>
          <w:p w:rsidR="002041AD" w:rsidRPr="00B654DA" w:rsidRDefault="002041AD" w:rsidP="00A3657E">
            <w:pPr>
              <w:spacing w:before="60" w:after="60"/>
              <w:rPr>
                <w:sz w:val="18"/>
                <w:szCs w:val="18"/>
                <w:lang w:eastAsia="ru-RU"/>
              </w:rPr>
            </w:pPr>
            <w:r w:rsidRPr="00A3657E">
              <w:rPr>
                <w:sz w:val="18"/>
                <w:szCs w:val="18"/>
                <w:lang w:eastAsia="ru-RU"/>
              </w:rPr>
              <w:t>Siete franjas verticales en la mitad superior</w:t>
            </w:r>
            <w:r w:rsidRPr="00B654DA">
              <w:rPr>
                <w:sz w:val="18"/>
                <w:szCs w:val="18"/>
                <w:lang w:eastAsia="ru-RU"/>
              </w:rPr>
              <w:t>: negro</w:t>
            </w:r>
          </w:p>
        </w:tc>
        <w:tc>
          <w:tcPr>
            <w:tcW w:w="1842"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Blanco</w:t>
            </w:r>
          </w:p>
        </w:tc>
        <w:tc>
          <w:tcPr>
            <w:tcW w:w="2268"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9 subrayado</w:t>
            </w:r>
            <w:r>
              <w:rPr>
                <w:sz w:val="18"/>
                <w:szCs w:val="18"/>
                <w:lang w:eastAsia="ru-RU"/>
              </w:rPr>
              <w:br/>
            </w:r>
            <w:r w:rsidRPr="00B654DA">
              <w:rPr>
                <w:sz w:val="18"/>
                <w:szCs w:val="18"/>
                <w:lang w:eastAsia="ru-RU"/>
              </w:rPr>
              <w:t>(negro)</w:t>
            </w:r>
          </w:p>
        </w:tc>
        <w:tc>
          <w:tcPr>
            <w:tcW w:w="2694" w:type="dxa"/>
            <w:shd w:val="clear" w:color="auto" w:fill="auto"/>
            <w:vAlign w:val="center"/>
          </w:tcPr>
          <w:p w:rsidR="002041AD" w:rsidRPr="005546EB" w:rsidRDefault="002041AD" w:rsidP="002041AD">
            <w:pPr>
              <w:spacing w:before="60" w:after="60"/>
              <w:jc w:val="center"/>
              <w:rPr>
                <w:b/>
                <w:sz w:val="18"/>
                <w:szCs w:val="18"/>
                <w:lang w:eastAsia="ru-RU"/>
              </w:rPr>
            </w:pPr>
            <w:r w:rsidRPr="00B654DA">
              <w:rPr>
                <w:rFonts w:eastAsia="SimSun"/>
                <w:noProof/>
                <w:lang w:val="en-GB" w:eastAsia="en-GB"/>
              </w:rPr>
              <w:drawing>
                <wp:inline distT="0" distB="0" distL="0" distR="0" wp14:anchorId="6B8891E4" wp14:editId="7151D914">
                  <wp:extent cx="880110" cy="871220"/>
                  <wp:effectExtent l="19050" t="0" r="0" b="0"/>
                  <wp:docPr id="95"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ripes_black"/>
                          <pic:cNvPicPr>
                            <a:picLocks noChangeAspect="1" noChangeArrowheads="1"/>
                          </pic:cNvPicPr>
                        </pic:nvPicPr>
                        <pic:blipFill>
                          <a:blip r:embed="rId42" cstate="print"/>
                          <a:srcRect/>
                          <a:stretch>
                            <a:fillRect/>
                          </a:stretch>
                        </pic:blipFill>
                        <pic:spPr bwMode="auto">
                          <a:xfrm>
                            <a:off x="0" y="0"/>
                            <a:ext cx="880110" cy="871220"/>
                          </a:xfrm>
                          <a:prstGeom prst="rect">
                            <a:avLst/>
                          </a:prstGeom>
                          <a:noFill/>
                          <a:ln w="9525">
                            <a:noFill/>
                            <a:miter lim="800000"/>
                            <a:headEnd/>
                            <a:tailEnd/>
                          </a:ln>
                        </pic:spPr>
                      </pic:pic>
                    </a:graphicData>
                  </a:graphic>
                </wp:inline>
              </w:drawing>
            </w:r>
          </w:p>
        </w:tc>
        <w:tc>
          <w:tcPr>
            <w:tcW w:w="1700" w:type="dxa"/>
            <w:shd w:val="clear" w:color="auto" w:fill="auto"/>
          </w:tcPr>
          <w:p w:rsidR="002041AD" w:rsidRPr="005546EB" w:rsidRDefault="002041AD" w:rsidP="002041AD">
            <w:pPr>
              <w:spacing w:before="60" w:after="60"/>
              <w:jc w:val="center"/>
              <w:rPr>
                <w:b/>
                <w:sz w:val="18"/>
                <w:szCs w:val="18"/>
                <w:lang w:eastAsia="ru-RU"/>
              </w:rPr>
            </w:pPr>
            <w:r>
              <w:rPr>
                <w:b/>
                <w:sz w:val="18"/>
                <w:szCs w:val="18"/>
                <w:lang w:eastAsia="ru-RU"/>
              </w:rPr>
              <w:t>-</w:t>
            </w:r>
          </w:p>
        </w:tc>
      </w:tr>
      <w:tr w:rsidR="002041AD" w:rsidRPr="005546EB" w:rsidTr="00012C79">
        <w:trPr>
          <w:cantSplit/>
        </w:trPr>
        <w:tc>
          <w:tcPr>
            <w:tcW w:w="883"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9A</w:t>
            </w:r>
          </w:p>
        </w:tc>
        <w:tc>
          <w:tcPr>
            <w:tcW w:w="1414" w:type="dxa"/>
            <w:shd w:val="clear" w:color="auto" w:fill="auto"/>
          </w:tcPr>
          <w:p w:rsidR="002041AD" w:rsidRPr="00B654DA" w:rsidRDefault="002041AD" w:rsidP="00012C79">
            <w:pPr>
              <w:spacing w:before="60" w:after="60"/>
              <w:jc w:val="center"/>
              <w:rPr>
                <w:sz w:val="18"/>
                <w:szCs w:val="18"/>
                <w:lang w:eastAsia="ru-RU"/>
              </w:rPr>
            </w:pPr>
            <w:r w:rsidRPr="00B654DA">
              <w:rPr>
                <w:sz w:val="18"/>
                <w:szCs w:val="18"/>
                <w:lang w:eastAsia="ru-RU"/>
              </w:rPr>
              <w:t>-</w:t>
            </w:r>
          </w:p>
        </w:tc>
        <w:tc>
          <w:tcPr>
            <w:tcW w:w="2127"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Siete franjas vertica</w:t>
            </w:r>
            <w:r w:rsidR="00012C79">
              <w:rPr>
                <w:sz w:val="18"/>
                <w:szCs w:val="18"/>
                <w:lang w:eastAsia="ru-RU"/>
              </w:rPr>
              <w:t>les en la mitad superior: negro.</w:t>
            </w:r>
          </w:p>
          <w:p w:rsidR="002041AD" w:rsidRPr="00B654DA" w:rsidRDefault="002041AD" w:rsidP="002041AD">
            <w:pPr>
              <w:spacing w:before="60" w:after="60"/>
              <w:jc w:val="center"/>
              <w:rPr>
                <w:sz w:val="18"/>
                <w:szCs w:val="18"/>
                <w:lang w:eastAsia="ru-RU"/>
              </w:rPr>
            </w:pPr>
            <w:r w:rsidRPr="00B654DA">
              <w:rPr>
                <w:sz w:val="18"/>
                <w:szCs w:val="18"/>
                <w:lang w:eastAsia="ru-RU"/>
              </w:rPr>
              <w:t>Grupo de baterías, una de ellas rota y despidie</w:t>
            </w:r>
            <w:r w:rsidR="00012C79">
              <w:rPr>
                <w:sz w:val="18"/>
                <w:szCs w:val="18"/>
                <w:lang w:eastAsia="ru-RU"/>
              </w:rPr>
              <w:t>ndo llamas en la mitad inferior</w:t>
            </w:r>
            <w:r w:rsidRPr="00B654DA">
              <w:rPr>
                <w:sz w:val="18"/>
                <w:szCs w:val="18"/>
                <w:lang w:eastAsia="ru-RU"/>
              </w:rPr>
              <w:t>: negro</w:t>
            </w:r>
            <w:r w:rsidR="00012C79">
              <w:rPr>
                <w:sz w:val="18"/>
                <w:szCs w:val="18"/>
                <w:lang w:eastAsia="ru-RU"/>
              </w:rPr>
              <w:t>.</w:t>
            </w:r>
          </w:p>
        </w:tc>
        <w:tc>
          <w:tcPr>
            <w:tcW w:w="1842"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Blanco</w:t>
            </w:r>
          </w:p>
        </w:tc>
        <w:tc>
          <w:tcPr>
            <w:tcW w:w="2268" w:type="dxa"/>
            <w:shd w:val="clear" w:color="auto" w:fill="auto"/>
          </w:tcPr>
          <w:p w:rsidR="002041AD" w:rsidRPr="00B654DA" w:rsidRDefault="002041AD" w:rsidP="002041AD">
            <w:pPr>
              <w:spacing w:before="60" w:after="60"/>
              <w:jc w:val="center"/>
              <w:rPr>
                <w:sz w:val="18"/>
                <w:szCs w:val="18"/>
                <w:lang w:eastAsia="ru-RU"/>
              </w:rPr>
            </w:pPr>
            <w:r w:rsidRPr="00B654DA">
              <w:rPr>
                <w:sz w:val="18"/>
                <w:szCs w:val="18"/>
                <w:lang w:eastAsia="ru-RU"/>
              </w:rPr>
              <w:t>9 subrayado</w:t>
            </w:r>
            <w:r>
              <w:rPr>
                <w:sz w:val="18"/>
                <w:szCs w:val="18"/>
                <w:lang w:eastAsia="ru-RU"/>
              </w:rPr>
              <w:br/>
            </w:r>
            <w:r w:rsidRPr="00B654DA">
              <w:rPr>
                <w:sz w:val="18"/>
                <w:szCs w:val="18"/>
                <w:lang w:eastAsia="ru-RU"/>
              </w:rPr>
              <w:t>(negro)</w:t>
            </w:r>
          </w:p>
        </w:tc>
        <w:tc>
          <w:tcPr>
            <w:tcW w:w="2694" w:type="dxa"/>
            <w:shd w:val="clear" w:color="auto" w:fill="auto"/>
            <w:vAlign w:val="center"/>
          </w:tcPr>
          <w:p w:rsidR="002041AD" w:rsidRPr="005546EB" w:rsidRDefault="002041AD" w:rsidP="002041AD">
            <w:pPr>
              <w:spacing w:before="60" w:after="60"/>
              <w:jc w:val="center"/>
              <w:rPr>
                <w:b/>
                <w:sz w:val="18"/>
                <w:szCs w:val="18"/>
                <w:lang w:eastAsia="ru-RU"/>
              </w:rPr>
            </w:pPr>
            <w:r w:rsidRPr="00B654DA">
              <w:rPr>
                <w:rFonts w:eastAsia="SimSun"/>
                <w:noProof/>
                <w:lang w:val="en-GB" w:eastAsia="en-GB"/>
              </w:rPr>
              <w:drawing>
                <wp:inline distT="0" distB="0" distL="0" distR="0" wp14:anchorId="67574E56" wp14:editId="1B6529A3">
                  <wp:extent cx="888365" cy="880110"/>
                  <wp:effectExtent l="19050" t="0" r="6985" b="0"/>
                  <wp:docPr id="96"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sange-Batteries3"/>
                          <pic:cNvPicPr>
                            <a:picLocks noChangeAspect="1" noChangeArrowheads="1"/>
                          </pic:cNvPicPr>
                        </pic:nvPicPr>
                        <pic:blipFill>
                          <a:blip r:embed="rId43" cstate="print"/>
                          <a:srcRect/>
                          <a:stretch>
                            <a:fillRect/>
                          </a:stretch>
                        </pic:blipFill>
                        <pic:spPr bwMode="auto">
                          <a:xfrm>
                            <a:off x="0" y="0"/>
                            <a:ext cx="888365" cy="880110"/>
                          </a:xfrm>
                          <a:prstGeom prst="rect">
                            <a:avLst/>
                          </a:prstGeom>
                          <a:noFill/>
                          <a:ln w="9525">
                            <a:noFill/>
                            <a:miter lim="800000"/>
                            <a:headEnd/>
                            <a:tailEnd/>
                          </a:ln>
                        </pic:spPr>
                      </pic:pic>
                    </a:graphicData>
                  </a:graphic>
                </wp:inline>
              </w:drawing>
            </w:r>
          </w:p>
        </w:tc>
        <w:tc>
          <w:tcPr>
            <w:tcW w:w="1700" w:type="dxa"/>
            <w:shd w:val="clear" w:color="auto" w:fill="auto"/>
          </w:tcPr>
          <w:p w:rsidR="002041AD" w:rsidRPr="005546EB" w:rsidRDefault="002041AD" w:rsidP="002041AD">
            <w:pPr>
              <w:spacing w:before="60" w:after="60"/>
              <w:jc w:val="center"/>
              <w:rPr>
                <w:b/>
                <w:sz w:val="18"/>
                <w:szCs w:val="18"/>
                <w:lang w:eastAsia="ru-RU"/>
              </w:rPr>
            </w:pPr>
            <w:r>
              <w:rPr>
                <w:b/>
                <w:sz w:val="18"/>
                <w:szCs w:val="18"/>
                <w:lang w:eastAsia="ru-RU"/>
              </w:rPr>
              <w:t>-</w:t>
            </w:r>
          </w:p>
        </w:tc>
      </w:tr>
    </w:tbl>
    <w:p w:rsidR="00FC62A8" w:rsidRDefault="00FC62A8" w:rsidP="00565AED">
      <w:pPr>
        <w:spacing w:before="60" w:after="60"/>
        <w:jc w:val="center"/>
        <w:rPr>
          <w:b/>
          <w:sz w:val="18"/>
          <w:szCs w:val="18"/>
          <w:lang w:eastAsia="ru-RU"/>
        </w:rPr>
      </w:pPr>
    </w:p>
    <w:p w:rsidR="007A3AD0" w:rsidRPr="00B654DA" w:rsidRDefault="007A3AD0" w:rsidP="007A3AD0">
      <w:pPr>
        <w:spacing w:line="240" w:lineRule="auto"/>
      </w:pPr>
    </w:p>
    <w:p w:rsidR="007A3AD0" w:rsidRPr="00B654DA" w:rsidRDefault="007A3AD0" w:rsidP="007A3AD0"/>
    <w:p w:rsidR="007A3AD0" w:rsidRPr="00B654DA" w:rsidRDefault="007A3AD0" w:rsidP="007A3AD0">
      <w:pPr>
        <w:sectPr w:rsidR="007A3AD0" w:rsidRPr="00B654DA" w:rsidSect="007A3AD0">
          <w:headerReference w:type="even" r:id="rId44"/>
          <w:headerReference w:type="default" r:id="rId45"/>
          <w:footerReference w:type="even" r:id="rId46"/>
          <w:footerReference w:type="default" r:id="rId47"/>
          <w:headerReference w:type="first" r:id="rId48"/>
          <w:endnotePr>
            <w:numFmt w:val="decimal"/>
          </w:endnotePr>
          <w:pgSz w:w="16840" w:h="11907" w:orient="landscape" w:code="9"/>
          <w:pgMar w:top="1134" w:right="1701" w:bottom="1134" w:left="2268" w:header="567" w:footer="567" w:gutter="0"/>
          <w:cols w:space="720"/>
          <w:docGrid w:linePitch="272"/>
        </w:sectPr>
      </w:pPr>
    </w:p>
    <w:p w:rsidR="007A3AD0" w:rsidRPr="00B654DA" w:rsidRDefault="007A3AD0" w:rsidP="007A3AD0">
      <w:pPr>
        <w:pStyle w:val="H1G"/>
        <w:spacing w:before="0"/>
      </w:pPr>
      <w:r w:rsidRPr="00B654DA">
        <w:lastRenderedPageBreak/>
        <w:tab/>
      </w:r>
      <w:r w:rsidRPr="00B654DA">
        <w:tab/>
        <w:t>Capítulo 5.3</w:t>
      </w:r>
    </w:p>
    <w:p w:rsidR="007A3AD0" w:rsidRPr="00B654DA" w:rsidRDefault="007A3AD0" w:rsidP="007A3AD0">
      <w:pPr>
        <w:pStyle w:val="SingleTxtG"/>
      </w:pPr>
      <w:r w:rsidRPr="00B654DA">
        <w:t xml:space="preserve">Modifíquese el título del capítulo 5.3 de forma que diga: </w:t>
      </w:r>
      <w:r w:rsidR="00A069C9">
        <w:t>“</w:t>
      </w:r>
      <w:r w:rsidRPr="00B654DA">
        <w:t>ROTULACIÓN Y MARCADO DE LAS UNIDADES DE TRANSPORTE Y LOS CONTENEDORES PARA GRANELES</w:t>
      </w:r>
      <w:r w:rsidR="00A069C9">
        <w:t>”</w:t>
      </w:r>
      <w:r w:rsidR="003C3CFC">
        <w:t>.</w:t>
      </w:r>
    </w:p>
    <w:p w:rsidR="007A3AD0" w:rsidRPr="00B654DA" w:rsidRDefault="007A3AD0" w:rsidP="007A3AD0">
      <w:pPr>
        <w:pStyle w:val="SingleTxtG"/>
      </w:pPr>
      <w:r w:rsidRPr="00B654DA">
        <w:t>5.3.1.1.2</w:t>
      </w:r>
      <w:r w:rsidRPr="00B654DA">
        <w:tab/>
        <w:t xml:space="preserve">En la primera oración, sustitúyase </w:t>
      </w:r>
      <w:r w:rsidR="00A069C9">
        <w:t>“</w:t>
      </w:r>
      <w:r w:rsidRPr="00B654DA">
        <w:t>riesgos</w:t>
      </w:r>
      <w:r w:rsidR="00A069C9">
        <w:t>”</w:t>
      </w:r>
      <w:r w:rsidRPr="00B654DA">
        <w:t xml:space="preserve"> por </w:t>
      </w:r>
      <w:r w:rsidR="00A069C9">
        <w:t>“</w:t>
      </w:r>
      <w:r w:rsidRPr="00B654DA">
        <w:t>peligros</w:t>
      </w:r>
      <w:r w:rsidR="00A069C9">
        <w:t>”</w:t>
      </w:r>
      <w:r w:rsidRPr="00B654DA">
        <w:t xml:space="preserve"> y después de </w:t>
      </w:r>
      <w:r w:rsidR="00A069C9">
        <w:t>“</w:t>
      </w:r>
      <w:r w:rsidRPr="00B654DA">
        <w:t>la unidad de transporte</w:t>
      </w:r>
      <w:r w:rsidR="00A069C9">
        <w:t>”</w:t>
      </w:r>
      <w:r w:rsidRPr="00B654DA">
        <w:t xml:space="preserve">, añádase </w:t>
      </w:r>
      <w:r w:rsidR="00A069C9">
        <w:t>“</w:t>
      </w:r>
      <w:r w:rsidRPr="00B654DA">
        <w:t>o el contenedor para graneles</w:t>
      </w:r>
      <w:r w:rsidR="00A069C9">
        <w:t>”</w:t>
      </w:r>
      <w:r w:rsidR="003C3CFC">
        <w:t>.</w:t>
      </w:r>
      <w:r w:rsidRPr="00B654DA">
        <w:t xml:space="preserve"> En la segunda oración, en el apartado b), sustitúyase </w:t>
      </w:r>
      <w:r w:rsidR="00A069C9">
        <w:t>“</w:t>
      </w:r>
      <w:r w:rsidRPr="00B654DA">
        <w:t>riesgos</w:t>
      </w:r>
      <w:r w:rsidR="00A069C9">
        <w:t>”</w:t>
      </w:r>
      <w:r w:rsidRPr="00B654DA">
        <w:t xml:space="preserve"> por </w:t>
      </w:r>
      <w:r w:rsidR="00A069C9">
        <w:t>“</w:t>
      </w:r>
      <w:r w:rsidRPr="00B654DA">
        <w:t>peligros</w:t>
      </w:r>
      <w:r w:rsidR="00A069C9">
        <w:t>”</w:t>
      </w:r>
      <w:r w:rsidRPr="00B654DA">
        <w:t xml:space="preserve"> y después de </w:t>
      </w:r>
      <w:r w:rsidR="00A069C9">
        <w:t>“</w:t>
      </w:r>
      <w:r w:rsidRPr="00B654DA">
        <w:t>unidades de transporte</w:t>
      </w:r>
      <w:r w:rsidR="00A069C9">
        <w:t>”</w:t>
      </w:r>
      <w:r w:rsidRPr="00B654DA">
        <w:t xml:space="preserve">, añádase </w:t>
      </w:r>
      <w:r w:rsidR="00A069C9">
        <w:t>“</w:t>
      </w:r>
      <w:r w:rsidRPr="00B654DA">
        <w:t>y los contenedores para graneles</w:t>
      </w:r>
      <w:r w:rsidR="00A069C9">
        <w:t>”</w:t>
      </w:r>
      <w:r w:rsidR="003C3CFC">
        <w:t>.</w:t>
      </w:r>
    </w:p>
    <w:p w:rsidR="007A3AD0" w:rsidRPr="00B654DA" w:rsidRDefault="007A3AD0" w:rsidP="007A3AD0">
      <w:pPr>
        <w:pStyle w:val="SingleTxtG"/>
      </w:pPr>
      <w:r w:rsidRPr="00B654DA">
        <w:t>5.3.1.1.3</w:t>
      </w:r>
      <w:r w:rsidRPr="00B654DA">
        <w:tab/>
        <w:t xml:space="preserve">En la primera oración, sustitúyase </w:t>
      </w:r>
      <w:r w:rsidR="00A069C9">
        <w:t>“</w:t>
      </w:r>
      <w:r w:rsidRPr="00B654DA">
        <w:t>riesgos</w:t>
      </w:r>
      <w:r w:rsidR="00A069C9">
        <w:t>”</w:t>
      </w:r>
      <w:r w:rsidRPr="00B654DA">
        <w:t xml:space="preserve"> por </w:t>
      </w:r>
      <w:r w:rsidR="00A069C9">
        <w:t>“</w:t>
      </w:r>
      <w:r w:rsidRPr="00B654DA">
        <w:t>peligros</w:t>
      </w:r>
      <w:r w:rsidR="00A069C9">
        <w:t>”</w:t>
      </w:r>
      <w:r w:rsidRPr="00B654DA">
        <w:t xml:space="preserve"> y </w:t>
      </w:r>
      <w:r w:rsidR="00A069C9">
        <w:t>“</w:t>
      </w:r>
      <w:r w:rsidRPr="00B654DA">
        <w:t>riesgo</w:t>
      </w:r>
      <w:r w:rsidR="00A069C9">
        <w:t>”</w:t>
      </w:r>
      <w:r w:rsidRPr="00B654DA">
        <w:t xml:space="preserve"> por </w:t>
      </w:r>
      <w:r w:rsidR="00A069C9">
        <w:t>“</w:t>
      </w:r>
      <w:r w:rsidRPr="00B654DA">
        <w:t>peligro</w:t>
      </w:r>
      <w:r w:rsidR="00A069C9">
        <w:t>”</w:t>
      </w:r>
      <w:r w:rsidRPr="00B654DA">
        <w:t xml:space="preserve">. En la segunda oración, 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rPr>
          <w:iCs/>
        </w:rPr>
      </w:pPr>
      <w:r w:rsidRPr="00B654DA">
        <w:t>5.3.2.3.1</w:t>
      </w:r>
      <w:r w:rsidRPr="00B654DA">
        <w:tab/>
        <w:t xml:space="preserve">Después de </w:t>
      </w:r>
      <w:r w:rsidR="00A069C9">
        <w:t>“</w:t>
      </w:r>
      <w:r w:rsidRPr="00B654DA">
        <w:t>unidad de transporte</w:t>
      </w:r>
      <w:r w:rsidR="00A069C9">
        <w:t>”</w:t>
      </w:r>
      <w:r w:rsidRPr="00B654DA">
        <w:t xml:space="preserve"> añádase </w:t>
      </w:r>
      <w:r w:rsidR="00A069C9">
        <w:t>“</w:t>
      </w:r>
      <w:r w:rsidRPr="00B654DA">
        <w:t>o contenedor para graneles</w:t>
      </w:r>
      <w:r w:rsidR="00A069C9">
        <w:t>”</w:t>
      </w:r>
      <w:r w:rsidRPr="00B654DA">
        <w:t xml:space="preserve">. </w:t>
      </w:r>
    </w:p>
    <w:p w:rsidR="007A3AD0" w:rsidRPr="00B654DA" w:rsidRDefault="007A3AD0" w:rsidP="007A3AD0">
      <w:pPr>
        <w:pStyle w:val="SingleTxtG"/>
      </w:pPr>
      <w:r w:rsidRPr="00B654DA">
        <w:t>5.3.2.3.2</w:t>
      </w:r>
      <w:r w:rsidRPr="00B654DA">
        <w:tab/>
        <w:t xml:space="preserve">Después de </w:t>
      </w:r>
      <w:r w:rsidR="00A069C9">
        <w:t>“</w:t>
      </w:r>
      <w:r w:rsidRPr="00B654DA">
        <w:t>unidades de transporte</w:t>
      </w:r>
      <w:r w:rsidR="00A069C9">
        <w:t>”</w:t>
      </w:r>
      <w:r w:rsidRPr="00B654DA">
        <w:t xml:space="preserve">, añádase </w:t>
      </w:r>
      <w:r w:rsidR="003B4E67">
        <w:t>“</w:t>
      </w:r>
      <w:r w:rsidR="003B4E67" w:rsidRPr="00B654DA">
        <w:t>y</w:t>
      </w:r>
      <w:r w:rsidRPr="00B654DA">
        <w:t xml:space="preserve"> contenedores de graneles</w:t>
      </w:r>
      <w:r w:rsidR="00A069C9">
        <w:t>”</w:t>
      </w:r>
      <w:r w:rsidRPr="00B654DA">
        <w:t>.</w:t>
      </w:r>
    </w:p>
    <w:p w:rsidR="007A3AD0" w:rsidRPr="00B654DA" w:rsidRDefault="007A3AD0" w:rsidP="007A3AD0">
      <w:pPr>
        <w:pStyle w:val="H1G"/>
      </w:pPr>
      <w:r w:rsidRPr="00B654DA">
        <w:tab/>
      </w:r>
      <w:r w:rsidRPr="00B654DA">
        <w:tab/>
        <w:t>Capítulo 5.4</w:t>
      </w:r>
    </w:p>
    <w:p w:rsidR="007A3AD0" w:rsidRPr="00B654DA" w:rsidRDefault="007A3AD0" w:rsidP="007A3AD0">
      <w:pPr>
        <w:pStyle w:val="SingleTxtG"/>
        <w:rPr>
          <w:rStyle w:val="Strong"/>
          <w:b w:val="0"/>
          <w:bCs w:val="0"/>
        </w:rPr>
      </w:pPr>
      <w:r w:rsidRPr="00B654DA">
        <w:t>5.4.1.4.1 c)</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5.4.1.4.1 d)</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5.4.1.5.3</w:t>
      </w:r>
      <w:r w:rsidRPr="00B654DA">
        <w:tab/>
        <w:t xml:space="preserve">En el título y en la siguiente oración, después </w:t>
      </w:r>
      <w:r w:rsidR="00A069C9">
        <w:t>“</w:t>
      </w:r>
      <w:r w:rsidRPr="00B654DA">
        <w:t>embalajes/envases de socorro</w:t>
      </w:r>
      <w:r w:rsidR="00A069C9">
        <w:t>”</w:t>
      </w:r>
      <w:r w:rsidRPr="00B654DA">
        <w:t xml:space="preserve">, añádase </w:t>
      </w:r>
      <w:r w:rsidR="00A069C9">
        <w:t>“</w:t>
      </w:r>
      <w:r w:rsidRPr="00B654DA">
        <w:t>incluidos grandes embalajes/envases de socorro</w:t>
      </w:r>
      <w:r w:rsidR="00A069C9">
        <w:t>”</w:t>
      </w:r>
      <w:r w:rsidR="003C3CFC">
        <w:t>.</w:t>
      </w:r>
    </w:p>
    <w:p w:rsidR="007A3AD0" w:rsidRPr="00B654DA" w:rsidRDefault="007A3AD0" w:rsidP="007A3AD0">
      <w:pPr>
        <w:pStyle w:val="SingleTxtG"/>
      </w:pPr>
      <w:r w:rsidRPr="00B654DA">
        <w:t>5.4.1.5.4</w:t>
      </w:r>
      <w:r w:rsidRPr="00B654DA">
        <w:tab/>
        <w:t xml:space="preserve">Sustitúyase </w:t>
      </w:r>
      <w:r w:rsidR="00A069C9">
        <w:t>“</w:t>
      </w:r>
      <w:r w:rsidRPr="00B654DA">
        <w:t>7.1.5.3.1</w:t>
      </w:r>
      <w:r w:rsidR="00A069C9">
        <w:t>”</w:t>
      </w:r>
      <w:r w:rsidRPr="00B654DA">
        <w:t xml:space="preserve"> por </w:t>
      </w:r>
      <w:r w:rsidR="00A069C9">
        <w:t>“</w:t>
      </w:r>
      <w:r w:rsidRPr="00B654DA">
        <w:t>7.1.5.3</w:t>
      </w:r>
      <w:r w:rsidR="00A069C9">
        <w:t>”</w:t>
      </w:r>
      <w:r w:rsidRPr="00B654DA">
        <w:t>.</w:t>
      </w:r>
    </w:p>
    <w:p w:rsidR="007A3AD0" w:rsidRPr="00B654DA" w:rsidRDefault="007A3AD0" w:rsidP="007A3AD0">
      <w:pPr>
        <w:pStyle w:val="SingleTxtG"/>
      </w:pPr>
      <w:r w:rsidRPr="00B654DA">
        <w:t>5.4.1.5.5</w:t>
      </w:r>
      <w:r w:rsidRPr="00B654DA">
        <w:tab/>
        <w:t xml:space="preserve">En el encabezamiento, después de </w:t>
      </w:r>
      <w:r w:rsidR="00A069C9" w:rsidRPr="003C3CFC">
        <w:rPr>
          <w:i/>
        </w:rPr>
        <w:t>“</w:t>
      </w:r>
      <w:r w:rsidRPr="003C3CFC">
        <w:rPr>
          <w:i/>
        </w:rPr>
        <w:t>Sustancias que reaccionan espontáneamente</w:t>
      </w:r>
      <w:r w:rsidR="00A069C9" w:rsidRPr="003C3CFC">
        <w:rPr>
          <w:i/>
        </w:rPr>
        <w:t>”</w:t>
      </w:r>
      <w:r w:rsidRPr="00B654DA">
        <w:t xml:space="preserve">, añádase </w:t>
      </w:r>
      <w:r w:rsidR="00A069C9" w:rsidRPr="003C3CFC">
        <w:rPr>
          <w:i/>
        </w:rPr>
        <w:t>“</w:t>
      </w:r>
      <w:r w:rsidRPr="003C3CFC">
        <w:rPr>
          <w:i/>
        </w:rPr>
        <w:t>, sustancias polimerizantes</w:t>
      </w:r>
      <w:r w:rsidR="00A069C9" w:rsidRPr="003C3CFC">
        <w:rPr>
          <w:i/>
        </w:rPr>
        <w:t>”</w:t>
      </w:r>
      <w:r w:rsidRPr="00B654DA">
        <w:t xml:space="preserve">. En el texto, sustitúyase </w:t>
      </w:r>
      <w:r w:rsidR="00A069C9">
        <w:t>“</w:t>
      </w:r>
      <w:r w:rsidRPr="00B654DA">
        <w:t>y peróxidos orgánicos</w:t>
      </w:r>
      <w:r w:rsidR="00A069C9">
        <w:t>”</w:t>
      </w:r>
      <w:r w:rsidRPr="00B654DA">
        <w:t xml:space="preserve"> por </w:t>
      </w:r>
      <w:r w:rsidR="00A069C9">
        <w:t>“</w:t>
      </w:r>
      <w:r w:rsidRPr="00B654DA">
        <w:t>, peróxidos orgánicos y sustancias polimerizantes</w:t>
      </w:r>
      <w:r w:rsidR="00A069C9">
        <w:t>”</w:t>
      </w:r>
      <w:r w:rsidRPr="00B654DA">
        <w:t xml:space="preserve"> y sustitúyase </w:t>
      </w:r>
      <w:r w:rsidR="00A069C9">
        <w:t>“</w:t>
      </w:r>
      <w:r w:rsidRPr="00B654DA">
        <w:t>7.1.5.3.1</w:t>
      </w:r>
      <w:r w:rsidR="00A069C9">
        <w:t>”</w:t>
      </w:r>
      <w:r w:rsidRPr="00B654DA">
        <w:t xml:space="preserve"> por </w:t>
      </w:r>
      <w:r w:rsidR="00A069C9">
        <w:t>“</w:t>
      </w:r>
      <w:r w:rsidRPr="00B654DA">
        <w:t>7.1.5.3</w:t>
      </w:r>
      <w:r w:rsidR="00A069C9">
        <w:t>”</w:t>
      </w:r>
    </w:p>
    <w:p w:rsidR="007A3AD0" w:rsidRPr="00B654DA" w:rsidRDefault="007A3AD0" w:rsidP="007A3AD0">
      <w:pPr>
        <w:pStyle w:val="SingleTxtG"/>
      </w:pPr>
      <w:r w:rsidRPr="00B654DA">
        <w:t>5.4.1.5.5.1</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5.4.1.5.10</w:t>
      </w:r>
      <w:r w:rsidRPr="00B654DA">
        <w:tab/>
        <w:t xml:space="preserve">En el segundo párrafo, sustitúyase </w:t>
      </w:r>
      <w:r w:rsidR="00A069C9">
        <w:t>“</w:t>
      </w:r>
      <w:r w:rsidRPr="00B654DA">
        <w:rPr>
          <w:spacing w:val="-2"/>
        </w:rPr>
        <w:t>e</w:t>
      </w:r>
      <w:r w:rsidRPr="00B654DA">
        <w:t>l</w:t>
      </w:r>
      <w:r w:rsidRPr="00B654DA">
        <w:rPr>
          <w:spacing w:val="1"/>
        </w:rPr>
        <w:t xml:space="preserve"> </w:t>
      </w:r>
      <w:r w:rsidRPr="00B654DA">
        <w:t>sí</w:t>
      </w:r>
      <w:r w:rsidRPr="00B654DA">
        <w:rPr>
          <w:spacing w:val="-4"/>
        </w:rPr>
        <w:t>m</w:t>
      </w:r>
      <w:r w:rsidRPr="00B654DA">
        <w:t>bolo</w:t>
      </w:r>
      <w:r w:rsidRPr="00B654DA">
        <w:rPr>
          <w:spacing w:val="1"/>
        </w:rPr>
        <w:t xml:space="preserve"> </w:t>
      </w:r>
      <w:r w:rsidRPr="00B654DA">
        <w:t>d</w:t>
      </w:r>
      <w:r w:rsidRPr="00B654DA">
        <w:rPr>
          <w:spacing w:val="-1"/>
        </w:rPr>
        <w:t>i</w:t>
      </w:r>
      <w:r w:rsidRPr="00B654DA">
        <w:t>s</w:t>
      </w:r>
      <w:r w:rsidRPr="00B654DA">
        <w:rPr>
          <w:spacing w:val="-1"/>
        </w:rPr>
        <w:t>t</w:t>
      </w:r>
      <w:r w:rsidRPr="00B654DA">
        <w:t>in</w:t>
      </w:r>
      <w:r w:rsidRPr="00B654DA">
        <w:rPr>
          <w:spacing w:val="-1"/>
        </w:rPr>
        <w:t>t</w:t>
      </w:r>
      <w:r w:rsidRPr="00B654DA">
        <w:rPr>
          <w:spacing w:val="1"/>
        </w:rPr>
        <w:t>i</w:t>
      </w:r>
      <w:r w:rsidRPr="00B654DA">
        <w:rPr>
          <w:spacing w:val="-2"/>
        </w:rPr>
        <w:t>v</w:t>
      </w:r>
      <w:r w:rsidRPr="00B654DA">
        <w:t>o ut</w:t>
      </w:r>
      <w:r w:rsidRPr="00B654DA">
        <w:rPr>
          <w:spacing w:val="-1"/>
        </w:rPr>
        <w:t>i</w:t>
      </w:r>
      <w:r w:rsidRPr="00B654DA">
        <w:t>li</w:t>
      </w:r>
      <w:r w:rsidRPr="00B654DA">
        <w:rPr>
          <w:spacing w:val="-2"/>
        </w:rPr>
        <w:t>z</w:t>
      </w:r>
      <w:r w:rsidRPr="00B654DA">
        <w:t>ado</w:t>
      </w:r>
      <w:r w:rsidRPr="00B654DA">
        <w:rPr>
          <w:spacing w:val="1"/>
        </w:rPr>
        <w:t xml:space="preserve"> </w:t>
      </w:r>
      <w:r w:rsidRPr="00B654DA">
        <w:t>p</w:t>
      </w:r>
      <w:r w:rsidRPr="00B654DA">
        <w:rPr>
          <w:spacing w:val="-2"/>
        </w:rPr>
        <w:t>a</w:t>
      </w:r>
      <w:r w:rsidRPr="00B654DA">
        <w:t>ra</w:t>
      </w:r>
      <w:r w:rsidRPr="00B654DA">
        <w:rPr>
          <w:spacing w:val="1"/>
        </w:rPr>
        <w:t xml:space="preserve"> </w:t>
      </w:r>
      <w:r w:rsidRPr="00B654DA">
        <w:t>l</w:t>
      </w:r>
      <w:r w:rsidRPr="00B654DA">
        <w:rPr>
          <w:spacing w:val="-2"/>
        </w:rPr>
        <w:t>o</w:t>
      </w:r>
      <w:r w:rsidRPr="00B654DA">
        <w:t>s</w:t>
      </w:r>
      <w:r w:rsidRPr="00B654DA">
        <w:rPr>
          <w:spacing w:val="1"/>
        </w:rPr>
        <w:t xml:space="preserve"> </w:t>
      </w:r>
      <w:r w:rsidRPr="00B654DA">
        <w:rPr>
          <w:spacing w:val="-2"/>
        </w:rPr>
        <w:t>v</w:t>
      </w:r>
      <w:r w:rsidRPr="00B654DA">
        <w:t>ehícu</w:t>
      </w:r>
      <w:r w:rsidRPr="00B654DA">
        <w:rPr>
          <w:spacing w:val="-1"/>
        </w:rPr>
        <w:t>l</w:t>
      </w:r>
      <w:r w:rsidRPr="00B654DA">
        <w:rPr>
          <w:spacing w:val="-2"/>
        </w:rPr>
        <w:t>o</w:t>
      </w:r>
      <w:r w:rsidRPr="00B654DA">
        <w:t>s</w:t>
      </w:r>
      <w:r w:rsidRPr="00B654DA">
        <w:rPr>
          <w:spacing w:val="1"/>
        </w:rPr>
        <w:t xml:space="preserve"> </w:t>
      </w:r>
      <w:r w:rsidRPr="00B654DA">
        <w:t>auto</w:t>
      </w:r>
      <w:r w:rsidRPr="00B654DA">
        <w:rPr>
          <w:spacing w:val="-4"/>
        </w:rPr>
        <w:t>m</w:t>
      </w:r>
      <w:r w:rsidRPr="00B654DA">
        <w:t>ó</w:t>
      </w:r>
      <w:r w:rsidRPr="00B654DA">
        <w:rPr>
          <w:spacing w:val="-2"/>
        </w:rPr>
        <w:t>v</w:t>
      </w:r>
      <w:r w:rsidRPr="00B654DA">
        <w:t>iles</w:t>
      </w:r>
      <w:r w:rsidRPr="00B654DA">
        <w:rPr>
          <w:spacing w:val="1"/>
        </w:rPr>
        <w:t xml:space="preserve"> </w:t>
      </w:r>
      <w:r w:rsidRPr="00B654DA">
        <w:t>en</w:t>
      </w:r>
      <w:r w:rsidRPr="00B654DA">
        <w:rPr>
          <w:spacing w:val="1"/>
        </w:rPr>
        <w:t xml:space="preserve"> </w:t>
      </w:r>
      <w:r w:rsidRPr="00B654DA">
        <w:t>el</w:t>
      </w:r>
      <w:r w:rsidRPr="00B654DA">
        <w:rPr>
          <w:spacing w:val="1"/>
        </w:rPr>
        <w:t xml:space="preserve"> </w:t>
      </w:r>
      <w:r w:rsidRPr="00B654DA">
        <w:rPr>
          <w:spacing w:val="-1"/>
        </w:rPr>
        <w:t>t</w:t>
      </w:r>
      <w:r w:rsidRPr="00B654DA">
        <w:rPr>
          <w:spacing w:val="1"/>
        </w:rPr>
        <w:t>r</w:t>
      </w:r>
      <w:r w:rsidRPr="00B654DA">
        <w:rPr>
          <w:spacing w:val="-2"/>
        </w:rPr>
        <w:t>á</w:t>
      </w:r>
      <w:r w:rsidRPr="00B654DA">
        <w:rPr>
          <w:spacing w:val="1"/>
        </w:rPr>
        <w:t>f</w:t>
      </w:r>
      <w:r w:rsidRPr="00B654DA">
        <w:rPr>
          <w:spacing w:val="-1"/>
        </w:rPr>
        <w:t>i</w:t>
      </w:r>
      <w:r w:rsidRPr="00B654DA">
        <w:t>co in</w:t>
      </w:r>
      <w:r w:rsidRPr="00B654DA">
        <w:rPr>
          <w:spacing w:val="-1"/>
        </w:rPr>
        <w:t>t</w:t>
      </w:r>
      <w:r w:rsidRPr="00B654DA">
        <w:t>ern</w:t>
      </w:r>
      <w:r w:rsidRPr="00B654DA">
        <w:rPr>
          <w:spacing w:val="-2"/>
        </w:rPr>
        <w:t>a</w:t>
      </w:r>
      <w:r w:rsidRPr="00B654DA">
        <w:t>ci</w:t>
      </w:r>
      <w:r w:rsidRPr="00B654DA">
        <w:rPr>
          <w:spacing w:val="-2"/>
        </w:rPr>
        <w:t>o</w:t>
      </w:r>
      <w:r w:rsidRPr="00B654DA">
        <w:t>na</w:t>
      </w:r>
      <w:r w:rsidRPr="00B654DA">
        <w:rPr>
          <w:spacing w:val="-1"/>
        </w:rPr>
        <w:t>l</w:t>
      </w:r>
      <w:r w:rsidR="00A069C9">
        <w:t>”</w:t>
      </w:r>
      <w:r w:rsidRPr="00B654DA">
        <w:t xml:space="preserve"> por </w:t>
      </w:r>
      <w:r w:rsidR="00A069C9">
        <w:t>“</w:t>
      </w:r>
      <w:r w:rsidRPr="00B654DA">
        <w:rPr>
          <w:spacing w:val="-2"/>
        </w:rPr>
        <w:t>e</w:t>
      </w:r>
      <w:r w:rsidRPr="00B654DA">
        <w:t>l</w:t>
      </w:r>
      <w:r w:rsidRPr="00B654DA">
        <w:rPr>
          <w:spacing w:val="1"/>
        </w:rPr>
        <w:t xml:space="preserve"> </w:t>
      </w:r>
      <w:r w:rsidRPr="00B654DA">
        <w:t>sí</w:t>
      </w:r>
      <w:r w:rsidRPr="00B654DA">
        <w:rPr>
          <w:spacing w:val="-4"/>
        </w:rPr>
        <w:t>m</w:t>
      </w:r>
      <w:r w:rsidRPr="00B654DA">
        <w:t>bolo</w:t>
      </w:r>
      <w:r w:rsidRPr="00B654DA">
        <w:rPr>
          <w:spacing w:val="1"/>
        </w:rPr>
        <w:t xml:space="preserve"> </w:t>
      </w:r>
      <w:r w:rsidRPr="00B654DA">
        <w:t>d</w:t>
      </w:r>
      <w:r w:rsidRPr="00B654DA">
        <w:rPr>
          <w:spacing w:val="-1"/>
        </w:rPr>
        <w:t>i</w:t>
      </w:r>
      <w:r w:rsidRPr="00B654DA">
        <w:t>s</w:t>
      </w:r>
      <w:r w:rsidRPr="00B654DA">
        <w:rPr>
          <w:spacing w:val="-1"/>
        </w:rPr>
        <w:t>t</w:t>
      </w:r>
      <w:r w:rsidRPr="00B654DA">
        <w:t>in</w:t>
      </w:r>
      <w:r w:rsidRPr="00B654DA">
        <w:rPr>
          <w:spacing w:val="-1"/>
        </w:rPr>
        <w:t>t</w:t>
      </w:r>
      <w:r w:rsidRPr="00B654DA">
        <w:rPr>
          <w:spacing w:val="1"/>
        </w:rPr>
        <w:t>i</w:t>
      </w:r>
      <w:r w:rsidRPr="00B654DA">
        <w:rPr>
          <w:spacing w:val="-2"/>
        </w:rPr>
        <w:t>v</w:t>
      </w:r>
      <w:r w:rsidRPr="00B654DA">
        <w:t>o ut</w:t>
      </w:r>
      <w:r w:rsidRPr="00B654DA">
        <w:rPr>
          <w:spacing w:val="-1"/>
        </w:rPr>
        <w:t>i</w:t>
      </w:r>
      <w:r w:rsidRPr="00B654DA">
        <w:t>li</w:t>
      </w:r>
      <w:r w:rsidRPr="00B654DA">
        <w:rPr>
          <w:spacing w:val="-2"/>
        </w:rPr>
        <w:t>z</w:t>
      </w:r>
      <w:r w:rsidRPr="00B654DA">
        <w:t>ado</w:t>
      </w:r>
      <w:r w:rsidRPr="00B654DA">
        <w:rPr>
          <w:spacing w:val="1"/>
        </w:rPr>
        <w:t xml:space="preserve"> en </w:t>
      </w:r>
      <w:r w:rsidRPr="00B654DA">
        <w:t>l</w:t>
      </w:r>
      <w:r w:rsidRPr="00B654DA">
        <w:rPr>
          <w:spacing w:val="-2"/>
        </w:rPr>
        <w:t>o</w:t>
      </w:r>
      <w:r w:rsidRPr="00B654DA">
        <w:t>s</w:t>
      </w:r>
      <w:r w:rsidRPr="00B654DA">
        <w:rPr>
          <w:spacing w:val="1"/>
        </w:rPr>
        <w:t xml:space="preserve"> </w:t>
      </w:r>
      <w:r w:rsidRPr="00B654DA">
        <w:rPr>
          <w:spacing w:val="-2"/>
        </w:rPr>
        <w:t>v</w:t>
      </w:r>
      <w:r w:rsidRPr="00B654DA">
        <w:t>ehícu</w:t>
      </w:r>
      <w:r w:rsidRPr="00B654DA">
        <w:rPr>
          <w:spacing w:val="-1"/>
        </w:rPr>
        <w:t>l</w:t>
      </w:r>
      <w:r w:rsidRPr="00B654DA">
        <w:rPr>
          <w:spacing w:val="-2"/>
        </w:rPr>
        <w:t>o</w:t>
      </w:r>
      <w:r w:rsidRPr="00B654DA">
        <w:t>s</w:t>
      </w:r>
      <w:r w:rsidRPr="00B654DA">
        <w:rPr>
          <w:spacing w:val="1"/>
        </w:rPr>
        <w:t xml:space="preserve"> </w:t>
      </w:r>
      <w:r w:rsidRPr="00B654DA">
        <w:t>auto</w:t>
      </w:r>
      <w:r w:rsidRPr="00B654DA">
        <w:rPr>
          <w:spacing w:val="-4"/>
        </w:rPr>
        <w:t>m</w:t>
      </w:r>
      <w:r w:rsidRPr="00B654DA">
        <w:t>ó</w:t>
      </w:r>
      <w:r w:rsidRPr="00B654DA">
        <w:rPr>
          <w:spacing w:val="-2"/>
        </w:rPr>
        <w:t>v</w:t>
      </w:r>
      <w:r w:rsidRPr="00B654DA">
        <w:t>iles</w:t>
      </w:r>
      <w:r w:rsidRPr="00B654DA">
        <w:rPr>
          <w:spacing w:val="1"/>
        </w:rPr>
        <w:t xml:space="preserve"> </w:t>
      </w:r>
      <w:r w:rsidRPr="00B654DA">
        <w:t>en</w:t>
      </w:r>
      <w:r w:rsidRPr="00B654DA">
        <w:rPr>
          <w:spacing w:val="1"/>
        </w:rPr>
        <w:t xml:space="preserve"> </w:t>
      </w:r>
      <w:r w:rsidRPr="00B654DA">
        <w:t>el</w:t>
      </w:r>
      <w:r w:rsidRPr="00B654DA">
        <w:rPr>
          <w:spacing w:val="1"/>
        </w:rPr>
        <w:t xml:space="preserve"> </w:t>
      </w:r>
      <w:r w:rsidRPr="00B654DA">
        <w:rPr>
          <w:spacing w:val="-1"/>
        </w:rPr>
        <w:t>t</w:t>
      </w:r>
      <w:r w:rsidRPr="00B654DA">
        <w:rPr>
          <w:spacing w:val="1"/>
        </w:rPr>
        <w:t>r</w:t>
      </w:r>
      <w:r w:rsidRPr="00B654DA">
        <w:rPr>
          <w:spacing w:val="-2"/>
        </w:rPr>
        <w:t>á</w:t>
      </w:r>
      <w:r w:rsidRPr="00B654DA">
        <w:rPr>
          <w:spacing w:val="1"/>
        </w:rPr>
        <w:t>f</w:t>
      </w:r>
      <w:r w:rsidRPr="00B654DA">
        <w:rPr>
          <w:spacing w:val="-1"/>
        </w:rPr>
        <w:t>i</w:t>
      </w:r>
      <w:r w:rsidRPr="00B654DA">
        <w:t>co in</w:t>
      </w:r>
      <w:r w:rsidRPr="00B654DA">
        <w:rPr>
          <w:spacing w:val="-1"/>
        </w:rPr>
        <w:t>t</w:t>
      </w:r>
      <w:r w:rsidRPr="00B654DA">
        <w:t>ern</w:t>
      </w:r>
      <w:r w:rsidRPr="00B654DA">
        <w:rPr>
          <w:spacing w:val="-2"/>
        </w:rPr>
        <w:t>a</w:t>
      </w:r>
      <w:r w:rsidRPr="00B654DA">
        <w:t>ci</w:t>
      </w:r>
      <w:r w:rsidRPr="00B654DA">
        <w:rPr>
          <w:spacing w:val="-2"/>
        </w:rPr>
        <w:t>o</w:t>
      </w:r>
      <w:r w:rsidRPr="00B654DA">
        <w:t>na</w:t>
      </w:r>
      <w:r w:rsidRPr="00B654DA">
        <w:rPr>
          <w:spacing w:val="-1"/>
        </w:rPr>
        <w:t>l</w:t>
      </w:r>
      <w:r w:rsidRPr="00402521">
        <w:rPr>
          <w:b/>
          <w:vertAlign w:val="superscript"/>
        </w:rPr>
        <w:t>3</w:t>
      </w:r>
      <w:r w:rsidR="00A069C9">
        <w:t>”</w:t>
      </w:r>
      <w:r w:rsidRPr="00B654DA">
        <w:t>, con el siguiente texto de la nota de pie de página 3:</w:t>
      </w:r>
    </w:p>
    <w:p w:rsidR="007A3AD0" w:rsidRPr="00B654DA" w:rsidRDefault="00A069C9" w:rsidP="007A3AD0">
      <w:pPr>
        <w:pStyle w:val="SingleTxtG"/>
        <w:tabs>
          <w:tab w:val="left" w:pos="1854"/>
        </w:tabs>
        <w:rPr>
          <w:i/>
        </w:rPr>
      </w:pPr>
      <w:r>
        <w:rPr>
          <w:i/>
        </w:rPr>
        <w:t>“</w:t>
      </w:r>
      <w:r w:rsidR="007A3AD0" w:rsidRPr="003C3CFC">
        <w:rPr>
          <w:b/>
          <w:vertAlign w:val="superscript"/>
        </w:rPr>
        <w:t>3</w:t>
      </w:r>
      <w:r w:rsidR="007A3AD0" w:rsidRPr="00B654DA">
        <w:rPr>
          <w:i/>
        </w:rPr>
        <w:tab/>
        <w:t>El signo distintivo del Estado de matriculación utilizado en los automóviles y los remolques en el tráfico</w:t>
      </w:r>
      <w:r w:rsidR="00965478">
        <w:rPr>
          <w:i/>
        </w:rPr>
        <w:t xml:space="preserve"> </w:t>
      </w:r>
      <w:r w:rsidR="007A3AD0" w:rsidRPr="00B654DA">
        <w:rPr>
          <w:i/>
        </w:rPr>
        <w:t>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7A3AD0">
      <w:pPr>
        <w:pStyle w:val="SingleTxtG"/>
      </w:pPr>
      <w:r w:rsidRPr="00B654DA">
        <w:t>Renumérense en consecuencia las notas de pie de página del capítulo 5.4.</w:t>
      </w:r>
    </w:p>
    <w:p w:rsidR="007A3AD0" w:rsidRPr="00B654DA" w:rsidRDefault="007A3AD0" w:rsidP="007A3AD0">
      <w:pPr>
        <w:pStyle w:val="H1G"/>
      </w:pPr>
      <w:r w:rsidRPr="00B654DA">
        <w:tab/>
      </w:r>
      <w:r w:rsidRPr="00B654DA">
        <w:tab/>
        <w:t>Capítulo 6.1</w:t>
      </w:r>
    </w:p>
    <w:p w:rsidR="007A3AD0" w:rsidRPr="00B654DA" w:rsidRDefault="007A3AD0" w:rsidP="007A3AD0">
      <w:pPr>
        <w:pStyle w:val="SingleTxtG"/>
      </w:pPr>
      <w:r w:rsidRPr="00B654DA">
        <w:t>En el encabezamiento, suprímase</w:t>
      </w:r>
      <w:r w:rsidR="003B4E67">
        <w:t xml:space="preserve"> “</w:t>
      </w:r>
      <w:r w:rsidRPr="00B654DA">
        <w:t>(DISTINTOS DE LOS UTILIZADOS PARA LAS SUSTANCIAS DE LA DIVISIÓN 6.2)</w:t>
      </w:r>
      <w:r w:rsidR="00A069C9">
        <w:t>”</w:t>
      </w:r>
      <w:r w:rsidRPr="00B654DA">
        <w:t>.</w:t>
      </w:r>
    </w:p>
    <w:p w:rsidR="007A3AD0" w:rsidRPr="00B654DA" w:rsidRDefault="007A3AD0" w:rsidP="007A3AD0">
      <w:pPr>
        <w:pStyle w:val="SingleTxtG"/>
        <w:rPr>
          <w:iCs/>
        </w:rPr>
      </w:pPr>
      <w:r w:rsidRPr="00B654DA">
        <w:rPr>
          <w:iCs/>
        </w:rPr>
        <w:t>6.1.1.1 a) i)</w:t>
      </w:r>
      <w:r w:rsidRPr="00B654DA">
        <w:rPr>
          <w:iCs/>
        </w:rPr>
        <w:tab/>
      </w:r>
      <w:r w:rsidR="00402521">
        <w:t>S</w:t>
      </w:r>
      <w:r w:rsidRPr="00B654DA">
        <w:t xml:space="preserve">ustitúyase </w:t>
      </w:r>
      <w:r w:rsidR="00A069C9">
        <w:rPr>
          <w:iCs/>
        </w:rPr>
        <w:t>“</w:t>
      </w:r>
      <w:r w:rsidRPr="00B654DA">
        <w:rPr>
          <w:iCs/>
        </w:rPr>
        <w:t>(riesgos)</w:t>
      </w:r>
      <w:r w:rsidR="00A069C9">
        <w:rPr>
          <w:iCs/>
        </w:rPr>
        <w:t>”</w:t>
      </w:r>
      <w:r w:rsidRPr="00B654DA">
        <w:rPr>
          <w:iCs/>
        </w:rPr>
        <w:t xml:space="preserve"> por </w:t>
      </w:r>
      <w:r w:rsidR="00A069C9">
        <w:rPr>
          <w:iCs/>
        </w:rPr>
        <w:t>“</w:t>
      </w:r>
      <w:r w:rsidRPr="00B654DA">
        <w:rPr>
          <w:iCs/>
        </w:rPr>
        <w:t>(</w:t>
      </w:r>
      <w:r w:rsidRPr="00B654DA">
        <w:t>peligros</w:t>
      </w:r>
      <w:r w:rsidRPr="00B654DA">
        <w:rPr>
          <w:iCs/>
        </w:rPr>
        <w:t>)</w:t>
      </w:r>
      <w:r w:rsidR="00A069C9">
        <w:rPr>
          <w:iCs/>
        </w:rPr>
        <w:t>”</w:t>
      </w:r>
      <w:r w:rsidRPr="00B654DA">
        <w:rPr>
          <w:iCs/>
        </w:rPr>
        <w:t>.</w:t>
      </w:r>
    </w:p>
    <w:p w:rsidR="007A3AD0" w:rsidRPr="00B654DA" w:rsidRDefault="007A3AD0" w:rsidP="007A3AD0">
      <w:pPr>
        <w:pStyle w:val="SingleTxtG"/>
      </w:pPr>
      <w:r w:rsidRPr="00B654DA">
        <w:t xml:space="preserve">6.1.1.1 </w:t>
      </w:r>
      <w:r w:rsidRPr="00B654DA">
        <w:tab/>
        <w:t>Añádase un nuevo apartado e) con el texto siguiente:</w:t>
      </w:r>
    </w:p>
    <w:p w:rsidR="007A3AD0" w:rsidRPr="003C3CFC" w:rsidRDefault="00A069C9" w:rsidP="00B51318">
      <w:pPr>
        <w:pStyle w:val="SingleTxtG"/>
      </w:pPr>
      <w:r w:rsidRPr="003C3CFC">
        <w:t>“</w:t>
      </w:r>
      <w:r w:rsidR="007A3AD0" w:rsidRPr="003C3CFC">
        <w:t>e)</w:t>
      </w:r>
      <w:r w:rsidR="007A3AD0" w:rsidRPr="003C3CFC">
        <w:tab/>
        <w:t>Embalajes/envases para las sustancias infecciosas de la división 6.2, categoría A.</w:t>
      </w:r>
      <w:r w:rsidRPr="003C3CFC">
        <w:t>”</w:t>
      </w:r>
      <w:r w:rsidR="007A3AD0" w:rsidRPr="003C3CFC">
        <w:t>.</w:t>
      </w:r>
    </w:p>
    <w:p w:rsidR="007A3AD0" w:rsidRPr="00B654DA" w:rsidRDefault="007A3AD0" w:rsidP="007A3AD0">
      <w:pPr>
        <w:pStyle w:val="SingleTxtG"/>
        <w:rPr>
          <w:rStyle w:val="Strong"/>
          <w:b w:val="0"/>
          <w:bCs w:val="0"/>
        </w:rPr>
      </w:pPr>
      <w:r w:rsidRPr="00B654DA">
        <w:t>6.1.3</w:t>
      </w:r>
      <w:r w:rsidR="003C3CFC">
        <w:t xml:space="preserve"> </w:t>
      </w:r>
      <w:r w:rsidRPr="00B654DA">
        <w:t>Nota 3</w:t>
      </w:r>
      <w:r w:rsidRPr="00B654DA">
        <w:tab/>
        <w:t xml:space="preserve">Sustitúyase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6.1.3.1 f)</w:t>
      </w:r>
      <w:r w:rsidRPr="00B654DA">
        <w:tab/>
        <w:t xml:space="preserve">Sustitúyase </w:t>
      </w:r>
      <w:r w:rsidR="00A069C9">
        <w:t>“</w:t>
      </w:r>
      <w:r w:rsidRPr="00B654DA">
        <w:rPr>
          <w:spacing w:val="-2"/>
        </w:rPr>
        <w:t>e</w:t>
      </w:r>
      <w:r w:rsidRPr="00B654DA">
        <w:t>l</w:t>
      </w:r>
      <w:r w:rsidRPr="00B654DA">
        <w:rPr>
          <w:spacing w:val="1"/>
        </w:rPr>
        <w:t xml:space="preserve"> </w:t>
      </w:r>
      <w:r w:rsidR="0000146C">
        <w:t>signo</w:t>
      </w:r>
      <w:r w:rsidRPr="00B654DA">
        <w:rPr>
          <w:spacing w:val="1"/>
        </w:rPr>
        <w:t xml:space="preserve"> </w:t>
      </w:r>
      <w:r w:rsidRPr="00B654DA">
        <w:t>d</w:t>
      </w:r>
      <w:r w:rsidRPr="00B654DA">
        <w:rPr>
          <w:spacing w:val="-1"/>
        </w:rPr>
        <w:t>i</w:t>
      </w:r>
      <w:r w:rsidRPr="00B654DA">
        <w:t>s</w:t>
      </w:r>
      <w:r w:rsidRPr="00B654DA">
        <w:rPr>
          <w:spacing w:val="-1"/>
        </w:rPr>
        <w:t>t</w:t>
      </w:r>
      <w:r w:rsidRPr="00B654DA">
        <w:t>in</w:t>
      </w:r>
      <w:r w:rsidRPr="00B654DA">
        <w:rPr>
          <w:spacing w:val="-1"/>
        </w:rPr>
        <w:t>t</w:t>
      </w:r>
      <w:r w:rsidRPr="00B654DA">
        <w:rPr>
          <w:spacing w:val="1"/>
        </w:rPr>
        <w:t>i</w:t>
      </w:r>
      <w:r w:rsidRPr="00B654DA">
        <w:rPr>
          <w:spacing w:val="-2"/>
        </w:rPr>
        <w:t>v</w:t>
      </w:r>
      <w:r w:rsidRPr="00B654DA">
        <w:t>o ut</w:t>
      </w:r>
      <w:r w:rsidRPr="00B654DA">
        <w:rPr>
          <w:spacing w:val="-1"/>
        </w:rPr>
        <w:t>i</w:t>
      </w:r>
      <w:r w:rsidRPr="00B654DA">
        <w:t>li</w:t>
      </w:r>
      <w:r w:rsidRPr="00B654DA">
        <w:rPr>
          <w:spacing w:val="-2"/>
        </w:rPr>
        <w:t>z</w:t>
      </w:r>
      <w:r w:rsidRPr="00B654DA">
        <w:t>ado</w:t>
      </w:r>
      <w:r w:rsidRPr="00B654DA">
        <w:rPr>
          <w:spacing w:val="1"/>
        </w:rPr>
        <w:t xml:space="preserve"> </w:t>
      </w:r>
      <w:r w:rsidRPr="00B654DA">
        <w:t>p</w:t>
      </w:r>
      <w:r w:rsidRPr="00B654DA">
        <w:rPr>
          <w:spacing w:val="-2"/>
        </w:rPr>
        <w:t>a</w:t>
      </w:r>
      <w:r w:rsidRPr="00B654DA">
        <w:t>ra</w:t>
      </w:r>
      <w:r w:rsidRPr="00B654DA">
        <w:rPr>
          <w:spacing w:val="1"/>
        </w:rPr>
        <w:t xml:space="preserve"> </w:t>
      </w:r>
      <w:r w:rsidRPr="00B654DA">
        <w:t>l</w:t>
      </w:r>
      <w:r w:rsidRPr="00B654DA">
        <w:rPr>
          <w:spacing w:val="-2"/>
        </w:rPr>
        <w:t>o</w:t>
      </w:r>
      <w:r w:rsidRPr="00B654DA">
        <w:t>s</w:t>
      </w:r>
      <w:r w:rsidRPr="00B654DA">
        <w:rPr>
          <w:spacing w:val="1"/>
        </w:rPr>
        <w:t xml:space="preserve"> </w:t>
      </w:r>
      <w:r w:rsidRPr="00B654DA">
        <w:rPr>
          <w:spacing w:val="-2"/>
        </w:rPr>
        <w:t>v</w:t>
      </w:r>
      <w:r w:rsidRPr="00B654DA">
        <w:t>ehícu</w:t>
      </w:r>
      <w:r w:rsidRPr="00B654DA">
        <w:rPr>
          <w:spacing w:val="-1"/>
        </w:rPr>
        <w:t>l</w:t>
      </w:r>
      <w:r w:rsidRPr="00B654DA">
        <w:rPr>
          <w:spacing w:val="-2"/>
        </w:rPr>
        <w:t>o</w:t>
      </w:r>
      <w:r w:rsidRPr="00B654DA">
        <w:t>s</w:t>
      </w:r>
      <w:r w:rsidRPr="00B654DA">
        <w:rPr>
          <w:spacing w:val="1"/>
        </w:rPr>
        <w:t xml:space="preserve"> </w:t>
      </w:r>
      <w:r w:rsidRPr="00B654DA">
        <w:t>auto</w:t>
      </w:r>
      <w:r w:rsidRPr="00B654DA">
        <w:rPr>
          <w:spacing w:val="-4"/>
        </w:rPr>
        <w:t>m</w:t>
      </w:r>
      <w:r w:rsidRPr="00B654DA">
        <w:t>ó</w:t>
      </w:r>
      <w:r w:rsidRPr="00B654DA">
        <w:rPr>
          <w:spacing w:val="-2"/>
        </w:rPr>
        <w:t>v</w:t>
      </w:r>
      <w:r w:rsidRPr="00B654DA">
        <w:t>iles</w:t>
      </w:r>
      <w:r w:rsidRPr="00B654DA">
        <w:rPr>
          <w:spacing w:val="1"/>
        </w:rPr>
        <w:t xml:space="preserve"> </w:t>
      </w:r>
      <w:r w:rsidRPr="00B654DA">
        <w:t>en</w:t>
      </w:r>
      <w:r w:rsidRPr="00B654DA">
        <w:rPr>
          <w:spacing w:val="1"/>
        </w:rPr>
        <w:t xml:space="preserve"> </w:t>
      </w:r>
      <w:r w:rsidRPr="00B654DA">
        <w:t>el</w:t>
      </w:r>
      <w:r w:rsidRPr="00B654DA">
        <w:rPr>
          <w:spacing w:val="1"/>
        </w:rPr>
        <w:t xml:space="preserve"> </w:t>
      </w:r>
      <w:r w:rsidRPr="00B654DA">
        <w:rPr>
          <w:spacing w:val="-1"/>
        </w:rPr>
        <w:t>t</w:t>
      </w:r>
      <w:r w:rsidRPr="00B654DA">
        <w:rPr>
          <w:spacing w:val="1"/>
        </w:rPr>
        <w:t>r</w:t>
      </w:r>
      <w:r w:rsidRPr="00B654DA">
        <w:rPr>
          <w:spacing w:val="-2"/>
        </w:rPr>
        <w:t>á</w:t>
      </w:r>
      <w:r w:rsidRPr="00B654DA">
        <w:rPr>
          <w:spacing w:val="1"/>
        </w:rPr>
        <w:t>f</w:t>
      </w:r>
      <w:r w:rsidRPr="00B654DA">
        <w:rPr>
          <w:spacing w:val="-1"/>
        </w:rPr>
        <w:t>i</w:t>
      </w:r>
      <w:r w:rsidRPr="00B654DA">
        <w:t>co in</w:t>
      </w:r>
      <w:r w:rsidRPr="00B654DA">
        <w:rPr>
          <w:spacing w:val="-1"/>
        </w:rPr>
        <w:t>t</w:t>
      </w:r>
      <w:r w:rsidRPr="00B654DA">
        <w:t>ern</w:t>
      </w:r>
      <w:r w:rsidRPr="00B654DA">
        <w:rPr>
          <w:spacing w:val="-2"/>
        </w:rPr>
        <w:t>a</w:t>
      </w:r>
      <w:r w:rsidRPr="00B654DA">
        <w:t>ci</w:t>
      </w:r>
      <w:r w:rsidRPr="00B654DA">
        <w:rPr>
          <w:spacing w:val="-2"/>
        </w:rPr>
        <w:t>o</w:t>
      </w:r>
      <w:r w:rsidRPr="00B654DA">
        <w:t>na</w:t>
      </w:r>
      <w:r w:rsidRPr="00B654DA">
        <w:rPr>
          <w:spacing w:val="-1"/>
        </w:rPr>
        <w:t>l</w:t>
      </w:r>
      <w:r w:rsidR="00A069C9">
        <w:t>”</w:t>
      </w:r>
      <w:r w:rsidRPr="00B654DA">
        <w:t xml:space="preserve"> por </w:t>
      </w:r>
      <w:r w:rsidR="00A069C9">
        <w:t>“</w:t>
      </w:r>
      <w:r w:rsidRPr="00B654DA">
        <w:rPr>
          <w:spacing w:val="-2"/>
        </w:rPr>
        <w:t>e</w:t>
      </w:r>
      <w:r w:rsidRPr="00B654DA">
        <w:t>l</w:t>
      </w:r>
      <w:r w:rsidRPr="00B654DA">
        <w:rPr>
          <w:spacing w:val="1"/>
        </w:rPr>
        <w:t xml:space="preserve"> </w:t>
      </w:r>
      <w:r w:rsidR="0000146C">
        <w:t>signo</w:t>
      </w:r>
      <w:r w:rsidRPr="00B654DA">
        <w:rPr>
          <w:spacing w:val="1"/>
        </w:rPr>
        <w:t xml:space="preserve"> </w:t>
      </w:r>
      <w:r w:rsidRPr="00B654DA">
        <w:t>d</w:t>
      </w:r>
      <w:r w:rsidRPr="00B654DA">
        <w:rPr>
          <w:spacing w:val="-1"/>
        </w:rPr>
        <w:t>i</w:t>
      </w:r>
      <w:r w:rsidRPr="00B654DA">
        <w:t>s</w:t>
      </w:r>
      <w:r w:rsidRPr="00B654DA">
        <w:rPr>
          <w:spacing w:val="-1"/>
        </w:rPr>
        <w:t>t</w:t>
      </w:r>
      <w:r w:rsidRPr="00B654DA">
        <w:t>in</w:t>
      </w:r>
      <w:r w:rsidRPr="00B654DA">
        <w:rPr>
          <w:spacing w:val="-1"/>
        </w:rPr>
        <w:t>t</w:t>
      </w:r>
      <w:r w:rsidRPr="00B654DA">
        <w:rPr>
          <w:spacing w:val="1"/>
        </w:rPr>
        <w:t>i</w:t>
      </w:r>
      <w:r w:rsidRPr="00B654DA">
        <w:rPr>
          <w:spacing w:val="-2"/>
        </w:rPr>
        <w:t>v</w:t>
      </w:r>
      <w:r w:rsidRPr="00B654DA">
        <w:t>o ut</w:t>
      </w:r>
      <w:r w:rsidRPr="00B654DA">
        <w:rPr>
          <w:spacing w:val="-1"/>
        </w:rPr>
        <w:t>i</w:t>
      </w:r>
      <w:r w:rsidRPr="00B654DA">
        <w:t>li</w:t>
      </w:r>
      <w:r w:rsidRPr="00B654DA">
        <w:rPr>
          <w:spacing w:val="-2"/>
        </w:rPr>
        <w:t>z</w:t>
      </w:r>
      <w:r w:rsidRPr="00B654DA">
        <w:t>ado</w:t>
      </w:r>
      <w:r w:rsidRPr="00B654DA">
        <w:rPr>
          <w:spacing w:val="1"/>
        </w:rPr>
        <w:t xml:space="preserve"> en </w:t>
      </w:r>
      <w:r w:rsidRPr="00B654DA">
        <w:t>l</w:t>
      </w:r>
      <w:r w:rsidRPr="00B654DA">
        <w:rPr>
          <w:spacing w:val="-2"/>
        </w:rPr>
        <w:t>o</w:t>
      </w:r>
      <w:r w:rsidRPr="00B654DA">
        <w:t>s</w:t>
      </w:r>
      <w:r w:rsidRPr="00B654DA">
        <w:rPr>
          <w:spacing w:val="1"/>
        </w:rPr>
        <w:t xml:space="preserve"> </w:t>
      </w:r>
      <w:r w:rsidRPr="00B654DA">
        <w:rPr>
          <w:spacing w:val="-2"/>
        </w:rPr>
        <w:t>v</w:t>
      </w:r>
      <w:r w:rsidRPr="00B654DA">
        <w:t>ehícu</w:t>
      </w:r>
      <w:r w:rsidRPr="00B654DA">
        <w:rPr>
          <w:spacing w:val="-1"/>
        </w:rPr>
        <w:t>l</w:t>
      </w:r>
      <w:r w:rsidRPr="00B654DA">
        <w:rPr>
          <w:spacing w:val="-2"/>
        </w:rPr>
        <w:t>o</w:t>
      </w:r>
      <w:r w:rsidRPr="00B654DA">
        <w:t>s</w:t>
      </w:r>
      <w:r w:rsidRPr="00B654DA">
        <w:rPr>
          <w:spacing w:val="1"/>
        </w:rPr>
        <w:t xml:space="preserve"> </w:t>
      </w:r>
      <w:r w:rsidRPr="00B654DA">
        <w:t>auto</w:t>
      </w:r>
      <w:r w:rsidRPr="00B654DA">
        <w:rPr>
          <w:spacing w:val="-4"/>
        </w:rPr>
        <w:t>m</w:t>
      </w:r>
      <w:r w:rsidRPr="00B654DA">
        <w:t>ó</w:t>
      </w:r>
      <w:r w:rsidRPr="00B654DA">
        <w:rPr>
          <w:spacing w:val="-2"/>
        </w:rPr>
        <w:t>v</w:t>
      </w:r>
      <w:r w:rsidRPr="00B654DA">
        <w:t>iles</w:t>
      </w:r>
      <w:r w:rsidRPr="00B654DA">
        <w:rPr>
          <w:spacing w:val="1"/>
        </w:rPr>
        <w:t xml:space="preserve"> </w:t>
      </w:r>
      <w:r w:rsidRPr="00B654DA">
        <w:t>en</w:t>
      </w:r>
      <w:r w:rsidRPr="00B654DA">
        <w:rPr>
          <w:spacing w:val="1"/>
        </w:rPr>
        <w:t xml:space="preserve"> </w:t>
      </w:r>
      <w:r w:rsidRPr="00B654DA">
        <w:t>el</w:t>
      </w:r>
      <w:r w:rsidRPr="00B654DA">
        <w:rPr>
          <w:spacing w:val="1"/>
        </w:rPr>
        <w:t xml:space="preserve"> </w:t>
      </w:r>
      <w:r w:rsidRPr="00B654DA">
        <w:rPr>
          <w:spacing w:val="-1"/>
        </w:rPr>
        <w:t>t</w:t>
      </w:r>
      <w:r w:rsidRPr="00B654DA">
        <w:rPr>
          <w:spacing w:val="1"/>
        </w:rPr>
        <w:t>r</w:t>
      </w:r>
      <w:r w:rsidRPr="00B654DA">
        <w:rPr>
          <w:spacing w:val="-2"/>
        </w:rPr>
        <w:t>á</w:t>
      </w:r>
      <w:r w:rsidRPr="00B654DA">
        <w:rPr>
          <w:spacing w:val="1"/>
        </w:rPr>
        <w:t>f</w:t>
      </w:r>
      <w:r w:rsidRPr="00B654DA">
        <w:rPr>
          <w:spacing w:val="-1"/>
        </w:rPr>
        <w:t>i</w:t>
      </w:r>
      <w:r w:rsidRPr="00B654DA">
        <w:t>co in</w:t>
      </w:r>
      <w:r w:rsidRPr="00B654DA">
        <w:rPr>
          <w:spacing w:val="-1"/>
        </w:rPr>
        <w:t>t</w:t>
      </w:r>
      <w:r w:rsidRPr="00B654DA">
        <w:t>ern</w:t>
      </w:r>
      <w:r w:rsidRPr="00B654DA">
        <w:rPr>
          <w:spacing w:val="-2"/>
        </w:rPr>
        <w:t>a</w:t>
      </w:r>
      <w:r w:rsidRPr="00B654DA">
        <w:t>ci</w:t>
      </w:r>
      <w:r w:rsidRPr="00B654DA">
        <w:rPr>
          <w:spacing w:val="-2"/>
        </w:rPr>
        <w:t>o</w:t>
      </w:r>
      <w:r w:rsidRPr="00B654DA">
        <w:t>na</w:t>
      </w:r>
      <w:r w:rsidRPr="00B654DA">
        <w:rPr>
          <w:spacing w:val="-1"/>
        </w:rPr>
        <w:t>l</w:t>
      </w:r>
      <w:r w:rsidRPr="003C3CFC">
        <w:rPr>
          <w:b/>
          <w:vertAlign w:val="superscript"/>
        </w:rPr>
        <w:t>2</w:t>
      </w:r>
      <w:r w:rsidR="00A069C9">
        <w:t>”</w:t>
      </w:r>
      <w:r w:rsidR="00C3530E">
        <w:t>.</w:t>
      </w:r>
    </w:p>
    <w:p w:rsidR="007A3AD0" w:rsidRPr="00B654DA" w:rsidRDefault="007A3AD0" w:rsidP="007A3AD0">
      <w:pPr>
        <w:pStyle w:val="SingleTxtG"/>
      </w:pPr>
      <w:r w:rsidRPr="00B654DA">
        <w:lastRenderedPageBreak/>
        <w:t>6.1.3.8 h)</w:t>
      </w:r>
      <w:r w:rsidRPr="00B654DA">
        <w:tab/>
        <w:t xml:space="preserve">Sustitúyase </w:t>
      </w:r>
      <w:r w:rsidR="00A069C9">
        <w:t>“</w:t>
      </w:r>
      <w:r w:rsidRPr="00B654DA">
        <w:rPr>
          <w:spacing w:val="-2"/>
        </w:rPr>
        <w:t>e</w:t>
      </w:r>
      <w:r w:rsidRPr="00B654DA">
        <w:t>l</w:t>
      </w:r>
      <w:r w:rsidRPr="00B654DA">
        <w:rPr>
          <w:spacing w:val="1"/>
        </w:rPr>
        <w:t xml:space="preserve"> </w:t>
      </w:r>
      <w:r w:rsidR="0000146C">
        <w:t>signo</w:t>
      </w:r>
      <w:r w:rsidRPr="00B654DA">
        <w:rPr>
          <w:spacing w:val="1"/>
        </w:rPr>
        <w:t xml:space="preserve"> </w:t>
      </w:r>
      <w:r w:rsidRPr="00B654DA">
        <w:t>d</w:t>
      </w:r>
      <w:r w:rsidRPr="00B654DA">
        <w:rPr>
          <w:spacing w:val="-1"/>
        </w:rPr>
        <w:t>i</w:t>
      </w:r>
      <w:r w:rsidRPr="00B654DA">
        <w:t>s</w:t>
      </w:r>
      <w:r w:rsidRPr="00B654DA">
        <w:rPr>
          <w:spacing w:val="-1"/>
        </w:rPr>
        <w:t>t</w:t>
      </w:r>
      <w:r w:rsidRPr="00B654DA">
        <w:t>in</w:t>
      </w:r>
      <w:r w:rsidRPr="00B654DA">
        <w:rPr>
          <w:spacing w:val="-1"/>
        </w:rPr>
        <w:t>t</w:t>
      </w:r>
      <w:r w:rsidRPr="00B654DA">
        <w:rPr>
          <w:spacing w:val="1"/>
        </w:rPr>
        <w:t>i</w:t>
      </w:r>
      <w:r w:rsidRPr="00B654DA">
        <w:rPr>
          <w:spacing w:val="-2"/>
        </w:rPr>
        <w:t>v</w:t>
      </w:r>
      <w:r w:rsidRPr="00B654DA">
        <w:t>o ut</w:t>
      </w:r>
      <w:r w:rsidRPr="00B654DA">
        <w:rPr>
          <w:spacing w:val="-1"/>
        </w:rPr>
        <w:t>i</w:t>
      </w:r>
      <w:r w:rsidRPr="00B654DA">
        <w:t>li</w:t>
      </w:r>
      <w:r w:rsidRPr="00B654DA">
        <w:rPr>
          <w:spacing w:val="-2"/>
        </w:rPr>
        <w:t>z</w:t>
      </w:r>
      <w:r w:rsidRPr="00B654DA">
        <w:t>ado</w:t>
      </w:r>
      <w:r w:rsidRPr="00B654DA">
        <w:rPr>
          <w:spacing w:val="1"/>
        </w:rPr>
        <w:t xml:space="preserve"> </w:t>
      </w:r>
      <w:r w:rsidRPr="00B654DA">
        <w:t>p</w:t>
      </w:r>
      <w:r w:rsidRPr="00B654DA">
        <w:rPr>
          <w:spacing w:val="-2"/>
        </w:rPr>
        <w:t>a</w:t>
      </w:r>
      <w:r w:rsidRPr="00B654DA">
        <w:t>ra</w:t>
      </w:r>
      <w:r w:rsidRPr="00B654DA">
        <w:rPr>
          <w:spacing w:val="1"/>
        </w:rPr>
        <w:t xml:space="preserve"> </w:t>
      </w:r>
      <w:r w:rsidRPr="00B654DA">
        <w:t>l</w:t>
      </w:r>
      <w:r w:rsidRPr="00B654DA">
        <w:rPr>
          <w:spacing w:val="-2"/>
        </w:rPr>
        <w:t>o</w:t>
      </w:r>
      <w:r w:rsidRPr="00B654DA">
        <w:t>s</w:t>
      </w:r>
      <w:r w:rsidRPr="00B654DA">
        <w:rPr>
          <w:spacing w:val="1"/>
        </w:rPr>
        <w:t xml:space="preserve"> </w:t>
      </w:r>
      <w:r w:rsidRPr="00B654DA">
        <w:rPr>
          <w:spacing w:val="-2"/>
        </w:rPr>
        <w:t>v</w:t>
      </w:r>
      <w:r w:rsidRPr="00B654DA">
        <w:t>ehícu</w:t>
      </w:r>
      <w:r w:rsidRPr="00B654DA">
        <w:rPr>
          <w:spacing w:val="-1"/>
        </w:rPr>
        <w:t>l</w:t>
      </w:r>
      <w:r w:rsidRPr="00B654DA">
        <w:rPr>
          <w:spacing w:val="-2"/>
        </w:rPr>
        <w:t>o</w:t>
      </w:r>
      <w:r w:rsidRPr="00B654DA">
        <w:t>s</w:t>
      </w:r>
      <w:r w:rsidRPr="00B654DA">
        <w:rPr>
          <w:spacing w:val="1"/>
        </w:rPr>
        <w:t xml:space="preserve"> </w:t>
      </w:r>
      <w:r w:rsidRPr="00B654DA">
        <w:t>auto</w:t>
      </w:r>
      <w:r w:rsidRPr="00B654DA">
        <w:rPr>
          <w:spacing w:val="-4"/>
        </w:rPr>
        <w:t>m</w:t>
      </w:r>
      <w:r w:rsidRPr="00B654DA">
        <w:t>ó</w:t>
      </w:r>
      <w:r w:rsidRPr="00B654DA">
        <w:rPr>
          <w:spacing w:val="-2"/>
        </w:rPr>
        <w:t>v</w:t>
      </w:r>
      <w:r w:rsidRPr="00B654DA">
        <w:t>iles</w:t>
      </w:r>
      <w:r w:rsidRPr="00B654DA">
        <w:rPr>
          <w:spacing w:val="1"/>
        </w:rPr>
        <w:t xml:space="preserve"> </w:t>
      </w:r>
      <w:r w:rsidRPr="00B654DA">
        <w:t>en</w:t>
      </w:r>
      <w:r w:rsidRPr="00B654DA">
        <w:rPr>
          <w:spacing w:val="1"/>
        </w:rPr>
        <w:t xml:space="preserve"> </w:t>
      </w:r>
      <w:r w:rsidRPr="00B654DA">
        <w:t>el</w:t>
      </w:r>
      <w:r w:rsidRPr="00B654DA">
        <w:rPr>
          <w:spacing w:val="1"/>
        </w:rPr>
        <w:t xml:space="preserve"> </w:t>
      </w:r>
      <w:r w:rsidRPr="00B654DA">
        <w:rPr>
          <w:spacing w:val="-1"/>
        </w:rPr>
        <w:t>t</w:t>
      </w:r>
      <w:r w:rsidRPr="00B654DA">
        <w:rPr>
          <w:spacing w:val="1"/>
        </w:rPr>
        <w:t>r</w:t>
      </w:r>
      <w:r w:rsidRPr="00B654DA">
        <w:rPr>
          <w:spacing w:val="-2"/>
        </w:rPr>
        <w:t>á</w:t>
      </w:r>
      <w:r w:rsidRPr="00B654DA">
        <w:rPr>
          <w:spacing w:val="1"/>
        </w:rPr>
        <w:t>f</w:t>
      </w:r>
      <w:r w:rsidRPr="00B654DA">
        <w:rPr>
          <w:spacing w:val="-1"/>
        </w:rPr>
        <w:t>i</w:t>
      </w:r>
      <w:r w:rsidRPr="00B654DA">
        <w:t>co in</w:t>
      </w:r>
      <w:r w:rsidRPr="00B654DA">
        <w:rPr>
          <w:spacing w:val="-1"/>
        </w:rPr>
        <w:t>t</w:t>
      </w:r>
      <w:r w:rsidRPr="00B654DA">
        <w:t>ern</w:t>
      </w:r>
      <w:r w:rsidRPr="00B654DA">
        <w:rPr>
          <w:spacing w:val="-2"/>
        </w:rPr>
        <w:t>a</w:t>
      </w:r>
      <w:r w:rsidRPr="00B654DA">
        <w:t>ci</w:t>
      </w:r>
      <w:r w:rsidRPr="00B654DA">
        <w:rPr>
          <w:spacing w:val="-2"/>
        </w:rPr>
        <w:t>o</w:t>
      </w:r>
      <w:r w:rsidRPr="00B654DA">
        <w:t>na</w:t>
      </w:r>
      <w:r w:rsidRPr="00B654DA">
        <w:rPr>
          <w:spacing w:val="-1"/>
        </w:rPr>
        <w:t>l</w:t>
      </w:r>
      <w:r w:rsidR="00A069C9">
        <w:t>”</w:t>
      </w:r>
      <w:r w:rsidRPr="00B654DA">
        <w:t xml:space="preserve"> por </w:t>
      </w:r>
      <w:r w:rsidR="00A069C9">
        <w:t>“</w:t>
      </w:r>
      <w:r w:rsidRPr="00B654DA">
        <w:rPr>
          <w:spacing w:val="-2"/>
        </w:rPr>
        <w:t>e</w:t>
      </w:r>
      <w:r w:rsidRPr="00B654DA">
        <w:t>l</w:t>
      </w:r>
      <w:r w:rsidRPr="00B654DA">
        <w:rPr>
          <w:spacing w:val="1"/>
        </w:rPr>
        <w:t xml:space="preserve"> </w:t>
      </w:r>
      <w:r w:rsidR="0000146C">
        <w:t>signo</w:t>
      </w:r>
      <w:r w:rsidRPr="00B654DA">
        <w:rPr>
          <w:spacing w:val="1"/>
        </w:rPr>
        <w:t xml:space="preserve"> </w:t>
      </w:r>
      <w:r w:rsidRPr="00B654DA">
        <w:t>d</w:t>
      </w:r>
      <w:r w:rsidRPr="00B654DA">
        <w:rPr>
          <w:spacing w:val="-1"/>
        </w:rPr>
        <w:t>i</w:t>
      </w:r>
      <w:r w:rsidRPr="00B654DA">
        <w:t>s</w:t>
      </w:r>
      <w:r w:rsidRPr="00B654DA">
        <w:rPr>
          <w:spacing w:val="-1"/>
        </w:rPr>
        <w:t>t</w:t>
      </w:r>
      <w:r w:rsidRPr="00B654DA">
        <w:t>in</w:t>
      </w:r>
      <w:r w:rsidRPr="00B654DA">
        <w:rPr>
          <w:spacing w:val="-1"/>
        </w:rPr>
        <w:t>t</w:t>
      </w:r>
      <w:r w:rsidRPr="00B654DA">
        <w:rPr>
          <w:spacing w:val="1"/>
        </w:rPr>
        <w:t>i</w:t>
      </w:r>
      <w:r w:rsidRPr="00B654DA">
        <w:rPr>
          <w:spacing w:val="-2"/>
        </w:rPr>
        <w:t>v</w:t>
      </w:r>
      <w:r w:rsidRPr="00B654DA">
        <w:t>o ut</w:t>
      </w:r>
      <w:r w:rsidRPr="00B654DA">
        <w:rPr>
          <w:spacing w:val="-1"/>
        </w:rPr>
        <w:t>i</w:t>
      </w:r>
      <w:r w:rsidRPr="00B654DA">
        <w:t>li</w:t>
      </w:r>
      <w:r w:rsidRPr="00B654DA">
        <w:rPr>
          <w:spacing w:val="-2"/>
        </w:rPr>
        <w:t>z</w:t>
      </w:r>
      <w:r w:rsidRPr="00B654DA">
        <w:t>ado</w:t>
      </w:r>
      <w:r w:rsidRPr="00B654DA">
        <w:rPr>
          <w:spacing w:val="1"/>
        </w:rPr>
        <w:t xml:space="preserve"> en </w:t>
      </w:r>
      <w:r w:rsidRPr="00B654DA">
        <w:t>l</w:t>
      </w:r>
      <w:r w:rsidRPr="00B654DA">
        <w:rPr>
          <w:spacing w:val="-2"/>
        </w:rPr>
        <w:t>o</w:t>
      </w:r>
      <w:r w:rsidRPr="00B654DA">
        <w:t>s</w:t>
      </w:r>
      <w:r w:rsidRPr="00B654DA">
        <w:rPr>
          <w:spacing w:val="1"/>
        </w:rPr>
        <w:t xml:space="preserve"> </w:t>
      </w:r>
      <w:r w:rsidRPr="00B654DA">
        <w:rPr>
          <w:spacing w:val="-2"/>
        </w:rPr>
        <w:t>v</w:t>
      </w:r>
      <w:r w:rsidRPr="00B654DA">
        <w:t>ehícu</w:t>
      </w:r>
      <w:r w:rsidRPr="00B654DA">
        <w:rPr>
          <w:spacing w:val="-1"/>
        </w:rPr>
        <w:t>l</w:t>
      </w:r>
      <w:r w:rsidRPr="00B654DA">
        <w:rPr>
          <w:spacing w:val="-2"/>
        </w:rPr>
        <w:t>o</w:t>
      </w:r>
      <w:r w:rsidRPr="00B654DA">
        <w:t>s</w:t>
      </w:r>
      <w:r w:rsidRPr="00B654DA">
        <w:rPr>
          <w:spacing w:val="1"/>
        </w:rPr>
        <w:t xml:space="preserve"> </w:t>
      </w:r>
      <w:r w:rsidRPr="00B654DA">
        <w:t>auto</w:t>
      </w:r>
      <w:r w:rsidRPr="00B654DA">
        <w:rPr>
          <w:spacing w:val="-4"/>
        </w:rPr>
        <w:t>m</w:t>
      </w:r>
      <w:r w:rsidRPr="00B654DA">
        <w:t>ó</w:t>
      </w:r>
      <w:r w:rsidRPr="00B654DA">
        <w:rPr>
          <w:spacing w:val="-2"/>
        </w:rPr>
        <w:t>v</w:t>
      </w:r>
      <w:r w:rsidRPr="00B654DA">
        <w:t>iles</w:t>
      </w:r>
      <w:r w:rsidRPr="00B654DA">
        <w:rPr>
          <w:spacing w:val="1"/>
        </w:rPr>
        <w:t xml:space="preserve"> </w:t>
      </w:r>
      <w:r w:rsidRPr="00B654DA">
        <w:t>en</w:t>
      </w:r>
      <w:r w:rsidRPr="00B654DA">
        <w:rPr>
          <w:spacing w:val="1"/>
        </w:rPr>
        <w:t xml:space="preserve"> </w:t>
      </w:r>
      <w:r w:rsidRPr="00B654DA">
        <w:t>el</w:t>
      </w:r>
      <w:r w:rsidRPr="00B654DA">
        <w:rPr>
          <w:spacing w:val="1"/>
        </w:rPr>
        <w:t xml:space="preserve"> </w:t>
      </w:r>
      <w:r w:rsidRPr="00B654DA">
        <w:rPr>
          <w:spacing w:val="-1"/>
        </w:rPr>
        <w:t>t</w:t>
      </w:r>
      <w:r w:rsidRPr="00B654DA">
        <w:rPr>
          <w:spacing w:val="1"/>
        </w:rPr>
        <w:t>r</w:t>
      </w:r>
      <w:r w:rsidRPr="00B654DA">
        <w:rPr>
          <w:spacing w:val="-2"/>
        </w:rPr>
        <w:t>á</w:t>
      </w:r>
      <w:r w:rsidRPr="00B654DA">
        <w:rPr>
          <w:spacing w:val="1"/>
        </w:rPr>
        <w:t>f</w:t>
      </w:r>
      <w:r w:rsidRPr="00B654DA">
        <w:rPr>
          <w:spacing w:val="-1"/>
        </w:rPr>
        <w:t>i</w:t>
      </w:r>
      <w:r w:rsidRPr="00B654DA">
        <w:t>co in</w:t>
      </w:r>
      <w:r w:rsidRPr="00B654DA">
        <w:rPr>
          <w:spacing w:val="-1"/>
        </w:rPr>
        <w:t>t</w:t>
      </w:r>
      <w:r w:rsidRPr="00B654DA">
        <w:t>ern</w:t>
      </w:r>
      <w:r w:rsidRPr="00B654DA">
        <w:rPr>
          <w:spacing w:val="-2"/>
        </w:rPr>
        <w:t>a</w:t>
      </w:r>
      <w:r w:rsidRPr="00B654DA">
        <w:t>ci</w:t>
      </w:r>
      <w:r w:rsidRPr="00B654DA">
        <w:rPr>
          <w:spacing w:val="-2"/>
        </w:rPr>
        <w:t>o</w:t>
      </w:r>
      <w:r w:rsidRPr="00B654DA">
        <w:t>na</w:t>
      </w:r>
      <w:r w:rsidRPr="00B654DA">
        <w:rPr>
          <w:spacing w:val="-1"/>
        </w:rPr>
        <w:t>l</w:t>
      </w:r>
      <w:r w:rsidRPr="00401044">
        <w:rPr>
          <w:b/>
          <w:vertAlign w:val="superscript"/>
        </w:rPr>
        <w:t>2</w:t>
      </w:r>
      <w:r w:rsidR="00A069C9">
        <w:t>”</w:t>
      </w:r>
      <w:r w:rsidRPr="00B654DA">
        <w:t>.</w:t>
      </w:r>
    </w:p>
    <w:p w:rsidR="007A3AD0" w:rsidRPr="00B654DA" w:rsidRDefault="007A3AD0" w:rsidP="007A3AD0">
      <w:pPr>
        <w:pStyle w:val="SingleTxtG"/>
      </w:pPr>
      <w:r w:rsidRPr="00B654DA">
        <w:t>El texto de la nota de pie de página 2 será el siguiente:</w:t>
      </w:r>
    </w:p>
    <w:p w:rsidR="007A3AD0" w:rsidRPr="00B654DA" w:rsidRDefault="00A069C9" w:rsidP="007A3AD0">
      <w:pPr>
        <w:pStyle w:val="SingleTxtG"/>
        <w:rPr>
          <w:i/>
        </w:rPr>
      </w:pPr>
      <w:r>
        <w:rPr>
          <w:i/>
        </w:rPr>
        <w:t>“</w:t>
      </w:r>
      <w:r w:rsidR="007A3AD0" w:rsidRPr="00B51318">
        <w:rPr>
          <w:b/>
          <w:vertAlign w:val="superscript"/>
        </w:rPr>
        <w:t>2</w:t>
      </w:r>
      <w:r w:rsidR="007A3AD0" w:rsidRPr="00B654DA">
        <w:rPr>
          <w:i/>
        </w:rPr>
        <w:tab/>
        <w:t>El signo distintivo del Estado de matriculación utilizado en los automóviles y los remolques en el tráfico</w:t>
      </w:r>
      <w:r w:rsidR="00965478">
        <w:rPr>
          <w:i/>
        </w:rPr>
        <w:t xml:space="preserve"> </w:t>
      </w:r>
      <w:r w:rsidR="007A3AD0" w:rsidRPr="00B654DA">
        <w:rPr>
          <w:i/>
        </w:rPr>
        <w:t>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7A3AD0">
      <w:pPr>
        <w:pStyle w:val="SingleTxtG"/>
      </w:pPr>
      <w:r w:rsidRPr="00B654DA">
        <w:rPr>
          <w:iCs/>
        </w:rPr>
        <w:t>6.1.5.7.1</w:t>
      </w:r>
      <w:r w:rsidRPr="00B654DA">
        <w:rPr>
          <w:iCs/>
        </w:rPr>
        <w:tab/>
        <w:t xml:space="preserve">Al final del apartado 8, añádase la siguiente oración: </w:t>
      </w:r>
      <w:r w:rsidR="00A069C9">
        <w:t>“</w:t>
      </w:r>
      <w:r w:rsidRPr="00B654DA">
        <w:t>En el caso de los embalajes/envases plásticos sujetos al ensayo de presión interna de 6.1.5.5, la temperatura del agua utilizada.</w:t>
      </w:r>
      <w:r w:rsidR="00A069C9">
        <w:t>”</w:t>
      </w:r>
      <w:r w:rsidRPr="00B654DA">
        <w:t>.</w:t>
      </w:r>
    </w:p>
    <w:p w:rsidR="007A3AD0" w:rsidRPr="00B654DA" w:rsidRDefault="007A3AD0" w:rsidP="007A3AD0">
      <w:pPr>
        <w:pStyle w:val="H1G"/>
      </w:pPr>
      <w:r w:rsidRPr="00B654DA">
        <w:tab/>
      </w:r>
      <w:r w:rsidRPr="00B654DA">
        <w:tab/>
        <w:t>Capítulo 6.2</w:t>
      </w:r>
    </w:p>
    <w:p w:rsidR="007A3AD0" w:rsidRPr="00B654DA" w:rsidRDefault="007A3AD0" w:rsidP="007A3AD0">
      <w:pPr>
        <w:pStyle w:val="SingleTxtG"/>
      </w:pPr>
      <w:r w:rsidRPr="00B654DA">
        <w:t>6.2.1.6.1 d)</w:t>
      </w:r>
      <w:r w:rsidRPr="00B654DA">
        <w:tab/>
        <w:t>Sustitúyase el texto actual de la Nota 2 por el siguiente:</w:t>
      </w:r>
    </w:p>
    <w:p w:rsidR="007A3AD0" w:rsidRPr="00B654DA" w:rsidRDefault="00A069C9" w:rsidP="007A3AD0">
      <w:pPr>
        <w:pStyle w:val="SingleTxtG"/>
        <w:rPr>
          <w:i/>
        </w:rPr>
      </w:pPr>
      <w:r w:rsidRPr="00402521">
        <w:rPr>
          <w:i/>
        </w:rPr>
        <w:t>“</w:t>
      </w:r>
      <w:r w:rsidR="007A3AD0" w:rsidRPr="00B654DA">
        <w:rPr>
          <w:b/>
          <w:i/>
        </w:rPr>
        <w:t>NOTA 2</w:t>
      </w:r>
      <w:r w:rsidR="007A3AD0" w:rsidRPr="00402521">
        <w:rPr>
          <w:b/>
          <w:i/>
        </w:rPr>
        <w:t>:</w:t>
      </w:r>
      <w:r w:rsidR="007A3AD0" w:rsidRPr="00B654DA">
        <w:rPr>
          <w:i/>
        </w:rPr>
        <w:t xml:space="preserve"> Para las botellas y los tubos de acero sin soldadura, la comprobación de</w:t>
      </w:r>
      <w:r w:rsidR="00401044">
        <w:rPr>
          <w:i/>
        </w:rPr>
        <w:t> </w:t>
      </w:r>
      <w:r w:rsidR="007A3AD0" w:rsidRPr="00B654DA">
        <w:rPr>
          <w:i/>
        </w:rPr>
        <w:t>6.2.1.6.1 b) y el ensayo de presión hidráulica de 6.2.1.6.1 d) podrán sustituirse por un procedimiento que se ajuste a la norma ISO 16148:2016 Botellas de gas – Botellas de gas recargables en acero sin soldadura y tubos – Examen por emisión acústica (AT) y examen por ultrasonidos (UT) complementario para la inspección periódica y el ensayo.</w:t>
      </w:r>
      <w:r w:rsidRPr="00402521">
        <w:rPr>
          <w:i/>
        </w:rPr>
        <w:t>”</w:t>
      </w:r>
      <w:r w:rsidR="007A3AD0" w:rsidRPr="00B654DA">
        <w:t>.</w:t>
      </w:r>
    </w:p>
    <w:p w:rsidR="007A3AD0" w:rsidRPr="00B654DA" w:rsidRDefault="007A3AD0" w:rsidP="007A3AD0">
      <w:pPr>
        <w:pStyle w:val="SingleTxtG"/>
        <w:rPr>
          <w:iCs/>
        </w:rPr>
      </w:pPr>
      <w:r w:rsidRPr="00B654DA">
        <w:t>6.2.1.6.1 d)</w:t>
      </w:r>
      <w:r w:rsidRPr="00B654DA">
        <w:tab/>
        <w:t xml:space="preserve">En la Nota 3, sustitúyase </w:t>
      </w:r>
      <w:r w:rsidR="00A069C9" w:rsidRPr="00401044">
        <w:rPr>
          <w:i/>
        </w:rPr>
        <w:t>“</w:t>
      </w:r>
      <w:r w:rsidRPr="00401044">
        <w:rPr>
          <w:i/>
        </w:rPr>
        <w:t>El ensayo de presión hidráulica podrá sustituirse</w:t>
      </w:r>
      <w:r w:rsidR="00A069C9" w:rsidRPr="00401044">
        <w:rPr>
          <w:i/>
        </w:rPr>
        <w:t>”</w:t>
      </w:r>
      <w:r w:rsidRPr="00401044">
        <w:rPr>
          <w:i/>
        </w:rPr>
        <w:t xml:space="preserve"> por </w:t>
      </w:r>
      <w:r w:rsidR="00A069C9" w:rsidRPr="00401044">
        <w:rPr>
          <w:i/>
        </w:rPr>
        <w:t>“</w:t>
      </w:r>
      <w:r w:rsidR="00402521">
        <w:rPr>
          <w:i/>
        </w:rPr>
        <w:t>L</w:t>
      </w:r>
      <w:r w:rsidRPr="00401044">
        <w:rPr>
          <w:i/>
        </w:rPr>
        <w:t>a comprobación de 6.2.1.6.1 b) y el ensayo de presión hidráulica de 6.2.1.6.1 d) podrán sustituirse</w:t>
      </w:r>
      <w:r w:rsidR="00A069C9" w:rsidRPr="00401044">
        <w:rPr>
          <w:i/>
        </w:rPr>
        <w:t>”</w:t>
      </w:r>
      <w:r w:rsidRPr="00B654DA">
        <w:t>.</w:t>
      </w:r>
    </w:p>
    <w:p w:rsidR="007A3AD0" w:rsidRPr="00B654DA" w:rsidRDefault="007A3AD0" w:rsidP="007A3AD0">
      <w:pPr>
        <w:pStyle w:val="SingleTxtG"/>
      </w:pPr>
      <w:r w:rsidRPr="00B654DA">
        <w:t>6.2.2.1.1</w:t>
      </w:r>
      <w:r w:rsidRPr="00B654DA">
        <w:tab/>
        <w:t xml:space="preserve">En el cuadro, en la entrada de la ISO 11118:1999, en la columna titulada </w:t>
      </w:r>
      <w:r w:rsidR="00A069C9">
        <w:t>“</w:t>
      </w:r>
      <w:r w:rsidRPr="00B654DA">
        <w:t>Aplicable a la fabricación</w:t>
      </w:r>
      <w:r w:rsidR="00A069C9">
        <w:t>”</w:t>
      </w:r>
      <w:r w:rsidRPr="00B654DA">
        <w:t xml:space="preserve">, sustitúyase </w:t>
      </w:r>
      <w:r w:rsidR="00A069C9">
        <w:t>“</w:t>
      </w:r>
      <w:r w:rsidRPr="00B654DA">
        <w:t>Hasta nuevo aviso</w:t>
      </w:r>
      <w:r w:rsidR="00A069C9">
        <w:t>”</w:t>
      </w:r>
      <w:r w:rsidRPr="00B654DA">
        <w:t xml:space="preserve"> por </w:t>
      </w:r>
      <w:r w:rsidR="00A069C9">
        <w:t>“</w:t>
      </w:r>
      <w:r w:rsidRPr="00B654DA">
        <w:t>Hasta el 31 de diciembre de 2020</w:t>
      </w:r>
      <w:r w:rsidR="00A069C9">
        <w:t>”</w:t>
      </w:r>
      <w:r w:rsidRPr="00B654DA">
        <w:t>.</w:t>
      </w:r>
    </w:p>
    <w:p w:rsidR="007A3AD0" w:rsidRPr="00B654DA" w:rsidRDefault="007A3AD0" w:rsidP="007A3AD0">
      <w:pPr>
        <w:pStyle w:val="SingleTxtG"/>
      </w:pPr>
      <w:r w:rsidRPr="00B654DA">
        <w:t>6.2.2.1.1</w:t>
      </w:r>
      <w:r w:rsidRPr="00B654DA">
        <w:tab/>
        <w:t>En el cuadro, después de ISO 11118:1999, introdúzcase una línea nueva que diga lo siguiente: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4941"/>
        <w:gridCol w:w="1736"/>
      </w:tblGrid>
      <w:tr w:rsidR="007A3AD0" w:rsidRPr="00B654DA" w:rsidTr="00401044">
        <w:trPr>
          <w:cantSplit/>
        </w:trPr>
        <w:tc>
          <w:tcPr>
            <w:tcW w:w="1820" w:type="dxa"/>
          </w:tcPr>
          <w:p w:rsidR="007A3AD0" w:rsidRPr="00B654DA" w:rsidRDefault="007A3AD0" w:rsidP="00B51318">
            <w:pPr>
              <w:spacing w:before="60" w:after="60"/>
            </w:pPr>
            <w:r w:rsidRPr="00B654DA">
              <w:t>ISO 11118:2015</w:t>
            </w:r>
          </w:p>
        </w:tc>
        <w:tc>
          <w:tcPr>
            <w:tcW w:w="4941" w:type="dxa"/>
          </w:tcPr>
          <w:p w:rsidR="007A3AD0" w:rsidRPr="00B654DA" w:rsidRDefault="007A3AD0" w:rsidP="00401044">
            <w:pPr>
              <w:spacing w:before="60" w:after="60"/>
            </w:pPr>
            <w:r w:rsidRPr="00B654DA">
              <w:t xml:space="preserve">Botellas de gas </w:t>
            </w:r>
            <w:r w:rsidR="00401044">
              <w:t>–</w:t>
            </w:r>
            <w:r w:rsidRPr="00B654DA">
              <w:t xml:space="preserve"> Botellas d</w:t>
            </w:r>
            <w:r w:rsidR="00401044">
              <w:t>e gas metálicas no recargables –</w:t>
            </w:r>
            <w:r w:rsidRPr="00B654DA">
              <w:t xml:space="preserve"> Espec</w:t>
            </w:r>
            <w:r w:rsidR="00402521">
              <w:t>ificaciones y métodos de ensayo</w:t>
            </w:r>
          </w:p>
        </w:tc>
        <w:tc>
          <w:tcPr>
            <w:tcW w:w="1736" w:type="dxa"/>
          </w:tcPr>
          <w:p w:rsidR="007A3AD0" w:rsidRPr="00B654DA" w:rsidRDefault="007A3AD0" w:rsidP="00B51318">
            <w:pPr>
              <w:spacing w:before="60" w:after="60"/>
            </w:pPr>
            <w:r w:rsidRPr="00B654DA">
              <w:t>Hasta nuevo aviso</w:t>
            </w:r>
          </w:p>
        </w:tc>
      </w:tr>
    </w:tbl>
    <w:p w:rsidR="007A3AD0" w:rsidRPr="00B654DA" w:rsidRDefault="007A3AD0" w:rsidP="00401044">
      <w:pPr>
        <w:pStyle w:val="SingleTxtG"/>
        <w:spacing w:before="240"/>
      </w:pPr>
      <w:r w:rsidRPr="00B654DA">
        <w:t>6.2.2.1.2</w:t>
      </w:r>
      <w:r w:rsidRPr="00B654DA">
        <w:tab/>
        <w:t xml:space="preserve">En el cuadro, en la entrada de la ISO 11120:1999, en la columna titulada </w:t>
      </w:r>
      <w:r w:rsidR="00A069C9">
        <w:t>“</w:t>
      </w:r>
      <w:r w:rsidRPr="00B654DA">
        <w:t>Aplicable a la fabricación</w:t>
      </w:r>
      <w:r w:rsidR="00A069C9">
        <w:t>”</w:t>
      </w:r>
      <w:r w:rsidRPr="00B654DA">
        <w:t xml:space="preserve">, sustitúyase </w:t>
      </w:r>
      <w:r w:rsidR="00A069C9">
        <w:t>“</w:t>
      </w:r>
      <w:r w:rsidRPr="00B654DA">
        <w:t>Hasta nuevo aviso</w:t>
      </w:r>
      <w:r w:rsidR="00A069C9">
        <w:t>”</w:t>
      </w:r>
      <w:r w:rsidRPr="00B654DA">
        <w:t xml:space="preserve"> por </w:t>
      </w:r>
      <w:r w:rsidR="00A069C9">
        <w:t>“</w:t>
      </w:r>
      <w:r w:rsidRPr="00B654DA">
        <w:t>Hasta el 31 de diciembre de 2022</w:t>
      </w:r>
      <w:r w:rsidR="00A069C9">
        <w:t>”</w:t>
      </w:r>
      <w:r w:rsidRPr="00B654DA">
        <w:t>.</w:t>
      </w:r>
    </w:p>
    <w:p w:rsidR="007A3AD0" w:rsidRPr="00B654DA" w:rsidRDefault="007A3AD0" w:rsidP="007A3AD0">
      <w:pPr>
        <w:pStyle w:val="SingleTxtG"/>
      </w:pPr>
      <w:r w:rsidRPr="00B654DA">
        <w:t>6.2.2.1.2</w:t>
      </w:r>
      <w:r w:rsidRPr="00B654DA">
        <w:tab/>
        <w:t>En el cuadro, después de ISO 11120:1999, añádase una línea nueva que diga lo siguiente: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4970"/>
        <w:gridCol w:w="1707"/>
      </w:tblGrid>
      <w:tr w:rsidR="007A3AD0" w:rsidRPr="00B654DA" w:rsidTr="00401044">
        <w:tc>
          <w:tcPr>
            <w:tcW w:w="1820" w:type="dxa"/>
          </w:tcPr>
          <w:p w:rsidR="007A3AD0" w:rsidRPr="00B654DA" w:rsidRDefault="007A3AD0" w:rsidP="00B51318">
            <w:pPr>
              <w:spacing w:before="60" w:after="60"/>
            </w:pPr>
            <w:r w:rsidRPr="00B654DA">
              <w:t>ISO 11120:2015</w:t>
            </w:r>
          </w:p>
        </w:tc>
        <w:tc>
          <w:tcPr>
            <w:tcW w:w="4970" w:type="dxa"/>
          </w:tcPr>
          <w:p w:rsidR="007A3AD0" w:rsidRPr="00B654DA" w:rsidRDefault="00401044" w:rsidP="00402521">
            <w:pPr>
              <w:widowControl w:val="0"/>
              <w:autoSpaceDE w:val="0"/>
              <w:autoSpaceDN w:val="0"/>
              <w:adjustRightInd w:val="0"/>
              <w:spacing w:before="60" w:after="60" w:line="240" w:lineRule="auto"/>
            </w:pPr>
            <w:r>
              <w:t>Botellas de gas –</w:t>
            </w:r>
            <w:r w:rsidR="007A3AD0" w:rsidRPr="00B654DA">
              <w:t xml:space="preserve"> Tubos de acero sin soldadura recargables con una capacidad de agua equivalente entre 150 l y 3.000</w:t>
            </w:r>
            <w:r w:rsidR="00402521">
              <w:t> </w:t>
            </w:r>
            <w:r w:rsidR="007A3AD0" w:rsidRPr="00B654DA">
              <w:t xml:space="preserve">l </w:t>
            </w:r>
            <w:r>
              <w:t xml:space="preserve">– </w:t>
            </w:r>
            <w:r w:rsidR="00402521">
              <w:t>Diseño, fabricación y ensayo</w:t>
            </w:r>
          </w:p>
        </w:tc>
        <w:tc>
          <w:tcPr>
            <w:tcW w:w="1707" w:type="dxa"/>
          </w:tcPr>
          <w:p w:rsidR="007A3AD0" w:rsidRPr="00B654DA" w:rsidRDefault="007A3AD0" w:rsidP="00B51318">
            <w:pPr>
              <w:spacing w:before="60" w:after="60"/>
            </w:pPr>
            <w:r w:rsidRPr="00B654DA">
              <w:t>Hasta nuevo aviso</w:t>
            </w:r>
          </w:p>
        </w:tc>
      </w:tr>
    </w:tbl>
    <w:p w:rsidR="007A3AD0" w:rsidRPr="00B654DA" w:rsidRDefault="007A3AD0" w:rsidP="00401044">
      <w:pPr>
        <w:pStyle w:val="SingleTxtG"/>
        <w:spacing w:before="240"/>
      </w:pPr>
      <w:r w:rsidRPr="00B654DA">
        <w:t>6.2.2.1</w:t>
      </w:r>
      <w:r w:rsidRPr="00B654DA">
        <w:tab/>
      </w:r>
      <w:r w:rsidRPr="00B654DA">
        <w:tab/>
        <w:t>Insértese un nuevo párrafo 6.2.2.1.8 con el texto siguiente:</w:t>
      </w:r>
    </w:p>
    <w:p w:rsidR="007A3AD0" w:rsidRPr="00B654DA" w:rsidRDefault="00A069C9" w:rsidP="007A3AD0">
      <w:pPr>
        <w:pStyle w:val="SingleTxtG"/>
      </w:pPr>
      <w:r>
        <w:t>“</w:t>
      </w:r>
      <w:r w:rsidR="007A3AD0" w:rsidRPr="00B654DA">
        <w:t>6.2.2.1.8</w:t>
      </w:r>
      <w:r w:rsidR="007A3AD0" w:rsidRPr="00B654DA">
        <w:tab/>
        <w:t>Con la salvedad de que las prescripciones sobre inspección relacionadas con el sistema de evaluación de conformidad y aprobación se ajusten a 6.2.2.5, se aplicarán las siguientes normas al diseño, construcción e inspección y ensayo iniciales de los bidones</w:t>
      </w:r>
      <w:r w:rsidR="00401044">
        <w:t> </w:t>
      </w:r>
      <w:r>
        <w:t>“</w:t>
      </w:r>
      <w:r w:rsidR="007A3AD0" w:rsidRPr="00B654DA">
        <w:t>UN</w:t>
      </w:r>
      <w:r>
        <w:t>”</w:t>
      </w:r>
      <w:r w:rsidR="007A3AD0" w:rsidRPr="00B654DA">
        <w:t>:</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9"/>
        <w:gridCol w:w="4960"/>
        <w:gridCol w:w="1708"/>
      </w:tblGrid>
      <w:tr w:rsidR="007A3AD0" w:rsidRPr="00B654DA" w:rsidTr="00401044">
        <w:tc>
          <w:tcPr>
            <w:tcW w:w="1829" w:type="dxa"/>
            <w:vAlign w:val="center"/>
          </w:tcPr>
          <w:p w:rsidR="007A3AD0" w:rsidRPr="00B51318" w:rsidRDefault="007A3AD0" w:rsidP="00401044">
            <w:pPr>
              <w:keepNext/>
              <w:keepLines/>
              <w:spacing w:line="236" w:lineRule="atLeast"/>
              <w:jc w:val="center"/>
              <w:rPr>
                <w:b/>
              </w:rPr>
            </w:pPr>
            <w:r w:rsidRPr="00B51318">
              <w:rPr>
                <w:b/>
              </w:rPr>
              <w:lastRenderedPageBreak/>
              <w:t>Referencia</w:t>
            </w:r>
          </w:p>
        </w:tc>
        <w:tc>
          <w:tcPr>
            <w:tcW w:w="4960" w:type="dxa"/>
            <w:vAlign w:val="center"/>
          </w:tcPr>
          <w:p w:rsidR="007A3AD0" w:rsidRPr="00B51318" w:rsidRDefault="007A3AD0" w:rsidP="00401044">
            <w:pPr>
              <w:keepNext/>
              <w:keepLines/>
              <w:spacing w:line="236" w:lineRule="atLeast"/>
              <w:jc w:val="center"/>
              <w:rPr>
                <w:b/>
              </w:rPr>
            </w:pPr>
            <w:r w:rsidRPr="00B51318">
              <w:rPr>
                <w:b/>
              </w:rPr>
              <w:t>Título</w:t>
            </w:r>
          </w:p>
        </w:tc>
        <w:tc>
          <w:tcPr>
            <w:tcW w:w="1708" w:type="dxa"/>
            <w:vAlign w:val="center"/>
          </w:tcPr>
          <w:p w:rsidR="007A3AD0" w:rsidRPr="00B51318" w:rsidRDefault="007A3AD0" w:rsidP="00401044">
            <w:pPr>
              <w:keepNext/>
              <w:keepLines/>
              <w:spacing w:line="236" w:lineRule="atLeast"/>
              <w:jc w:val="center"/>
              <w:rPr>
                <w:b/>
              </w:rPr>
            </w:pPr>
            <w:r w:rsidRPr="00B51318">
              <w:rPr>
                <w:b/>
              </w:rPr>
              <w:t>Aplicable a la fabricación</w:t>
            </w:r>
          </w:p>
        </w:tc>
      </w:tr>
      <w:tr w:rsidR="007A3AD0" w:rsidRPr="00B654DA" w:rsidTr="00401044">
        <w:tc>
          <w:tcPr>
            <w:tcW w:w="1829" w:type="dxa"/>
          </w:tcPr>
          <w:p w:rsidR="007A3AD0" w:rsidRPr="00B654DA" w:rsidRDefault="007A3AD0" w:rsidP="00401044">
            <w:pPr>
              <w:keepNext/>
              <w:keepLines/>
              <w:spacing w:before="60" w:after="60" w:line="236" w:lineRule="atLeast"/>
            </w:pPr>
            <w:r w:rsidRPr="00B654DA">
              <w:t>ISO 21172-1:2015</w:t>
            </w:r>
          </w:p>
        </w:tc>
        <w:tc>
          <w:tcPr>
            <w:tcW w:w="4960" w:type="dxa"/>
          </w:tcPr>
          <w:p w:rsidR="007A3AD0" w:rsidRPr="00B654DA" w:rsidRDefault="00401044" w:rsidP="00401044">
            <w:pPr>
              <w:keepNext/>
              <w:keepLines/>
              <w:spacing w:before="60" w:after="60" w:line="236" w:lineRule="atLeast"/>
            </w:pPr>
            <w:r>
              <w:t>Botellas de gas –</w:t>
            </w:r>
            <w:r w:rsidR="007A3AD0" w:rsidRPr="00B654DA">
              <w:t xml:space="preserve"> Bidones a presión de acero soldado hasta 3.000 l de capacidad para el transporte de gases – Diseño y construcción – Parte 1: capacidades de hasta 1.000 l </w:t>
            </w:r>
          </w:p>
          <w:p w:rsidR="007A3AD0" w:rsidRPr="00B654DA" w:rsidRDefault="007A3AD0" w:rsidP="00401044">
            <w:pPr>
              <w:keepNext/>
              <w:keepLines/>
              <w:spacing w:before="60" w:after="60" w:line="236" w:lineRule="atLeast"/>
            </w:pPr>
            <w:r w:rsidRPr="00B51318">
              <w:rPr>
                <w:b/>
                <w:i/>
              </w:rPr>
              <w:t>NOTA:</w:t>
            </w:r>
            <w:r w:rsidRPr="00B654DA">
              <w:t xml:space="preserve"> </w:t>
            </w:r>
            <w:r w:rsidRPr="00401044">
              <w:rPr>
                <w:i/>
              </w:rPr>
              <w:t>Sin perjuicio de lo establecido en la sección 6.3.3.4 de esta norma, para el transporte de sustancias corrosivas podrán utilizarse bidones para gas a presión de acero soldado con fondos convexos siempre que se satisfagan todos los requisitos aplicables de la presente Reglamentación.</w:t>
            </w:r>
          </w:p>
        </w:tc>
        <w:tc>
          <w:tcPr>
            <w:tcW w:w="1708" w:type="dxa"/>
          </w:tcPr>
          <w:p w:rsidR="007A3AD0" w:rsidRPr="00B654DA" w:rsidRDefault="007A3AD0" w:rsidP="00401044">
            <w:pPr>
              <w:keepNext/>
              <w:keepLines/>
              <w:spacing w:before="60" w:after="60" w:line="236" w:lineRule="atLeast"/>
            </w:pPr>
            <w:r w:rsidRPr="00B654DA">
              <w:t>Hasta nuevo aviso</w:t>
            </w:r>
          </w:p>
        </w:tc>
      </w:tr>
      <w:tr w:rsidR="007A3AD0" w:rsidRPr="00B654DA" w:rsidTr="00401044">
        <w:tc>
          <w:tcPr>
            <w:tcW w:w="1829" w:type="dxa"/>
          </w:tcPr>
          <w:p w:rsidR="007A3AD0" w:rsidRPr="00B654DA" w:rsidRDefault="00401044" w:rsidP="00401044">
            <w:pPr>
              <w:spacing w:before="60" w:after="60" w:line="236" w:lineRule="atLeast"/>
            </w:pPr>
            <w:r>
              <w:t>ISO 4706:</w:t>
            </w:r>
            <w:r w:rsidR="007A3AD0" w:rsidRPr="00B654DA">
              <w:t>2008</w:t>
            </w:r>
          </w:p>
        </w:tc>
        <w:tc>
          <w:tcPr>
            <w:tcW w:w="4960" w:type="dxa"/>
          </w:tcPr>
          <w:p w:rsidR="007A3AD0" w:rsidRPr="00B654DA" w:rsidRDefault="007A3AD0" w:rsidP="00402521">
            <w:pPr>
              <w:spacing w:before="60" w:after="60" w:line="236" w:lineRule="atLeast"/>
            </w:pPr>
            <w:r w:rsidRPr="00B654DA">
              <w:t xml:space="preserve">Botellas de gas </w:t>
            </w:r>
            <w:r w:rsidR="00402521">
              <w:t>–</w:t>
            </w:r>
            <w:r w:rsidRPr="00B654DA">
              <w:t xml:space="preserve"> Botellas recargables de acero soldado </w:t>
            </w:r>
            <w:r w:rsidR="00402521">
              <w:t>–</w:t>
            </w:r>
            <w:r w:rsidRPr="00B654DA">
              <w:t xml:space="preserve"> Pres</w:t>
            </w:r>
            <w:r w:rsidR="00C64D12">
              <w:t>ión de ensayo máxima de 60 bar</w:t>
            </w:r>
          </w:p>
        </w:tc>
        <w:tc>
          <w:tcPr>
            <w:tcW w:w="1708" w:type="dxa"/>
          </w:tcPr>
          <w:p w:rsidR="007A3AD0" w:rsidRPr="00B654DA" w:rsidRDefault="007A3AD0" w:rsidP="00401044">
            <w:pPr>
              <w:spacing w:before="60" w:after="60" w:line="236" w:lineRule="atLeast"/>
            </w:pPr>
            <w:r w:rsidRPr="00B654DA">
              <w:t>Hasta nuevo aviso</w:t>
            </w:r>
          </w:p>
        </w:tc>
      </w:tr>
      <w:tr w:rsidR="007A3AD0" w:rsidRPr="00B654DA" w:rsidTr="00401044">
        <w:tc>
          <w:tcPr>
            <w:tcW w:w="1829" w:type="dxa"/>
          </w:tcPr>
          <w:p w:rsidR="007A3AD0" w:rsidRPr="00B654DA" w:rsidRDefault="007A3AD0" w:rsidP="00401044">
            <w:pPr>
              <w:spacing w:before="60" w:after="60" w:line="236" w:lineRule="atLeast"/>
            </w:pPr>
            <w:r w:rsidRPr="00B654DA">
              <w:t>ISO 18172-1:2007</w:t>
            </w:r>
          </w:p>
        </w:tc>
        <w:tc>
          <w:tcPr>
            <w:tcW w:w="4960" w:type="dxa"/>
          </w:tcPr>
          <w:p w:rsidR="007A3AD0" w:rsidRPr="00B654DA" w:rsidRDefault="007A3AD0" w:rsidP="00402521">
            <w:pPr>
              <w:spacing w:before="60" w:after="60" w:line="236" w:lineRule="atLeast"/>
            </w:pPr>
            <w:r w:rsidRPr="00B654DA">
              <w:t xml:space="preserve">Botellas de gas </w:t>
            </w:r>
            <w:r w:rsidR="00402521">
              <w:t>–</w:t>
            </w:r>
            <w:r w:rsidRPr="00B654DA">
              <w:t xml:space="preserve"> Botellas recargables de acero soldado </w:t>
            </w:r>
            <w:r w:rsidR="00402521">
              <w:t>–</w:t>
            </w:r>
            <w:r w:rsidRPr="00B654DA">
              <w:t xml:space="preserve"> Parte 1: Presión de ensayo máxi</w:t>
            </w:r>
            <w:r w:rsidR="00401044">
              <w:t>ma de 6 MPa</w:t>
            </w:r>
          </w:p>
        </w:tc>
        <w:tc>
          <w:tcPr>
            <w:tcW w:w="1708" w:type="dxa"/>
          </w:tcPr>
          <w:p w:rsidR="007A3AD0" w:rsidRPr="00B654DA" w:rsidRDefault="007A3AD0" w:rsidP="00401044">
            <w:pPr>
              <w:spacing w:before="60" w:after="60" w:line="236" w:lineRule="atLeast"/>
            </w:pPr>
            <w:r w:rsidRPr="00B654DA">
              <w:t>Hasta nuevo aviso</w:t>
            </w:r>
          </w:p>
        </w:tc>
      </w:tr>
    </w:tbl>
    <w:p w:rsidR="007A3AD0" w:rsidRPr="00B654DA" w:rsidRDefault="007A3AD0" w:rsidP="00401044">
      <w:pPr>
        <w:pStyle w:val="SingleTxtG"/>
        <w:spacing w:before="240" w:line="236" w:lineRule="atLeast"/>
      </w:pPr>
      <w:r w:rsidRPr="00B654DA">
        <w:t>6.2.2.3</w:t>
      </w:r>
      <w:r w:rsidRPr="00B654DA">
        <w:tab/>
      </w:r>
      <w:r w:rsidRPr="00B654DA">
        <w:tab/>
        <w:t xml:space="preserve">En el </w:t>
      </w:r>
      <w:r w:rsidR="00401044">
        <w:t xml:space="preserve">primer </w:t>
      </w:r>
      <w:r w:rsidRPr="00B654DA">
        <w:t xml:space="preserve">cuadro, en la entrada de la ISO 13340:2001, en la columna titulada </w:t>
      </w:r>
      <w:r w:rsidR="00A069C9">
        <w:t>“</w:t>
      </w:r>
      <w:r w:rsidRPr="00B654DA">
        <w:t>Aplicable a la fabricación</w:t>
      </w:r>
      <w:r w:rsidR="00A069C9">
        <w:t>”</w:t>
      </w:r>
      <w:r w:rsidRPr="00B654DA">
        <w:t xml:space="preserve">, sustitúyase </w:t>
      </w:r>
      <w:r w:rsidR="00A069C9">
        <w:t>“</w:t>
      </w:r>
      <w:r w:rsidRPr="00B654DA">
        <w:t>Hasta nuevo aviso</w:t>
      </w:r>
      <w:r w:rsidR="00A069C9">
        <w:t>”</w:t>
      </w:r>
      <w:r w:rsidRPr="00B654DA">
        <w:t xml:space="preserve"> por </w:t>
      </w:r>
      <w:r w:rsidR="00A069C9">
        <w:t>“</w:t>
      </w:r>
      <w:r w:rsidRPr="00B654DA">
        <w:t>Hasta el 31 de diciembre de 2020</w:t>
      </w:r>
      <w:r w:rsidR="00A069C9">
        <w:t>”</w:t>
      </w:r>
      <w:r w:rsidRPr="00B654DA">
        <w:t>.</w:t>
      </w:r>
    </w:p>
    <w:p w:rsidR="007A3AD0" w:rsidRPr="00B654DA" w:rsidRDefault="007A3AD0" w:rsidP="00401044">
      <w:pPr>
        <w:pStyle w:val="SingleTxtG"/>
        <w:spacing w:before="120" w:line="236" w:lineRule="atLeast"/>
      </w:pPr>
      <w:r w:rsidRPr="00B654DA">
        <w:t>6.2.2.3</w:t>
      </w:r>
      <w:r w:rsidRPr="00B654DA">
        <w:tab/>
      </w:r>
      <w:r w:rsidRPr="00B654DA">
        <w:tab/>
        <w:t>Al final del primer cuadro, añádanse las nuevas entradas siguientes:</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4969"/>
        <w:gridCol w:w="1708"/>
      </w:tblGrid>
      <w:tr w:rsidR="007A3AD0" w:rsidRPr="00B654DA" w:rsidTr="00401044">
        <w:tc>
          <w:tcPr>
            <w:tcW w:w="1820" w:type="dxa"/>
          </w:tcPr>
          <w:p w:rsidR="007A3AD0" w:rsidRPr="00B654DA" w:rsidRDefault="007A3AD0" w:rsidP="004C7BCB">
            <w:pPr>
              <w:spacing w:before="60" w:after="60" w:line="236" w:lineRule="atLeast"/>
            </w:pPr>
            <w:r w:rsidRPr="00B654DA">
              <w:t>ISO 14246:2014</w:t>
            </w:r>
          </w:p>
        </w:tc>
        <w:tc>
          <w:tcPr>
            <w:tcW w:w="4969" w:type="dxa"/>
          </w:tcPr>
          <w:p w:rsidR="007A3AD0" w:rsidRPr="00B654DA" w:rsidRDefault="00401044" w:rsidP="00402521">
            <w:pPr>
              <w:spacing w:before="60" w:after="60" w:line="236" w:lineRule="atLeast"/>
            </w:pPr>
            <w:r>
              <w:t>Botellas de gas –</w:t>
            </w:r>
            <w:r w:rsidR="007A3AD0" w:rsidRPr="00B654DA">
              <w:t xml:space="preserve"> Válvulas para botellas de gas </w:t>
            </w:r>
            <w:r w:rsidR="00402521">
              <w:t>–</w:t>
            </w:r>
            <w:r w:rsidR="007A3AD0" w:rsidRPr="00B654DA">
              <w:t xml:space="preserve"> Ensayos e inspecciones de fabricación</w:t>
            </w:r>
          </w:p>
        </w:tc>
        <w:tc>
          <w:tcPr>
            <w:tcW w:w="1708" w:type="dxa"/>
          </w:tcPr>
          <w:p w:rsidR="007A3AD0" w:rsidRPr="00B654DA" w:rsidRDefault="007A3AD0" w:rsidP="004C7BCB">
            <w:pPr>
              <w:spacing w:before="60" w:after="60" w:line="236" w:lineRule="atLeast"/>
            </w:pPr>
            <w:r w:rsidRPr="00B654DA">
              <w:t>Hasta nuevo aviso</w:t>
            </w:r>
          </w:p>
        </w:tc>
      </w:tr>
      <w:tr w:rsidR="007A3AD0" w:rsidRPr="00B654DA" w:rsidTr="00401044">
        <w:tc>
          <w:tcPr>
            <w:tcW w:w="1820" w:type="dxa"/>
          </w:tcPr>
          <w:p w:rsidR="007A3AD0" w:rsidRPr="00B654DA" w:rsidRDefault="007A3AD0" w:rsidP="004C7BCB">
            <w:pPr>
              <w:spacing w:before="60" w:after="60" w:line="236" w:lineRule="atLeast"/>
            </w:pPr>
            <w:r w:rsidRPr="00B654DA">
              <w:t>ISO 17871:2015</w:t>
            </w:r>
          </w:p>
        </w:tc>
        <w:tc>
          <w:tcPr>
            <w:tcW w:w="4969" w:type="dxa"/>
          </w:tcPr>
          <w:p w:rsidR="007A3AD0" w:rsidRPr="00B654DA" w:rsidRDefault="007A3AD0" w:rsidP="00401044">
            <w:pPr>
              <w:spacing w:before="60" w:after="60" w:line="236" w:lineRule="atLeast"/>
            </w:pPr>
            <w:r w:rsidRPr="00B654DA">
              <w:t xml:space="preserve">Botellas de gas </w:t>
            </w:r>
            <w:r w:rsidR="00401044">
              <w:t>–</w:t>
            </w:r>
            <w:r w:rsidRPr="00B654DA">
              <w:t xml:space="preserve"> Válvulas </w:t>
            </w:r>
            <w:r w:rsidR="00401044">
              <w:t>de botellas de apertura rápida –</w:t>
            </w:r>
            <w:r w:rsidRPr="00B654DA">
              <w:t xml:space="preserve"> Especificaciones y ensayos de tipo</w:t>
            </w:r>
          </w:p>
        </w:tc>
        <w:tc>
          <w:tcPr>
            <w:tcW w:w="1708" w:type="dxa"/>
          </w:tcPr>
          <w:p w:rsidR="007A3AD0" w:rsidRPr="00B654DA" w:rsidRDefault="007A3AD0" w:rsidP="004C7BCB">
            <w:pPr>
              <w:spacing w:before="60" w:after="60" w:line="236" w:lineRule="atLeast"/>
            </w:pPr>
            <w:r w:rsidRPr="00B654DA">
              <w:t>Hasta nuevo aviso</w:t>
            </w:r>
          </w:p>
        </w:tc>
      </w:tr>
    </w:tbl>
    <w:p w:rsidR="007A3AD0" w:rsidRPr="00401044" w:rsidRDefault="007A3AD0" w:rsidP="00401044">
      <w:pPr>
        <w:pStyle w:val="SingleTxtG"/>
        <w:spacing w:before="240" w:line="236" w:lineRule="atLeast"/>
      </w:pPr>
      <w:r w:rsidRPr="00B654DA">
        <w:t>6.2.2.4</w:t>
      </w:r>
      <w:r w:rsidRPr="00B654DA">
        <w:tab/>
      </w:r>
      <w:r w:rsidRPr="00B654DA">
        <w:tab/>
        <w:t xml:space="preserve">Modifíquese el final de la primera oración de la siguiente manera: </w:t>
      </w:r>
      <w:r w:rsidR="00A069C9">
        <w:t>“</w:t>
      </w:r>
      <w:r w:rsidRPr="00B654DA">
        <w:t xml:space="preserve">... la inspección y ensayo periódicos de botellas </w:t>
      </w:r>
      <w:r w:rsidR="00401044">
        <w:t>‘</w:t>
      </w:r>
      <w:r w:rsidRPr="00B654DA">
        <w:t>UN</w:t>
      </w:r>
      <w:r w:rsidR="00401044">
        <w:t>’</w:t>
      </w:r>
      <w:r w:rsidRPr="00B654DA">
        <w:t xml:space="preserve"> y sus cierres:</w:t>
      </w:r>
      <w:r w:rsidR="00A069C9">
        <w:t>”</w:t>
      </w:r>
      <w:r w:rsidRPr="00B654DA">
        <w:t xml:space="preserve"> Trasládese la última fila del cuadro a un nuevo cuadro, después del ya existente, con los mismos encabezamientos y una nueva frase introductoria que diga: </w:t>
      </w:r>
      <w:r w:rsidR="00A069C9">
        <w:t>“</w:t>
      </w:r>
      <w:r w:rsidRPr="00B654DA">
        <w:t xml:space="preserve">La siguiente norma se aplica a la inspección y ensayo periódicos de los sistemas </w:t>
      </w:r>
      <w:r w:rsidR="00401044">
        <w:t>‘</w:t>
      </w:r>
      <w:r w:rsidRPr="00B654DA">
        <w:t>UN</w:t>
      </w:r>
      <w:r w:rsidR="00401044">
        <w:t>’</w:t>
      </w:r>
      <w:r w:rsidRPr="00B654DA">
        <w:t xml:space="preserve"> de almacenamiento de hidruro metálico:</w:t>
      </w:r>
      <w:r w:rsidR="00A069C9">
        <w:t>”</w:t>
      </w:r>
      <w:r w:rsidR="00401044">
        <w:t>.</w:t>
      </w:r>
    </w:p>
    <w:p w:rsidR="007A3AD0" w:rsidRPr="00B654DA" w:rsidRDefault="007A3AD0" w:rsidP="00401044">
      <w:pPr>
        <w:pStyle w:val="SingleTxtG"/>
        <w:spacing w:before="120" w:line="236" w:lineRule="atLeast"/>
      </w:pPr>
      <w:r w:rsidRPr="00B654DA">
        <w:t>6.2.2.4</w:t>
      </w:r>
      <w:r w:rsidRPr="00B654DA">
        <w:tab/>
      </w:r>
      <w:r w:rsidRPr="00B654DA">
        <w:tab/>
        <w:t xml:space="preserve">En el cuadro, en la entrada de la ISO 11623:2002, en la columna titulada </w:t>
      </w:r>
      <w:r w:rsidR="00A069C9">
        <w:t>“</w:t>
      </w:r>
      <w:r w:rsidRPr="00B654DA">
        <w:t>Aplicable a la fabricación</w:t>
      </w:r>
      <w:r w:rsidR="00A069C9">
        <w:t>”</w:t>
      </w:r>
      <w:r w:rsidRPr="00B654DA">
        <w:t xml:space="preserve">, sustitúyase </w:t>
      </w:r>
      <w:r w:rsidR="00A069C9">
        <w:t>“</w:t>
      </w:r>
      <w:r w:rsidRPr="00B654DA">
        <w:t>Hasta nuevo aviso</w:t>
      </w:r>
      <w:r w:rsidR="00A069C9">
        <w:t>”</w:t>
      </w:r>
      <w:r w:rsidRPr="00B654DA">
        <w:t xml:space="preserve"> por </w:t>
      </w:r>
      <w:r w:rsidR="00A069C9">
        <w:t>“</w:t>
      </w:r>
      <w:r w:rsidRPr="00B654DA">
        <w:t>Hasta el 31 de diciembre de 2020</w:t>
      </w:r>
      <w:r w:rsidR="00A069C9">
        <w:t>”</w:t>
      </w:r>
      <w:r w:rsidRPr="00B654DA">
        <w:t xml:space="preserve">. Después de la fila para </w:t>
      </w:r>
      <w:r w:rsidR="00A069C9">
        <w:t>“</w:t>
      </w:r>
      <w:r w:rsidR="00401044">
        <w:t>ISO 11623:</w:t>
      </w:r>
      <w:r w:rsidRPr="00B654DA">
        <w:t>2002</w:t>
      </w:r>
      <w:r w:rsidR="00A069C9">
        <w:t>”</w:t>
      </w:r>
      <w:r w:rsidRPr="00B654DA">
        <w:t>, añádase una línea nueva que diga lo siguiente: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4969"/>
        <w:gridCol w:w="1708"/>
      </w:tblGrid>
      <w:tr w:rsidR="007A3AD0" w:rsidRPr="00B654DA" w:rsidTr="00401044">
        <w:tc>
          <w:tcPr>
            <w:tcW w:w="1820" w:type="dxa"/>
          </w:tcPr>
          <w:p w:rsidR="007A3AD0" w:rsidRPr="00B654DA" w:rsidRDefault="007A3AD0" w:rsidP="004C7BCB">
            <w:pPr>
              <w:spacing w:before="50" w:after="50" w:line="236" w:lineRule="atLeast"/>
            </w:pPr>
            <w:r w:rsidRPr="00B654DA">
              <w:t>ISO 11623:2015</w:t>
            </w:r>
          </w:p>
        </w:tc>
        <w:tc>
          <w:tcPr>
            <w:tcW w:w="4969" w:type="dxa"/>
          </w:tcPr>
          <w:p w:rsidR="007A3AD0" w:rsidRPr="00B654DA" w:rsidRDefault="007A3AD0" w:rsidP="00401044">
            <w:pPr>
              <w:spacing w:before="50" w:after="50" w:line="236" w:lineRule="atLeast"/>
            </w:pPr>
            <w:r w:rsidRPr="00B654DA">
              <w:t xml:space="preserve">Botellas para el transporte de gas </w:t>
            </w:r>
            <w:r w:rsidR="00401044">
              <w:t>–</w:t>
            </w:r>
            <w:r w:rsidRPr="00B654DA">
              <w:t xml:space="preserve"> Fabricación de botellas con materiales compuestos. In</w:t>
            </w:r>
            <w:r w:rsidR="00401044">
              <w:t>specciones periódicas y ensayos</w:t>
            </w:r>
          </w:p>
        </w:tc>
        <w:tc>
          <w:tcPr>
            <w:tcW w:w="1708" w:type="dxa"/>
          </w:tcPr>
          <w:p w:rsidR="007A3AD0" w:rsidRPr="00B654DA" w:rsidRDefault="007A3AD0" w:rsidP="004C7BCB">
            <w:pPr>
              <w:spacing w:before="50" w:after="50" w:line="236" w:lineRule="atLeast"/>
            </w:pPr>
            <w:r w:rsidRPr="00B654DA">
              <w:t>Hasta nuevo aviso</w:t>
            </w:r>
          </w:p>
        </w:tc>
      </w:tr>
    </w:tbl>
    <w:p w:rsidR="007A3AD0" w:rsidRPr="00B654DA" w:rsidRDefault="007A3AD0" w:rsidP="00401044">
      <w:pPr>
        <w:pStyle w:val="SingleTxtG"/>
        <w:spacing w:before="240"/>
      </w:pPr>
      <w:r w:rsidRPr="00B654DA">
        <w:t>6.2.2.4</w:t>
      </w:r>
      <w:r w:rsidRPr="00B654DA">
        <w:tab/>
      </w:r>
      <w:r w:rsidRPr="00B654DA">
        <w:tab/>
        <w:t>Al final del primer cuadro, introdúzcase la nueva fila siguiente: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4969"/>
        <w:gridCol w:w="1708"/>
      </w:tblGrid>
      <w:tr w:rsidR="007A3AD0" w:rsidRPr="00B654DA" w:rsidTr="00401044">
        <w:tc>
          <w:tcPr>
            <w:tcW w:w="1820" w:type="dxa"/>
          </w:tcPr>
          <w:p w:rsidR="007A3AD0" w:rsidRPr="00B654DA" w:rsidRDefault="007A3AD0" w:rsidP="004C7BCB">
            <w:pPr>
              <w:spacing w:before="50" w:after="50" w:line="236" w:lineRule="atLeast"/>
            </w:pPr>
            <w:r w:rsidRPr="00B654DA">
              <w:t>ISO 22434:2006</w:t>
            </w:r>
          </w:p>
        </w:tc>
        <w:tc>
          <w:tcPr>
            <w:tcW w:w="4969" w:type="dxa"/>
          </w:tcPr>
          <w:p w:rsidR="007A3AD0" w:rsidRPr="00B654DA" w:rsidRDefault="007A3AD0" w:rsidP="004C7BCB">
            <w:pPr>
              <w:spacing w:before="50" w:after="50" w:line="236" w:lineRule="atLeast"/>
            </w:pPr>
            <w:r w:rsidRPr="00B654DA">
              <w:t>Botellas para el transporte de gas</w:t>
            </w:r>
            <w:r w:rsidR="00401044">
              <w:t xml:space="preserve"> –</w:t>
            </w:r>
            <w:r w:rsidRPr="00B654DA">
              <w:t xml:space="preserve"> Inspección y mantenimiento </w:t>
            </w:r>
            <w:r w:rsidR="00401044">
              <w:t>de las válvulas de las botellas</w:t>
            </w:r>
          </w:p>
          <w:p w:rsidR="007A3AD0" w:rsidRPr="00B654DA" w:rsidRDefault="007A3AD0" w:rsidP="004C7BCB">
            <w:pPr>
              <w:spacing w:before="50" w:after="50" w:line="236" w:lineRule="atLeast"/>
              <w:rPr>
                <w:i/>
              </w:rPr>
            </w:pPr>
            <w:r w:rsidRPr="00B654DA">
              <w:rPr>
                <w:b/>
                <w:i/>
              </w:rPr>
              <w:t>NOTA</w:t>
            </w:r>
            <w:r w:rsidRPr="00401044">
              <w:rPr>
                <w:b/>
                <w:i/>
              </w:rPr>
              <w:t>:</w:t>
            </w:r>
            <w:r w:rsidR="00B51318">
              <w:rPr>
                <w:i/>
              </w:rPr>
              <w:t xml:space="preserve"> </w:t>
            </w:r>
            <w:r w:rsidRPr="00B654DA">
              <w:rPr>
                <w:i/>
              </w:rPr>
              <w:t xml:space="preserve">No es necesario que esos requisitos se satisfagan en el momento de la inspección y ensayo periódicos de los cilindros </w:t>
            </w:r>
            <w:r w:rsidR="00A069C9">
              <w:rPr>
                <w:i/>
              </w:rPr>
              <w:t>“</w:t>
            </w:r>
            <w:r w:rsidRPr="00B654DA">
              <w:rPr>
                <w:i/>
              </w:rPr>
              <w:t>UN</w:t>
            </w:r>
            <w:r w:rsidR="00A069C9">
              <w:rPr>
                <w:i/>
              </w:rPr>
              <w:t>”</w:t>
            </w:r>
            <w:r w:rsidR="00401044">
              <w:rPr>
                <w:i/>
              </w:rPr>
              <w:t>.</w:t>
            </w:r>
          </w:p>
        </w:tc>
        <w:tc>
          <w:tcPr>
            <w:tcW w:w="1708" w:type="dxa"/>
          </w:tcPr>
          <w:p w:rsidR="007A3AD0" w:rsidRPr="00B654DA" w:rsidRDefault="007A3AD0" w:rsidP="004C7BCB">
            <w:pPr>
              <w:spacing w:before="50" w:after="50" w:line="236" w:lineRule="atLeast"/>
            </w:pPr>
            <w:r w:rsidRPr="00B654DA">
              <w:t>Hasta nuevo aviso</w:t>
            </w:r>
          </w:p>
        </w:tc>
      </w:tr>
    </w:tbl>
    <w:p w:rsidR="007A3AD0" w:rsidRPr="00B654DA" w:rsidRDefault="007A3AD0" w:rsidP="00401044">
      <w:pPr>
        <w:pStyle w:val="SingleTxtG"/>
        <w:spacing w:before="240"/>
      </w:pPr>
      <w:r w:rsidRPr="00B654DA">
        <w:t xml:space="preserve">6.2.2.7.2 c) </w:t>
      </w:r>
      <w:r w:rsidRPr="00B654DA">
        <w:tab/>
        <w:t xml:space="preserve">Sustitúyase </w:t>
      </w:r>
      <w:r w:rsidR="00A069C9">
        <w:t>“</w:t>
      </w:r>
      <w:r w:rsidRPr="00B654DA">
        <w:t xml:space="preserve">el </w:t>
      </w:r>
      <w:r w:rsidR="0000146C">
        <w:t>signo</w:t>
      </w:r>
      <w:r w:rsidRPr="00B654DA">
        <w:t xml:space="preserve"> distintivo utilizado para los vehículos automóviles en el tráfico internacional</w:t>
      </w:r>
      <w:r w:rsidR="00A069C9">
        <w:t>”</w:t>
      </w:r>
      <w:r w:rsidRPr="00B654DA">
        <w:t xml:space="preserve"> por </w:t>
      </w:r>
      <w:r w:rsidR="00A069C9">
        <w:t>“</w:t>
      </w:r>
      <w:r w:rsidRPr="00B654DA">
        <w:t xml:space="preserve">el </w:t>
      </w:r>
      <w:r w:rsidR="0000146C">
        <w:t>signo</w:t>
      </w:r>
      <w:r w:rsidRPr="00B654DA">
        <w:t xml:space="preserve"> distintivo utilizado en los vehículos automóviles en el tráfico internacional</w:t>
      </w:r>
      <w:r w:rsidRPr="00401044">
        <w:rPr>
          <w:b/>
          <w:vertAlign w:val="superscript"/>
        </w:rPr>
        <w:t>2</w:t>
      </w:r>
      <w:r w:rsidR="00A069C9">
        <w:t>”</w:t>
      </w:r>
      <w:r w:rsidR="00401044">
        <w:t>.</w:t>
      </w:r>
    </w:p>
    <w:p w:rsidR="007A3AD0" w:rsidRPr="00B654DA" w:rsidRDefault="007A3AD0" w:rsidP="00401044">
      <w:pPr>
        <w:pStyle w:val="SingleTxtG"/>
        <w:keepNext/>
        <w:keepLines/>
      </w:pPr>
      <w:r w:rsidRPr="00B654DA">
        <w:lastRenderedPageBreak/>
        <w:t>6.2.2.7.4</w:t>
      </w:r>
      <w:r w:rsidRPr="00B654DA">
        <w:tab/>
      </w:r>
      <w:r w:rsidR="00402521">
        <w:t>En el apartado m), añádase una N</w:t>
      </w:r>
      <w:r w:rsidRPr="00B654DA">
        <w:t>ota nueva que diga lo siguiente:</w:t>
      </w:r>
    </w:p>
    <w:p w:rsidR="007A3AD0" w:rsidRPr="00B654DA" w:rsidRDefault="00A069C9" w:rsidP="00401044">
      <w:pPr>
        <w:pStyle w:val="SingleTxtG"/>
        <w:keepNext/>
        <w:keepLines/>
        <w:rPr>
          <w:i/>
        </w:rPr>
      </w:pPr>
      <w:r w:rsidRPr="00401044">
        <w:rPr>
          <w:i/>
        </w:rPr>
        <w:t>“</w:t>
      </w:r>
      <w:r w:rsidR="007A3AD0" w:rsidRPr="00B654DA">
        <w:rPr>
          <w:b/>
          <w:i/>
        </w:rPr>
        <w:t>NOTA</w:t>
      </w:r>
      <w:r w:rsidR="007A3AD0" w:rsidRPr="00402521">
        <w:rPr>
          <w:b/>
          <w:i/>
        </w:rPr>
        <w:t>:</w:t>
      </w:r>
      <w:r w:rsidR="00401044">
        <w:rPr>
          <w:i/>
        </w:rPr>
        <w:tab/>
      </w:r>
      <w:r w:rsidR="007A3AD0" w:rsidRPr="00B654DA">
        <w:rPr>
          <w:i/>
        </w:rPr>
        <w:t>En el documento ISO/TR 11364, Botellas de gas – Recopilación de ámbito nacional e internacional de roscas de válvulas y</w:t>
      </w:r>
      <w:r w:rsidR="00965478">
        <w:rPr>
          <w:i/>
        </w:rPr>
        <w:t xml:space="preserve"> </w:t>
      </w:r>
      <w:r w:rsidR="007A3AD0" w:rsidRPr="00B654DA">
        <w:rPr>
          <w:i/>
        </w:rPr>
        <w:t>cuellos de botellas de gas y sus sistemas de identificación y marcado</w:t>
      </w:r>
      <w:r w:rsidR="00401044">
        <w:rPr>
          <w:i/>
        </w:rPr>
        <w:t xml:space="preserve">, </w:t>
      </w:r>
      <w:r w:rsidR="007A3AD0" w:rsidRPr="00B654DA">
        <w:rPr>
          <w:i/>
        </w:rPr>
        <w:t>se ofrece información sobre las marcas que pueden utilizarse para identificar las roscas del cuello de las botellas.</w:t>
      </w:r>
      <w:r w:rsidRPr="00401044">
        <w:rPr>
          <w:i/>
        </w:rPr>
        <w:t>”</w:t>
      </w:r>
      <w:r w:rsidR="007A3AD0" w:rsidRPr="00401044">
        <w:rPr>
          <w:i/>
        </w:rPr>
        <w:t>.</w:t>
      </w:r>
    </w:p>
    <w:p w:rsidR="007A3AD0" w:rsidRPr="00B654DA" w:rsidRDefault="007A3AD0" w:rsidP="007A3AD0">
      <w:pPr>
        <w:pStyle w:val="SingleTxtG"/>
      </w:pPr>
      <w:r w:rsidRPr="00B654DA">
        <w:t>6.2.2.7.4 n)</w:t>
      </w:r>
      <w:r w:rsidRPr="00B654DA">
        <w:tab/>
        <w:t xml:space="preserve">Sustitúyase </w:t>
      </w:r>
      <w:r w:rsidR="00A069C9">
        <w:t>“</w:t>
      </w:r>
      <w:r w:rsidRPr="00B654DA">
        <w:t xml:space="preserve">el </w:t>
      </w:r>
      <w:r w:rsidR="0000146C">
        <w:t>signo</w:t>
      </w:r>
      <w:r w:rsidR="0000146C" w:rsidRPr="00B654DA">
        <w:t xml:space="preserve"> </w:t>
      </w:r>
      <w:r w:rsidRPr="00B654DA">
        <w:t>distintivo utilizado para los vehículos automóviles en el tráfico internacional</w:t>
      </w:r>
      <w:r w:rsidR="00A069C9">
        <w:t>”</w:t>
      </w:r>
      <w:r w:rsidRPr="00B654DA">
        <w:t xml:space="preserve"> por </w:t>
      </w:r>
      <w:r w:rsidR="00A069C9">
        <w:t>“</w:t>
      </w:r>
      <w:r w:rsidRPr="00B654DA">
        <w:t xml:space="preserve">el </w:t>
      </w:r>
      <w:r w:rsidR="0000146C">
        <w:t>signo</w:t>
      </w:r>
      <w:r w:rsidR="0000146C" w:rsidRPr="00B654DA">
        <w:t xml:space="preserve"> </w:t>
      </w:r>
      <w:r w:rsidRPr="00B654DA">
        <w:t>distintivo utilizado en los vehículos automóviles en el tráfico internacional</w:t>
      </w:r>
      <w:r w:rsidRPr="00401044">
        <w:rPr>
          <w:b/>
          <w:vertAlign w:val="superscript"/>
        </w:rPr>
        <w:t>2</w:t>
      </w:r>
      <w:r w:rsidR="00A069C9">
        <w:t>”</w:t>
      </w:r>
      <w:r w:rsidR="00401044">
        <w:t>.</w:t>
      </w:r>
    </w:p>
    <w:p w:rsidR="007A3AD0" w:rsidRPr="00B654DA" w:rsidRDefault="007A3AD0" w:rsidP="007A3AD0">
      <w:pPr>
        <w:pStyle w:val="SingleTxtG"/>
      </w:pPr>
      <w:r w:rsidRPr="00B654DA">
        <w:t>6.2.2.7.7 a)</w:t>
      </w:r>
      <w:r w:rsidRPr="00B654DA">
        <w:tab/>
        <w:t xml:space="preserve">Sustitúyase </w:t>
      </w:r>
      <w:r w:rsidR="00A069C9">
        <w:t>“</w:t>
      </w:r>
      <w:r w:rsidRPr="00B654DA">
        <w:t xml:space="preserve">el </w:t>
      </w:r>
      <w:r w:rsidR="0000146C">
        <w:t>signo</w:t>
      </w:r>
      <w:r w:rsidR="0000146C" w:rsidRPr="00B654DA">
        <w:t xml:space="preserve"> </w:t>
      </w:r>
      <w:r w:rsidRPr="00B654DA">
        <w:t>distintivo utilizado para los vehículos automóviles en el tráfico internacional</w:t>
      </w:r>
      <w:r w:rsidR="00A069C9">
        <w:t>”</w:t>
      </w:r>
      <w:r w:rsidRPr="00B654DA">
        <w:t xml:space="preserve"> por </w:t>
      </w:r>
      <w:r w:rsidR="00A069C9">
        <w:t>“</w:t>
      </w:r>
      <w:r w:rsidRPr="00B654DA">
        <w:t xml:space="preserve">el </w:t>
      </w:r>
      <w:r w:rsidR="0000146C">
        <w:t>signo</w:t>
      </w:r>
      <w:r w:rsidR="0000146C" w:rsidRPr="00B654DA">
        <w:t xml:space="preserve"> </w:t>
      </w:r>
      <w:r w:rsidRPr="00B654DA">
        <w:t>distintivo utilizado en los vehículos automóviles en el tráfico internacional</w:t>
      </w:r>
      <w:r w:rsidRPr="00401044">
        <w:rPr>
          <w:b/>
          <w:vertAlign w:val="superscript"/>
        </w:rPr>
        <w:t>2</w:t>
      </w:r>
      <w:r w:rsidR="00A069C9">
        <w:t>”</w:t>
      </w:r>
      <w:r w:rsidR="00401044">
        <w:t>.</w:t>
      </w:r>
    </w:p>
    <w:p w:rsidR="007A3AD0" w:rsidRPr="00B654DA" w:rsidRDefault="007A3AD0" w:rsidP="007A3AD0">
      <w:pPr>
        <w:pStyle w:val="SingleTxtG"/>
      </w:pPr>
      <w:r w:rsidRPr="00B654DA">
        <w:t>6.2.2.9.2 c) y h)</w:t>
      </w:r>
      <w:r w:rsidRPr="00B654DA">
        <w:tab/>
        <w:t xml:space="preserve">Sustitúyase </w:t>
      </w:r>
      <w:r w:rsidR="00A069C9">
        <w:t>“</w:t>
      </w:r>
      <w:r w:rsidRPr="00B654DA">
        <w:t xml:space="preserve">el </w:t>
      </w:r>
      <w:r w:rsidR="0000146C">
        <w:t>signo</w:t>
      </w:r>
      <w:r w:rsidR="0000146C" w:rsidRPr="00B654DA">
        <w:t xml:space="preserve"> </w:t>
      </w:r>
      <w:r w:rsidRPr="00B654DA">
        <w:t>distintivo utilizado para los vehículos automóviles en el tráfico internacional</w:t>
      </w:r>
      <w:r w:rsidR="00A069C9">
        <w:t>”</w:t>
      </w:r>
      <w:r w:rsidRPr="00B654DA">
        <w:t xml:space="preserve"> por </w:t>
      </w:r>
      <w:r w:rsidR="00A069C9">
        <w:t>“</w:t>
      </w:r>
      <w:r w:rsidRPr="00B654DA">
        <w:t xml:space="preserve">el </w:t>
      </w:r>
      <w:r w:rsidR="0000146C">
        <w:t>signo</w:t>
      </w:r>
      <w:r w:rsidR="0000146C" w:rsidRPr="00B654DA">
        <w:t xml:space="preserve"> </w:t>
      </w:r>
      <w:r w:rsidRPr="00B654DA">
        <w:t>distintivo utilizado en los vehículos automóviles en el tráfico internacional</w:t>
      </w:r>
      <w:r w:rsidRPr="00401044">
        <w:rPr>
          <w:b/>
          <w:vertAlign w:val="superscript"/>
        </w:rPr>
        <w:t>2</w:t>
      </w:r>
      <w:r w:rsidR="00A069C9">
        <w:t>”</w:t>
      </w:r>
      <w:r w:rsidR="00402521">
        <w:t>.</w:t>
      </w:r>
    </w:p>
    <w:p w:rsidR="007A3AD0" w:rsidRPr="00B654DA" w:rsidRDefault="007A3AD0" w:rsidP="007A3AD0">
      <w:pPr>
        <w:pStyle w:val="SingleTxtG"/>
      </w:pPr>
      <w:r w:rsidRPr="00B654DA">
        <w:t>6.2.2.9.4 a)</w:t>
      </w:r>
      <w:r w:rsidRPr="00B654DA">
        <w:tab/>
        <w:t xml:space="preserve">Sustitúyase </w:t>
      </w:r>
      <w:r w:rsidR="00A069C9">
        <w:t>“</w:t>
      </w:r>
      <w:r w:rsidRPr="00B654DA">
        <w:t xml:space="preserve">el </w:t>
      </w:r>
      <w:r w:rsidR="0000146C">
        <w:t>signo</w:t>
      </w:r>
      <w:r w:rsidR="0000146C" w:rsidRPr="00B654DA">
        <w:t xml:space="preserve"> </w:t>
      </w:r>
      <w:r w:rsidRPr="00B654DA">
        <w:t>distintivo utilizado para los vehículos automóviles en el tráfico internacional</w:t>
      </w:r>
      <w:r w:rsidR="00A069C9">
        <w:t>”</w:t>
      </w:r>
      <w:r w:rsidRPr="00B654DA">
        <w:t xml:space="preserve"> por </w:t>
      </w:r>
      <w:r w:rsidR="00A069C9">
        <w:t>“</w:t>
      </w:r>
      <w:r w:rsidRPr="00B654DA">
        <w:t xml:space="preserve">el </w:t>
      </w:r>
      <w:r w:rsidR="0000146C">
        <w:t>signo</w:t>
      </w:r>
      <w:r w:rsidR="0000146C" w:rsidRPr="00B654DA">
        <w:t xml:space="preserve"> </w:t>
      </w:r>
      <w:r w:rsidRPr="00B654DA">
        <w:t>distintivo utilizado en los vehículos automóviles en el tráfico internacional</w:t>
      </w:r>
      <w:r w:rsidRPr="00402521">
        <w:rPr>
          <w:b/>
          <w:vertAlign w:val="superscript"/>
        </w:rPr>
        <w:t>2</w:t>
      </w:r>
      <w:r w:rsidR="00A069C9">
        <w:t>”</w:t>
      </w:r>
      <w:r w:rsidR="00402521">
        <w:t>.</w:t>
      </w:r>
    </w:p>
    <w:p w:rsidR="007A3AD0" w:rsidRPr="00B654DA" w:rsidRDefault="007A3AD0" w:rsidP="007A3AD0">
      <w:pPr>
        <w:pStyle w:val="SingleTxtG"/>
      </w:pPr>
      <w:r w:rsidRPr="00B654DA">
        <w:t>La nota de pie de página 2 dirá lo siguiente:</w:t>
      </w:r>
    </w:p>
    <w:p w:rsidR="007A3AD0" w:rsidRPr="00B654DA" w:rsidRDefault="00A069C9" w:rsidP="007A3AD0">
      <w:pPr>
        <w:pStyle w:val="SingleTxtG"/>
        <w:rPr>
          <w:i/>
        </w:rPr>
      </w:pPr>
      <w:r>
        <w:rPr>
          <w:i/>
        </w:rPr>
        <w:t>“</w:t>
      </w:r>
      <w:r w:rsidR="007A3AD0" w:rsidRPr="004C7BCB">
        <w:rPr>
          <w:b/>
          <w:vertAlign w:val="superscript"/>
        </w:rPr>
        <w:t>2</w:t>
      </w:r>
      <w:r w:rsidR="007A3AD0" w:rsidRPr="00B654DA">
        <w:rPr>
          <w:i/>
        </w:rPr>
        <w:tab/>
        <w:t>El signo distintivo del Estado de matriculación utilizado en los automóviles y los remolques en el tráfico</w:t>
      </w:r>
      <w:r w:rsidR="00965478">
        <w:rPr>
          <w:i/>
        </w:rPr>
        <w:t xml:space="preserve"> </w:t>
      </w:r>
      <w:r w:rsidR="007A3AD0" w:rsidRPr="00B654DA">
        <w:rPr>
          <w:i/>
        </w:rPr>
        <w:t>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7A3AD0">
      <w:pPr>
        <w:pStyle w:val="SingleTxtG"/>
      </w:pPr>
      <w:r w:rsidRPr="00B654DA">
        <w:t>6.2.4.3</w:t>
      </w:r>
      <w:r w:rsidRPr="00B654DA">
        <w:tab/>
      </w:r>
      <w:r w:rsidRPr="00B654DA">
        <w:tab/>
        <w:t>Reenumérese la nota de pie de página 2, como nota de pie de página 3</w:t>
      </w:r>
      <w:r w:rsidR="00401044">
        <w:t>.</w:t>
      </w:r>
    </w:p>
    <w:p w:rsidR="007A3AD0" w:rsidRPr="00B654DA" w:rsidRDefault="007A3AD0" w:rsidP="007A3AD0">
      <w:pPr>
        <w:pStyle w:val="H1G"/>
      </w:pPr>
      <w:r w:rsidRPr="00B654DA">
        <w:tab/>
      </w:r>
      <w:r w:rsidRPr="00B654DA">
        <w:tab/>
        <w:t>Capítulo 6.3</w:t>
      </w:r>
    </w:p>
    <w:p w:rsidR="007A3AD0" w:rsidRPr="00B654DA" w:rsidRDefault="007A3AD0" w:rsidP="007A3AD0">
      <w:pPr>
        <w:pStyle w:val="SingleTxtG"/>
      </w:pPr>
      <w:r w:rsidRPr="00B654DA">
        <w:t>6.3.4.2 e)</w:t>
      </w:r>
      <w:r w:rsidRPr="00B654DA">
        <w:tab/>
      </w:r>
      <w:r w:rsidRPr="00B654DA">
        <w:tab/>
        <w:t xml:space="preserve">Sustitúyase </w:t>
      </w:r>
      <w:r w:rsidR="00A069C9">
        <w:t>“</w:t>
      </w:r>
      <w:r w:rsidRPr="00B654DA">
        <w:t xml:space="preserve">el </w:t>
      </w:r>
      <w:r w:rsidR="0000146C">
        <w:t>signo</w:t>
      </w:r>
      <w:r w:rsidR="0000146C" w:rsidRPr="00B654DA">
        <w:t xml:space="preserve"> </w:t>
      </w:r>
      <w:r w:rsidRPr="00B654DA">
        <w:t>distintivo utilizado para los vehículos automóviles en el tráfico internacional</w:t>
      </w:r>
      <w:r w:rsidR="00A069C9">
        <w:t>”</w:t>
      </w:r>
      <w:r w:rsidRPr="00B654DA">
        <w:t xml:space="preserve"> por </w:t>
      </w:r>
      <w:r w:rsidR="00A069C9">
        <w:t>“</w:t>
      </w:r>
      <w:r w:rsidRPr="00B654DA">
        <w:t xml:space="preserve">el </w:t>
      </w:r>
      <w:r w:rsidR="0000146C">
        <w:t>signo</w:t>
      </w:r>
      <w:r w:rsidR="0000146C" w:rsidRPr="00B654DA">
        <w:t xml:space="preserve"> </w:t>
      </w:r>
      <w:r w:rsidRPr="00B654DA">
        <w:t>distintivo utilizado en los vehículos automóviles en el tráfico internacional</w:t>
      </w:r>
      <w:r w:rsidRPr="00401044">
        <w:rPr>
          <w:b/>
          <w:vertAlign w:val="superscript"/>
        </w:rPr>
        <w:t>1</w:t>
      </w:r>
      <w:r w:rsidR="00A069C9">
        <w:t>”</w:t>
      </w:r>
      <w:r w:rsidR="00401044">
        <w:t>.</w:t>
      </w:r>
    </w:p>
    <w:p w:rsidR="007A3AD0" w:rsidRPr="00B654DA" w:rsidRDefault="007A3AD0" w:rsidP="007A3AD0">
      <w:pPr>
        <w:pStyle w:val="SingleTxtG"/>
      </w:pPr>
      <w:r w:rsidRPr="00B654DA">
        <w:t xml:space="preserve">La nota de pie de página 1 dirá lo siguiente: </w:t>
      </w:r>
    </w:p>
    <w:p w:rsidR="007A3AD0" w:rsidRPr="00B654DA" w:rsidRDefault="00A069C9" w:rsidP="007A3AD0">
      <w:pPr>
        <w:pStyle w:val="SingleTxtG"/>
        <w:rPr>
          <w:i/>
        </w:rPr>
      </w:pPr>
      <w:r>
        <w:rPr>
          <w:i/>
        </w:rPr>
        <w:t>“</w:t>
      </w:r>
      <w:r w:rsidR="007A3AD0" w:rsidRPr="004C7BCB">
        <w:rPr>
          <w:b/>
          <w:vertAlign w:val="superscript"/>
        </w:rPr>
        <w:t>1</w:t>
      </w:r>
      <w:r w:rsidR="007A3AD0" w:rsidRPr="00B654DA">
        <w:rPr>
          <w:i/>
        </w:rPr>
        <w:tab/>
        <w:t>El signo distintivo del Estado de matriculación utilizado en los automóviles y los remolques en el tráfico</w:t>
      </w:r>
      <w:r w:rsidR="00965478">
        <w:rPr>
          <w:i/>
        </w:rPr>
        <w:t xml:space="preserve"> </w:t>
      </w:r>
      <w:r w:rsidR="007A3AD0" w:rsidRPr="00B654DA">
        <w:rPr>
          <w:i/>
        </w:rPr>
        <w:t>internacional, por ejemplo, de conformidad con la 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7A3AD0">
      <w:pPr>
        <w:pStyle w:val="H1G"/>
      </w:pPr>
      <w:r w:rsidRPr="00B654DA">
        <w:tab/>
      </w:r>
      <w:r w:rsidRPr="00B654DA">
        <w:tab/>
        <w:t>Capítulo 6.4</w:t>
      </w:r>
    </w:p>
    <w:p w:rsidR="007A3AD0" w:rsidRPr="00B654DA" w:rsidRDefault="007A3AD0" w:rsidP="007A3AD0">
      <w:pPr>
        <w:pStyle w:val="SingleTxtG"/>
      </w:pPr>
      <w:r w:rsidRPr="00B654DA">
        <w:t>6.4.23.11 a)</w:t>
      </w:r>
      <w:r w:rsidRPr="00B654DA">
        <w:tab/>
        <w:t xml:space="preserve">En el apartado a), sustitúyase </w:t>
      </w:r>
      <w:r w:rsidR="00A069C9">
        <w:t>“</w:t>
      </w:r>
      <w:r w:rsidRPr="00B654DA">
        <w:t>el código internacional de matrículas de vehículos para identificar al país que extiende el certificado</w:t>
      </w:r>
      <w:r w:rsidRPr="00401044">
        <w:rPr>
          <w:b/>
          <w:vertAlign w:val="superscript"/>
        </w:rPr>
        <w:t>1</w:t>
      </w:r>
      <w:r w:rsidR="00A069C9">
        <w:t>”</w:t>
      </w:r>
      <w:r w:rsidRPr="00B654DA">
        <w:t xml:space="preserve"> por </w:t>
      </w:r>
      <w:r w:rsidR="00A069C9">
        <w:t>“</w:t>
      </w:r>
      <w:r w:rsidRPr="00B654DA">
        <w:t>el símbolo distintivo utilizado en los vehículos automóviles en el tráfico internacional</w:t>
      </w:r>
      <w:r w:rsidRPr="00401044">
        <w:rPr>
          <w:b/>
          <w:vertAlign w:val="superscript"/>
        </w:rPr>
        <w:t>1</w:t>
      </w:r>
      <w:r w:rsidR="00A069C9">
        <w:t>”</w:t>
      </w:r>
      <w:r w:rsidR="00401044">
        <w:t>.</w:t>
      </w:r>
    </w:p>
    <w:p w:rsidR="007A3AD0" w:rsidRPr="00B654DA" w:rsidRDefault="007A3AD0" w:rsidP="007A3AD0">
      <w:pPr>
        <w:pStyle w:val="SingleTxtG"/>
      </w:pPr>
      <w:r w:rsidRPr="00B654DA">
        <w:t>Modifí</w:t>
      </w:r>
      <w:r w:rsidR="00402521">
        <w:t>quese la nota de pie de página 1</w:t>
      </w:r>
      <w:r w:rsidRPr="00B654DA">
        <w:t xml:space="preserve"> para que diga lo siguiente: </w:t>
      </w:r>
    </w:p>
    <w:p w:rsidR="007A3AD0" w:rsidRPr="00B654DA" w:rsidRDefault="00A069C9" w:rsidP="007A3AD0">
      <w:pPr>
        <w:pStyle w:val="SingleTxtG"/>
        <w:rPr>
          <w:i/>
        </w:rPr>
      </w:pPr>
      <w:r>
        <w:rPr>
          <w:i/>
        </w:rPr>
        <w:t>“</w:t>
      </w:r>
      <w:r w:rsidR="00401044">
        <w:rPr>
          <w:b/>
          <w:vertAlign w:val="superscript"/>
        </w:rPr>
        <w:t>1</w:t>
      </w:r>
      <w:r w:rsidR="007A3AD0" w:rsidRPr="00B654DA">
        <w:rPr>
          <w:i/>
        </w:rPr>
        <w:tab/>
        <w:t>El signo distintivo del Estado de matriculación utilizado en los automóviles y los remolques en el tráfico 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7A3AD0">
      <w:pPr>
        <w:pStyle w:val="H1G"/>
      </w:pPr>
      <w:r w:rsidRPr="00B654DA">
        <w:tab/>
      </w:r>
      <w:r w:rsidRPr="00B654DA">
        <w:tab/>
        <w:t>Capítulo 6.5</w:t>
      </w:r>
    </w:p>
    <w:p w:rsidR="007A3AD0" w:rsidRPr="00B654DA" w:rsidRDefault="007A3AD0" w:rsidP="007A3AD0">
      <w:pPr>
        <w:pStyle w:val="SingleTxtG"/>
      </w:pPr>
      <w:r w:rsidRPr="00B654DA">
        <w:t>6.5.2.1.1 e)</w:t>
      </w:r>
      <w:r w:rsidR="00401044">
        <w:tab/>
      </w:r>
      <w:r w:rsidRPr="00B654DA">
        <w:t xml:space="preserve">Sustitúyase </w:t>
      </w:r>
      <w:r w:rsidR="00A069C9">
        <w:t>“</w:t>
      </w:r>
      <w:r w:rsidRPr="00B654DA">
        <w:t>el símbolo distintivo utilizado para los vehículos automóviles en el tráfico internacional</w:t>
      </w:r>
      <w:r w:rsidR="00A069C9">
        <w:t>”</w:t>
      </w:r>
      <w:r w:rsidRPr="00B654DA">
        <w:t xml:space="preserve"> por </w:t>
      </w:r>
      <w:r w:rsidR="00A069C9">
        <w:t>“</w:t>
      </w:r>
      <w:r w:rsidRPr="00B654DA">
        <w:t>el símbolo distintivo utilizado en los vehículos automóviles en el tráfico internacional</w:t>
      </w:r>
      <w:r w:rsidRPr="00401044">
        <w:rPr>
          <w:b/>
          <w:vertAlign w:val="superscript"/>
        </w:rPr>
        <w:t>1</w:t>
      </w:r>
      <w:r w:rsidR="00A069C9">
        <w:t>”</w:t>
      </w:r>
      <w:r w:rsidR="00401044">
        <w:t>.</w:t>
      </w:r>
    </w:p>
    <w:p w:rsidR="007A3AD0" w:rsidRPr="00B654DA" w:rsidRDefault="007A3AD0" w:rsidP="007A3AD0">
      <w:pPr>
        <w:pStyle w:val="SingleTxtG"/>
      </w:pPr>
      <w:r w:rsidRPr="00B654DA">
        <w:lastRenderedPageBreak/>
        <w:t xml:space="preserve">La nota de pie de página 1 dirá lo siguiente: </w:t>
      </w:r>
    </w:p>
    <w:p w:rsidR="007A3AD0" w:rsidRPr="00B654DA" w:rsidRDefault="00A069C9" w:rsidP="007A3AD0">
      <w:pPr>
        <w:pStyle w:val="SingleTxtG"/>
        <w:rPr>
          <w:i/>
        </w:rPr>
      </w:pPr>
      <w:r>
        <w:rPr>
          <w:i/>
        </w:rPr>
        <w:t>“</w:t>
      </w:r>
      <w:r w:rsidR="007A3AD0" w:rsidRPr="004C7BCB">
        <w:rPr>
          <w:b/>
          <w:vertAlign w:val="superscript"/>
        </w:rPr>
        <w:t>1</w:t>
      </w:r>
      <w:r w:rsidR="007A3AD0" w:rsidRPr="00B654DA">
        <w:rPr>
          <w:i/>
        </w:rPr>
        <w:tab/>
        <w:t>El signo distintivo del Estado de matriculación utilizado en los automóviles y los remolques en el tráfico</w:t>
      </w:r>
      <w:r w:rsidR="00965478">
        <w:rPr>
          <w:i/>
        </w:rPr>
        <w:t xml:space="preserve"> </w:t>
      </w:r>
      <w:r w:rsidR="007A3AD0" w:rsidRPr="00B654DA">
        <w:rPr>
          <w:i/>
        </w:rPr>
        <w:t>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7A3AD0" w:rsidP="007A3AD0">
      <w:pPr>
        <w:pStyle w:val="SingleTxtG"/>
      </w:pPr>
      <w:r w:rsidRPr="00B654DA">
        <w:t>6.5.6.9.3</w:t>
      </w:r>
      <w:r w:rsidRPr="00B654DA">
        <w:tab/>
        <w:t>Modifíquese el primer párrafo para que diga:</w:t>
      </w:r>
    </w:p>
    <w:p w:rsidR="007A3AD0" w:rsidRPr="00B654DA" w:rsidRDefault="00A069C9" w:rsidP="007A3AD0">
      <w:pPr>
        <w:pStyle w:val="SingleTxtG"/>
      </w:pPr>
      <w:r>
        <w:t>“</w:t>
      </w:r>
      <w:r w:rsidR="007A3AD0" w:rsidRPr="00B654DA">
        <w:t>Para cada caída pueden utilizarse un mismo RIG o varios RIG diferentes.</w:t>
      </w:r>
      <w:r>
        <w:t>”</w:t>
      </w:r>
      <w:r w:rsidR="00401044">
        <w:t>.</w:t>
      </w:r>
    </w:p>
    <w:p w:rsidR="007A3AD0" w:rsidRPr="00B654DA" w:rsidRDefault="007A3AD0" w:rsidP="007A3AD0">
      <w:pPr>
        <w:pStyle w:val="SingleTxtG"/>
      </w:pPr>
      <w:r w:rsidRPr="00B654DA">
        <w:t>6.5.6.14.1</w:t>
      </w:r>
      <w:r w:rsidRPr="00B654DA">
        <w:tab/>
        <w:t xml:space="preserve">En el apartado 8, añádase la siguiente oración: </w:t>
      </w:r>
      <w:r w:rsidR="00A069C9">
        <w:t>“</w:t>
      </w:r>
      <w:r w:rsidRPr="00B654DA">
        <w:t>Para RIG de plástico rígido o material compuesto sujetos el ensayo de presión hidráulica de 6.5.6.8, la temperatura del agua utilizada.</w:t>
      </w:r>
      <w:r w:rsidR="00A069C9">
        <w:t>”</w:t>
      </w:r>
      <w:r w:rsidRPr="00B654DA">
        <w:t>.</w:t>
      </w:r>
    </w:p>
    <w:p w:rsidR="007A3AD0" w:rsidRPr="00B654DA" w:rsidRDefault="007A3AD0" w:rsidP="007A3AD0">
      <w:pPr>
        <w:pStyle w:val="H1G"/>
      </w:pPr>
      <w:r w:rsidRPr="00B654DA">
        <w:tab/>
      </w:r>
      <w:r w:rsidRPr="00B654DA">
        <w:tab/>
        <w:t>Capítulo 6.6</w:t>
      </w:r>
    </w:p>
    <w:p w:rsidR="007A3AD0" w:rsidRPr="00B654DA" w:rsidRDefault="007A3AD0" w:rsidP="007A3AD0">
      <w:pPr>
        <w:pStyle w:val="SingleTxtG"/>
      </w:pPr>
      <w:r w:rsidRPr="00B654DA">
        <w:t>6.6.3.1 e)</w:t>
      </w:r>
      <w:r w:rsidRPr="00B654DA">
        <w:tab/>
        <w:t xml:space="preserve"> Sustitúyase </w:t>
      </w:r>
      <w:r w:rsidR="00A069C9">
        <w:t>“</w:t>
      </w:r>
      <w:r w:rsidRPr="00B654DA">
        <w:t xml:space="preserve">el </w:t>
      </w:r>
      <w:r w:rsidR="0000146C">
        <w:t>signo</w:t>
      </w:r>
      <w:r w:rsidR="0000146C" w:rsidRPr="00B654DA">
        <w:t xml:space="preserve"> </w:t>
      </w:r>
      <w:r w:rsidRPr="00B654DA">
        <w:t>distintivo que ese Estado utiliza para los vehículos automóviles en el tráfico internacional</w:t>
      </w:r>
      <w:r w:rsidR="00A069C9">
        <w:t>”</w:t>
      </w:r>
      <w:r w:rsidRPr="00B654DA">
        <w:t xml:space="preserve"> por </w:t>
      </w:r>
      <w:r w:rsidR="00A069C9">
        <w:t>“</w:t>
      </w:r>
      <w:r w:rsidRPr="00B654DA">
        <w:t xml:space="preserve">el </w:t>
      </w:r>
      <w:r w:rsidR="0000146C">
        <w:t>signo</w:t>
      </w:r>
      <w:r w:rsidR="0000146C" w:rsidRPr="00B654DA">
        <w:t xml:space="preserve"> </w:t>
      </w:r>
      <w:r w:rsidRPr="00B654DA">
        <w:t>distintivo utilizado en los vehículos automóviles en el tráfico internacional</w:t>
      </w:r>
      <w:r w:rsidRPr="00401044">
        <w:rPr>
          <w:b/>
          <w:vertAlign w:val="superscript"/>
        </w:rPr>
        <w:t>1</w:t>
      </w:r>
      <w:r w:rsidR="00A069C9">
        <w:t>”</w:t>
      </w:r>
      <w:r w:rsidR="00401044">
        <w:t>.</w:t>
      </w:r>
    </w:p>
    <w:p w:rsidR="007A3AD0" w:rsidRPr="00B654DA" w:rsidRDefault="007A3AD0" w:rsidP="007A3AD0">
      <w:pPr>
        <w:pStyle w:val="SingleTxtG"/>
      </w:pPr>
      <w:r w:rsidRPr="00B654DA">
        <w:t xml:space="preserve">La nota de pie de página 1 dirá lo siguiente: </w:t>
      </w:r>
    </w:p>
    <w:p w:rsidR="007A3AD0" w:rsidRPr="00B654DA" w:rsidRDefault="00A069C9" w:rsidP="007A3AD0">
      <w:pPr>
        <w:pStyle w:val="SingleTxtG"/>
        <w:rPr>
          <w:i/>
        </w:rPr>
      </w:pPr>
      <w:r>
        <w:rPr>
          <w:i/>
        </w:rPr>
        <w:t>“</w:t>
      </w:r>
      <w:r w:rsidR="007A3AD0" w:rsidRPr="004C7BCB">
        <w:rPr>
          <w:b/>
          <w:vertAlign w:val="superscript"/>
        </w:rPr>
        <w:t>1</w:t>
      </w:r>
      <w:r w:rsidR="007A3AD0" w:rsidRPr="00B654DA">
        <w:rPr>
          <w:i/>
        </w:rPr>
        <w:tab/>
        <w:t>El signo distintivo del Estado de matriculación utilizado en los automóviles y los remolques en el tráfico 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 xml:space="preserve">. </w:t>
      </w:r>
    </w:p>
    <w:p w:rsidR="007A3AD0" w:rsidRPr="00B654DA" w:rsidRDefault="007A3AD0" w:rsidP="007A3AD0">
      <w:pPr>
        <w:pStyle w:val="H1G"/>
      </w:pPr>
      <w:r w:rsidRPr="00B654DA">
        <w:tab/>
      </w:r>
      <w:r w:rsidRPr="00B654DA">
        <w:tab/>
        <w:t>Capítulo 6.7</w:t>
      </w:r>
    </w:p>
    <w:p w:rsidR="007A3AD0" w:rsidRPr="00B654DA" w:rsidRDefault="007A3AD0" w:rsidP="007A3AD0">
      <w:pPr>
        <w:pStyle w:val="SingleTxtG"/>
        <w:rPr>
          <w:rStyle w:val="Strong"/>
          <w:b w:val="0"/>
          <w:bCs w:val="0"/>
        </w:rPr>
      </w:pPr>
      <w:r w:rsidRPr="00B654DA">
        <w:t>6.7.2.2.16</w:t>
      </w:r>
      <w:r w:rsidRPr="00B654DA">
        <w:tab/>
        <w:t xml:space="preserve">Sustitúyase </w:t>
      </w:r>
      <w:r w:rsidR="00A069C9">
        <w:t>“</w:t>
      </w:r>
      <w:r w:rsidRPr="00B654DA">
        <w:t>riesgos</w:t>
      </w:r>
      <w:r w:rsidR="00A069C9">
        <w:t>”</w:t>
      </w:r>
      <w:r w:rsidRPr="00B654DA">
        <w:t xml:space="preserve"> por </w:t>
      </w:r>
      <w:r w:rsidR="00A069C9">
        <w:t>“</w:t>
      </w:r>
      <w:r w:rsidRPr="00B654DA">
        <w:t>peligros</w:t>
      </w:r>
      <w:r w:rsidR="00A069C9">
        <w:t>”</w:t>
      </w:r>
      <w:r w:rsidRPr="00B654DA">
        <w:t>.</w:t>
      </w:r>
    </w:p>
    <w:p w:rsidR="007A3AD0" w:rsidRPr="00B654DA" w:rsidRDefault="007A3AD0" w:rsidP="007A3AD0">
      <w:pPr>
        <w:pStyle w:val="SingleTxtG"/>
      </w:pPr>
      <w:r w:rsidRPr="00B654DA">
        <w:t>6.7.2.18.1</w:t>
      </w:r>
      <w:r w:rsidRPr="00B654DA">
        <w:tab/>
        <w:t xml:space="preserve">En la cuarta oración, sustitúyase </w:t>
      </w:r>
      <w:r w:rsidR="00A069C9">
        <w:t>“</w:t>
      </w:r>
      <w:r w:rsidRPr="00B654DA">
        <w:t>es decir, del signo distintivo que, conforme a la Convención de Viena sobre la Circulación, de 1968, se utiliza en el tráfico internacional</w:t>
      </w:r>
      <w:r w:rsidR="00A069C9">
        <w:t>”</w:t>
      </w:r>
      <w:r w:rsidRPr="00B654DA">
        <w:t xml:space="preserve"> por </w:t>
      </w:r>
      <w:r w:rsidR="00A069C9">
        <w:t>“</w:t>
      </w:r>
      <w:r w:rsidRPr="00B654DA">
        <w:t>el símbolo distintivo utilizado en los vehículos automóviles en el tráfico internacional</w:t>
      </w:r>
      <w:r w:rsidRPr="00401044">
        <w:rPr>
          <w:b/>
          <w:vertAlign w:val="superscript"/>
        </w:rPr>
        <w:t>2</w:t>
      </w:r>
      <w:r w:rsidR="00A069C9">
        <w:t>”</w:t>
      </w:r>
      <w:r w:rsidR="00402521">
        <w:t>.</w:t>
      </w:r>
    </w:p>
    <w:p w:rsidR="007A3AD0" w:rsidRPr="00B654DA" w:rsidRDefault="007A3AD0" w:rsidP="007A3AD0">
      <w:pPr>
        <w:pStyle w:val="SingleTxtG"/>
      </w:pPr>
      <w:r w:rsidRPr="00B654DA">
        <w:t>6.7.3.14.1</w:t>
      </w:r>
      <w:r w:rsidRPr="00B654DA">
        <w:tab/>
        <w:t xml:space="preserve">En la cuarta oración, sustitúyase </w:t>
      </w:r>
      <w:r w:rsidR="00A069C9">
        <w:t>“</w:t>
      </w:r>
      <w:r w:rsidRPr="00B654DA">
        <w:t>es decir, del signo distintivo que, conforme a la Convención de Viena sobre la Circulación, de 1968, se utiliza en el tráfico internacional</w:t>
      </w:r>
      <w:r w:rsidR="00A069C9">
        <w:t>”</w:t>
      </w:r>
      <w:r w:rsidRPr="00B654DA">
        <w:t xml:space="preserve"> por </w:t>
      </w:r>
      <w:r w:rsidR="00A069C9">
        <w:t>“</w:t>
      </w:r>
      <w:r w:rsidRPr="00B654DA">
        <w:t>el símbolo distintivo utilizado en los vehículos automóviles en el tráfico internacional</w:t>
      </w:r>
      <w:r w:rsidRPr="00401044">
        <w:rPr>
          <w:b/>
          <w:vertAlign w:val="superscript"/>
        </w:rPr>
        <w:t>2</w:t>
      </w:r>
      <w:r w:rsidR="00A069C9">
        <w:t>”</w:t>
      </w:r>
      <w:r w:rsidRPr="00B654DA">
        <w:t xml:space="preserve"> </w:t>
      </w:r>
      <w:r w:rsidR="00402521">
        <w:t>.</w:t>
      </w:r>
    </w:p>
    <w:p w:rsidR="007A3AD0" w:rsidRPr="00401044" w:rsidRDefault="007A3AD0" w:rsidP="007A3AD0">
      <w:pPr>
        <w:pStyle w:val="SingleTxtG"/>
        <w:rPr>
          <w:b/>
        </w:rPr>
      </w:pPr>
      <w:r w:rsidRPr="00B654DA">
        <w:t>6.7.4.13.1</w:t>
      </w:r>
      <w:r w:rsidRPr="00B654DA">
        <w:tab/>
        <w:t xml:space="preserve">En la cuarta oración, sustitúyase </w:t>
      </w:r>
      <w:r w:rsidR="00A069C9">
        <w:t>“</w:t>
      </w:r>
      <w:r w:rsidRPr="00B654DA">
        <w:t>es decir, del signo distintivo que, conforme a la Convención de Viena sobre la Circulación, de 1968, se utiliza en el tráfico internacional</w:t>
      </w:r>
      <w:r w:rsidR="00A069C9">
        <w:t>”</w:t>
      </w:r>
      <w:r w:rsidRPr="00B654DA">
        <w:t xml:space="preserve"> por </w:t>
      </w:r>
      <w:r w:rsidR="00A069C9">
        <w:t>“</w:t>
      </w:r>
      <w:r w:rsidRPr="00B654DA">
        <w:t>el símbolo distintivo utilizado en los vehículos automóviles en el tráfico internacional</w:t>
      </w:r>
      <w:r w:rsidRPr="00401044">
        <w:rPr>
          <w:b/>
          <w:vertAlign w:val="superscript"/>
        </w:rPr>
        <w:t>2</w:t>
      </w:r>
      <w:r w:rsidR="00A069C9">
        <w:t>”</w:t>
      </w:r>
      <w:r w:rsidR="00402521">
        <w:t>.</w:t>
      </w:r>
    </w:p>
    <w:p w:rsidR="007A3AD0" w:rsidRPr="00B654DA" w:rsidRDefault="007A3AD0" w:rsidP="007A3AD0">
      <w:pPr>
        <w:pStyle w:val="SingleTxtG"/>
      </w:pPr>
      <w:r w:rsidRPr="00B654DA">
        <w:t>6.7.5.11.1</w:t>
      </w:r>
      <w:r w:rsidRPr="00B654DA">
        <w:tab/>
        <w:t xml:space="preserve">En la cuarta oración, sustitúyase </w:t>
      </w:r>
      <w:r w:rsidR="00A069C9">
        <w:t>“</w:t>
      </w:r>
      <w:r w:rsidRPr="00B654DA">
        <w:t>es decir, del signo distintivo que, conforme a la Convención de Viena sobre la Circulación, de 1968, se utiliza en el tráfico internacional</w:t>
      </w:r>
      <w:r w:rsidR="00A069C9">
        <w:t>”</w:t>
      </w:r>
      <w:r w:rsidRPr="00B654DA">
        <w:t xml:space="preserve"> por </w:t>
      </w:r>
      <w:r w:rsidR="00A069C9">
        <w:t>“</w:t>
      </w:r>
      <w:r w:rsidRPr="00B654DA">
        <w:t>el símbolo distintivo utilizado en los vehículos automóviles en el tráfico internacional</w:t>
      </w:r>
      <w:r w:rsidRPr="00401044">
        <w:rPr>
          <w:b/>
          <w:vertAlign w:val="superscript"/>
        </w:rPr>
        <w:t>2</w:t>
      </w:r>
      <w:r w:rsidR="00A069C9">
        <w:t>”</w:t>
      </w:r>
      <w:r w:rsidRPr="00B654DA">
        <w:t>.</w:t>
      </w:r>
    </w:p>
    <w:p w:rsidR="007A3AD0" w:rsidRPr="00B654DA" w:rsidRDefault="007A3AD0" w:rsidP="007A3AD0">
      <w:pPr>
        <w:pStyle w:val="SingleTxtG"/>
      </w:pPr>
      <w:r w:rsidRPr="00B654DA">
        <w:t xml:space="preserve">La nota de pie de página 2 dirá lo siguiente: </w:t>
      </w:r>
    </w:p>
    <w:p w:rsidR="007A3AD0" w:rsidRPr="00B654DA" w:rsidRDefault="00A069C9" w:rsidP="007A3AD0">
      <w:pPr>
        <w:pStyle w:val="SingleTxtG"/>
        <w:rPr>
          <w:i/>
        </w:rPr>
      </w:pPr>
      <w:r>
        <w:rPr>
          <w:i/>
        </w:rPr>
        <w:t>“</w:t>
      </w:r>
      <w:r w:rsidR="007A3AD0" w:rsidRPr="004C7BCB">
        <w:rPr>
          <w:b/>
          <w:vertAlign w:val="superscript"/>
        </w:rPr>
        <w:t>2</w:t>
      </w:r>
      <w:r w:rsidR="007A3AD0" w:rsidRPr="00B654DA">
        <w:rPr>
          <w:i/>
        </w:rPr>
        <w:tab/>
        <w:t>El signo distintivo del Estado de matriculación utilizado en los automóviles y los remolques en el tráfico internacional, por ejemplo, de conformidad con la</w:t>
      </w:r>
      <w:r w:rsidR="00965478">
        <w:rPr>
          <w:i/>
        </w:rPr>
        <w:t xml:space="preserve"> </w:t>
      </w:r>
      <w:r w:rsidR="007A3AD0" w:rsidRPr="00B654DA">
        <w:rPr>
          <w:i/>
        </w:rPr>
        <w:t>Convención de Ginebra sobre la Circulación por Carretera de 1949 o la Convención de Viena sobre la Circulación Vial de 1968.</w:t>
      </w:r>
      <w:r>
        <w:rPr>
          <w:i/>
        </w:rPr>
        <w:t>”</w:t>
      </w:r>
      <w:r w:rsidR="007A3AD0" w:rsidRPr="00B654DA">
        <w:rPr>
          <w:i/>
        </w:rPr>
        <w:t>.</w:t>
      </w:r>
    </w:p>
    <w:p w:rsidR="007A3AD0" w:rsidRPr="00B654DA" w:rsidRDefault="00C9360C" w:rsidP="007A3AD0">
      <w:pPr>
        <w:pStyle w:val="SingleTxtG"/>
      </w:pPr>
      <w:r>
        <w:t>En el c</w:t>
      </w:r>
      <w:r w:rsidR="007A3AD0" w:rsidRPr="00B654DA">
        <w:t>apítulo 7.2, reenumérense en consecuencia las sucesivas notas de pie de página.</w:t>
      </w:r>
    </w:p>
    <w:p w:rsidR="007A3AD0" w:rsidRPr="00B654DA" w:rsidRDefault="007A3AD0" w:rsidP="007A3AD0">
      <w:pPr>
        <w:pStyle w:val="H1G"/>
      </w:pPr>
      <w:r w:rsidRPr="00B654DA">
        <w:lastRenderedPageBreak/>
        <w:tab/>
      </w:r>
      <w:r w:rsidRPr="00B654DA">
        <w:tab/>
        <w:t>Capítulo 6.8</w:t>
      </w:r>
    </w:p>
    <w:p w:rsidR="007A3AD0" w:rsidRPr="00B654DA" w:rsidRDefault="007A3AD0" w:rsidP="007A3AD0">
      <w:pPr>
        <w:pStyle w:val="SingleTxtG"/>
      </w:pPr>
      <w:r w:rsidRPr="00B654DA">
        <w:t>6.8.5.5.1 e)</w:t>
      </w:r>
      <w:r w:rsidRPr="00B654DA">
        <w:tab/>
        <w:t xml:space="preserve">Sustitúyase </w:t>
      </w:r>
      <w:r w:rsidR="00A069C9">
        <w:t>“</w:t>
      </w:r>
      <w:r w:rsidRPr="00B654DA">
        <w:t>el símbolo distintivo utilizado para los vehículos automóviles en el tráfico internacional</w:t>
      </w:r>
      <w:r w:rsidR="00A069C9">
        <w:t>”</w:t>
      </w:r>
      <w:r w:rsidRPr="00B654DA">
        <w:t xml:space="preserve"> por </w:t>
      </w:r>
      <w:r w:rsidR="00A069C9">
        <w:t>“</w:t>
      </w:r>
      <w:r w:rsidRPr="00B654DA">
        <w:t>el símbolo distintivo utilizado en los vehículos automóviles en el tráfico internacional</w:t>
      </w:r>
      <w:r w:rsidRPr="00C9360C">
        <w:rPr>
          <w:b/>
          <w:vertAlign w:val="superscript"/>
        </w:rPr>
        <w:t>2</w:t>
      </w:r>
      <w:r w:rsidR="00A069C9">
        <w:t>”</w:t>
      </w:r>
      <w:r w:rsidR="00C9360C">
        <w:t>.</w:t>
      </w:r>
    </w:p>
    <w:p w:rsidR="007A3AD0" w:rsidRPr="00B654DA" w:rsidRDefault="007A3AD0" w:rsidP="007A3AD0">
      <w:pPr>
        <w:pStyle w:val="SingleTxtG"/>
      </w:pPr>
      <w:r w:rsidRPr="00B654DA">
        <w:t xml:space="preserve">La nota de pie de página 2 dirá lo siguiente: </w:t>
      </w:r>
    </w:p>
    <w:p w:rsidR="007A3AD0" w:rsidRPr="00B654DA" w:rsidRDefault="00A069C9" w:rsidP="007A3AD0">
      <w:pPr>
        <w:pStyle w:val="SingleTxtG"/>
        <w:rPr>
          <w:i/>
          <w:iCs/>
        </w:rPr>
      </w:pPr>
      <w:r>
        <w:t>“</w:t>
      </w:r>
      <w:r w:rsidR="007A3AD0" w:rsidRPr="004C7BCB">
        <w:rPr>
          <w:b/>
          <w:vertAlign w:val="superscript"/>
        </w:rPr>
        <w:t>2</w:t>
      </w:r>
      <w:r w:rsidR="007A3AD0" w:rsidRPr="00B654DA">
        <w:tab/>
      </w:r>
      <w:r w:rsidR="007A3AD0" w:rsidRPr="00C9360C">
        <w:rPr>
          <w:i/>
        </w:rPr>
        <w:t>El signo distintivo del Estado de matriculación utilizado en los automóviles y los remolques en el tráfico internacional, por ejemplo, de conformidad con la Convención de Ginebra sobre la Circulación por Carretera de 1949 o la Convención de Viena sobre la Circulación Vial de 1968.</w:t>
      </w:r>
      <w:r w:rsidRPr="00C9360C">
        <w:rPr>
          <w:i/>
        </w:rPr>
        <w:t>”</w:t>
      </w:r>
      <w:r w:rsidR="007A3AD0" w:rsidRPr="00C9360C">
        <w:rPr>
          <w:i/>
        </w:rPr>
        <w:t>.</w:t>
      </w:r>
    </w:p>
    <w:p w:rsidR="007A3AD0" w:rsidRPr="00B654DA" w:rsidRDefault="007A3AD0" w:rsidP="007A3AD0">
      <w:pPr>
        <w:pStyle w:val="H1G"/>
      </w:pPr>
      <w:r w:rsidRPr="00B654DA">
        <w:tab/>
      </w:r>
      <w:r w:rsidRPr="00B654DA">
        <w:tab/>
        <w:t>Capítulo 7.1</w:t>
      </w:r>
    </w:p>
    <w:p w:rsidR="007A3AD0" w:rsidRPr="00B654DA" w:rsidRDefault="007A3AD0" w:rsidP="007A3AD0">
      <w:pPr>
        <w:pStyle w:val="SingleTxtG"/>
      </w:pPr>
      <w:r w:rsidRPr="00B654DA">
        <w:rPr>
          <w:iCs/>
        </w:rPr>
        <w:t>7.1.2.3 c)</w:t>
      </w:r>
      <w:r w:rsidRPr="00B654DA">
        <w:rPr>
          <w:iCs/>
        </w:rPr>
        <w:tab/>
        <w:t>Sustitúyase</w:t>
      </w:r>
      <w:r w:rsidRPr="00B654DA">
        <w:t xml:space="preserve"> </w:t>
      </w:r>
      <w:r w:rsidR="00A069C9">
        <w:t>“</w:t>
      </w:r>
      <w:r w:rsidRPr="00B654DA">
        <w:t>riesgo</w:t>
      </w:r>
      <w:r w:rsidR="00A069C9">
        <w:t>”</w:t>
      </w:r>
      <w:r w:rsidRPr="00B654DA">
        <w:t xml:space="preserve"> por </w:t>
      </w:r>
      <w:r w:rsidR="00A069C9">
        <w:t>“</w:t>
      </w:r>
      <w:r w:rsidRPr="00B654DA">
        <w:t>peligro</w:t>
      </w:r>
      <w:r w:rsidR="00A069C9">
        <w:t>”</w:t>
      </w:r>
      <w:r w:rsidRPr="00B654DA">
        <w:t>.</w:t>
      </w:r>
    </w:p>
    <w:p w:rsidR="007A3AD0" w:rsidRPr="00B654DA" w:rsidRDefault="007A3AD0" w:rsidP="007A3AD0">
      <w:pPr>
        <w:pStyle w:val="SingleTxtG"/>
      </w:pPr>
      <w:r w:rsidRPr="00B654DA">
        <w:t>7.1.5 y 7.1.6</w:t>
      </w:r>
      <w:r w:rsidRPr="00B654DA">
        <w:tab/>
        <w:t>Modifíquense para que digan:</w:t>
      </w:r>
    </w:p>
    <w:p w:rsidR="007A3AD0" w:rsidRPr="00B654DA" w:rsidRDefault="00A069C9" w:rsidP="007A3AD0">
      <w:pPr>
        <w:pStyle w:val="SingleTxtG"/>
        <w:rPr>
          <w:b/>
        </w:rPr>
      </w:pPr>
      <w:r>
        <w:t>“</w:t>
      </w:r>
      <w:r w:rsidR="007A3AD0" w:rsidRPr="00B654DA">
        <w:rPr>
          <w:b/>
        </w:rPr>
        <w:t>7.1.5</w:t>
      </w:r>
      <w:r w:rsidR="007A3AD0" w:rsidRPr="00B654DA">
        <w:rPr>
          <w:b/>
        </w:rPr>
        <w:tab/>
      </w:r>
      <w:r w:rsidR="007A3AD0" w:rsidRPr="00B654DA">
        <w:rPr>
          <w:b/>
        </w:rPr>
        <w:tab/>
        <w:t xml:space="preserve">Disposiciones especiales aplicables al transporte de sustancias que reaccionan espontáneamente de la división 4.1, peróxidos orgánicos de la división 5.2 y sustancias estabilizadas mediante regulación de la temperatura (excepto sustancias que reaccionan espontáneamente y peróxidos orgánicos) </w:t>
      </w:r>
    </w:p>
    <w:p w:rsidR="007A3AD0" w:rsidRPr="00B654DA" w:rsidRDefault="007A3AD0" w:rsidP="007A3AD0">
      <w:pPr>
        <w:pStyle w:val="SingleTxtG"/>
      </w:pPr>
      <w:r w:rsidRPr="00B654DA">
        <w:t>7.1.5.1</w:t>
      </w:r>
      <w:r w:rsidRPr="00B654DA">
        <w:tab/>
      </w:r>
      <w:r w:rsidRPr="00B654DA">
        <w:tab/>
        <w:t xml:space="preserve">Todas las sustancias que reaccionan espontáneamente, peróxidos orgánicos y sustancias polimerizantes irán protegidos de la incidencia directa de la luz del sol y de toda fuente de calor, en un lugar bien ventilado. </w:t>
      </w:r>
    </w:p>
    <w:p w:rsidR="007A3AD0" w:rsidRPr="00B654DA" w:rsidRDefault="007A3AD0" w:rsidP="007A3AD0">
      <w:pPr>
        <w:pStyle w:val="SingleTxtG"/>
        <w:rPr>
          <w:i/>
        </w:rPr>
      </w:pPr>
      <w:r w:rsidRPr="004C7BCB">
        <w:rPr>
          <w:b/>
          <w:i/>
        </w:rPr>
        <w:t>NOTA:</w:t>
      </w:r>
      <w:r w:rsidRPr="00B654DA">
        <w:rPr>
          <w:i/>
        </w:rPr>
        <w:tab/>
        <w:t xml:space="preserve"> Está prohibido el uso de ciertos modos de transporte para algunas sustancias que se transportan en condiciones de regulación de temperatura</w:t>
      </w:r>
      <w:r w:rsidR="00C9360C">
        <w:rPr>
          <w:i/>
        </w:rPr>
        <w:t>.</w:t>
      </w:r>
    </w:p>
    <w:p w:rsidR="007A3AD0" w:rsidRPr="00B654DA" w:rsidRDefault="007A3AD0" w:rsidP="007A3AD0">
      <w:pPr>
        <w:pStyle w:val="SingleTxtG"/>
      </w:pPr>
      <w:r w:rsidRPr="00B654DA">
        <w:t>7.1.5.2</w:t>
      </w:r>
      <w:r w:rsidRPr="00B654DA">
        <w:tab/>
      </w:r>
      <w:r w:rsidRPr="00B654DA">
        <w:tab/>
        <w:t>Cuando se agrupen varios bultos en un contenedor, en un vehículo de carretera cerrado o en una unidad de carga, la cantidad total de sustancia, el tipo y número de bultos y la forma de apilarlos serán tales que no entrañen riesgo de explosión.</w:t>
      </w:r>
      <w:r w:rsidR="00A069C9">
        <w:t>”</w:t>
      </w:r>
      <w:r w:rsidRPr="00B654DA">
        <w:t>.</w:t>
      </w:r>
    </w:p>
    <w:p w:rsidR="007A3AD0" w:rsidRPr="00B654DA" w:rsidRDefault="007A3AD0" w:rsidP="007A3AD0">
      <w:pPr>
        <w:pStyle w:val="SingleTxtG"/>
      </w:pPr>
      <w:r w:rsidRPr="00B654DA">
        <w:t>7.1.5.3</w:t>
      </w:r>
      <w:r w:rsidRPr="00B654DA">
        <w:tab/>
      </w:r>
      <w:r w:rsidRPr="00B654DA">
        <w:tab/>
      </w:r>
      <w:r w:rsidRPr="00B654DA">
        <w:rPr>
          <w:i/>
        </w:rPr>
        <w:t>Disposiciones relativas a la regulación de la temperatura</w:t>
      </w:r>
      <w:r w:rsidRPr="00B654DA">
        <w:t xml:space="preserve"> </w:t>
      </w:r>
    </w:p>
    <w:p w:rsidR="007A3AD0" w:rsidRPr="00B654DA" w:rsidRDefault="007A3AD0" w:rsidP="007A3AD0">
      <w:pPr>
        <w:pStyle w:val="SingleTxtG"/>
      </w:pPr>
      <w:r w:rsidRPr="00B654DA">
        <w:t>7.1.5.3.1</w:t>
      </w:r>
      <w:r w:rsidRPr="00B654DA">
        <w:tab/>
        <w:t>Estas disposiciones se aplican a ciertas sustancias de reacción espontánea, a tenor del 2.4.2.3.4, a ciertos peróxidos orgánicos, a tenor del 2.5.3.4.1, y a ciertas sustancias polimerizantes a tenor del 2.4.</w:t>
      </w:r>
      <w:r w:rsidR="00C9360C">
        <w:t>2.</w:t>
      </w:r>
      <w:r w:rsidRPr="00B654DA">
        <w:t>5.2 o de la disposición espe</w:t>
      </w:r>
      <w:r w:rsidR="00C9360C">
        <w:t>cial 386 del capítulo 3.3 que so</w:t>
      </w:r>
      <w:r w:rsidRPr="00B654DA">
        <w:t>lo podrán transportarse en condiciones de regulación de la temperatura.</w:t>
      </w:r>
    </w:p>
    <w:p w:rsidR="007A3AD0" w:rsidRPr="00B654DA" w:rsidRDefault="007A3AD0" w:rsidP="007A3AD0">
      <w:pPr>
        <w:pStyle w:val="SingleTxtG"/>
      </w:pPr>
      <w:r w:rsidRPr="00B654DA">
        <w:t>7.1.5.3.2</w:t>
      </w:r>
      <w:r w:rsidRPr="00B654DA">
        <w:tab/>
        <w:t>Estas disposiciones se aplican también al transporte de sustancias en las que:</w:t>
      </w:r>
    </w:p>
    <w:p w:rsidR="007A3AD0" w:rsidRPr="00B654DA" w:rsidRDefault="007A3AD0" w:rsidP="007A3AD0">
      <w:pPr>
        <w:pStyle w:val="SingleTxtG"/>
        <w:ind w:left="2268"/>
      </w:pPr>
      <w:r w:rsidRPr="00B654DA">
        <w:t>a)</w:t>
      </w:r>
      <w:r w:rsidRPr="00B654DA">
        <w:tab/>
        <w:t>La designación oficial de transporte tal como se indica en la columna</w:t>
      </w:r>
      <w:r w:rsidR="004C7BCB">
        <w:t> </w:t>
      </w:r>
      <w:r w:rsidRPr="00B654DA">
        <w:t xml:space="preserve">2 de la lista de mercancías peligrosas del capítulo 3.2 o conforme a lo dispuesto en 3.1.2.6, contiene la palabra </w:t>
      </w:r>
      <w:r w:rsidR="00A069C9">
        <w:t>“</w:t>
      </w:r>
      <w:r w:rsidRPr="00B654DA">
        <w:t>ESTABILIZADO</w:t>
      </w:r>
      <w:r w:rsidR="00A069C9">
        <w:t>”</w:t>
      </w:r>
      <w:r w:rsidRPr="00B654DA">
        <w:t xml:space="preserve"> o </w:t>
      </w:r>
      <w:r w:rsidR="00A069C9">
        <w:t>“</w:t>
      </w:r>
      <w:r w:rsidRPr="00B654DA">
        <w:t>ESTABILIZADA</w:t>
      </w:r>
      <w:r w:rsidR="00A069C9">
        <w:t>”</w:t>
      </w:r>
      <w:r w:rsidRPr="00B654DA">
        <w:t xml:space="preserve">; y </w:t>
      </w:r>
    </w:p>
    <w:p w:rsidR="007A3AD0" w:rsidRPr="00B654DA" w:rsidRDefault="007A3AD0" w:rsidP="007A3AD0">
      <w:pPr>
        <w:pStyle w:val="SingleTxtG"/>
        <w:ind w:left="2268"/>
      </w:pPr>
      <w:r w:rsidRPr="00B654DA">
        <w:t>b)</w:t>
      </w:r>
      <w:r w:rsidRPr="00B654DA">
        <w:tab/>
        <w:t>La temperatura de descomposición autoacelerada (TDAA) o la temperatura de polimerización autoacelerada (TPAA)</w:t>
      </w:r>
      <w:r w:rsidR="004C7BCB">
        <w:rPr>
          <w:rStyle w:val="FootnoteReference"/>
        </w:rPr>
        <w:footnoteReference w:customMarkFollows="1" w:id="6"/>
        <w:t>1</w:t>
      </w:r>
      <w:r w:rsidRPr="00B654DA">
        <w:t xml:space="preserve"> determinadas para la sustancia (con o sin estabilización química) tal y como se presenta para el transporte es de:</w:t>
      </w:r>
    </w:p>
    <w:p w:rsidR="007A3AD0" w:rsidRPr="00B654DA" w:rsidRDefault="007A3AD0" w:rsidP="007A3AD0">
      <w:pPr>
        <w:pStyle w:val="SingleTxtG"/>
        <w:ind w:left="2268" w:firstLine="567"/>
      </w:pPr>
      <w:r w:rsidRPr="00B654DA">
        <w:t>i)</w:t>
      </w:r>
      <w:r w:rsidRPr="00B654DA">
        <w:tab/>
        <w:t>50</w:t>
      </w:r>
      <w:r w:rsidR="00C9360C">
        <w:t xml:space="preserve"> º</w:t>
      </w:r>
      <w:r w:rsidRPr="00B654DA">
        <w:t>C o menos para los embalajes/envases y los RIG; o</w:t>
      </w:r>
    </w:p>
    <w:p w:rsidR="007A3AD0" w:rsidRPr="00B654DA" w:rsidRDefault="007A3AD0" w:rsidP="007A3AD0">
      <w:pPr>
        <w:pStyle w:val="SingleTxtG"/>
        <w:ind w:left="2268" w:firstLine="567"/>
      </w:pPr>
      <w:r w:rsidRPr="00B654DA">
        <w:t>ii)</w:t>
      </w:r>
      <w:r w:rsidRPr="00B654DA">
        <w:tab/>
        <w:t>45</w:t>
      </w:r>
      <w:r w:rsidR="00C9360C">
        <w:t xml:space="preserve"> º</w:t>
      </w:r>
      <w:r w:rsidRPr="00B654DA">
        <w:t>C o menos para las cisternas portátiles.</w:t>
      </w:r>
    </w:p>
    <w:p w:rsidR="007A3AD0" w:rsidRPr="00B654DA" w:rsidRDefault="007A3AD0" w:rsidP="007A3AD0">
      <w:pPr>
        <w:pStyle w:val="SingleTxtG"/>
      </w:pPr>
      <w:r w:rsidRPr="00B654DA">
        <w:t xml:space="preserve">Cuando no se utilice la inhibición química para estabilizar una sustancia reactiva que pueda generar cantidades peligrosas de calor y gas, o de vapor, en las condiciones normales de transporte, dicha sustancia habrá de ser transportada en condiciones de regulación de temperatura. </w:t>
      </w:r>
      <w:r w:rsidRPr="004C7BCB">
        <w:t xml:space="preserve">Estas disposiciones no se aplican a sustancias estabilizadas por adición de </w:t>
      </w:r>
      <w:r w:rsidRPr="004C7BCB">
        <w:lastRenderedPageBreak/>
        <w:t>inhibidores químicos de manera que la TDAA o la TPAA sean superiores a lo establecido en</w:t>
      </w:r>
      <w:r w:rsidR="004C7BCB" w:rsidRPr="004C7BCB">
        <w:t> </w:t>
      </w:r>
      <w:r w:rsidRPr="004C7BCB">
        <w:t>b)</w:t>
      </w:r>
      <w:r w:rsidR="004C7BCB" w:rsidRPr="004C7BCB">
        <w:t> </w:t>
      </w:r>
      <w:r w:rsidRPr="004C7BCB">
        <w:t>i) o ii).</w:t>
      </w:r>
    </w:p>
    <w:p w:rsidR="007A3AD0" w:rsidRPr="00B654DA" w:rsidRDefault="007A3AD0" w:rsidP="007A3AD0">
      <w:pPr>
        <w:pStyle w:val="SingleTxtG"/>
      </w:pPr>
      <w:r w:rsidRPr="00B654DA">
        <w:t>7.1.5.3.3</w:t>
      </w:r>
      <w:r w:rsidRPr="00B654DA">
        <w:tab/>
        <w:t xml:space="preserve">Además, cuando una sustancia de reacción espontánea, un peróxido orgánico u otra sustancia cuya designación oficial de transporte contenga la palabra </w:t>
      </w:r>
      <w:r w:rsidR="00A069C9">
        <w:t>“</w:t>
      </w:r>
      <w:r w:rsidRPr="00B654DA">
        <w:t>ESTABILIZADO</w:t>
      </w:r>
      <w:r w:rsidR="00A069C9">
        <w:t>”</w:t>
      </w:r>
      <w:r w:rsidRPr="00B654DA">
        <w:t xml:space="preserve"> o </w:t>
      </w:r>
      <w:r w:rsidR="00A069C9">
        <w:t>“</w:t>
      </w:r>
      <w:r w:rsidRPr="00B654DA">
        <w:t>ESTABILIZADA</w:t>
      </w:r>
      <w:r w:rsidR="00A069C9">
        <w:t>”</w:t>
      </w:r>
      <w:r w:rsidRPr="00B654DA">
        <w:t xml:space="preserve"> y cuyo transporte no exija, normalmente, regulación de temperatura, se transporte en condiciones en las que la temperatura podría superar los 55 </w:t>
      </w:r>
      <w:r w:rsidR="00C9360C">
        <w:t>º</w:t>
      </w:r>
      <w:r w:rsidRPr="00B654DA">
        <w:t xml:space="preserve">C, puede ser necesario proceder a la regulación de temperatura. </w:t>
      </w:r>
    </w:p>
    <w:p w:rsidR="007A3AD0" w:rsidRPr="00B654DA" w:rsidRDefault="007A3AD0" w:rsidP="007A3AD0">
      <w:pPr>
        <w:pStyle w:val="SingleTxtG"/>
      </w:pPr>
      <w:r w:rsidRPr="00B654DA">
        <w:t>7.1.5.3.4</w:t>
      </w:r>
      <w:r w:rsidRPr="00B654DA">
        <w:tab/>
        <w:t xml:space="preserve">La </w:t>
      </w:r>
      <w:r w:rsidR="00A069C9">
        <w:t>“</w:t>
      </w:r>
      <w:r w:rsidRPr="00B654DA">
        <w:t>temperatura de regulación</w:t>
      </w:r>
      <w:r w:rsidR="00A069C9">
        <w:t>”</w:t>
      </w:r>
      <w:r w:rsidRPr="00B654DA">
        <w:t xml:space="preserve"> es la temperatura máxima a que puede transportarse sin riesgos la sustancia. Se da por sentado que, durante el transporte, la temperatura no será nunca superior a 55 </w:t>
      </w:r>
      <w:r w:rsidR="00C9360C">
        <w:t>º</w:t>
      </w:r>
      <w:r w:rsidRPr="00B654DA">
        <w:t xml:space="preserve">C en las proximidades del bulto, y que esa temperatura no se mantendrá más que durante un tiempo relativamente breve cada 24 horas. En caso de que surjan dificultades en cuanto a la regulación de la temperatura, puede ser necesario adoptar medidas de emergencia. La </w:t>
      </w:r>
      <w:r w:rsidR="00A069C9">
        <w:t>“</w:t>
      </w:r>
      <w:r w:rsidRPr="00B654DA">
        <w:t>temperatura de emergencia</w:t>
      </w:r>
      <w:r w:rsidR="00A069C9">
        <w:t>”</w:t>
      </w:r>
      <w:r w:rsidRPr="00B654DA">
        <w:t xml:space="preserve"> es la que determinará, en el momento en que se alcance, la necesidad de poner en práctica tales medidas.</w:t>
      </w:r>
    </w:p>
    <w:p w:rsidR="007A3AD0" w:rsidRPr="00B654DA" w:rsidRDefault="007A3AD0" w:rsidP="007A3AD0">
      <w:pPr>
        <w:pStyle w:val="SingleTxtG"/>
      </w:pPr>
      <w:r w:rsidRPr="00B654DA">
        <w:t>7.1.5.3.5</w:t>
      </w:r>
      <w:r w:rsidRPr="00B654DA">
        <w:tab/>
        <w:t>Cálculo de las temperaturas de regulación y de emergencia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07"/>
        <w:gridCol w:w="2086"/>
        <w:gridCol w:w="2211"/>
        <w:gridCol w:w="2206"/>
      </w:tblGrid>
      <w:tr w:rsidR="00536D70" w:rsidRPr="004C7BCB" w:rsidTr="00536D70">
        <w:tc>
          <w:tcPr>
            <w:tcW w:w="2007" w:type="dxa"/>
          </w:tcPr>
          <w:p w:rsidR="007A3AD0" w:rsidRPr="004C7BCB" w:rsidRDefault="007A3AD0" w:rsidP="004C7BCB">
            <w:pPr>
              <w:spacing w:before="60" w:after="60"/>
              <w:rPr>
                <w:sz w:val="18"/>
                <w:szCs w:val="18"/>
              </w:rPr>
            </w:pPr>
            <w:r w:rsidRPr="004C7BCB">
              <w:rPr>
                <w:sz w:val="18"/>
                <w:szCs w:val="18"/>
              </w:rPr>
              <w:t>Tipo de receptáculo</w:t>
            </w:r>
          </w:p>
        </w:tc>
        <w:tc>
          <w:tcPr>
            <w:tcW w:w="2086" w:type="dxa"/>
          </w:tcPr>
          <w:p w:rsidR="007A3AD0" w:rsidRPr="004C7BCB" w:rsidRDefault="007A3AD0" w:rsidP="004C7BCB">
            <w:pPr>
              <w:spacing w:before="60" w:after="60"/>
              <w:rPr>
                <w:sz w:val="18"/>
                <w:szCs w:val="18"/>
              </w:rPr>
            </w:pPr>
            <w:r w:rsidRPr="004C7BCB">
              <w:rPr>
                <w:bCs/>
                <w:position w:val="-1"/>
                <w:sz w:val="18"/>
                <w:szCs w:val="18"/>
              </w:rPr>
              <w:t>TDAA</w:t>
            </w:r>
            <w:r w:rsidRPr="00536D70">
              <w:rPr>
                <w:sz w:val="18"/>
                <w:szCs w:val="18"/>
                <w:vertAlign w:val="superscript"/>
              </w:rPr>
              <w:t>a</w:t>
            </w:r>
            <w:r w:rsidRPr="004C7BCB">
              <w:rPr>
                <w:bCs/>
                <w:position w:val="-1"/>
                <w:sz w:val="18"/>
                <w:szCs w:val="18"/>
              </w:rPr>
              <w:t>/TPAA</w:t>
            </w:r>
            <w:r w:rsidRPr="004C7BCB">
              <w:rPr>
                <w:sz w:val="18"/>
                <w:szCs w:val="18"/>
                <w:vertAlign w:val="superscript"/>
              </w:rPr>
              <w:t>a</w:t>
            </w:r>
          </w:p>
        </w:tc>
        <w:tc>
          <w:tcPr>
            <w:tcW w:w="2211" w:type="dxa"/>
          </w:tcPr>
          <w:p w:rsidR="007A3AD0" w:rsidRPr="004C7BCB" w:rsidRDefault="007A3AD0" w:rsidP="004C7BCB">
            <w:pPr>
              <w:spacing w:before="60" w:after="60"/>
              <w:rPr>
                <w:sz w:val="18"/>
                <w:szCs w:val="18"/>
              </w:rPr>
            </w:pPr>
            <w:r w:rsidRPr="004C7BCB">
              <w:rPr>
                <w:sz w:val="18"/>
                <w:szCs w:val="18"/>
              </w:rPr>
              <w:t>Temperatura de regulación</w:t>
            </w:r>
          </w:p>
        </w:tc>
        <w:tc>
          <w:tcPr>
            <w:tcW w:w="2206" w:type="dxa"/>
          </w:tcPr>
          <w:p w:rsidR="007A3AD0" w:rsidRPr="004C7BCB" w:rsidRDefault="007A3AD0" w:rsidP="004C7BCB">
            <w:pPr>
              <w:spacing w:before="60" w:after="60"/>
              <w:rPr>
                <w:sz w:val="18"/>
                <w:szCs w:val="18"/>
              </w:rPr>
            </w:pPr>
            <w:r w:rsidRPr="004C7BCB">
              <w:rPr>
                <w:sz w:val="18"/>
                <w:szCs w:val="18"/>
              </w:rPr>
              <w:t>Temperatura de emergencia</w:t>
            </w:r>
          </w:p>
        </w:tc>
      </w:tr>
      <w:tr w:rsidR="00536D70" w:rsidRPr="004C7BCB" w:rsidTr="00536D70">
        <w:tc>
          <w:tcPr>
            <w:tcW w:w="2007" w:type="dxa"/>
            <w:vMerge w:val="restart"/>
          </w:tcPr>
          <w:p w:rsidR="00536D70" w:rsidRPr="004C7BCB" w:rsidRDefault="00536D70" w:rsidP="004C7BCB">
            <w:pPr>
              <w:spacing w:before="60" w:after="60"/>
              <w:ind w:left="51" w:right="-20"/>
              <w:rPr>
                <w:sz w:val="18"/>
                <w:szCs w:val="18"/>
              </w:rPr>
            </w:pPr>
            <w:r w:rsidRPr="004C7BCB">
              <w:rPr>
                <w:sz w:val="18"/>
                <w:szCs w:val="18"/>
              </w:rPr>
              <w:t>E</w:t>
            </w:r>
            <w:r w:rsidRPr="004C7BCB">
              <w:rPr>
                <w:spacing w:val="-2"/>
                <w:sz w:val="18"/>
                <w:szCs w:val="18"/>
              </w:rPr>
              <w:t>m</w:t>
            </w:r>
            <w:r w:rsidRPr="004C7BCB">
              <w:rPr>
                <w:sz w:val="18"/>
                <w:szCs w:val="18"/>
              </w:rPr>
              <w:t>balajes</w:t>
            </w:r>
            <w:r w:rsidRPr="004C7BCB">
              <w:rPr>
                <w:spacing w:val="1"/>
                <w:sz w:val="18"/>
                <w:szCs w:val="18"/>
              </w:rPr>
              <w:t xml:space="preserve"> </w:t>
            </w:r>
            <w:r w:rsidRPr="004C7BCB">
              <w:rPr>
                <w:sz w:val="18"/>
                <w:szCs w:val="18"/>
              </w:rPr>
              <w:t>si</w:t>
            </w:r>
            <w:r w:rsidRPr="004C7BCB">
              <w:rPr>
                <w:spacing w:val="-1"/>
                <w:sz w:val="18"/>
                <w:szCs w:val="18"/>
              </w:rPr>
              <w:t>m</w:t>
            </w:r>
            <w:r w:rsidRPr="004C7BCB">
              <w:rPr>
                <w:spacing w:val="1"/>
                <w:sz w:val="18"/>
                <w:szCs w:val="18"/>
              </w:rPr>
              <w:t>p</w:t>
            </w:r>
            <w:r w:rsidRPr="004C7BCB">
              <w:rPr>
                <w:sz w:val="18"/>
                <w:szCs w:val="18"/>
              </w:rPr>
              <w:t>les</w:t>
            </w:r>
            <w:r w:rsidRPr="004C7BCB">
              <w:rPr>
                <w:spacing w:val="1"/>
                <w:sz w:val="18"/>
                <w:szCs w:val="18"/>
              </w:rPr>
              <w:t xml:space="preserve"> </w:t>
            </w:r>
            <w:r w:rsidRPr="004C7BCB">
              <w:rPr>
                <w:sz w:val="18"/>
                <w:szCs w:val="18"/>
              </w:rPr>
              <w:t>y R</w:t>
            </w:r>
            <w:r w:rsidRPr="004C7BCB">
              <w:rPr>
                <w:spacing w:val="-1"/>
                <w:sz w:val="18"/>
                <w:szCs w:val="18"/>
              </w:rPr>
              <w:t>I</w:t>
            </w:r>
            <w:r w:rsidRPr="004C7BCB">
              <w:rPr>
                <w:sz w:val="18"/>
                <w:szCs w:val="18"/>
              </w:rPr>
              <w:t>G</w:t>
            </w:r>
          </w:p>
        </w:tc>
        <w:tc>
          <w:tcPr>
            <w:tcW w:w="2086" w:type="dxa"/>
            <w:tcBorders>
              <w:bottom w:val="nil"/>
            </w:tcBorders>
          </w:tcPr>
          <w:p w:rsidR="00536D70" w:rsidRPr="004C7BCB" w:rsidRDefault="00C9360C" w:rsidP="00536D70">
            <w:pPr>
              <w:spacing w:before="60" w:after="60"/>
              <w:rPr>
                <w:sz w:val="18"/>
                <w:szCs w:val="18"/>
              </w:rPr>
            </w:pPr>
            <w:r>
              <w:rPr>
                <w:sz w:val="18"/>
                <w:szCs w:val="18"/>
              </w:rPr>
              <w:t>20 º</w:t>
            </w:r>
            <w:r w:rsidR="00536D70" w:rsidRPr="004C7BCB">
              <w:rPr>
                <w:sz w:val="18"/>
                <w:szCs w:val="18"/>
              </w:rPr>
              <w:t>C o menos</w:t>
            </w:r>
          </w:p>
        </w:tc>
        <w:tc>
          <w:tcPr>
            <w:tcW w:w="2211" w:type="dxa"/>
            <w:tcBorders>
              <w:bottom w:val="nil"/>
            </w:tcBorders>
          </w:tcPr>
          <w:p w:rsidR="00536D70" w:rsidRPr="004C7BCB" w:rsidRDefault="00536D70" w:rsidP="00536D70">
            <w:pPr>
              <w:spacing w:before="60" w:after="60"/>
              <w:rPr>
                <w:sz w:val="18"/>
                <w:szCs w:val="18"/>
              </w:rPr>
            </w:pPr>
            <w:r w:rsidRPr="004C7BCB">
              <w:rPr>
                <w:sz w:val="18"/>
                <w:szCs w:val="18"/>
              </w:rPr>
              <w:t>TD</w:t>
            </w:r>
            <w:r w:rsidRPr="004C7BCB">
              <w:rPr>
                <w:spacing w:val="-1"/>
                <w:sz w:val="18"/>
                <w:szCs w:val="18"/>
              </w:rPr>
              <w:t>A</w:t>
            </w:r>
            <w:r w:rsidRPr="004C7BCB">
              <w:rPr>
                <w:sz w:val="18"/>
                <w:szCs w:val="18"/>
              </w:rPr>
              <w:t>A/TPAA</w:t>
            </w:r>
            <w:r w:rsidRPr="004C7BCB">
              <w:rPr>
                <w:spacing w:val="1"/>
                <w:sz w:val="18"/>
                <w:szCs w:val="18"/>
              </w:rPr>
              <w:t xml:space="preserve"> </w:t>
            </w:r>
            <w:r w:rsidRPr="004C7BCB">
              <w:rPr>
                <w:spacing w:val="-2"/>
                <w:sz w:val="18"/>
                <w:szCs w:val="18"/>
              </w:rPr>
              <w:t>m</w:t>
            </w:r>
            <w:r w:rsidRPr="004C7BCB">
              <w:rPr>
                <w:sz w:val="18"/>
                <w:szCs w:val="18"/>
              </w:rPr>
              <w:t>enos</w:t>
            </w:r>
            <w:r w:rsidRPr="004C7BCB">
              <w:rPr>
                <w:spacing w:val="-2"/>
                <w:sz w:val="18"/>
                <w:szCs w:val="18"/>
              </w:rPr>
              <w:t xml:space="preserve"> </w:t>
            </w:r>
            <w:r w:rsidR="00C9360C">
              <w:rPr>
                <w:sz w:val="18"/>
                <w:szCs w:val="18"/>
              </w:rPr>
              <w:t>20 º</w:t>
            </w:r>
            <w:r w:rsidRPr="004C7BCB">
              <w:rPr>
                <w:sz w:val="18"/>
                <w:szCs w:val="18"/>
              </w:rPr>
              <w:t xml:space="preserve">C </w:t>
            </w:r>
          </w:p>
        </w:tc>
        <w:tc>
          <w:tcPr>
            <w:tcW w:w="2206" w:type="dxa"/>
            <w:tcBorders>
              <w:bottom w:val="nil"/>
            </w:tcBorders>
          </w:tcPr>
          <w:p w:rsidR="00536D70" w:rsidRPr="004C7BCB" w:rsidRDefault="00536D70" w:rsidP="00536D70">
            <w:pPr>
              <w:spacing w:before="60" w:after="60"/>
              <w:rPr>
                <w:sz w:val="18"/>
                <w:szCs w:val="18"/>
              </w:rPr>
            </w:pPr>
            <w:r w:rsidRPr="004C7BCB">
              <w:rPr>
                <w:sz w:val="18"/>
                <w:szCs w:val="18"/>
              </w:rPr>
              <w:t>TD</w:t>
            </w:r>
            <w:r w:rsidRPr="004C7BCB">
              <w:rPr>
                <w:spacing w:val="-1"/>
                <w:sz w:val="18"/>
                <w:szCs w:val="18"/>
              </w:rPr>
              <w:t>A</w:t>
            </w:r>
            <w:r w:rsidRPr="004C7BCB">
              <w:rPr>
                <w:sz w:val="18"/>
                <w:szCs w:val="18"/>
              </w:rPr>
              <w:t>A/TPAA</w:t>
            </w:r>
            <w:r w:rsidRPr="004C7BCB">
              <w:rPr>
                <w:spacing w:val="1"/>
                <w:sz w:val="18"/>
                <w:szCs w:val="18"/>
              </w:rPr>
              <w:t xml:space="preserve"> </w:t>
            </w:r>
            <w:r w:rsidRPr="004C7BCB">
              <w:rPr>
                <w:spacing w:val="-2"/>
                <w:sz w:val="18"/>
                <w:szCs w:val="18"/>
              </w:rPr>
              <w:t>m</w:t>
            </w:r>
            <w:r w:rsidRPr="004C7BCB">
              <w:rPr>
                <w:sz w:val="18"/>
                <w:szCs w:val="18"/>
              </w:rPr>
              <w:t>enos</w:t>
            </w:r>
            <w:r w:rsidRPr="004C7BCB">
              <w:rPr>
                <w:spacing w:val="-2"/>
                <w:sz w:val="18"/>
                <w:szCs w:val="18"/>
              </w:rPr>
              <w:t xml:space="preserve"> </w:t>
            </w:r>
            <w:r w:rsidR="00C9360C">
              <w:rPr>
                <w:sz w:val="18"/>
                <w:szCs w:val="18"/>
              </w:rPr>
              <w:t>10 º</w:t>
            </w:r>
            <w:r w:rsidRPr="004C7BCB">
              <w:rPr>
                <w:sz w:val="18"/>
                <w:szCs w:val="18"/>
              </w:rPr>
              <w:t xml:space="preserve">C </w:t>
            </w:r>
          </w:p>
        </w:tc>
      </w:tr>
      <w:tr w:rsidR="00536D70" w:rsidRPr="004C7BCB" w:rsidTr="00536D70">
        <w:tc>
          <w:tcPr>
            <w:tcW w:w="2007" w:type="dxa"/>
            <w:vMerge/>
            <w:tcBorders>
              <w:right w:val="single" w:sz="4" w:space="0" w:color="auto"/>
            </w:tcBorders>
          </w:tcPr>
          <w:p w:rsidR="00536D70" w:rsidRPr="004C7BCB" w:rsidRDefault="00536D70" w:rsidP="004C7BCB">
            <w:pPr>
              <w:spacing w:before="60" w:after="60"/>
              <w:ind w:left="51" w:right="-20"/>
              <w:rPr>
                <w:sz w:val="18"/>
                <w:szCs w:val="18"/>
              </w:rPr>
            </w:pPr>
          </w:p>
        </w:tc>
        <w:tc>
          <w:tcPr>
            <w:tcW w:w="2086" w:type="dxa"/>
            <w:tcBorders>
              <w:top w:val="nil"/>
              <w:left w:val="single" w:sz="4" w:space="0" w:color="auto"/>
              <w:bottom w:val="nil"/>
              <w:right w:val="single" w:sz="4" w:space="0" w:color="auto"/>
            </w:tcBorders>
          </w:tcPr>
          <w:p w:rsidR="00536D70" w:rsidRPr="004C7BCB" w:rsidRDefault="00C9360C" w:rsidP="00536D70">
            <w:pPr>
              <w:spacing w:before="60" w:after="60"/>
              <w:rPr>
                <w:sz w:val="18"/>
                <w:szCs w:val="18"/>
              </w:rPr>
            </w:pPr>
            <w:r>
              <w:rPr>
                <w:sz w:val="18"/>
                <w:szCs w:val="18"/>
              </w:rPr>
              <w:t>de más de 20 ºC a 35 º</w:t>
            </w:r>
            <w:r w:rsidR="00536D70" w:rsidRPr="004C7BCB">
              <w:rPr>
                <w:sz w:val="18"/>
                <w:szCs w:val="18"/>
              </w:rPr>
              <w:t>C</w:t>
            </w:r>
          </w:p>
        </w:tc>
        <w:tc>
          <w:tcPr>
            <w:tcW w:w="2211" w:type="dxa"/>
            <w:tcBorders>
              <w:top w:val="nil"/>
              <w:left w:val="single" w:sz="4" w:space="0" w:color="auto"/>
              <w:bottom w:val="nil"/>
              <w:right w:val="single" w:sz="4" w:space="0" w:color="auto"/>
            </w:tcBorders>
          </w:tcPr>
          <w:p w:rsidR="00536D70" w:rsidRPr="004C7BCB" w:rsidRDefault="00536D70" w:rsidP="004C7BCB">
            <w:pPr>
              <w:spacing w:before="60" w:after="60"/>
              <w:rPr>
                <w:sz w:val="18"/>
                <w:szCs w:val="18"/>
              </w:rPr>
            </w:pPr>
            <w:r w:rsidRPr="004C7BCB">
              <w:rPr>
                <w:sz w:val="18"/>
                <w:szCs w:val="18"/>
              </w:rPr>
              <w:t>TD</w:t>
            </w:r>
            <w:r w:rsidRPr="004C7BCB">
              <w:rPr>
                <w:spacing w:val="-1"/>
                <w:sz w:val="18"/>
                <w:szCs w:val="18"/>
              </w:rPr>
              <w:t>A</w:t>
            </w:r>
            <w:r w:rsidRPr="004C7BCB">
              <w:rPr>
                <w:sz w:val="18"/>
                <w:szCs w:val="18"/>
              </w:rPr>
              <w:t>A/TPAA</w:t>
            </w:r>
            <w:r w:rsidRPr="004C7BCB">
              <w:rPr>
                <w:spacing w:val="1"/>
                <w:sz w:val="18"/>
                <w:szCs w:val="18"/>
              </w:rPr>
              <w:t xml:space="preserve"> </w:t>
            </w:r>
            <w:r w:rsidRPr="004C7BCB">
              <w:rPr>
                <w:spacing w:val="-2"/>
                <w:sz w:val="18"/>
                <w:szCs w:val="18"/>
              </w:rPr>
              <w:t>m</w:t>
            </w:r>
            <w:r w:rsidRPr="004C7BCB">
              <w:rPr>
                <w:sz w:val="18"/>
                <w:szCs w:val="18"/>
              </w:rPr>
              <w:t>enos</w:t>
            </w:r>
            <w:r w:rsidRPr="004C7BCB">
              <w:rPr>
                <w:spacing w:val="-2"/>
                <w:sz w:val="18"/>
                <w:szCs w:val="18"/>
              </w:rPr>
              <w:t xml:space="preserve"> </w:t>
            </w:r>
            <w:r w:rsidR="00C9360C">
              <w:rPr>
                <w:sz w:val="18"/>
                <w:szCs w:val="18"/>
              </w:rPr>
              <w:t>15 º</w:t>
            </w:r>
            <w:r w:rsidRPr="004C7BCB">
              <w:rPr>
                <w:sz w:val="18"/>
                <w:szCs w:val="18"/>
              </w:rPr>
              <w:t>C</w:t>
            </w:r>
          </w:p>
        </w:tc>
        <w:tc>
          <w:tcPr>
            <w:tcW w:w="2206" w:type="dxa"/>
            <w:tcBorders>
              <w:top w:val="nil"/>
              <w:left w:val="single" w:sz="4" w:space="0" w:color="auto"/>
              <w:bottom w:val="nil"/>
              <w:right w:val="single" w:sz="4" w:space="0" w:color="auto"/>
            </w:tcBorders>
          </w:tcPr>
          <w:p w:rsidR="00536D70" w:rsidRPr="004C7BCB" w:rsidRDefault="00536D70" w:rsidP="004C7BCB">
            <w:pPr>
              <w:spacing w:before="60" w:after="60"/>
              <w:rPr>
                <w:sz w:val="18"/>
                <w:szCs w:val="18"/>
              </w:rPr>
            </w:pPr>
            <w:r w:rsidRPr="004C7BCB">
              <w:rPr>
                <w:sz w:val="18"/>
                <w:szCs w:val="18"/>
              </w:rPr>
              <w:t>TD</w:t>
            </w:r>
            <w:r w:rsidRPr="004C7BCB">
              <w:rPr>
                <w:spacing w:val="-1"/>
                <w:sz w:val="18"/>
                <w:szCs w:val="18"/>
              </w:rPr>
              <w:t>A</w:t>
            </w:r>
            <w:r w:rsidRPr="004C7BCB">
              <w:rPr>
                <w:sz w:val="18"/>
                <w:szCs w:val="18"/>
              </w:rPr>
              <w:t>A/TPAA</w:t>
            </w:r>
            <w:r w:rsidRPr="004C7BCB">
              <w:rPr>
                <w:spacing w:val="1"/>
                <w:sz w:val="18"/>
                <w:szCs w:val="18"/>
              </w:rPr>
              <w:t xml:space="preserve"> </w:t>
            </w:r>
            <w:r w:rsidRPr="004C7BCB">
              <w:rPr>
                <w:spacing w:val="-2"/>
                <w:sz w:val="18"/>
                <w:szCs w:val="18"/>
              </w:rPr>
              <w:t>m</w:t>
            </w:r>
            <w:r w:rsidRPr="004C7BCB">
              <w:rPr>
                <w:sz w:val="18"/>
                <w:szCs w:val="18"/>
              </w:rPr>
              <w:t>enos</w:t>
            </w:r>
            <w:r w:rsidRPr="004C7BCB">
              <w:rPr>
                <w:spacing w:val="-2"/>
                <w:sz w:val="18"/>
                <w:szCs w:val="18"/>
              </w:rPr>
              <w:t xml:space="preserve"> </w:t>
            </w:r>
            <w:r w:rsidR="00C9360C">
              <w:rPr>
                <w:sz w:val="18"/>
                <w:szCs w:val="18"/>
              </w:rPr>
              <w:t>10 º</w:t>
            </w:r>
            <w:r w:rsidRPr="004C7BCB">
              <w:rPr>
                <w:sz w:val="18"/>
                <w:szCs w:val="18"/>
              </w:rPr>
              <w:t>C</w:t>
            </w:r>
          </w:p>
        </w:tc>
      </w:tr>
      <w:tr w:rsidR="00536D70" w:rsidRPr="004C7BCB" w:rsidTr="00536D70">
        <w:tc>
          <w:tcPr>
            <w:tcW w:w="2007" w:type="dxa"/>
            <w:vMerge/>
            <w:tcBorders>
              <w:right w:val="single" w:sz="4" w:space="0" w:color="auto"/>
            </w:tcBorders>
          </w:tcPr>
          <w:p w:rsidR="00536D70" w:rsidRPr="004C7BCB" w:rsidRDefault="00536D70" w:rsidP="004C7BCB">
            <w:pPr>
              <w:spacing w:before="60" w:after="60"/>
              <w:ind w:left="51" w:right="-20"/>
              <w:rPr>
                <w:sz w:val="18"/>
                <w:szCs w:val="18"/>
              </w:rPr>
            </w:pPr>
          </w:p>
        </w:tc>
        <w:tc>
          <w:tcPr>
            <w:tcW w:w="2086" w:type="dxa"/>
            <w:tcBorders>
              <w:top w:val="nil"/>
              <w:left w:val="single" w:sz="4" w:space="0" w:color="auto"/>
              <w:bottom w:val="single" w:sz="4" w:space="0" w:color="auto"/>
              <w:right w:val="single" w:sz="4" w:space="0" w:color="auto"/>
            </w:tcBorders>
          </w:tcPr>
          <w:p w:rsidR="00536D70" w:rsidRPr="004C7BCB" w:rsidRDefault="00536D70" w:rsidP="00402521">
            <w:pPr>
              <w:spacing w:before="60" w:after="60"/>
              <w:rPr>
                <w:sz w:val="18"/>
                <w:szCs w:val="18"/>
              </w:rPr>
            </w:pPr>
            <w:r w:rsidRPr="004C7BCB">
              <w:rPr>
                <w:sz w:val="18"/>
                <w:szCs w:val="18"/>
              </w:rPr>
              <w:t xml:space="preserve">más de 35 </w:t>
            </w:r>
            <w:r w:rsidR="00402521">
              <w:rPr>
                <w:sz w:val="18"/>
                <w:szCs w:val="18"/>
              </w:rPr>
              <w:t>º</w:t>
            </w:r>
            <w:r w:rsidRPr="004C7BCB">
              <w:rPr>
                <w:sz w:val="18"/>
                <w:szCs w:val="18"/>
              </w:rPr>
              <w:t>C</w:t>
            </w:r>
          </w:p>
        </w:tc>
        <w:tc>
          <w:tcPr>
            <w:tcW w:w="2211" w:type="dxa"/>
            <w:tcBorders>
              <w:top w:val="nil"/>
              <w:left w:val="single" w:sz="4" w:space="0" w:color="auto"/>
              <w:bottom w:val="single" w:sz="4" w:space="0" w:color="auto"/>
              <w:right w:val="single" w:sz="4" w:space="0" w:color="auto"/>
            </w:tcBorders>
          </w:tcPr>
          <w:p w:rsidR="00536D70" w:rsidRPr="004C7BCB" w:rsidRDefault="00536D70" w:rsidP="004C7BCB">
            <w:pPr>
              <w:spacing w:before="60" w:after="60"/>
              <w:rPr>
                <w:sz w:val="18"/>
                <w:szCs w:val="18"/>
              </w:rPr>
            </w:pPr>
            <w:r w:rsidRPr="004C7BCB">
              <w:rPr>
                <w:sz w:val="18"/>
                <w:szCs w:val="18"/>
              </w:rPr>
              <w:t>TD</w:t>
            </w:r>
            <w:r w:rsidRPr="004C7BCB">
              <w:rPr>
                <w:spacing w:val="-1"/>
                <w:sz w:val="18"/>
                <w:szCs w:val="18"/>
              </w:rPr>
              <w:t>A</w:t>
            </w:r>
            <w:r w:rsidRPr="004C7BCB">
              <w:rPr>
                <w:sz w:val="18"/>
                <w:szCs w:val="18"/>
              </w:rPr>
              <w:t>A/TPAA</w:t>
            </w:r>
            <w:r w:rsidRPr="004C7BCB">
              <w:rPr>
                <w:spacing w:val="1"/>
                <w:sz w:val="18"/>
                <w:szCs w:val="18"/>
              </w:rPr>
              <w:t xml:space="preserve"> </w:t>
            </w:r>
            <w:r w:rsidRPr="004C7BCB">
              <w:rPr>
                <w:spacing w:val="-2"/>
                <w:sz w:val="18"/>
                <w:szCs w:val="18"/>
              </w:rPr>
              <w:t>m</w:t>
            </w:r>
            <w:r w:rsidRPr="004C7BCB">
              <w:rPr>
                <w:sz w:val="18"/>
                <w:szCs w:val="18"/>
              </w:rPr>
              <w:t>e</w:t>
            </w:r>
            <w:r w:rsidRPr="004C7BCB">
              <w:rPr>
                <w:spacing w:val="1"/>
                <w:sz w:val="18"/>
                <w:szCs w:val="18"/>
              </w:rPr>
              <w:t>no</w:t>
            </w:r>
            <w:r w:rsidRPr="004C7BCB">
              <w:rPr>
                <w:sz w:val="18"/>
                <w:szCs w:val="18"/>
              </w:rPr>
              <w:t>s</w:t>
            </w:r>
            <w:r w:rsidRPr="004C7BCB">
              <w:rPr>
                <w:spacing w:val="-2"/>
                <w:sz w:val="18"/>
                <w:szCs w:val="18"/>
              </w:rPr>
              <w:t xml:space="preserve"> </w:t>
            </w:r>
            <w:r w:rsidRPr="004C7BCB">
              <w:rPr>
                <w:spacing w:val="1"/>
                <w:sz w:val="18"/>
                <w:szCs w:val="18"/>
              </w:rPr>
              <w:t>1</w:t>
            </w:r>
            <w:r w:rsidR="00C9360C">
              <w:rPr>
                <w:sz w:val="18"/>
                <w:szCs w:val="18"/>
              </w:rPr>
              <w:t>0 º</w:t>
            </w:r>
            <w:r w:rsidRPr="004C7BCB">
              <w:rPr>
                <w:sz w:val="18"/>
                <w:szCs w:val="18"/>
              </w:rPr>
              <w:t>C</w:t>
            </w:r>
          </w:p>
        </w:tc>
        <w:tc>
          <w:tcPr>
            <w:tcW w:w="2206" w:type="dxa"/>
            <w:tcBorders>
              <w:top w:val="nil"/>
              <w:left w:val="single" w:sz="4" w:space="0" w:color="auto"/>
              <w:bottom w:val="single" w:sz="4" w:space="0" w:color="auto"/>
              <w:right w:val="single" w:sz="4" w:space="0" w:color="auto"/>
            </w:tcBorders>
          </w:tcPr>
          <w:p w:rsidR="00536D70" w:rsidRPr="004C7BCB" w:rsidRDefault="00536D70" w:rsidP="004C7BCB">
            <w:pPr>
              <w:spacing w:before="60" w:after="60"/>
              <w:rPr>
                <w:sz w:val="18"/>
                <w:szCs w:val="18"/>
              </w:rPr>
            </w:pPr>
            <w:r w:rsidRPr="004C7BCB">
              <w:rPr>
                <w:sz w:val="18"/>
                <w:szCs w:val="18"/>
              </w:rPr>
              <w:t>TD</w:t>
            </w:r>
            <w:r w:rsidRPr="004C7BCB">
              <w:rPr>
                <w:spacing w:val="-1"/>
                <w:sz w:val="18"/>
                <w:szCs w:val="18"/>
              </w:rPr>
              <w:t>A</w:t>
            </w:r>
            <w:r w:rsidRPr="004C7BCB">
              <w:rPr>
                <w:sz w:val="18"/>
                <w:szCs w:val="18"/>
              </w:rPr>
              <w:t>A/TPAA</w:t>
            </w:r>
            <w:r w:rsidRPr="004C7BCB">
              <w:rPr>
                <w:spacing w:val="1"/>
                <w:sz w:val="18"/>
                <w:szCs w:val="18"/>
              </w:rPr>
              <w:t xml:space="preserve"> </w:t>
            </w:r>
            <w:r w:rsidRPr="004C7BCB">
              <w:rPr>
                <w:spacing w:val="-2"/>
                <w:sz w:val="18"/>
                <w:szCs w:val="18"/>
              </w:rPr>
              <w:t>m</w:t>
            </w:r>
            <w:r w:rsidRPr="004C7BCB">
              <w:rPr>
                <w:sz w:val="18"/>
                <w:szCs w:val="18"/>
              </w:rPr>
              <w:t>enos</w:t>
            </w:r>
            <w:r w:rsidRPr="004C7BCB">
              <w:rPr>
                <w:spacing w:val="-2"/>
                <w:sz w:val="18"/>
                <w:szCs w:val="18"/>
              </w:rPr>
              <w:t xml:space="preserve"> </w:t>
            </w:r>
            <w:r w:rsidRPr="004C7BCB">
              <w:rPr>
                <w:sz w:val="18"/>
                <w:szCs w:val="18"/>
              </w:rPr>
              <w:t>5</w:t>
            </w:r>
            <w:r w:rsidRPr="004C7BCB">
              <w:rPr>
                <w:spacing w:val="1"/>
                <w:sz w:val="18"/>
                <w:szCs w:val="18"/>
              </w:rPr>
              <w:t xml:space="preserve"> </w:t>
            </w:r>
            <w:r w:rsidR="00C9360C">
              <w:rPr>
                <w:sz w:val="18"/>
                <w:szCs w:val="18"/>
              </w:rPr>
              <w:t>º</w:t>
            </w:r>
            <w:r w:rsidRPr="004C7BCB">
              <w:rPr>
                <w:sz w:val="18"/>
                <w:szCs w:val="18"/>
              </w:rPr>
              <w:t>C</w:t>
            </w:r>
          </w:p>
        </w:tc>
      </w:tr>
      <w:tr w:rsidR="00536D70" w:rsidRPr="004C7BCB" w:rsidTr="00536D70">
        <w:tc>
          <w:tcPr>
            <w:tcW w:w="2007" w:type="dxa"/>
          </w:tcPr>
          <w:p w:rsidR="007A3AD0" w:rsidRPr="004C7BCB" w:rsidRDefault="007A3AD0" w:rsidP="004C7BCB">
            <w:pPr>
              <w:spacing w:before="60" w:after="60"/>
              <w:ind w:left="51" w:right="-20"/>
              <w:rPr>
                <w:sz w:val="18"/>
                <w:szCs w:val="18"/>
              </w:rPr>
            </w:pPr>
            <w:r w:rsidRPr="004C7BCB">
              <w:rPr>
                <w:sz w:val="18"/>
                <w:szCs w:val="18"/>
              </w:rPr>
              <w:t>Cister</w:t>
            </w:r>
            <w:r w:rsidRPr="004C7BCB">
              <w:rPr>
                <w:spacing w:val="1"/>
                <w:sz w:val="18"/>
                <w:szCs w:val="18"/>
              </w:rPr>
              <w:t>n</w:t>
            </w:r>
            <w:r w:rsidRPr="004C7BCB">
              <w:rPr>
                <w:sz w:val="18"/>
                <w:szCs w:val="18"/>
              </w:rPr>
              <w:t>as</w:t>
            </w:r>
            <w:r w:rsidRPr="004C7BCB">
              <w:rPr>
                <w:spacing w:val="-1"/>
                <w:sz w:val="18"/>
                <w:szCs w:val="18"/>
              </w:rPr>
              <w:t xml:space="preserve"> </w:t>
            </w:r>
            <w:r w:rsidRPr="004C7BCB">
              <w:rPr>
                <w:spacing w:val="1"/>
                <w:sz w:val="18"/>
                <w:szCs w:val="18"/>
              </w:rPr>
              <w:t>p</w:t>
            </w:r>
            <w:r w:rsidRPr="004C7BCB">
              <w:rPr>
                <w:spacing w:val="-1"/>
                <w:sz w:val="18"/>
                <w:szCs w:val="18"/>
              </w:rPr>
              <w:t>o</w:t>
            </w:r>
            <w:r w:rsidRPr="004C7BCB">
              <w:rPr>
                <w:sz w:val="18"/>
                <w:szCs w:val="18"/>
              </w:rPr>
              <w:t>rtátiles</w:t>
            </w:r>
          </w:p>
        </w:tc>
        <w:tc>
          <w:tcPr>
            <w:tcW w:w="2086" w:type="dxa"/>
            <w:tcBorders>
              <w:top w:val="single" w:sz="4" w:space="0" w:color="auto"/>
            </w:tcBorders>
          </w:tcPr>
          <w:p w:rsidR="007A3AD0" w:rsidRPr="004C7BCB" w:rsidRDefault="00C9360C" w:rsidP="004C7BCB">
            <w:pPr>
              <w:spacing w:before="60" w:after="60"/>
              <w:rPr>
                <w:sz w:val="18"/>
                <w:szCs w:val="18"/>
              </w:rPr>
            </w:pPr>
            <w:r>
              <w:rPr>
                <w:sz w:val="18"/>
                <w:szCs w:val="18"/>
              </w:rPr>
              <w:t>&lt; 50 º</w:t>
            </w:r>
            <w:r w:rsidR="007A3AD0" w:rsidRPr="004C7BCB">
              <w:rPr>
                <w:sz w:val="18"/>
                <w:szCs w:val="18"/>
              </w:rPr>
              <w:t>C</w:t>
            </w:r>
          </w:p>
        </w:tc>
        <w:tc>
          <w:tcPr>
            <w:tcW w:w="2211" w:type="dxa"/>
            <w:tcBorders>
              <w:top w:val="single" w:sz="4" w:space="0" w:color="auto"/>
            </w:tcBorders>
          </w:tcPr>
          <w:p w:rsidR="007A3AD0" w:rsidRPr="004C7BCB" w:rsidRDefault="00C9360C" w:rsidP="004C7BCB">
            <w:pPr>
              <w:spacing w:before="60" w:after="60"/>
              <w:rPr>
                <w:sz w:val="18"/>
                <w:szCs w:val="18"/>
              </w:rPr>
            </w:pPr>
            <w:r>
              <w:rPr>
                <w:sz w:val="18"/>
                <w:szCs w:val="18"/>
              </w:rPr>
              <w:t>TDAA/TPAA menos 10 º</w:t>
            </w:r>
            <w:r w:rsidR="007A3AD0" w:rsidRPr="004C7BCB">
              <w:rPr>
                <w:sz w:val="18"/>
                <w:szCs w:val="18"/>
              </w:rPr>
              <w:t>C</w:t>
            </w:r>
          </w:p>
        </w:tc>
        <w:tc>
          <w:tcPr>
            <w:tcW w:w="2206" w:type="dxa"/>
            <w:tcBorders>
              <w:top w:val="single" w:sz="4" w:space="0" w:color="auto"/>
            </w:tcBorders>
          </w:tcPr>
          <w:p w:rsidR="007A3AD0" w:rsidRPr="004C7BCB" w:rsidRDefault="00C9360C" w:rsidP="004C7BCB">
            <w:pPr>
              <w:spacing w:before="60" w:after="60"/>
              <w:rPr>
                <w:sz w:val="18"/>
                <w:szCs w:val="18"/>
              </w:rPr>
            </w:pPr>
            <w:r>
              <w:rPr>
                <w:sz w:val="18"/>
                <w:szCs w:val="18"/>
              </w:rPr>
              <w:t>TDAA/TPAA menos 5 º</w:t>
            </w:r>
            <w:r w:rsidR="007A3AD0" w:rsidRPr="004C7BCB">
              <w:rPr>
                <w:sz w:val="18"/>
                <w:szCs w:val="18"/>
              </w:rPr>
              <w:t>C</w:t>
            </w:r>
          </w:p>
        </w:tc>
      </w:tr>
    </w:tbl>
    <w:p w:rsidR="007A3AD0" w:rsidRPr="00C9360C" w:rsidRDefault="007A3AD0" w:rsidP="00C9360C">
      <w:pPr>
        <w:pStyle w:val="SingleTxtG"/>
        <w:spacing w:before="120" w:after="240"/>
        <w:ind w:firstLine="170"/>
        <w:jc w:val="left"/>
        <w:rPr>
          <w:i/>
        </w:rPr>
      </w:pPr>
      <w:r w:rsidRPr="00B654DA">
        <w:rPr>
          <w:vertAlign w:val="superscript"/>
        </w:rPr>
        <w:t>a</w:t>
      </w:r>
      <w:r w:rsidR="00536D70">
        <w:rPr>
          <w:vertAlign w:val="superscript"/>
        </w:rPr>
        <w:tab/>
      </w:r>
      <w:r w:rsidRPr="00C9360C">
        <w:rPr>
          <w:i/>
        </w:rPr>
        <w:t>Es decir, la TD</w:t>
      </w:r>
      <w:r w:rsidRPr="00C9360C">
        <w:rPr>
          <w:i/>
          <w:spacing w:val="-1"/>
        </w:rPr>
        <w:t>A</w:t>
      </w:r>
      <w:r w:rsidRPr="00C9360C">
        <w:rPr>
          <w:i/>
        </w:rPr>
        <w:t>A/TPAA de la sustancia tal y como ha sido embalada para el transporte.</w:t>
      </w:r>
    </w:p>
    <w:p w:rsidR="007A3AD0" w:rsidRPr="00B654DA" w:rsidRDefault="007A3AD0" w:rsidP="007A3AD0">
      <w:pPr>
        <w:pStyle w:val="SingleTxtG"/>
      </w:pPr>
      <w:r w:rsidRPr="00B654DA">
        <w:t>7.1.5.3.6</w:t>
      </w:r>
      <w:r w:rsidRPr="00B654DA">
        <w:tab/>
        <w:t>La temperatura de regulación y la de emergencia se determinan, según se indica en el cuadro 7.1.5.3.5, tomando como referencia la TDAA o la TPAA, que se definen como las temperaturas más bajas a las que puede producirse la descomposición autoacelerada o la polimerización autoacelerada de una sustancia en el embalaje/envase, el RIG o la cisterna portátil usados en el transporte. La TDAA/TPAA se determinará con el fin de decidir si, durante el transporte, se ha de regular la temperatura de una sustancia. Las disposiciones relativas a la determinación de la TDAA/TPAA se hallan en 2.4.2.3.4, 2.5.3.4.2 y 2.4.2.5.2 para las sustancias que reaccionan espontáneamente, los peróxidos orgánicos y las sustancias y mezclas polimerizantes, respectivamente.</w:t>
      </w:r>
    </w:p>
    <w:p w:rsidR="007A3AD0" w:rsidRPr="00B654DA" w:rsidRDefault="007A3AD0" w:rsidP="007A3AD0">
      <w:pPr>
        <w:pStyle w:val="SingleTxtG"/>
        <w:rPr>
          <w:strike/>
        </w:rPr>
      </w:pPr>
      <w:r w:rsidRPr="00B654DA">
        <w:t>7.1.5.3.7</w:t>
      </w:r>
      <w:r w:rsidRPr="00B654DA">
        <w:tab/>
        <w:t>La temperatura de regulación y la de emergencia de las sustancias que reaccionan espontáneamente catalogadas hasta el momento y de los preparados de peróxidos orgánicos catalogados hasta el momento se indican, cuando es del caso, en 2.4.2.3.2.3 y 2.5.3.2.4, respectivamente.</w:t>
      </w:r>
    </w:p>
    <w:p w:rsidR="007A3AD0" w:rsidRPr="00B654DA" w:rsidRDefault="007A3AD0" w:rsidP="007A3AD0">
      <w:pPr>
        <w:pStyle w:val="SingleTxtG"/>
      </w:pPr>
      <w:r w:rsidRPr="00B654DA">
        <w:t>7.1.5.3.8</w:t>
      </w:r>
      <w:r w:rsidRPr="00B654DA">
        <w:tab/>
        <w:t>La temperatura efectiva en condiciones de transporte podrá ser inferior a la de regulación, pero se elegirá de manera que se evite toda separación peligrosa de fases.</w:t>
      </w:r>
    </w:p>
    <w:p w:rsidR="007A3AD0" w:rsidRPr="00B654DA" w:rsidRDefault="007A3AD0" w:rsidP="007A3AD0">
      <w:pPr>
        <w:pStyle w:val="SingleTxtG"/>
        <w:rPr>
          <w:i/>
        </w:rPr>
      </w:pPr>
      <w:r w:rsidRPr="00B654DA">
        <w:t>7.1.5.4</w:t>
      </w:r>
      <w:r w:rsidRPr="00B654DA">
        <w:tab/>
      </w:r>
      <w:r w:rsidRPr="00B654DA">
        <w:tab/>
      </w:r>
      <w:r w:rsidRPr="00B654DA">
        <w:rPr>
          <w:i/>
        </w:rPr>
        <w:t>Regulación de la temperatura durante el transporte</w:t>
      </w:r>
    </w:p>
    <w:p w:rsidR="007A3AD0" w:rsidRPr="00B654DA" w:rsidRDefault="007A3AD0" w:rsidP="007A3AD0">
      <w:pPr>
        <w:pStyle w:val="SingleTxtG"/>
        <w:rPr>
          <w:i/>
        </w:rPr>
      </w:pPr>
      <w:r w:rsidRPr="00B654DA">
        <w:rPr>
          <w:b/>
          <w:i/>
        </w:rPr>
        <w:t>NOTA:</w:t>
      </w:r>
      <w:r w:rsidRPr="00B654DA">
        <w:rPr>
          <w:i/>
        </w:rPr>
        <w:tab/>
        <w:t>Como las circunstancias que han de tenerse en cuenta difieren</w:t>
      </w:r>
      <w:r w:rsidR="00402521">
        <w:rPr>
          <w:i/>
        </w:rPr>
        <w:t xml:space="preserve"> según el modo de transporte, so</w:t>
      </w:r>
      <w:r w:rsidRPr="00B654DA">
        <w:rPr>
          <w:i/>
        </w:rPr>
        <w:t>lo se ofrecen aquí unas orientaciones de carácter general.</w:t>
      </w:r>
    </w:p>
    <w:p w:rsidR="007A3AD0" w:rsidRPr="00B654DA" w:rsidRDefault="007A3AD0" w:rsidP="007A3AD0">
      <w:pPr>
        <w:pStyle w:val="SingleTxtG"/>
      </w:pPr>
      <w:r w:rsidRPr="00B654DA">
        <w:t>7.1.5.4.1</w:t>
      </w:r>
      <w:r w:rsidRPr="00B654DA">
        <w:tab/>
        <w:t>El mantenimiento de la temperatura prescrita tiene importancia primordial para la seguridad del transporte de muchas sustancias estabilizadas mediante la regulación de la temperatura. En general, se observarán las normas siguientes:</w:t>
      </w:r>
    </w:p>
    <w:p w:rsidR="007A3AD0" w:rsidRPr="00B654DA" w:rsidRDefault="007A3AD0" w:rsidP="007A3AD0">
      <w:pPr>
        <w:pStyle w:val="SingleTxtG"/>
        <w:ind w:left="2268"/>
      </w:pPr>
      <w:r w:rsidRPr="00B654DA">
        <w:t>a)</w:t>
      </w:r>
      <w:r w:rsidRPr="00B654DA">
        <w:tab/>
        <w:t>Se procederá a la inspección minuciosa de la unidad de transporte antes de cargar la mercancía;</w:t>
      </w:r>
    </w:p>
    <w:p w:rsidR="007A3AD0" w:rsidRPr="00B654DA" w:rsidRDefault="007A3AD0" w:rsidP="007A3AD0">
      <w:pPr>
        <w:pStyle w:val="SingleTxtG"/>
        <w:ind w:left="2268"/>
      </w:pPr>
      <w:r w:rsidRPr="00B654DA">
        <w:t>b)</w:t>
      </w:r>
      <w:r w:rsidRPr="00B654DA">
        <w:tab/>
        <w:t>Se darán instrucciones al transportista acerca del funcionamiento del sistema de refrigeración;</w:t>
      </w:r>
    </w:p>
    <w:p w:rsidR="007A3AD0" w:rsidRPr="00B654DA" w:rsidRDefault="007A3AD0" w:rsidP="007A3AD0">
      <w:pPr>
        <w:pStyle w:val="SingleTxtG"/>
        <w:ind w:left="2268"/>
      </w:pPr>
      <w:r w:rsidRPr="00B654DA">
        <w:lastRenderedPageBreak/>
        <w:t>c)</w:t>
      </w:r>
      <w:r w:rsidRPr="00B654DA">
        <w:tab/>
        <w:t>Se dispondrán las medidas que hayan de adoptarse en caso de que se produzcan anomalías en cuanto a la regulación de la temperatura;</w:t>
      </w:r>
    </w:p>
    <w:p w:rsidR="007A3AD0" w:rsidRPr="00B654DA" w:rsidRDefault="007A3AD0" w:rsidP="007A3AD0">
      <w:pPr>
        <w:pStyle w:val="SingleTxtG"/>
        <w:ind w:left="2268"/>
      </w:pPr>
      <w:r w:rsidRPr="00B654DA">
        <w:t>d)</w:t>
      </w:r>
      <w:r w:rsidRPr="00B654DA">
        <w:tab/>
        <w:t>Se controlarán periódicamente las temperaturas de servicio; y</w:t>
      </w:r>
    </w:p>
    <w:p w:rsidR="007A3AD0" w:rsidRPr="00B654DA" w:rsidRDefault="007A3AD0" w:rsidP="007A3AD0">
      <w:pPr>
        <w:pStyle w:val="SingleTxtG"/>
        <w:ind w:left="2268"/>
      </w:pPr>
      <w:r w:rsidRPr="00B654DA">
        <w:t>e)</w:t>
      </w:r>
      <w:r w:rsidRPr="00B654DA">
        <w:tab/>
        <w:t>Se preverá un sistema de refrigeración de reserva, o de piezas de recambio.</w:t>
      </w:r>
    </w:p>
    <w:p w:rsidR="007A3AD0" w:rsidRPr="00B654DA" w:rsidRDefault="007A3AD0" w:rsidP="007A3AD0">
      <w:pPr>
        <w:pStyle w:val="SingleTxtG"/>
      </w:pPr>
      <w:r w:rsidRPr="00B654DA">
        <w:t>7.1.5.4.2</w:t>
      </w:r>
      <w:r w:rsidRPr="00B654DA">
        <w:tab/>
        <w:t xml:space="preserve">Todos los dispositivos de regulación y elementos termosensibles que existan en la instalación de refrigeración serán de fácil acceso, y todas las conexiones eléctricas habrán de ir protegidas de la intemperie. La temperatura del aire en el interior de la unidad de transporte se medirá con dos sensores independientes, cuyas indicaciones se registrarán de manera que las variaciones de temperatura se perciban al instante. Se comprobará la temperatura a intervalos de cuatro a seis horas, y se anotarán los valores observados. Cuando se trate de sustancias cuya temperatura de regulación sea inferior a +25 </w:t>
      </w:r>
      <w:r w:rsidR="00C9360C">
        <w:t>º</w:t>
      </w:r>
      <w:r w:rsidRPr="00B654DA">
        <w:t>C, la unidad de transporte irá provista de medios de alarma visual y acústica cuya fuente de energía sea independiente de la del sistema de refrigeración, y graduados de manera que funcionen a la temperatura</w:t>
      </w:r>
      <w:r w:rsidR="00C9360C">
        <w:t xml:space="preserve"> de regulación o por debajo de e</w:t>
      </w:r>
      <w:r w:rsidRPr="00B654DA">
        <w:t>sta.</w:t>
      </w:r>
    </w:p>
    <w:p w:rsidR="007A3AD0" w:rsidRPr="00B654DA" w:rsidRDefault="007A3AD0" w:rsidP="007A3AD0">
      <w:pPr>
        <w:pStyle w:val="SingleTxtG"/>
      </w:pPr>
      <w:r w:rsidRPr="00B654DA">
        <w:t>7.1.5.4.3</w:t>
      </w:r>
      <w:r w:rsidRPr="00B654DA">
        <w:tab/>
        <w:t xml:space="preserve">Si durante el transporte se sobrepasa la temperatura de regulación, se adoptarán medidas de urgencia </w:t>
      </w:r>
      <w:r w:rsidR="00C9360C">
        <w:t>—</w:t>
      </w:r>
      <w:r w:rsidRPr="00B654DA">
        <w:t>de ser necesario, reparando el sistema de refrigeración o aumentando la capacidad de refrigeración (por ejemplo, agregando agentes refrigerantes líquidos o sólidos). También se comprobará con frecuencia la temperatura y se harán preparativos para el caso de que hayan de aplicarse las medidas de emergencia. Si se alcanza la temperatura de emergencia, se pondrán en práctica dichas medidas.</w:t>
      </w:r>
    </w:p>
    <w:p w:rsidR="007A3AD0" w:rsidRPr="00B654DA" w:rsidRDefault="007A3AD0" w:rsidP="007A3AD0">
      <w:pPr>
        <w:pStyle w:val="SingleTxtG"/>
      </w:pPr>
      <w:r w:rsidRPr="00B654DA">
        <w:t>7.1.5.4.4</w:t>
      </w:r>
      <w:r w:rsidRPr="00B654DA">
        <w:tab/>
        <w:t>La idoneidad de un determinado medio de regulación de la temperatura durante el transporte depende de diversos factores, entre los que han de tomarse en consideración los siguientes:</w:t>
      </w:r>
    </w:p>
    <w:p w:rsidR="007A3AD0" w:rsidRPr="00B654DA" w:rsidRDefault="007A3AD0" w:rsidP="007A3AD0">
      <w:pPr>
        <w:pStyle w:val="SingleTxtG"/>
        <w:ind w:left="2268"/>
      </w:pPr>
      <w:r w:rsidRPr="00B654DA">
        <w:t>a)</w:t>
      </w:r>
      <w:r w:rsidRPr="00B654DA">
        <w:tab/>
        <w:t>La temperatura o temperaturas de regulación de la sustancia o sustancias que hayan de transportarse;</w:t>
      </w:r>
    </w:p>
    <w:p w:rsidR="007A3AD0" w:rsidRPr="00B654DA" w:rsidRDefault="007A3AD0" w:rsidP="007A3AD0">
      <w:pPr>
        <w:pStyle w:val="SingleTxtG"/>
        <w:ind w:left="2268"/>
      </w:pPr>
      <w:r w:rsidRPr="00B654DA">
        <w:t>b)</w:t>
      </w:r>
      <w:r w:rsidRPr="00B654DA">
        <w:tab/>
        <w:t>La diferencia entre la temperatura de regulación y las condiciones de temperatura ambiente previstas;</w:t>
      </w:r>
    </w:p>
    <w:p w:rsidR="007A3AD0" w:rsidRPr="00B654DA" w:rsidRDefault="007A3AD0" w:rsidP="007A3AD0">
      <w:pPr>
        <w:pStyle w:val="SingleTxtG"/>
        <w:ind w:left="2268"/>
      </w:pPr>
      <w:r w:rsidRPr="00B654DA">
        <w:t>c)</w:t>
      </w:r>
      <w:r w:rsidRPr="00B654DA">
        <w:tab/>
        <w:t>La eficacia del aislamiento térmico;</w:t>
      </w:r>
    </w:p>
    <w:p w:rsidR="007A3AD0" w:rsidRPr="00B654DA" w:rsidRDefault="007A3AD0" w:rsidP="007A3AD0">
      <w:pPr>
        <w:pStyle w:val="SingleTxtG"/>
        <w:ind w:left="2268"/>
      </w:pPr>
      <w:r w:rsidRPr="00B654DA">
        <w:t>d)</w:t>
      </w:r>
      <w:r w:rsidRPr="00B654DA">
        <w:tab/>
        <w:t>La duración del transporte; y</w:t>
      </w:r>
    </w:p>
    <w:p w:rsidR="007A3AD0" w:rsidRPr="00B654DA" w:rsidRDefault="007A3AD0" w:rsidP="007A3AD0">
      <w:pPr>
        <w:pStyle w:val="SingleTxtG"/>
        <w:ind w:left="2268"/>
      </w:pPr>
      <w:r w:rsidRPr="00B654DA">
        <w:t>e)</w:t>
      </w:r>
      <w:r w:rsidRPr="00B654DA">
        <w:tab/>
        <w:t>Un margen de seguridad en previsión de que se produzcan demoras</w:t>
      </w:r>
      <w:r w:rsidR="00C9360C">
        <w:t>.</w:t>
      </w:r>
    </w:p>
    <w:p w:rsidR="007A3AD0" w:rsidRPr="00B654DA" w:rsidRDefault="007A3AD0" w:rsidP="007A3AD0">
      <w:pPr>
        <w:pStyle w:val="SingleTxtG"/>
      </w:pPr>
      <w:r w:rsidRPr="00B654DA">
        <w:t>7.1.5.4.5</w:t>
      </w:r>
      <w:r w:rsidRPr="00B654DA">
        <w:tab/>
        <w:t>Como procedimientos adecuados para evitar que se sobrepase la temperatura de regulación pueden citarse, en orden creciente de eficacia, los siguientes:</w:t>
      </w:r>
    </w:p>
    <w:p w:rsidR="007A3AD0" w:rsidRPr="00B654DA" w:rsidRDefault="007A3AD0" w:rsidP="007A3AD0">
      <w:pPr>
        <w:pStyle w:val="SingleTxtG"/>
        <w:ind w:left="2268"/>
      </w:pPr>
      <w:r w:rsidRPr="00B654DA">
        <w:t>a)</w:t>
      </w:r>
      <w:r w:rsidRPr="00B654DA">
        <w:tab/>
        <w:t>El aislamiento térmico, a condición de que la temperatura inicial de los peróxidos orgánicos sea inferior, y en medida suficiente, a la de regulación;</w:t>
      </w:r>
    </w:p>
    <w:p w:rsidR="007A3AD0" w:rsidRPr="00B654DA" w:rsidRDefault="007A3AD0" w:rsidP="007A3AD0">
      <w:pPr>
        <w:pStyle w:val="SingleTxtG"/>
        <w:ind w:left="2268"/>
      </w:pPr>
      <w:r w:rsidRPr="00B654DA">
        <w:t>b)</w:t>
      </w:r>
      <w:r w:rsidRPr="00B654DA">
        <w:tab/>
        <w:t>El aislamiento térmico con sistema de refrigeración, a condición de</w:t>
      </w:r>
      <w:r w:rsidR="00C9360C">
        <w:t> </w:t>
      </w:r>
      <w:r w:rsidRPr="00B654DA">
        <w:t>que:</w:t>
      </w:r>
    </w:p>
    <w:p w:rsidR="007A3AD0" w:rsidRPr="00B654DA" w:rsidRDefault="007A3AD0" w:rsidP="007A3AD0">
      <w:pPr>
        <w:pStyle w:val="SingleTxtG"/>
        <w:ind w:left="2835"/>
      </w:pPr>
      <w:r w:rsidRPr="00B654DA">
        <w:t>i)</w:t>
      </w:r>
      <w:r w:rsidRPr="00B654DA">
        <w:tab/>
      </w:r>
      <w:r w:rsidR="00C9360C">
        <w:t>S</w:t>
      </w:r>
      <w:r w:rsidRPr="00B654DA">
        <w:t>e utilice una cantidad suficiente de refrigerante (por ejemplo, nitrógeno líquido o dióxido de carbono sólido), con un margen prudencial en previsión de que se produzcan demoras;</w:t>
      </w:r>
    </w:p>
    <w:p w:rsidR="007A3AD0" w:rsidRPr="00B654DA" w:rsidRDefault="007A3AD0" w:rsidP="007A3AD0">
      <w:pPr>
        <w:pStyle w:val="SingleTxtG"/>
        <w:ind w:left="2835"/>
      </w:pPr>
      <w:r w:rsidRPr="00B654DA">
        <w:t>ii)</w:t>
      </w:r>
      <w:r w:rsidRPr="00B654DA">
        <w:tab/>
      </w:r>
      <w:r w:rsidR="00C9360C">
        <w:t>N</w:t>
      </w:r>
      <w:r w:rsidRPr="00B654DA">
        <w:t>o se utilicen como refrigerantes ni el oxígeno ni el aire líquidos;</w:t>
      </w:r>
    </w:p>
    <w:p w:rsidR="007A3AD0" w:rsidRPr="00B654DA" w:rsidRDefault="007A3AD0" w:rsidP="007A3AD0">
      <w:pPr>
        <w:pStyle w:val="SingleTxtG"/>
        <w:ind w:left="2835"/>
      </w:pPr>
      <w:r w:rsidRPr="00B654DA">
        <w:t>iii)</w:t>
      </w:r>
      <w:r w:rsidRPr="00B654DA">
        <w:tab/>
      </w:r>
      <w:r w:rsidR="00C9360C">
        <w:t>E</w:t>
      </w:r>
      <w:r w:rsidRPr="00B654DA">
        <w:t>l efecto de la refrigeración sea uniforme aun en el caso de que se haya consumido la mayor parte del refrigerante;</w:t>
      </w:r>
    </w:p>
    <w:p w:rsidR="007A3AD0" w:rsidRPr="00B654DA" w:rsidRDefault="007A3AD0" w:rsidP="007A3AD0">
      <w:pPr>
        <w:pStyle w:val="SingleTxtG"/>
        <w:ind w:left="2835"/>
      </w:pPr>
      <w:r w:rsidRPr="00B654DA">
        <w:t>iv)</w:t>
      </w:r>
      <w:r w:rsidRPr="00B654DA">
        <w:tab/>
      </w:r>
      <w:r w:rsidR="00C9360C">
        <w:t>S</w:t>
      </w:r>
      <w:r w:rsidRPr="00B654DA">
        <w:t>e indique, mediante un aviso bien visible colocado en las puertas de la unidad de transporte, que es necesario ventilarla antes de entrar en ella;</w:t>
      </w:r>
    </w:p>
    <w:p w:rsidR="007A3AD0" w:rsidRPr="00B654DA" w:rsidRDefault="007A3AD0" w:rsidP="007A3AD0">
      <w:pPr>
        <w:pStyle w:val="SingleTxtG"/>
        <w:ind w:left="2268"/>
      </w:pPr>
      <w:r w:rsidRPr="00B654DA">
        <w:t>c)</w:t>
      </w:r>
      <w:r w:rsidRPr="00B654DA">
        <w:tab/>
        <w:t xml:space="preserve">Un sistema único de refrigeración mecánica, a condición de que, en el caso de los peróxidos orgánicos con un punto de inflamación inferior a la </w:t>
      </w:r>
      <w:r w:rsidRPr="00B654DA">
        <w:lastRenderedPageBreak/>
        <w:t>suma de la t</w:t>
      </w:r>
      <w:r w:rsidR="00402521">
        <w:t>emperatura de emergencia más 5 º</w:t>
      </w:r>
      <w:r w:rsidRPr="00B654DA">
        <w:t>C, sean antideflagrantes los accesorios eléctricos instalados en el compartimiento refrigerado, para evitar la inflamación de los vapores desprendidos de los peróxidos orgánicos;</w:t>
      </w:r>
    </w:p>
    <w:p w:rsidR="007A3AD0" w:rsidRPr="00B654DA" w:rsidRDefault="007A3AD0" w:rsidP="007A3AD0">
      <w:pPr>
        <w:pStyle w:val="SingleTxtG"/>
        <w:ind w:left="2268"/>
      </w:pPr>
      <w:r w:rsidRPr="00B654DA">
        <w:t>d)</w:t>
      </w:r>
      <w:r w:rsidRPr="00B654DA">
        <w:tab/>
        <w:t>La refrigeración mecánica y refrigerantes, a condición de que:</w:t>
      </w:r>
    </w:p>
    <w:p w:rsidR="007A3AD0" w:rsidRPr="00B654DA" w:rsidRDefault="007A3AD0" w:rsidP="007A3AD0">
      <w:pPr>
        <w:pStyle w:val="SingleTxtG"/>
        <w:ind w:left="2835"/>
      </w:pPr>
      <w:r w:rsidRPr="00B654DA">
        <w:t>i)</w:t>
      </w:r>
      <w:r w:rsidRPr="00B654DA">
        <w:tab/>
      </w:r>
      <w:r w:rsidR="00402521">
        <w:t>A</w:t>
      </w:r>
      <w:r w:rsidRPr="00B654DA">
        <w:t>mbos sistemas sean independientes entre sí;</w:t>
      </w:r>
    </w:p>
    <w:p w:rsidR="007A3AD0" w:rsidRPr="00B654DA" w:rsidRDefault="007A3AD0" w:rsidP="007A3AD0">
      <w:pPr>
        <w:pStyle w:val="SingleTxtG"/>
        <w:ind w:left="2835"/>
      </w:pPr>
      <w:r w:rsidRPr="00B654DA">
        <w:t>ii)</w:t>
      </w:r>
      <w:r w:rsidRPr="00B654DA">
        <w:tab/>
      </w:r>
      <w:r w:rsidR="00402521">
        <w:t>S</w:t>
      </w:r>
      <w:r w:rsidRPr="00B654DA">
        <w:t>e cumplan las condiciones enunciadas en los apartados b) y</w:t>
      </w:r>
      <w:r w:rsidR="00402521">
        <w:t> </w:t>
      </w:r>
      <w:r w:rsidRPr="00B654DA">
        <w:t>c);</w:t>
      </w:r>
    </w:p>
    <w:p w:rsidR="007A3AD0" w:rsidRPr="00B654DA" w:rsidRDefault="007A3AD0" w:rsidP="007A3AD0">
      <w:pPr>
        <w:pStyle w:val="SingleTxtG"/>
        <w:ind w:left="2268"/>
      </w:pPr>
      <w:r w:rsidRPr="00B654DA">
        <w:t>e)</w:t>
      </w:r>
      <w:r w:rsidRPr="00B654DA">
        <w:tab/>
        <w:t>Un sistema doble de refrigeración mecánica, a condición de que:</w:t>
      </w:r>
    </w:p>
    <w:p w:rsidR="007A3AD0" w:rsidRPr="00B654DA" w:rsidRDefault="007A3AD0" w:rsidP="007A3AD0">
      <w:pPr>
        <w:pStyle w:val="SingleTxtG"/>
        <w:ind w:left="2835"/>
      </w:pPr>
      <w:r w:rsidRPr="00B654DA">
        <w:t>i)</w:t>
      </w:r>
      <w:r w:rsidRPr="00B654DA">
        <w:tab/>
      </w:r>
      <w:r w:rsidR="00402521">
        <w:t>A</w:t>
      </w:r>
      <w:r w:rsidRPr="00B654DA">
        <w:t>un cuando compartan una misma fuente de energía, sean ambos sistemas independientes entre sí;</w:t>
      </w:r>
    </w:p>
    <w:p w:rsidR="007A3AD0" w:rsidRPr="00B654DA" w:rsidRDefault="007A3AD0" w:rsidP="007A3AD0">
      <w:pPr>
        <w:pStyle w:val="SingleTxtG"/>
        <w:ind w:left="2835"/>
      </w:pPr>
      <w:r w:rsidRPr="00B654DA">
        <w:t>ii)</w:t>
      </w:r>
      <w:r w:rsidRPr="00B654DA">
        <w:tab/>
      </w:r>
      <w:r w:rsidR="00402521">
        <w:t>C</w:t>
      </w:r>
      <w:r w:rsidRPr="00B654DA">
        <w:t>ada uno de los sistemas sirva, por sí solo, para regular la temperatura en las debidas condiciones;</w:t>
      </w:r>
    </w:p>
    <w:p w:rsidR="007A3AD0" w:rsidRPr="00B654DA" w:rsidRDefault="007A3AD0" w:rsidP="007A3AD0">
      <w:pPr>
        <w:pStyle w:val="SingleTxtG"/>
        <w:ind w:left="2835"/>
      </w:pPr>
      <w:r w:rsidRPr="00B654DA">
        <w:t>iii)</w:t>
      </w:r>
      <w:r w:rsidRPr="00B654DA">
        <w:tab/>
      </w:r>
      <w:r w:rsidR="00402521">
        <w:t>E</w:t>
      </w:r>
      <w:r w:rsidRPr="00B654DA">
        <w:t>n el caso de los peróxidos orgánicos de punto de inflamación inferior a la suma de la temperatura de emergencia más 5 °C, los accesorios eléctricos instalados en el compartimiento refrigerado sean antideflagrantes, a fin de evitar la inflamación de los vapores desprendidos de los peróxidos orgánicos.</w:t>
      </w:r>
    </w:p>
    <w:p w:rsidR="00381C24" w:rsidRDefault="007A3AD0" w:rsidP="00536D70">
      <w:pPr>
        <w:pStyle w:val="SingleTxtG"/>
      </w:pPr>
      <w:r w:rsidRPr="00B654DA">
        <w:t>7.1.6</w:t>
      </w:r>
      <w:r w:rsidRPr="00B654DA">
        <w:tab/>
      </w:r>
      <w:r w:rsidRPr="00B654DA">
        <w:tab/>
      </w:r>
      <w:r w:rsidRPr="00B654DA">
        <w:rPr>
          <w:i/>
        </w:rPr>
        <w:t>(Reservado).</w:t>
      </w:r>
      <w:r w:rsidR="00A069C9">
        <w:t>”</w:t>
      </w:r>
      <w:r w:rsidRPr="00B654DA">
        <w:t>.</w:t>
      </w:r>
    </w:p>
    <w:p w:rsidR="00536D70" w:rsidRPr="00536D70" w:rsidRDefault="00536D70" w:rsidP="00536D70">
      <w:pPr>
        <w:pStyle w:val="SingleTxtG"/>
        <w:suppressAutoHyphens/>
        <w:spacing w:before="240" w:after="0"/>
        <w:jc w:val="center"/>
        <w:rPr>
          <w:u w:val="single"/>
        </w:rPr>
      </w:pPr>
      <w:r>
        <w:rPr>
          <w:u w:val="single"/>
        </w:rPr>
        <w:tab/>
      </w:r>
      <w:r>
        <w:rPr>
          <w:u w:val="single"/>
        </w:rPr>
        <w:tab/>
      </w:r>
      <w:r>
        <w:rPr>
          <w:u w:val="single"/>
        </w:rPr>
        <w:tab/>
      </w:r>
    </w:p>
    <w:sectPr w:rsidR="00536D70" w:rsidRPr="00536D70" w:rsidSect="00897F5F">
      <w:headerReference w:type="even" r:id="rId49"/>
      <w:headerReference w:type="default" r:id="rId50"/>
      <w:footerReference w:type="even" r:id="rId51"/>
      <w:footerReference w:type="default" r:id="rId52"/>
      <w:headerReference w:type="first" r:id="rId53"/>
      <w:footerReference w:type="first" r:id="rId5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F2" w:rsidRPr="00EB11DA" w:rsidRDefault="00E32FF2" w:rsidP="00EB11DA">
      <w:pPr>
        <w:pStyle w:val="Footer"/>
      </w:pPr>
    </w:p>
  </w:endnote>
  <w:endnote w:type="continuationSeparator" w:id="0">
    <w:p w:rsidR="00E32FF2" w:rsidRPr="00EB11DA" w:rsidRDefault="00E32FF2"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34</w:t>
    </w:r>
    <w:r w:rsidRPr="00E558FB">
      <w:rPr>
        <w:b/>
        <w:sz w:val="18"/>
      </w:rPr>
      <w:fldChar w:fldCharType="end"/>
    </w:r>
    <w:r>
      <w:rPr>
        <w:sz w:val="18"/>
      </w:rPr>
      <w:tab/>
    </w:r>
    <w:r>
      <w:t>GE.17-02431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pPr>
      <w:pStyle w:val="Footer"/>
      <w:tabs>
        <w:tab w:val="right" w:pos="9638"/>
      </w:tabs>
      <w:rPr>
        <w:b/>
        <w:sz w:val="18"/>
      </w:rPr>
    </w:pPr>
    <w:r>
      <w:t>GE.17-02431</w:t>
    </w:r>
    <w:r>
      <w:tab/>
    </w: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35</w:t>
    </w:r>
    <w:r w:rsidRPr="00E558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Default="00AC5BC7" w:rsidP="00DD50E8">
    <w:pPr>
      <w:pStyle w:val="Footer"/>
      <w:spacing w:before="120" w:line="240" w:lineRule="auto"/>
    </w:pPr>
    <w:r>
      <w:rPr>
        <w:sz w:val="20"/>
      </w:rPr>
      <w:t>GE.</w:t>
    </w:r>
    <w:r>
      <w:rPr>
        <w:noProof/>
        <w:lang w:val="en-GB" w:eastAsia="en-GB"/>
      </w:rPr>
      <w:drawing>
        <wp:anchor distT="0" distB="0" distL="114300" distR="114300" simplePos="0" relativeHeight="251665408" behindDoc="0" locked="1" layoutInCell="1" allowOverlap="1" wp14:anchorId="73D35601" wp14:editId="0D974F7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17-02431 (S)    220317    060417</w:t>
    </w:r>
    <w:r>
      <w:rPr>
        <w:sz w:val="20"/>
      </w:rPr>
      <w:br/>
    </w:r>
    <w:r w:rsidRPr="00897F5F">
      <w:rPr>
        <w:rFonts w:ascii="C39T30Lfz" w:hAnsi="C39T30Lfz"/>
        <w:sz w:val="56"/>
      </w:rPr>
      <w:t></w:t>
    </w:r>
    <w:r w:rsidRPr="00897F5F">
      <w:rPr>
        <w:rFonts w:ascii="C39T30Lfz" w:hAnsi="C39T30Lfz"/>
        <w:sz w:val="56"/>
      </w:rPr>
      <w:t></w:t>
    </w:r>
    <w:r w:rsidRPr="00897F5F">
      <w:rPr>
        <w:rFonts w:ascii="C39T30Lfz" w:hAnsi="C39T30Lfz"/>
        <w:sz w:val="56"/>
      </w:rPr>
      <w:t></w:t>
    </w:r>
    <w:r w:rsidRPr="00897F5F">
      <w:rPr>
        <w:rFonts w:ascii="C39T30Lfz" w:hAnsi="C39T30Lfz"/>
        <w:sz w:val="56"/>
      </w:rPr>
      <w:t></w:t>
    </w:r>
    <w:r w:rsidRPr="00897F5F">
      <w:rPr>
        <w:rFonts w:ascii="C39T30Lfz" w:hAnsi="C39T30Lfz"/>
        <w:sz w:val="56"/>
      </w:rPr>
      <w:t></w:t>
    </w:r>
    <w:r w:rsidRPr="00897F5F">
      <w:rPr>
        <w:rFonts w:ascii="C39T30Lfz" w:hAnsi="C39T30Lfz"/>
        <w:sz w:val="56"/>
      </w:rPr>
      <w:t></w:t>
    </w:r>
    <w:r w:rsidRPr="00897F5F">
      <w:rPr>
        <w:rFonts w:ascii="C39T30Lfz" w:hAnsi="C39T30Lfz"/>
        <w:sz w:val="56"/>
      </w:rPr>
      <w:t></w:t>
    </w:r>
    <w:r w:rsidRPr="00897F5F">
      <w:rPr>
        <w:rFonts w:ascii="C39T30Lfz" w:hAnsi="C39T30Lfz"/>
        <w:sz w:val="56"/>
      </w:rPr>
      <w:t></w:t>
    </w:r>
    <w:r w:rsidRPr="00897F5F">
      <w:rPr>
        <w:rFonts w:ascii="C39T30Lfz" w:hAnsi="C39T30Lfz"/>
        <w:sz w:val="56"/>
      </w:rPr>
      <w:t></w:t>
    </w:r>
    <w:r>
      <w:rPr>
        <w:noProof/>
        <w:sz w:val="20"/>
        <w:lang w:val="en-GB" w:eastAsia="en-GB"/>
      </w:rPr>
      <w:drawing>
        <wp:anchor distT="0" distB="0" distL="114300" distR="114300" simplePos="0" relativeHeight="251664384" behindDoc="0" locked="0" layoutInCell="1" allowOverlap="1" wp14:anchorId="00CF44E6" wp14:editId="2A92CA6D">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ST/SG/AC.10/4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C5BC7" w:rsidRDefault="00AC5BC7" w:rsidP="00546FCD">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40</w:t>
                          </w:r>
                          <w:r w:rsidRPr="00E558FB">
                            <w:rPr>
                              <w:b/>
                              <w:sz w:val="18"/>
                            </w:rPr>
                            <w:fldChar w:fldCharType="end"/>
                          </w:r>
                          <w:r>
                            <w:rPr>
                              <w:sz w:val="18"/>
                            </w:rPr>
                            <w:tab/>
                          </w:r>
                          <w:r>
                            <w:t>GE.17-02431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9" o:spid="_x0000_s1064"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" filled="f" stroked="f">
              <v:stroke joinstyle="round"/>
              <v:path arrowok="t"/>
              <v:textbox style="layout-flow:vertical" inset="0,0,0,0">
                <w:txbxContent>
                  <w:p w:rsidR="00AC5BC7" w:rsidRDefault="00AC5BC7" w:rsidP="00546FCD">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40</w:t>
                    </w:r>
                    <w:r w:rsidRPr="00E558FB">
                      <w:rPr>
                        <w:b/>
                        <w:sz w:val="18"/>
                      </w:rPr>
                      <w:fldChar w:fldCharType="end"/>
                    </w:r>
                    <w:r>
                      <w:rPr>
                        <w:sz w:val="18"/>
                      </w:rPr>
                      <w:tab/>
                    </w:r>
                    <w:r>
                      <w:t>GE.17-02431</w:t>
                    </w: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pPr>
      <w:pStyle w:val="Footer"/>
    </w:pPr>
    <w:r>
      <w:rPr>
        <w:noProof/>
        <w:lang w:val="en-GB" w:eastAsia="en-GB"/>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C5BC7" w:rsidRPr="00546FCD" w:rsidRDefault="00AC5BC7" w:rsidP="007A3AD0">
                          <w:pPr>
                            <w:pStyle w:val="Footer"/>
                            <w:tabs>
                              <w:tab w:val="right" w:pos="9638"/>
                            </w:tabs>
                          </w:pPr>
                          <w:r>
                            <w:t>GE.17-02431</w:t>
                          </w:r>
                          <w:r>
                            <w:tab/>
                          </w: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41</w:t>
                          </w:r>
                          <w:r w:rsidRPr="00E558FB">
                            <w:rPr>
                              <w:b/>
                              <w:sz w:val="18"/>
                            </w:rPr>
                            <w:fldChar w:fldCharType="end"/>
                          </w:r>
                        </w:p>
                        <w:p w:rsidR="00AC5BC7" w:rsidRDefault="00AC5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8" o:spid="_x0000_s1065" type="#_x0000_t202" style="position:absolute;margin-left:-34pt;margin-top:0;width:17.25pt;height:48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" filled="f" stroked="f">
              <v:stroke joinstyle="round"/>
              <v:path arrowok="t"/>
              <v:textbox style="layout-flow:vertical" inset="0,0,0,0">
                <w:txbxContent>
                  <w:p w:rsidR="00AC5BC7" w:rsidRPr="00546FCD" w:rsidRDefault="00AC5BC7" w:rsidP="007A3AD0">
                    <w:pPr>
                      <w:pStyle w:val="Footer"/>
                      <w:tabs>
                        <w:tab w:val="right" w:pos="9638"/>
                      </w:tabs>
                    </w:pPr>
                    <w:r>
                      <w:t>GE.17-02431</w:t>
                    </w:r>
                    <w:r>
                      <w:tab/>
                    </w: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41</w:t>
                    </w:r>
                    <w:r w:rsidRPr="00E558FB">
                      <w:rPr>
                        <w:b/>
                        <w:sz w:val="18"/>
                      </w:rPr>
                      <w:fldChar w:fldCharType="end"/>
                    </w:r>
                  </w:p>
                  <w:p w:rsidR="00AC5BC7" w:rsidRDefault="00AC5BC7"/>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897F5F" w:rsidRDefault="00AC5BC7" w:rsidP="00897F5F">
    <w:pPr>
      <w:pStyle w:val="Footer"/>
      <w:tabs>
        <w:tab w:val="right" w:pos="9638"/>
      </w:tabs>
    </w:pPr>
    <w:r w:rsidRPr="00897F5F">
      <w:rPr>
        <w:b/>
        <w:sz w:val="18"/>
      </w:rPr>
      <w:fldChar w:fldCharType="begin"/>
    </w:r>
    <w:r w:rsidRPr="00897F5F">
      <w:rPr>
        <w:b/>
        <w:sz w:val="18"/>
      </w:rPr>
      <w:instrText xml:space="preserve"> PAGE  \* MERGEFORMAT </w:instrText>
    </w:r>
    <w:r w:rsidRPr="00897F5F">
      <w:rPr>
        <w:b/>
        <w:sz w:val="18"/>
      </w:rPr>
      <w:fldChar w:fldCharType="separate"/>
    </w:r>
    <w:r w:rsidR="00610E46">
      <w:rPr>
        <w:b/>
        <w:noProof/>
        <w:sz w:val="18"/>
      </w:rPr>
      <w:t>50</w:t>
    </w:r>
    <w:r w:rsidRPr="00897F5F">
      <w:rPr>
        <w:b/>
        <w:sz w:val="18"/>
      </w:rPr>
      <w:fldChar w:fldCharType="end"/>
    </w:r>
    <w:r>
      <w:rPr>
        <w:b/>
        <w:sz w:val="18"/>
      </w:rPr>
      <w:tab/>
    </w:r>
    <w:r>
      <w:t>GE.17-02431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897F5F" w:rsidRDefault="00AC5BC7" w:rsidP="00897F5F">
    <w:pPr>
      <w:pStyle w:val="Footer"/>
      <w:tabs>
        <w:tab w:val="right" w:pos="9638"/>
      </w:tabs>
      <w:rPr>
        <w:b/>
        <w:sz w:val="18"/>
      </w:rPr>
    </w:pPr>
    <w:r>
      <w:t>GE.17-02431</w:t>
    </w:r>
    <w:r>
      <w:tab/>
    </w:r>
    <w:r w:rsidRPr="00897F5F">
      <w:rPr>
        <w:b/>
        <w:sz w:val="18"/>
      </w:rPr>
      <w:fldChar w:fldCharType="begin"/>
    </w:r>
    <w:r w:rsidRPr="00897F5F">
      <w:rPr>
        <w:b/>
        <w:sz w:val="18"/>
      </w:rPr>
      <w:instrText xml:space="preserve"> PAGE  \* MERGEFORMAT </w:instrText>
    </w:r>
    <w:r w:rsidRPr="00897F5F">
      <w:rPr>
        <w:b/>
        <w:sz w:val="18"/>
      </w:rPr>
      <w:fldChar w:fldCharType="separate"/>
    </w:r>
    <w:r w:rsidR="00610E46">
      <w:rPr>
        <w:b/>
        <w:noProof/>
        <w:sz w:val="18"/>
      </w:rPr>
      <w:t>49</w:t>
    </w:r>
    <w:r w:rsidRPr="00897F5F">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DD50E8" w:rsidRDefault="00AC5BC7" w:rsidP="00C35199">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610E46">
      <w:rPr>
        <w:b/>
        <w:noProof/>
        <w:sz w:val="18"/>
      </w:rPr>
      <w:t>42</w:t>
    </w:r>
    <w:r w:rsidRPr="00E558FB">
      <w:rPr>
        <w:b/>
        <w:sz w:val="18"/>
      </w:rPr>
      <w:fldChar w:fldCharType="end"/>
    </w:r>
    <w:r>
      <w:rPr>
        <w:sz w:val="18"/>
      </w:rPr>
      <w:tab/>
    </w:r>
    <w:r>
      <w:t>GE.17-02431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F2" w:rsidRPr="001075E9" w:rsidRDefault="00E32FF2" w:rsidP="001075E9">
      <w:pPr>
        <w:tabs>
          <w:tab w:val="right" w:pos="2155"/>
        </w:tabs>
        <w:spacing w:after="80" w:line="240" w:lineRule="auto"/>
        <w:ind w:left="680"/>
        <w:rPr>
          <w:u w:val="single"/>
        </w:rPr>
      </w:pPr>
      <w:r>
        <w:rPr>
          <w:u w:val="single"/>
        </w:rPr>
        <w:tab/>
      </w:r>
    </w:p>
  </w:footnote>
  <w:footnote w:type="continuationSeparator" w:id="0">
    <w:p w:rsidR="00E32FF2" w:rsidRDefault="00E32FF2" w:rsidP="00EB11DA">
      <w:pPr>
        <w:tabs>
          <w:tab w:val="right" w:pos="2155"/>
        </w:tabs>
        <w:spacing w:after="80" w:line="240" w:lineRule="auto"/>
        <w:ind w:left="680"/>
        <w:rPr>
          <w:u w:val="single"/>
        </w:rPr>
      </w:pPr>
      <w:r>
        <w:rPr>
          <w:u w:val="single"/>
        </w:rPr>
        <w:tab/>
      </w:r>
    </w:p>
  </w:footnote>
  <w:footnote w:id="1">
    <w:p w:rsidR="00AC5BC7" w:rsidRPr="003C3CFC" w:rsidRDefault="00AC5BC7">
      <w:pPr>
        <w:pStyle w:val="FootnoteText"/>
        <w:rPr>
          <w:szCs w:val="18"/>
        </w:rPr>
      </w:pPr>
      <w:r>
        <w:rPr>
          <w:rStyle w:val="FootnoteReference"/>
        </w:rPr>
        <w:tab/>
      </w:r>
      <w:r w:rsidRPr="00232FA4">
        <w:rPr>
          <w:rStyle w:val="FootnoteReference"/>
          <w:sz w:val="20"/>
          <w:vertAlign w:val="baseline"/>
        </w:rPr>
        <w:t>*</w:t>
      </w:r>
      <w:r w:rsidRPr="00232FA4">
        <w:rPr>
          <w:sz w:val="20"/>
        </w:rPr>
        <w:tab/>
      </w:r>
      <w:r w:rsidRPr="003C3CFC">
        <w:rPr>
          <w:szCs w:val="18"/>
        </w:rPr>
        <w:t>Por razone</w:t>
      </w:r>
      <w:r>
        <w:rPr>
          <w:szCs w:val="18"/>
        </w:rPr>
        <w:t>s técnicas, la versión en papel de este documento se imprime en blanco y negro. En relación con las páginas 36 a 41, deberá consultarse la versión electrónica.</w:t>
      </w:r>
    </w:p>
  </w:footnote>
  <w:footnote w:id="2">
    <w:p w:rsidR="00AC5BC7" w:rsidRPr="004F538C" w:rsidRDefault="00AC5BC7" w:rsidP="007A3AD0">
      <w:pPr>
        <w:pStyle w:val="FootnoteText"/>
        <w:rPr>
          <w:i/>
        </w:rPr>
      </w:pPr>
      <w:r>
        <w:rPr>
          <w:i/>
        </w:rPr>
        <w:tab/>
      </w:r>
      <w:r w:rsidRPr="00A268A3">
        <w:rPr>
          <w:rStyle w:val="FootnoteReference"/>
        </w:rPr>
        <w:footnoteRef/>
      </w:r>
      <w:r w:rsidRPr="004F538C">
        <w:rPr>
          <w:i/>
        </w:rPr>
        <w:tab/>
        <w:t>Directrices</w:t>
      </w:r>
      <w:r>
        <w:rPr>
          <w:i/>
        </w:rPr>
        <w:t xml:space="preserve"> </w:t>
      </w:r>
      <w:r w:rsidRPr="004F538C">
        <w:rPr>
          <w:i/>
        </w:rPr>
        <w:t>de</w:t>
      </w:r>
      <w:r>
        <w:rPr>
          <w:i/>
        </w:rPr>
        <w:t xml:space="preserve"> </w:t>
      </w:r>
      <w:r w:rsidRPr="004F538C">
        <w:rPr>
          <w:i/>
        </w:rPr>
        <w:t>la</w:t>
      </w:r>
      <w:r>
        <w:rPr>
          <w:i/>
        </w:rPr>
        <w:t xml:space="preserve"> </w:t>
      </w:r>
      <w:r w:rsidRPr="004F538C">
        <w:rPr>
          <w:i/>
        </w:rPr>
        <w:t>OCDE</w:t>
      </w:r>
      <w:r>
        <w:rPr>
          <w:i/>
        </w:rPr>
        <w:t xml:space="preserve"> </w:t>
      </w:r>
      <w:r w:rsidRPr="004F538C">
        <w:rPr>
          <w:i/>
        </w:rPr>
        <w:t>para</w:t>
      </w:r>
      <w:r>
        <w:rPr>
          <w:i/>
        </w:rPr>
        <w:t xml:space="preserve"> </w:t>
      </w:r>
      <w:r w:rsidRPr="004F538C">
        <w:rPr>
          <w:i/>
        </w:rPr>
        <w:t>los</w:t>
      </w:r>
      <w:r>
        <w:rPr>
          <w:i/>
        </w:rPr>
        <w:t xml:space="preserve"> </w:t>
      </w:r>
      <w:r w:rsidRPr="004F538C">
        <w:rPr>
          <w:i/>
        </w:rPr>
        <w:t>ensayos</w:t>
      </w:r>
      <w:r>
        <w:rPr>
          <w:i/>
        </w:rPr>
        <w:t xml:space="preserve"> </w:t>
      </w:r>
      <w:r w:rsidRPr="004F538C">
        <w:rPr>
          <w:i/>
        </w:rPr>
        <w:t>de</w:t>
      </w:r>
      <w:r>
        <w:rPr>
          <w:i/>
        </w:rPr>
        <w:t xml:space="preserve"> </w:t>
      </w:r>
      <w:r w:rsidRPr="004F538C">
        <w:rPr>
          <w:i/>
        </w:rPr>
        <w:t>productos</w:t>
      </w:r>
      <w:r>
        <w:rPr>
          <w:i/>
        </w:rPr>
        <w:t xml:space="preserve"> </w:t>
      </w:r>
      <w:r w:rsidRPr="004F538C">
        <w:rPr>
          <w:i/>
        </w:rPr>
        <w:t>químicos</w:t>
      </w:r>
      <w:r>
        <w:rPr>
          <w:i/>
        </w:rPr>
        <w:t xml:space="preserve"> núm. </w:t>
      </w:r>
      <w:r w:rsidRPr="004F538C">
        <w:rPr>
          <w:i/>
        </w:rPr>
        <w:t>404</w:t>
      </w:r>
      <w:r>
        <w:rPr>
          <w:i/>
        </w:rPr>
        <w:t xml:space="preserve"> “</w:t>
      </w:r>
      <w:r w:rsidRPr="004F538C">
        <w:rPr>
          <w:i/>
        </w:rPr>
        <w:t>Acute</w:t>
      </w:r>
      <w:r>
        <w:rPr>
          <w:i/>
        </w:rPr>
        <w:t xml:space="preserve"> </w:t>
      </w:r>
      <w:r w:rsidRPr="004F538C">
        <w:rPr>
          <w:i/>
        </w:rPr>
        <w:t>Dermal</w:t>
      </w:r>
    </w:p>
    <w:p w:rsidR="00AC5BC7" w:rsidRPr="004F538C" w:rsidRDefault="00AC5BC7" w:rsidP="007A3AD0">
      <w:pPr>
        <w:pStyle w:val="FootnoteText"/>
      </w:pPr>
      <w:r w:rsidRPr="004F538C">
        <w:rPr>
          <w:i/>
        </w:rPr>
        <w:tab/>
      </w:r>
      <w:r w:rsidRPr="004F538C">
        <w:rPr>
          <w:i/>
        </w:rPr>
        <w:tab/>
        <w:t>Irritation/Corrosion</w:t>
      </w:r>
      <w:r>
        <w:rPr>
          <w:i/>
        </w:rPr>
        <w:t>”</w:t>
      </w:r>
      <w:r w:rsidRPr="004F538C">
        <w:rPr>
          <w:i/>
        </w:rPr>
        <w:t>, 2015</w:t>
      </w:r>
      <w:r>
        <w:rPr>
          <w:i/>
        </w:rPr>
        <w:t>.</w:t>
      </w:r>
    </w:p>
  </w:footnote>
  <w:footnote w:id="3">
    <w:p w:rsidR="00AC5BC7" w:rsidRPr="00A268A3" w:rsidRDefault="00AC5BC7" w:rsidP="007A3AD0">
      <w:pPr>
        <w:pStyle w:val="FootnoteText"/>
      </w:pPr>
      <w:r w:rsidRPr="004F538C">
        <w:tab/>
      </w:r>
      <w:r w:rsidRPr="00A268A3">
        <w:rPr>
          <w:rStyle w:val="FootnoteReference"/>
        </w:rPr>
        <w:footnoteRef/>
      </w:r>
      <w:r w:rsidRPr="004F538C">
        <w:tab/>
      </w:r>
      <w:r w:rsidRPr="004F538C">
        <w:rPr>
          <w:i/>
        </w:rPr>
        <w:t xml:space="preserve">Directrices de la OCDE para los ensayos de productos químicos </w:t>
      </w:r>
      <w:r>
        <w:rPr>
          <w:i/>
        </w:rPr>
        <w:t>núm.</w:t>
      </w:r>
      <w:r w:rsidRPr="004F538C">
        <w:rPr>
          <w:i/>
        </w:rPr>
        <w:t xml:space="preserve"> 435 </w:t>
      </w:r>
      <w:r>
        <w:rPr>
          <w:i/>
        </w:rPr>
        <w:t>“</w:t>
      </w:r>
      <w:r w:rsidRPr="004F538C">
        <w:rPr>
          <w:i/>
        </w:rPr>
        <w:t>In Vitro Membrane Barrier</w:t>
      </w:r>
      <w:r>
        <w:rPr>
          <w:i/>
        </w:rPr>
        <w:t xml:space="preserve">. </w:t>
      </w:r>
      <w:r w:rsidRPr="00D01E00">
        <w:rPr>
          <w:i/>
        </w:rPr>
        <w:t>Test Method for Skin Corrosion</w:t>
      </w:r>
      <w:r>
        <w:rPr>
          <w:i/>
        </w:rPr>
        <w:t>”</w:t>
      </w:r>
      <w:r w:rsidRPr="00D01E00">
        <w:rPr>
          <w:i/>
        </w:rPr>
        <w:t>,</w:t>
      </w:r>
      <w:r w:rsidRPr="00A268A3">
        <w:rPr>
          <w:i/>
        </w:rPr>
        <w:t xml:space="preserve"> 2015</w:t>
      </w:r>
      <w:r>
        <w:rPr>
          <w:i/>
        </w:rPr>
        <w:t>.</w:t>
      </w:r>
    </w:p>
  </w:footnote>
  <w:footnote w:id="4">
    <w:p w:rsidR="00AC5BC7" w:rsidRPr="004F538C" w:rsidRDefault="00AC5BC7" w:rsidP="007A3AD0">
      <w:pPr>
        <w:pStyle w:val="FootnoteText"/>
      </w:pPr>
      <w:r>
        <w:tab/>
      </w:r>
      <w:r w:rsidRPr="00A268A3">
        <w:rPr>
          <w:rStyle w:val="FootnoteReference"/>
        </w:rPr>
        <w:footnoteRef/>
      </w:r>
      <w:r w:rsidRPr="004F538C">
        <w:tab/>
      </w:r>
      <w:r w:rsidRPr="004F538C">
        <w:rPr>
          <w:i/>
        </w:rPr>
        <w:t xml:space="preserve">Directrices de la OCDE para los ensayos de productos químicos </w:t>
      </w:r>
      <w:r>
        <w:rPr>
          <w:i/>
        </w:rPr>
        <w:t>núm.</w:t>
      </w:r>
      <w:r w:rsidRPr="004F538C">
        <w:rPr>
          <w:i/>
        </w:rPr>
        <w:t xml:space="preserve"> 430 </w:t>
      </w:r>
      <w:r>
        <w:rPr>
          <w:i/>
        </w:rPr>
        <w:t>“</w:t>
      </w:r>
      <w:r w:rsidRPr="004F538C">
        <w:rPr>
          <w:i/>
        </w:rPr>
        <w:t>In Vitro Skin Corrosion: Transcutaneous Electrical Resistance Test (TER)</w:t>
      </w:r>
      <w:r>
        <w:rPr>
          <w:i/>
        </w:rPr>
        <w:t>”</w:t>
      </w:r>
      <w:r w:rsidRPr="004F538C">
        <w:rPr>
          <w:i/>
        </w:rPr>
        <w:t>, 2015</w:t>
      </w:r>
      <w:r>
        <w:rPr>
          <w:i/>
        </w:rPr>
        <w:t>.</w:t>
      </w:r>
    </w:p>
  </w:footnote>
  <w:footnote w:id="5">
    <w:p w:rsidR="00AC5BC7" w:rsidRPr="004F538C" w:rsidRDefault="00AC5BC7" w:rsidP="007A3AD0">
      <w:pPr>
        <w:pStyle w:val="FootnoteText"/>
      </w:pPr>
      <w:r w:rsidRPr="004F538C">
        <w:tab/>
      </w:r>
      <w:r w:rsidRPr="00A268A3">
        <w:rPr>
          <w:rStyle w:val="FootnoteReference"/>
        </w:rPr>
        <w:footnoteRef/>
      </w:r>
      <w:r w:rsidRPr="004F538C">
        <w:tab/>
      </w:r>
      <w:r w:rsidRPr="004F538C">
        <w:rPr>
          <w:i/>
        </w:rPr>
        <w:t xml:space="preserve">Directrices de la OCDE para los ensayos de productos químicos </w:t>
      </w:r>
      <w:r>
        <w:rPr>
          <w:i/>
        </w:rPr>
        <w:t>núm.</w:t>
      </w:r>
      <w:r w:rsidRPr="004F538C">
        <w:rPr>
          <w:i/>
        </w:rPr>
        <w:t xml:space="preserve"> 431 </w:t>
      </w:r>
      <w:r>
        <w:rPr>
          <w:i/>
        </w:rPr>
        <w:t>“</w:t>
      </w:r>
      <w:r w:rsidRPr="004F538C">
        <w:rPr>
          <w:i/>
        </w:rPr>
        <w:t>In Vitro Skin Corrosion: Human Skin Model Test</w:t>
      </w:r>
      <w:r>
        <w:rPr>
          <w:i/>
        </w:rPr>
        <w:t>”</w:t>
      </w:r>
      <w:r w:rsidRPr="004F538C">
        <w:rPr>
          <w:i/>
        </w:rPr>
        <w:t>, 2015</w:t>
      </w:r>
      <w:r>
        <w:rPr>
          <w:i/>
        </w:rPr>
        <w:t>.</w:t>
      </w:r>
    </w:p>
  </w:footnote>
  <w:footnote w:id="6">
    <w:p w:rsidR="00AC5BC7" w:rsidRDefault="00AC5BC7">
      <w:pPr>
        <w:pStyle w:val="FootnoteText"/>
      </w:pPr>
      <w:r>
        <w:rPr>
          <w:rStyle w:val="FootnoteReference"/>
        </w:rPr>
        <w:tab/>
        <w:t>1</w:t>
      </w:r>
      <w:r>
        <w:tab/>
      </w:r>
      <w:r w:rsidRPr="004F538C">
        <w:t>La TPAA se determinará mediante los métodos de prueba establecidos en la sección 28 de l</w:t>
      </w:r>
      <w:r>
        <w:t>a p</w:t>
      </w:r>
      <w:r w:rsidRPr="004F538C">
        <w:t>arte II del Manual de</w:t>
      </w:r>
      <w:r>
        <w:t xml:space="preserve"> </w:t>
      </w:r>
      <w:r w:rsidRPr="004F538C">
        <w:t>Pruebas</w:t>
      </w:r>
      <w:r>
        <w:t xml:space="preserve"> </w:t>
      </w:r>
      <w:r w:rsidRPr="004F538C">
        <w:t>y</w:t>
      </w:r>
      <w:r>
        <w:t xml:space="preserve"> </w:t>
      </w:r>
      <w:r w:rsidRPr="004F538C">
        <w:t>Criterios</w:t>
      </w:r>
      <w:r>
        <w:t xml:space="preserve"> </w:t>
      </w:r>
      <w:r w:rsidRPr="004F538C">
        <w:t>para</w:t>
      </w:r>
      <w:r>
        <w:t xml:space="preserve"> </w:t>
      </w:r>
      <w:r w:rsidRPr="004F538C">
        <w:t>determinar</w:t>
      </w:r>
      <w:r>
        <w:t xml:space="preserve"> </w:t>
      </w:r>
      <w:r w:rsidRPr="004F538C">
        <w:t>la</w:t>
      </w:r>
      <w:r>
        <w:t xml:space="preserve"> </w:t>
      </w:r>
      <w:r w:rsidRPr="004F538C">
        <w:t>temperatura</w:t>
      </w:r>
      <w:r>
        <w:t xml:space="preserve"> </w:t>
      </w:r>
      <w:r w:rsidRPr="004F538C">
        <w:t>de descomposición autoacelerada de las sustancias que reaccionan espontáneamente.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pPr>
      <w:pStyle w:val="Header"/>
    </w:pPr>
    <w:r w:rsidRPr="00AD7B41">
      <w:t>ST/SG/AC.10/44/Add.1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pPr>
      <w:pStyle w:val="Header"/>
      <w:jc w:val="right"/>
    </w:pPr>
    <w:r w:rsidRPr="00AD7B41">
      <w:t>ST/SG/AC.10/44/Add</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9791700</wp:posOffset>
              </wp:positionH>
              <wp:positionV relativeFrom="margin">
                <wp:posOffset>0</wp:posOffset>
              </wp:positionV>
              <wp:extent cx="219075" cy="6124575"/>
              <wp:effectExtent l="0" t="0" r="9525" b="952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C5BC7" w:rsidRPr="00E558FB" w:rsidRDefault="00AC5BC7" w:rsidP="007A3AD0">
                          <w:pPr>
                            <w:pStyle w:val="Header"/>
                          </w:pPr>
                          <w:r>
                            <w:t>ST/SG/AC.10/44/Add.1</w:t>
                          </w:r>
                        </w:p>
                        <w:p w:rsidR="00AC5BC7" w:rsidRDefault="00AC5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1" o:spid="_x0000_s1062"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" filled="f" stroked="f">
              <v:stroke joinstyle="round"/>
              <v:path arrowok="t"/>
              <v:textbox style="layout-flow:vertical" inset="0,0,0,0">
                <w:txbxContent>
                  <w:p w:rsidR="00AC5BC7" w:rsidRPr="00E558FB" w:rsidRDefault="00AC5BC7" w:rsidP="007A3AD0">
                    <w:pPr>
                      <w:pStyle w:val="Header"/>
                    </w:pPr>
                    <w:r>
                      <w:t>ST/SG/AC.10/44/Add.1</w:t>
                    </w:r>
                  </w:p>
                  <w:p w:rsidR="00AC5BC7" w:rsidRDefault="00AC5BC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E558FB" w:rsidRDefault="00AC5BC7" w:rsidP="007A3AD0">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9791700</wp:posOffset>
              </wp:positionH>
              <wp:positionV relativeFrom="margin">
                <wp:posOffset>0</wp:posOffset>
              </wp:positionV>
              <wp:extent cx="219075" cy="6124575"/>
              <wp:effectExtent l="0" t="0" r="9525" b="952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C5BC7" w:rsidRPr="00E558FB" w:rsidRDefault="00AC5BC7" w:rsidP="007A3AD0">
                          <w:pPr>
                            <w:pStyle w:val="Header"/>
                            <w:jc w:val="right"/>
                          </w:pPr>
                          <w:r>
                            <w:t>ST/SG/AC.10/44/Add.1</w:t>
                          </w:r>
                        </w:p>
                        <w:p w:rsidR="00AC5BC7" w:rsidRDefault="00AC5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0" o:spid="_x0000_s1063" type="#_x0000_t202" style="position:absolute;margin-left:771pt;margin-top:0;width:17.25pt;height:48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" filled="f" stroked="f">
              <v:stroke joinstyle="round"/>
              <v:path arrowok="t"/>
              <v:textbox style="layout-flow:vertical" inset="0,0,0,0">
                <w:txbxContent>
                  <w:p w:rsidR="00AC5BC7" w:rsidRPr="00E558FB" w:rsidRDefault="00AC5BC7" w:rsidP="007A3AD0">
                    <w:pPr>
                      <w:pStyle w:val="Header"/>
                      <w:jc w:val="right"/>
                    </w:pPr>
                    <w:r>
                      <w:t>ST/SG/AC.10/44/Add.1</w:t>
                    </w:r>
                  </w:p>
                  <w:p w:rsidR="00AC5BC7" w:rsidRDefault="00AC5BC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Default="00AC5B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897F5F" w:rsidRDefault="00E32FF2">
    <w:pPr>
      <w:pStyle w:val="Header"/>
    </w:pPr>
    <w:fldSimple w:instr=" TITLE  \* MERGEFORMAT ">
      <w:r w:rsidR="00610E46">
        <w:t>ST/SG/AC.10/44/Add.1</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Pr="00897F5F" w:rsidRDefault="00E32FF2" w:rsidP="00897F5F">
    <w:pPr>
      <w:pStyle w:val="Header"/>
      <w:jc w:val="right"/>
    </w:pPr>
    <w:fldSimple w:instr=" TITLE  \* MERGEFORMAT ">
      <w:r w:rsidR="00610E46">
        <w:t>ST/SG/AC.10/44/Add.1</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7" w:rsidRDefault="00E32FF2">
    <w:pPr>
      <w:pStyle w:val="Header"/>
    </w:pPr>
    <w:fldSimple w:instr=" TITLE  \* MERGEFORMAT ">
      <w:r w:rsidR="00610E46">
        <w:t>ST/SG/AC.10/44/Add.1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6">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4">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4"/>
  </w:num>
  <w:num w:numId="3">
    <w:abstractNumId w:val="28"/>
  </w:num>
  <w:num w:numId="4">
    <w:abstractNumId w:val="25"/>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7"/>
  </w:num>
  <w:num w:numId="18">
    <w:abstractNumId w:val="30"/>
  </w:num>
  <w:num w:numId="19">
    <w:abstractNumId w:val="11"/>
  </w:num>
  <w:num w:numId="20">
    <w:abstractNumId w:val="23"/>
  </w:num>
  <w:num w:numId="21">
    <w:abstractNumId w:val="21"/>
  </w:num>
  <w:num w:numId="22">
    <w:abstractNumId w:val="21"/>
    <w:lvlOverride w:ilvl="0">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16"/>
  </w:num>
  <w:num w:numId="27">
    <w:abstractNumId w:val="12"/>
  </w:num>
  <w:num w:numId="28">
    <w:abstractNumId w:val="10"/>
  </w:num>
  <w:num w:numId="29">
    <w:abstractNumId w:val="26"/>
  </w:num>
  <w:num w:numId="30">
    <w:abstractNumId w:val="24"/>
  </w:num>
  <w:num w:numId="31">
    <w:abstractNumId w:val="13"/>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79"/>
    <w:rsid w:val="0000146C"/>
    <w:rsid w:val="00002301"/>
    <w:rsid w:val="00012C79"/>
    <w:rsid w:val="0003450A"/>
    <w:rsid w:val="00036CBB"/>
    <w:rsid w:val="000560CF"/>
    <w:rsid w:val="0008650D"/>
    <w:rsid w:val="00086813"/>
    <w:rsid w:val="000A118E"/>
    <w:rsid w:val="000B57E7"/>
    <w:rsid w:val="000D186A"/>
    <w:rsid w:val="000F09DF"/>
    <w:rsid w:val="000F61B2"/>
    <w:rsid w:val="001075E9"/>
    <w:rsid w:val="00116333"/>
    <w:rsid w:val="001667A2"/>
    <w:rsid w:val="00167FE3"/>
    <w:rsid w:val="00180183"/>
    <w:rsid w:val="00196389"/>
    <w:rsid w:val="001A52A0"/>
    <w:rsid w:val="001A5673"/>
    <w:rsid w:val="001C7A89"/>
    <w:rsid w:val="001E213E"/>
    <w:rsid w:val="001E431C"/>
    <w:rsid w:val="001F1400"/>
    <w:rsid w:val="002041AD"/>
    <w:rsid w:val="00215028"/>
    <w:rsid w:val="00221289"/>
    <w:rsid w:val="00232FA4"/>
    <w:rsid w:val="00245D7C"/>
    <w:rsid w:val="00261C14"/>
    <w:rsid w:val="002A072B"/>
    <w:rsid w:val="002A2EFC"/>
    <w:rsid w:val="002A4CD5"/>
    <w:rsid w:val="002D5AAC"/>
    <w:rsid w:val="00301299"/>
    <w:rsid w:val="00322004"/>
    <w:rsid w:val="003402C2"/>
    <w:rsid w:val="00354807"/>
    <w:rsid w:val="00370D6A"/>
    <w:rsid w:val="00381C24"/>
    <w:rsid w:val="003904D0"/>
    <w:rsid w:val="003958D0"/>
    <w:rsid w:val="003B4E67"/>
    <w:rsid w:val="003C3CFC"/>
    <w:rsid w:val="003E5057"/>
    <w:rsid w:val="00401044"/>
    <w:rsid w:val="00402521"/>
    <w:rsid w:val="00402B31"/>
    <w:rsid w:val="00416CBD"/>
    <w:rsid w:val="00442DD8"/>
    <w:rsid w:val="00454E07"/>
    <w:rsid w:val="004762CA"/>
    <w:rsid w:val="004C7BCB"/>
    <w:rsid w:val="004D6DA4"/>
    <w:rsid w:val="0050108D"/>
    <w:rsid w:val="00512683"/>
    <w:rsid w:val="00536D70"/>
    <w:rsid w:val="0054588C"/>
    <w:rsid w:val="00546FCD"/>
    <w:rsid w:val="005546EB"/>
    <w:rsid w:val="00555ED2"/>
    <w:rsid w:val="00557213"/>
    <w:rsid w:val="00565AED"/>
    <w:rsid w:val="00571AAE"/>
    <w:rsid w:val="00572E19"/>
    <w:rsid w:val="00585679"/>
    <w:rsid w:val="005E355F"/>
    <w:rsid w:val="005F0B42"/>
    <w:rsid w:val="00610E46"/>
    <w:rsid w:val="00637A26"/>
    <w:rsid w:val="006470EE"/>
    <w:rsid w:val="00682DBD"/>
    <w:rsid w:val="00686C8C"/>
    <w:rsid w:val="006B070E"/>
    <w:rsid w:val="006D000D"/>
    <w:rsid w:val="006E443C"/>
    <w:rsid w:val="006F35EE"/>
    <w:rsid w:val="006F6A88"/>
    <w:rsid w:val="007359F0"/>
    <w:rsid w:val="00744132"/>
    <w:rsid w:val="0076027A"/>
    <w:rsid w:val="00780E55"/>
    <w:rsid w:val="007A3AD0"/>
    <w:rsid w:val="007D356D"/>
    <w:rsid w:val="007D6339"/>
    <w:rsid w:val="007E7683"/>
    <w:rsid w:val="00824FCD"/>
    <w:rsid w:val="008322C7"/>
    <w:rsid w:val="00834B71"/>
    <w:rsid w:val="0086445C"/>
    <w:rsid w:val="00887D1B"/>
    <w:rsid w:val="00897F5F"/>
    <w:rsid w:val="008A08D7"/>
    <w:rsid w:val="008B03BC"/>
    <w:rsid w:val="008B39CF"/>
    <w:rsid w:val="008F1D6F"/>
    <w:rsid w:val="009016CA"/>
    <w:rsid w:val="00906890"/>
    <w:rsid w:val="00914C7D"/>
    <w:rsid w:val="00931C6C"/>
    <w:rsid w:val="00936F28"/>
    <w:rsid w:val="00951972"/>
    <w:rsid w:val="00953AA5"/>
    <w:rsid w:val="00956176"/>
    <w:rsid w:val="00956CBC"/>
    <w:rsid w:val="00965478"/>
    <w:rsid w:val="009659A8"/>
    <w:rsid w:val="009B189E"/>
    <w:rsid w:val="009B5447"/>
    <w:rsid w:val="009B7702"/>
    <w:rsid w:val="009D59FB"/>
    <w:rsid w:val="009F4B1D"/>
    <w:rsid w:val="00A069C9"/>
    <w:rsid w:val="00A1689D"/>
    <w:rsid w:val="00A3657E"/>
    <w:rsid w:val="00A50E4A"/>
    <w:rsid w:val="00A57FFB"/>
    <w:rsid w:val="00A917B3"/>
    <w:rsid w:val="00A94882"/>
    <w:rsid w:val="00A96B77"/>
    <w:rsid w:val="00AA635E"/>
    <w:rsid w:val="00AB4B51"/>
    <w:rsid w:val="00AC5BC7"/>
    <w:rsid w:val="00AD67A7"/>
    <w:rsid w:val="00AE38A2"/>
    <w:rsid w:val="00AE3F83"/>
    <w:rsid w:val="00AF4D43"/>
    <w:rsid w:val="00B106BA"/>
    <w:rsid w:val="00B10CC7"/>
    <w:rsid w:val="00B20E4A"/>
    <w:rsid w:val="00B51318"/>
    <w:rsid w:val="00B62458"/>
    <w:rsid w:val="00B83C9F"/>
    <w:rsid w:val="00B84F8F"/>
    <w:rsid w:val="00B950A6"/>
    <w:rsid w:val="00BA0EFD"/>
    <w:rsid w:val="00BB6E70"/>
    <w:rsid w:val="00BD33EE"/>
    <w:rsid w:val="00BD55EB"/>
    <w:rsid w:val="00BF56BC"/>
    <w:rsid w:val="00C35199"/>
    <w:rsid w:val="00C3530E"/>
    <w:rsid w:val="00C379D5"/>
    <w:rsid w:val="00C4496B"/>
    <w:rsid w:val="00C52CE8"/>
    <w:rsid w:val="00C60F0C"/>
    <w:rsid w:val="00C64D12"/>
    <w:rsid w:val="00C805C9"/>
    <w:rsid w:val="00C9360C"/>
    <w:rsid w:val="00CA1679"/>
    <w:rsid w:val="00CA6ADC"/>
    <w:rsid w:val="00CB1E16"/>
    <w:rsid w:val="00CB3851"/>
    <w:rsid w:val="00CC1610"/>
    <w:rsid w:val="00CD1DC4"/>
    <w:rsid w:val="00CF10F2"/>
    <w:rsid w:val="00D10B0B"/>
    <w:rsid w:val="00D26921"/>
    <w:rsid w:val="00D45916"/>
    <w:rsid w:val="00D90138"/>
    <w:rsid w:val="00D94C21"/>
    <w:rsid w:val="00DA3F09"/>
    <w:rsid w:val="00DA583D"/>
    <w:rsid w:val="00DD50E8"/>
    <w:rsid w:val="00DD5249"/>
    <w:rsid w:val="00DF5A25"/>
    <w:rsid w:val="00E117E1"/>
    <w:rsid w:val="00E32FF2"/>
    <w:rsid w:val="00E41E7C"/>
    <w:rsid w:val="00E73F76"/>
    <w:rsid w:val="00EA15A5"/>
    <w:rsid w:val="00EA53DF"/>
    <w:rsid w:val="00EB11DA"/>
    <w:rsid w:val="00EB568F"/>
    <w:rsid w:val="00EF1360"/>
    <w:rsid w:val="00EF3220"/>
    <w:rsid w:val="00F00C44"/>
    <w:rsid w:val="00F168DD"/>
    <w:rsid w:val="00F201EC"/>
    <w:rsid w:val="00F33585"/>
    <w:rsid w:val="00F3652F"/>
    <w:rsid w:val="00F503F1"/>
    <w:rsid w:val="00F7213E"/>
    <w:rsid w:val="00F80083"/>
    <w:rsid w:val="00F81279"/>
    <w:rsid w:val="00FA6AA6"/>
    <w:rsid w:val="00FB5CDD"/>
    <w:rsid w:val="00FC62A8"/>
    <w:rsid w:val="00FD2EF7"/>
    <w:rsid w:val="00FD4839"/>
    <w:rsid w:val="00FD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qFormat/>
    <w:rsid w:val="000560CF"/>
    <w:pPr>
      <w:keepNext/>
      <w:outlineLvl w:val="1"/>
    </w:pPr>
    <w:rPr>
      <w:rFonts w:cs="Arial"/>
      <w:bCs/>
      <w:iCs/>
      <w:szCs w:val="28"/>
    </w:rPr>
  </w:style>
  <w:style w:type="paragraph" w:styleId="Heading3">
    <w:name w:val="heading 3"/>
    <w:basedOn w:val="Normal"/>
    <w:next w:val="Normal"/>
    <w:link w:val="Heading3Char"/>
    <w:qFormat/>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0CF"/>
    <w:pPr>
      <w:keepNext/>
      <w:spacing w:before="240" w:after="60"/>
      <w:outlineLvl w:val="3"/>
    </w:pPr>
    <w:rPr>
      <w:b/>
      <w:bCs/>
      <w:sz w:val="28"/>
      <w:szCs w:val="28"/>
    </w:rPr>
  </w:style>
  <w:style w:type="paragraph" w:styleId="Heading5">
    <w:name w:val="heading 5"/>
    <w:basedOn w:val="Normal"/>
    <w:next w:val="Normal"/>
    <w:link w:val="Heading5Char"/>
    <w:qFormat/>
    <w:rsid w:val="000560CF"/>
    <w:pPr>
      <w:spacing w:before="240" w:after="60"/>
      <w:outlineLvl w:val="4"/>
    </w:pPr>
    <w:rPr>
      <w:b/>
      <w:bCs/>
      <w:i/>
      <w:iCs/>
      <w:sz w:val="26"/>
      <w:szCs w:val="26"/>
    </w:rPr>
  </w:style>
  <w:style w:type="paragraph" w:styleId="Heading6">
    <w:name w:val="heading 6"/>
    <w:basedOn w:val="Normal"/>
    <w:next w:val="Normal"/>
    <w:link w:val="Heading6Char"/>
    <w:qFormat/>
    <w:rsid w:val="000560CF"/>
    <w:pPr>
      <w:spacing w:before="240" w:after="60"/>
      <w:outlineLvl w:val="5"/>
    </w:pPr>
    <w:rPr>
      <w:b/>
      <w:bCs/>
      <w:sz w:val="22"/>
      <w:szCs w:val="22"/>
    </w:rPr>
  </w:style>
  <w:style w:type="paragraph" w:styleId="Heading7">
    <w:name w:val="heading 7"/>
    <w:basedOn w:val="Normal"/>
    <w:next w:val="Normal"/>
    <w:link w:val="Heading7Char"/>
    <w:qFormat/>
    <w:rsid w:val="000560CF"/>
    <w:pPr>
      <w:spacing w:before="240" w:after="60"/>
      <w:outlineLvl w:val="6"/>
    </w:pPr>
    <w:rPr>
      <w:sz w:val="24"/>
      <w:szCs w:val="24"/>
    </w:rPr>
  </w:style>
  <w:style w:type="paragraph" w:styleId="Heading8">
    <w:name w:val="heading 8"/>
    <w:basedOn w:val="Normal"/>
    <w:next w:val="Normal"/>
    <w:link w:val="Heading8Char"/>
    <w:qFormat/>
    <w:rsid w:val="000560CF"/>
    <w:pPr>
      <w:spacing w:before="240" w:after="60"/>
      <w:outlineLvl w:val="7"/>
    </w:pPr>
    <w:rPr>
      <w:i/>
      <w:iCs/>
      <w:sz w:val="24"/>
      <w:szCs w:val="24"/>
    </w:rPr>
  </w:style>
  <w:style w:type="paragraph" w:styleId="Heading9">
    <w:name w:val="heading 9"/>
    <w:basedOn w:val="Normal"/>
    <w:next w:val="Normal"/>
    <w:link w:val="Heading9Char"/>
    <w:qFormat/>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uiPriority w:val="99"/>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FB5CDD"/>
    <w:pPr>
      <w:pBdr>
        <w:bottom w:val="single" w:sz="4" w:space="4" w:color="auto"/>
      </w:pBdr>
      <w:spacing w:line="240" w:lineRule="auto"/>
    </w:pPr>
    <w:rPr>
      <w:b/>
      <w:sz w:val="18"/>
    </w:rPr>
  </w:style>
  <w:style w:type="paragraph" w:customStyle="1" w:styleId="SingleTxtG">
    <w:name w:val="_ Single Txt_G"/>
    <w:basedOn w:val="Normal"/>
    <w:link w:val="SingleTxtGZchnZchn"/>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rsid w:val="000560CF"/>
    <w:pPr>
      <w:tabs>
        <w:tab w:val="right" w:pos="1021"/>
      </w:tabs>
      <w:spacing w:line="220" w:lineRule="exact"/>
      <w:ind w:left="1134" w:right="1134" w:hanging="1134"/>
    </w:pPr>
    <w:rPr>
      <w:sz w:val="18"/>
    </w:rPr>
  </w:style>
  <w:style w:type="table" w:styleId="TableGrid">
    <w:name w:val="Table Grid"/>
    <w:basedOn w:val="TableNormal"/>
    <w:uiPriority w:val="59"/>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semiHidden/>
    <w:rsid w:val="000560CF"/>
    <w:pPr>
      <w:numPr>
        <w:numId w:val="5"/>
      </w:numPr>
    </w:pPr>
  </w:style>
  <w:style w:type="paragraph" w:styleId="Closing">
    <w:name w:val="Closing"/>
    <w:basedOn w:val="Normal"/>
    <w:link w:val="ClosingChar"/>
    <w:semiHidden/>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link w:val="HTMLAddressChar"/>
    <w:semiHidden/>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link w:val="MessageHeaderChar"/>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0560CF"/>
  </w:style>
  <w:style w:type="character" w:styleId="Emphasis">
    <w:name w:val="Emphasis"/>
    <w:basedOn w:val="DefaultParagraphFont"/>
    <w:qFormat/>
    <w:rsid w:val="000560CF"/>
    <w:rPr>
      <w:i/>
      <w:iCs/>
    </w:rPr>
  </w:style>
  <w:style w:type="paragraph" w:styleId="Date">
    <w:name w:val="Date"/>
    <w:basedOn w:val="Normal"/>
    <w:next w:val="Normal"/>
    <w:link w:val="DateChar"/>
    <w:semiHidden/>
    <w:rsid w:val="000560CF"/>
  </w:style>
  <w:style w:type="paragraph" w:styleId="Signature">
    <w:name w:val="Signature"/>
    <w:basedOn w:val="Normal"/>
    <w:link w:val="SignatureChar"/>
    <w:semiHidden/>
    <w:rsid w:val="000560CF"/>
    <w:pPr>
      <w:ind w:left="4252"/>
    </w:pPr>
  </w:style>
  <w:style w:type="paragraph" w:styleId="E-mailSignature">
    <w:name w:val="E-mail Signature"/>
    <w:basedOn w:val="Normal"/>
    <w:link w:val="E-mailSignatureChar"/>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link w:val="HTMLPreformattedChar"/>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semiHidden/>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uiPriority w:val="99"/>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rsid w:val="000560CF"/>
    <w:rPr>
      <w:b/>
      <w:sz w:val="18"/>
    </w:rPr>
  </w:style>
  <w:style w:type="character" w:styleId="EndnoteReference">
    <w:name w:val="endnote reference"/>
    <w:aliases w:val="1_G"/>
    <w:basedOn w:val="FootnoteReference"/>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link w:val="SalutationChar"/>
    <w:semiHidden/>
    <w:rsid w:val="000560CF"/>
  </w:style>
  <w:style w:type="paragraph" w:styleId="BodyTextIndent2">
    <w:name w:val="Body Text Indent 2"/>
    <w:basedOn w:val="Normal"/>
    <w:link w:val="BodyTextIndent2Char"/>
    <w:semiHidden/>
    <w:rsid w:val="000560CF"/>
    <w:pPr>
      <w:spacing w:after="120" w:line="480" w:lineRule="auto"/>
      <w:ind w:left="283"/>
    </w:pPr>
  </w:style>
  <w:style w:type="paragraph" w:styleId="BodyTextIndent3">
    <w:name w:val="Body Text Indent 3"/>
    <w:basedOn w:val="Normal"/>
    <w:link w:val="BodyTextIndent3Char"/>
    <w:semiHidden/>
    <w:rsid w:val="000560CF"/>
    <w:pPr>
      <w:spacing w:after="120"/>
      <w:ind w:left="283"/>
    </w:pPr>
    <w:rPr>
      <w:sz w:val="16"/>
      <w:szCs w:val="16"/>
    </w:rPr>
  </w:style>
  <w:style w:type="paragraph" w:styleId="BodyTextIndent">
    <w:name w:val="Body Text Indent"/>
    <w:basedOn w:val="Normal"/>
    <w:link w:val="BodyTextIndentChar"/>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link w:val="SubtitleChar"/>
    <w:qFormat/>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semiHidden/>
    <w:rsid w:val="000560CF"/>
    <w:pPr>
      <w:spacing w:after="120"/>
      <w:ind w:left="1440" w:right="1440"/>
    </w:pPr>
  </w:style>
  <w:style w:type="character" w:styleId="Strong">
    <w:name w:val="Strong"/>
    <w:basedOn w:val="DefaultParagraphFont"/>
    <w:qFormat/>
    <w:rsid w:val="000560CF"/>
    <w:rPr>
      <w:b/>
      <w:bCs/>
    </w:rPr>
  </w:style>
  <w:style w:type="paragraph" w:styleId="BodyText">
    <w:name w:val="Body Text"/>
    <w:basedOn w:val="Normal"/>
    <w:link w:val="BodyTextChar"/>
    <w:semiHidden/>
    <w:rsid w:val="000560CF"/>
    <w:pPr>
      <w:spacing w:after="120"/>
    </w:pPr>
  </w:style>
  <w:style w:type="paragraph" w:styleId="BodyText2">
    <w:name w:val="Body Text 2"/>
    <w:basedOn w:val="Normal"/>
    <w:link w:val="BodyText2Char"/>
    <w:semiHidden/>
    <w:rsid w:val="000560CF"/>
    <w:pPr>
      <w:spacing w:after="120" w:line="480" w:lineRule="auto"/>
    </w:pPr>
  </w:style>
  <w:style w:type="paragraph" w:styleId="BodyText3">
    <w:name w:val="Body Text 3"/>
    <w:basedOn w:val="Normal"/>
    <w:link w:val="BodyText3Char"/>
    <w:semiHidden/>
    <w:rsid w:val="000560CF"/>
    <w:pPr>
      <w:spacing w:after="120"/>
    </w:pPr>
    <w:rPr>
      <w:sz w:val="16"/>
      <w:szCs w:val="16"/>
    </w:rPr>
  </w:style>
  <w:style w:type="paragraph" w:styleId="BodyTextFirstIndent">
    <w:name w:val="Body Text First Indent"/>
    <w:basedOn w:val="BodyText"/>
    <w:link w:val="BodyTextFirstIndentChar"/>
    <w:semiHidden/>
    <w:rsid w:val="000560CF"/>
    <w:pPr>
      <w:ind w:firstLine="210"/>
    </w:pPr>
  </w:style>
  <w:style w:type="paragraph" w:styleId="BodyTextFirstIndent2">
    <w:name w:val="Body Text First Indent 2"/>
    <w:basedOn w:val="BodyTextIndent"/>
    <w:link w:val="BodyTextFirstIndent2Char"/>
    <w:semiHidden/>
    <w:rsid w:val="000560CF"/>
    <w:pPr>
      <w:ind w:firstLine="210"/>
    </w:pPr>
  </w:style>
  <w:style w:type="paragraph" w:styleId="EndnoteText">
    <w:name w:val="endnote text"/>
    <w:aliases w:val="2_G"/>
    <w:basedOn w:val="FootnoteText"/>
    <w:link w:val="EndnoteTextChar"/>
    <w:rsid w:val="000560CF"/>
  </w:style>
  <w:style w:type="paragraph" w:styleId="PlainText">
    <w:name w:val="Plain Text"/>
    <w:basedOn w:val="Normal"/>
    <w:link w:val="PlainTextChar"/>
    <w:semiHidden/>
    <w:rsid w:val="000560CF"/>
    <w:rPr>
      <w:rFonts w:ascii="Courier New" w:hAnsi="Courier New" w:cs="Courier New"/>
    </w:rPr>
  </w:style>
  <w:style w:type="paragraph" w:styleId="Title">
    <w:name w:val="Title"/>
    <w:basedOn w:val="Normal"/>
    <w:link w:val="TitleChar"/>
    <w:qFormat/>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F83"/>
    <w:rPr>
      <w:rFonts w:ascii="Tahoma" w:hAnsi="Tahoma" w:cs="Tahoma"/>
      <w:sz w:val="16"/>
      <w:szCs w:val="16"/>
      <w:lang w:val="es-ES" w:eastAsia="es-ES"/>
    </w:rPr>
  </w:style>
  <w:style w:type="character" w:customStyle="1" w:styleId="H1GChar">
    <w:name w:val="_ H_1_G Char"/>
    <w:link w:val="H1G"/>
    <w:rsid w:val="00936F28"/>
    <w:rPr>
      <w:b/>
      <w:sz w:val="24"/>
      <w:lang w:val="es-ES" w:eastAsia="es-ES"/>
    </w:rPr>
  </w:style>
  <w:style w:type="character" w:customStyle="1" w:styleId="HChGChar">
    <w:name w:val="_ H _Ch_G Char"/>
    <w:link w:val="HChG"/>
    <w:locked/>
    <w:rsid w:val="00936F28"/>
    <w:rPr>
      <w:b/>
      <w:sz w:val="28"/>
      <w:lang w:val="es-ES" w:eastAsia="es-ES"/>
    </w:rPr>
  </w:style>
  <w:style w:type="character" w:customStyle="1" w:styleId="SingleTxtGZchnZchn">
    <w:name w:val="_ Single Txt_G Zchn Zchn"/>
    <w:link w:val="SingleTxtG"/>
    <w:rsid w:val="00936F28"/>
    <w:rPr>
      <w:lang w:val="es-ES" w:eastAsia="es-ES"/>
    </w:rPr>
  </w:style>
  <w:style w:type="character" w:styleId="CommentReference">
    <w:name w:val="annotation reference"/>
    <w:basedOn w:val="DefaultParagraphFont"/>
    <w:semiHidden/>
    <w:rsid w:val="007A3AD0"/>
    <w:rPr>
      <w:sz w:val="6"/>
    </w:rPr>
  </w:style>
  <w:style w:type="paragraph" w:styleId="CommentText">
    <w:name w:val="annotation text"/>
    <w:basedOn w:val="Normal"/>
    <w:link w:val="CommentTextChar"/>
    <w:semiHidden/>
    <w:rsid w:val="007A3AD0"/>
    <w:pPr>
      <w:suppressAutoHyphens/>
    </w:pPr>
    <w:rPr>
      <w:lang w:val="en-GB" w:eastAsia="en-US"/>
    </w:rPr>
  </w:style>
  <w:style w:type="character" w:customStyle="1" w:styleId="CommentTextChar">
    <w:name w:val="Comment Text Char"/>
    <w:basedOn w:val="DefaultParagraphFont"/>
    <w:link w:val="CommentText"/>
    <w:semiHidden/>
    <w:rsid w:val="007A3AD0"/>
    <w:rPr>
      <w:lang w:val="en-GB" w:eastAsia="en-US"/>
    </w:rPr>
  </w:style>
  <w:style w:type="character" w:customStyle="1" w:styleId="FootnoteTextChar">
    <w:name w:val="Footnote Text Char"/>
    <w:aliases w:val="5_G Char"/>
    <w:basedOn w:val="DefaultParagraphFont"/>
    <w:link w:val="FootnoteText"/>
    <w:uiPriority w:val="99"/>
    <w:rsid w:val="007A3AD0"/>
    <w:rPr>
      <w:sz w:val="18"/>
      <w:lang w:val="es-ES" w:eastAsia="es-ES"/>
    </w:rPr>
  </w:style>
  <w:style w:type="character" w:customStyle="1" w:styleId="Heading1Char">
    <w:name w:val="Heading 1 Char"/>
    <w:aliases w:val="Table_G Char"/>
    <w:basedOn w:val="DefaultParagraphFont"/>
    <w:link w:val="Heading1"/>
    <w:rsid w:val="007A3AD0"/>
    <w:rPr>
      <w:rFonts w:cs="Arial"/>
      <w:bCs/>
      <w:szCs w:val="32"/>
      <w:lang w:val="es-ES" w:eastAsia="es-ES"/>
    </w:rPr>
  </w:style>
  <w:style w:type="character" w:customStyle="1" w:styleId="Heading2Char">
    <w:name w:val="Heading 2 Char"/>
    <w:basedOn w:val="DefaultParagraphFont"/>
    <w:link w:val="Heading2"/>
    <w:rsid w:val="007A3AD0"/>
    <w:rPr>
      <w:rFonts w:cs="Arial"/>
      <w:bCs/>
      <w:iCs/>
      <w:szCs w:val="28"/>
      <w:lang w:val="es-ES" w:eastAsia="es-ES"/>
    </w:rPr>
  </w:style>
  <w:style w:type="character" w:customStyle="1" w:styleId="Heading3Char">
    <w:name w:val="Heading 3 Char"/>
    <w:basedOn w:val="DefaultParagraphFont"/>
    <w:link w:val="Heading3"/>
    <w:rsid w:val="007A3AD0"/>
    <w:rPr>
      <w:rFonts w:ascii="Arial" w:hAnsi="Arial" w:cs="Arial"/>
      <w:b/>
      <w:bCs/>
      <w:sz w:val="26"/>
      <w:szCs w:val="26"/>
      <w:lang w:val="es-ES" w:eastAsia="es-ES"/>
    </w:rPr>
  </w:style>
  <w:style w:type="character" w:customStyle="1" w:styleId="Heading4Char">
    <w:name w:val="Heading 4 Char"/>
    <w:basedOn w:val="DefaultParagraphFont"/>
    <w:link w:val="Heading4"/>
    <w:rsid w:val="007A3AD0"/>
    <w:rPr>
      <w:b/>
      <w:bCs/>
      <w:sz w:val="28"/>
      <w:szCs w:val="28"/>
      <w:lang w:val="es-ES" w:eastAsia="es-ES"/>
    </w:rPr>
  </w:style>
  <w:style w:type="character" w:customStyle="1" w:styleId="Heading5Char">
    <w:name w:val="Heading 5 Char"/>
    <w:basedOn w:val="DefaultParagraphFont"/>
    <w:link w:val="Heading5"/>
    <w:rsid w:val="007A3AD0"/>
    <w:rPr>
      <w:b/>
      <w:bCs/>
      <w:i/>
      <w:iCs/>
      <w:sz w:val="26"/>
      <w:szCs w:val="26"/>
      <w:lang w:val="es-ES" w:eastAsia="es-ES"/>
    </w:rPr>
  </w:style>
  <w:style w:type="character" w:customStyle="1" w:styleId="Heading6Char">
    <w:name w:val="Heading 6 Char"/>
    <w:basedOn w:val="DefaultParagraphFont"/>
    <w:link w:val="Heading6"/>
    <w:rsid w:val="007A3AD0"/>
    <w:rPr>
      <w:b/>
      <w:bCs/>
      <w:sz w:val="22"/>
      <w:szCs w:val="22"/>
      <w:lang w:val="es-ES" w:eastAsia="es-ES"/>
    </w:rPr>
  </w:style>
  <w:style w:type="character" w:customStyle="1" w:styleId="Heading7Char">
    <w:name w:val="Heading 7 Char"/>
    <w:basedOn w:val="DefaultParagraphFont"/>
    <w:link w:val="Heading7"/>
    <w:rsid w:val="007A3AD0"/>
    <w:rPr>
      <w:sz w:val="24"/>
      <w:szCs w:val="24"/>
      <w:lang w:val="es-ES" w:eastAsia="es-ES"/>
    </w:rPr>
  </w:style>
  <w:style w:type="character" w:customStyle="1" w:styleId="Heading8Char">
    <w:name w:val="Heading 8 Char"/>
    <w:basedOn w:val="DefaultParagraphFont"/>
    <w:link w:val="Heading8"/>
    <w:rsid w:val="007A3AD0"/>
    <w:rPr>
      <w:i/>
      <w:iCs/>
      <w:sz w:val="24"/>
      <w:szCs w:val="24"/>
      <w:lang w:val="es-ES" w:eastAsia="es-ES"/>
    </w:rPr>
  </w:style>
  <w:style w:type="character" w:customStyle="1" w:styleId="Heading9Char">
    <w:name w:val="Heading 9 Char"/>
    <w:basedOn w:val="DefaultParagraphFont"/>
    <w:link w:val="Heading9"/>
    <w:rsid w:val="007A3AD0"/>
    <w:rPr>
      <w:rFonts w:ascii="Arial" w:hAnsi="Arial" w:cs="Arial"/>
      <w:sz w:val="22"/>
      <w:szCs w:val="22"/>
      <w:lang w:val="es-ES" w:eastAsia="es-ES"/>
    </w:rPr>
  </w:style>
  <w:style w:type="character" w:customStyle="1" w:styleId="EndnoteTextChar">
    <w:name w:val="Endnote Text Char"/>
    <w:aliases w:val="2_G Char"/>
    <w:basedOn w:val="DefaultParagraphFont"/>
    <w:link w:val="EndnoteText"/>
    <w:rsid w:val="007A3AD0"/>
    <w:rPr>
      <w:sz w:val="18"/>
      <w:lang w:val="es-ES" w:eastAsia="es-ES"/>
    </w:rPr>
  </w:style>
  <w:style w:type="character" w:customStyle="1" w:styleId="FooterChar">
    <w:name w:val="Footer Char"/>
    <w:aliases w:val="3_G Char"/>
    <w:basedOn w:val="DefaultParagraphFont"/>
    <w:link w:val="Footer"/>
    <w:rsid w:val="007A3AD0"/>
    <w:rPr>
      <w:sz w:val="16"/>
      <w:lang w:val="es-ES" w:eastAsia="es-ES"/>
    </w:rPr>
  </w:style>
  <w:style w:type="character" w:customStyle="1" w:styleId="HeaderChar">
    <w:name w:val="Header Char"/>
    <w:aliases w:val="6_G Char"/>
    <w:basedOn w:val="DefaultParagraphFont"/>
    <w:link w:val="Header"/>
    <w:uiPriority w:val="99"/>
    <w:rsid w:val="007A3AD0"/>
    <w:rPr>
      <w:b/>
      <w:sz w:val="18"/>
      <w:lang w:val="es-ES" w:eastAsia="es-ES"/>
    </w:rPr>
  </w:style>
  <w:style w:type="character" w:customStyle="1" w:styleId="H23GChar">
    <w:name w:val="_ H_2/3_G Char"/>
    <w:link w:val="H23G"/>
    <w:rsid w:val="007A3AD0"/>
    <w:rPr>
      <w:b/>
      <w:lang w:val="es-ES" w:eastAsia="es-ES"/>
    </w:rPr>
  </w:style>
  <w:style w:type="character" w:customStyle="1" w:styleId="SingleTxtGChar">
    <w:name w:val="_ Single Txt_G Char"/>
    <w:qFormat/>
    <w:rsid w:val="007A3AD0"/>
    <w:rPr>
      <w:lang w:eastAsia="en-US"/>
    </w:rPr>
  </w:style>
  <w:style w:type="character" w:customStyle="1" w:styleId="PlainTextChar">
    <w:name w:val="Plain Text Char"/>
    <w:basedOn w:val="DefaultParagraphFont"/>
    <w:link w:val="PlainText"/>
    <w:semiHidden/>
    <w:rsid w:val="007A3AD0"/>
    <w:rPr>
      <w:rFonts w:ascii="Courier New" w:hAnsi="Courier New" w:cs="Courier New"/>
      <w:lang w:val="es-ES" w:eastAsia="es-ES"/>
    </w:rPr>
  </w:style>
  <w:style w:type="character" w:customStyle="1" w:styleId="BodyTextChar">
    <w:name w:val="Body Text Char"/>
    <w:basedOn w:val="DefaultParagraphFont"/>
    <w:link w:val="BodyText"/>
    <w:semiHidden/>
    <w:rsid w:val="007A3AD0"/>
    <w:rPr>
      <w:lang w:val="es-ES" w:eastAsia="es-ES"/>
    </w:rPr>
  </w:style>
  <w:style w:type="character" w:customStyle="1" w:styleId="BodyTextIndentChar">
    <w:name w:val="Body Text Indent Char"/>
    <w:basedOn w:val="DefaultParagraphFont"/>
    <w:link w:val="BodyTextIndent"/>
    <w:semiHidden/>
    <w:rsid w:val="007A3AD0"/>
    <w:rPr>
      <w:lang w:val="es-ES" w:eastAsia="es-ES"/>
    </w:rPr>
  </w:style>
  <w:style w:type="character" w:customStyle="1" w:styleId="CommentaireCar">
    <w:name w:val="Commentaire Car"/>
    <w:basedOn w:val="DefaultParagraphFont"/>
    <w:semiHidden/>
    <w:rsid w:val="007A3AD0"/>
    <w:rPr>
      <w:lang w:eastAsia="en-US"/>
    </w:rPr>
  </w:style>
  <w:style w:type="character" w:customStyle="1" w:styleId="BodyText2Char">
    <w:name w:val="Body Text 2 Char"/>
    <w:basedOn w:val="DefaultParagraphFont"/>
    <w:link w:val="BodyText2"/>
    <w:semiHidden/>
    <w:rsid w:val="007A3AD0"/>
    <w:rPr>
      <w:lang w:val="es-ES" w:eastAsia="es-ES"/>
    </w:rPr>
  </w:style>
  <w:style w:type="character" w:customStyle="1" w:styleId="BodyText3Char">
    <w:name w:val="Body Text 3 Char"/>
    <w:basedOn w:val="DefaultParagraphFont"/>
    <w:link w:val="BodyText3"/>
    <w:semiHidden/>
    <w:rsid w:val="007A3AD0"/>
    <w:rPr>
      <w:sz w:val="16"/>
      <w:szCs w:val="16"/>
      <w:lang w:val="es-ES" w:eastAsia="es-ES"/>
    </w:rPr>
  </w:style>
  <w:style w:type="character" w:customStyle="1" w:styleId="BodyTextFirstIndentChar">
    <w:name w:val="Body Text First Indent Char"/>
    <w:basedOn w:val="BodyTextChar"/>
    <w:link w:val="BodyTextFirstIndent"/>
    <w:semiHidden/>
    <w:rsid w:val="007A3AD0"/>
    <w:rPr>
      <w:lang w:val="es-ES" w:eastAsia="es-ES"/>
    </w:rPr>
  </w:style>
  <w:style w:type="character" w:customStyle="1" w:styleId="BodyTextFirstIndent2Char">
    <w:name w:val="Body Text First Indent 2 Char"/>
    <w:basedOn w:val="BodyTextIndentChar"/>
    <w:link w:val="BodyTextFirstIndent2"/>
    <w:semiHidden/>
    <w:rsid w:val="007A3AD0"/>
    <w:rPr>
      <w:lang w:val="es-ES" w:eastAsia="es-ES"/>
    </w:rPr>
  </w:style>
  <w:style w:type="character" w:customStyle="1" w:styleId="BodyTextIndent2Char">
    <w:name w:val="Body Text Indent 2 Char"/>
    <w:basedOn w:val="DefaultParagraphFont"/>
    <w:link w:val="BodyTextIndent2"/>
    <w:semiHidden/>
    <w:rsid w:val="007A3AD0"/>
    <w:rPr>
      <w:lang w:val="es-ES" w:eastAsia="es-ES"/>
    </w:rPr>
  </w:style>
  <w:style w:type="character" w:customStyle="1" w:styleId="BodyTextIndent3Char">
    <w:name w:val="Body Text Indent 3 Char"/>
    <w:basedOn w:val="DefaultParagraphFont"/>
    <w:link w:val="BodyTextIndent3"/>
    <w:semiHidden/>
    <w:rsid w:val="007A3AD0"/>
    <w:rPr>
      <w:sz w:val="16"/>
      <w:szCs w:val="16"/>
      <w:lang w:val="es-ES" w:eastAsia="es-ES"/>
    </w:rPr>
  </w:style>
  <w:style w:type="character" w:customStyle="1" w:styleId="ClosingChar">
    <w:name w:val="Closing Char"/>
    <w:basedOn w:val="DefaultParagraphFont"/>
    <w:link w:val="Closing"/>
    <w:semiHidden/>
    <w:rsid w:val="007A3AD0"/>
    <w:rPr>
      <w:lang w:val="es-ES" w:eastAsia="es-ES"/>
    </w:rPr>
  </w:style>
  <w:style w:type="character" w:customStyle="1" w:styleId="DateChar">
    <w:name w:val="Date Char"/>
    <w:basedOn w:val="DefaultParagraphFont"/>
    <w:link w:val="Date"/>
    <w:semiHidden/>
    <w:rsid w:val="007A3AD0"/>
    <w:rPr>
      <w:lang w:val="es-ES" w:eastAsia="es-ES"/>
    </w:rPr>
  </w:style>
  <w:style w:type="character" w:customStyle="1" w:styleId="E-mailSignatureChar">
    <w:name w:val="E-mail Signature Char"/>
    <w:basedOn w:val="DefaultParagraphFont"/>
    <w:link w:val="E-mailSignature"/>
    <w:semiHidden/>
    <w:rsid w:val="007A3AD0"/>
    <w:rPr>
      <w:lang w:val="es-ES" w:eastAsia="es-ES"/>
    </w:rPr>
  </w:style>
  <w:style w:type="character" w:customStyle="1" w:styleId="HTMLAddressChar">
    <w:name w:val="HTML Address Char"/>
    <w:basedOn w:val="DefaultParagraphFont"/>
    <w:link w:val="HTMLAddress"/>
    <w:semiHidden/>
    <w:rsid w:val="007A3AD0"/>
    <w:rPr>
      <w:i/>
      <w:iCs/>
      <w:lang w:val="es-ES" w:eastAsia="es-ES"/>
    </w:rPr>
  </w:style>
  <w:style w:type="character" w:customStyle="1" w:styleId="HTMLPreformattedChar">
    <w:name w:val="HTML Preformatted Char"/>
    <w:basedOn w:val="DefaultParagraphFont"/>
    <w:link w:val="HTMLPreformatted"/>
    <w:semiHidden/>
    <w:rsid w:val="007A3AD0"/>
    <w:rPr>
      <w:rFonts w:ascii="Courier New" w:hAnsi="Courier New" w:cs="Courier New"/>
      <w:lang w:val="es-ES" w:eastAsia="es-ES"/>
    </w:rPr>
  </w:style>
  <w:style w:type="character" w:customStyle="1" w:styleId="MessageHeaderChar">
    <w:name w:val="Message Header Char"/>
    <w:basedOn w:val="DefaultParagraphFont"/>
    <w:link w:val="MessageHeader"/>
    <w:semiHidden/>
    <w:rsid w:val="007A3AD0"/>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7A3AD0"/>
    <w:rPr>
      <w:lang w:val="es-ES" w:eastAsia="es-ES"/>
    </w:rPr>
  </w:style>
  <w:style w:type="character" w:customStyle="1" w:styleId="SalutationChar">
    <w:name w:val="Salutation Char"/>
    <w:basedOn w:val="DefaultParagraphFont"/>
    <w:link w:val="Salutation"/>
    <w:semiHidden/>
    <w:rsid w:val="007A3AD0"/>
    <w:rPr>
      <w:lang w:val="es-ES" w:eastAsia="es-ES"/>
    </w:rPr>
  </w:style>
  <w:style w:type="character" w:customStyle="1" w:styleId="SignatureChar">
    <w:name w:val="Signature Char"/>
    <w:basedOn w:val="DefaultParagraphFont"/>
    <w:link w:val="Signature"/>
    <w:semiHidden/>
    <w:rsid w:val="007A3AD0"/>
    <w:rPr>
      <w:lang w:val="es-ES" w:eastAsia="es-ES"/>
    </w:rPr>
  </w:style>
  <w:style w:type="character" w:customStyle="1" w:styleId="SubtitleChar">
    <w:name w:val="Subtitle Char"/>
    <w:basedOn w:val="DefaultParagraphFont"/>
    <w:link w:val="Subtitle"/>
    <w:rsid w:val="007A3AD0"/>
    <w:rPr>
      <w:rFonts w:ascii="Arial" w:hAnsi="Arial" w:cs="Arial"/>
      <w:sz w:val="24"/>
      <w:szCs w:val="24"/>
      <w:lang w:val="es-ES" w:eastAsia="es-ES"/>
    </w:rPr>
  </w:style>
  <w:style w:type="character" w:customStyle="1" w:styleId="TitleChar">
    <w:name w:val="Title Char"/>
    <w:basedOn w:val="DefaultParagraphFont"/>
    <w:link w:val="Title"/>
    <w:rsid w:val="007A3AD0"/>
    <w:rPr>
      <w:rFonts w:ascii="Arial" w:hAnsi="Arial" w:cs="Arial"/>
      <w:b/>
      <w:bCs/>
      <w:kern w:val="28"/>
      <w:sz w:val="32"/>
      <w:szCs w:val="32"/>
      <w:lang w:val="es-ES" w:eastAsia="es-ES"/>
    </w:rPr>
  </w:style>
  <w:style w:type="paragraph" w:customStyle="1" w:styleId="Default">
    <w:name w:val="Default"/>
    <w:rsid w:val="007A3AD0"/>
    <w:pPr>
      <w:widowControl w:val="0"/>
      <w:autoSpaceDE w:val="0"/>
      <w:autoSpaceDN w:val="0"/>
      <w:adjustRightInd w:val="0"/>
    </w:pPr>
    <w:rPr>
      <w:color w:val="000000"/>
      <w:sz w:val="24"/>
      <w:szCs w:val="24"/>
      <w:lang w:eastAsia="en-US"/>
    </w:rPr>
  </w:style>
  <w:style w:type="character" w:customStyle="1" w:styleId="SingleTxtGCar">
    <w:name w:val="_ Single Txt_G Car"/>
    <w:rsid w:val="007A3AD0"/>
    <w:rPr>
      <w:lang w:val="en-GB" w:eastAsia="en-US" w:bidi="ar-SA"/>
    </w:rPr>
  </w:style>
  <w:style w:type="paragraph" w:styleId="ListParagraph">
    <w:name w:val="List Paragraph"/>
    <w:basedOn w:val="Normal"/>
    <w:uiPriority w:val="34"/>
    <w:qFormat/>
    <w:rsid w:val="007A3AD0"/>
    <w:pPr>
      <w:suppressAutoHyphens/>
      <w:ind w:left="720"/>
      <w:contextualSpacing/>
    </w:pPr>
    <w:rPr>
      <w:lang w:val="en-GB" w:eastAsia="en-US"/>
    </w:rPr>
  </w:style>
  <w:style w:type="paragraph" w:customStyle="1" w:styleId="Nummerierung">
    <w:name w:val="Nummerierung"/>
    <w:basedOn w:val="Normal"/>
    <w:rsid w:val="007A3AD0"/>
    <w:pPr>
      <w:numPr>
        <w:numId w:val="21"/>
      </w:numPr>
      <w:spacing w:line="240" w:lineRule="auto"/>
    </w:pPr>
    <w:rPr>
      <w:sz w:val="24"/>
      <w:szCs w:val="24"/>
      <w:lang w:val="en-US" w:eastAsia="en-US"/>
    </w:rPr>
  </w:style>
  <w:style w:type="paragraph" w:customStyle="1" w:styleId="UNParagraphStyle">
    <w:name w:val="UN Paragraph Style"/>
    <w:basedOn w:val="SingleTxtG"/>
    <w:link w:val="UNParagraphStyleChar"/>
    <w:qFormat/>
    <w:rsid w:val="007A3AD0"/>
    <w:pPr>
      <w:numPr>
        <w:numId w:val="24"/>
      </w:numPr>
      <w:suppressAutoHyphens/>
      <w:ind w:left="1134" w:firstLine="0"/>
    </w:pPr>
    <w:rPr>
      <w:lang w:val="en-CA" w:eastAsia="en-US"/>
    </w:rPr>
  </w:style>
  <w:style w:type="character" w:customStyle="1" w:styleId="UNParagraphStyleChar">
    <w:name w:val="UN Paragraph Style Char"/>
    <w:basedOn w:val="SingleTxtGCar"/>
    <w:link w:val="UNParagraphStyle"/>
    <w:rsid w:val="007A3AD0"/>
    <w:rPr>
      <w:lang w:val="en-CA" w:eastAsia="en-US" w:bidi="ar-SA"/>
    </w:rPr>
  </w:style>
  <w:style w:type="paragraph" w:styleId="CommentSubject">
    <w:name w:val="annotation subject"/>
    <w:basedOn w:val="CommentText"/>
    <w:next w:val="CommentText"/>
    <w:link w:val="CommentSubjectChar"/>
    <w:rsid w:val="007A3AD0"/>
    <w:pPr>
      <w:spacing w:line="240" w:lineRule="auto"/>
    </w:pPr>
    <w:rPr>
      <w:b/>
      <w:bCs/>
    </w:rPr>
  </w:style>
  <w:style w:type="character" w:customStyle="1" w:styleId="CommentSubjectChar">
    <w:name w:val="Comment Subject Char"/>
    <w:basedOn w:val="CommentTextChar"/>
    <w:link w:val="CommentSubject"/>
    <w:rsid w:val="007A3AD0"/>
    <w:rPr>
      <w:b/>
      <w:bCs/>
      <w:lang w:val="en-GB" w:eastAsia="en-US"/>
    </w:rPr>
  </w:style>
  <w:style w:type="paragraph" w:styleId="Revision">
    <w:name w:val="Revision"/>
    <w:hidden/>
    <w:uiPriority w:val="99"/>
    <w:semiHidden/>
    <w:rsid w:val="007A3AD0"/>
    <w:rPr>
      <w:lang w:val="en-GB" w:eastAsia="en-US"/>
    </w:rPr>
  </w:style>
  <w:style w:type="table" w:customStyle="1" w:styleId="Tabellenraster2">
    <w:name w:val="Tabellenraster2"/>
    <w:basedOn w:val="TableNormal"/>
    <w:next w:val="TableGrid"/>
    <w:rsid w:val="007A3AD0"/>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A3AD0"/>
    <w:pPr>
      <w:tabs>
        <w:tab w:val="left" w:pos="1418"/>
        <w:tab w:val="left" w:pos="1985"/>
        <w:tab w:val="left" w:pos="2552"/>
        <w:tab w:val="left" w:pos="3119"/>
        <w:tab w:val="left" w:pos="3686"/>
        <w:tab w:val="left" w:pos="4253"/>
        <w:tab w:val="left" w:pos="4820"/>
      </w:tabs>
      <w:spacing w:line="240" w:lineRule="auto"/>
      <w:jc w:val="both"/>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qFormat/>
    <w:rsid w:val="000560CF"/>
    <w:pPr>
      <w:keepNext/>
      <w:outlineLvl w:val="1"/>
    </w:pPr>
    <w:rPr>
      <w:rFonts w:cs="Arial"/>
      <w:bCs/>
      <w:iCs/>
      <w:szCs w:val="28"/>
    </w:rPr>
  </w:style>
  <w:style w:type="paragraph" w:styleId="Heading3">
    <w:name w:val="heading 3"/>
    <w:basedOn w:val="Normal"/>
    <w:next w:val="Normal"/>
    <w:link w:val="Heading3Char"/>
    <w:qFormat/>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0CF"/>
    <w:pPr>
      <w:keepNext/>
      <w:spacing w:before="240" w:after="60"/>
      <w:outlineLvl w:val="3"/>
    </w:pPr>
    <w:rPr>
      <w:b/>
      <w:bCs/>
      <w:sz w:val="28"/>
      <w:szCs w:val="28"/>
    </w:rPr>
  </w:style>
  <w:style w:type="paragraph" w:styleId="Heading5">
    <w:name w:val="heading 5"/>
    <w:basedOn w:val="Normal"/>
    <w:next w:val="Normal"/>
    <w:link w:val="Heading5Char"/>
    <w:qFormat/>
    <w:rsid w:val="000560CF"/>
    <w:pPr>
      <w:spacing w:before="240" w:after="60"/>
      <w:outlineLvl w:val="4"/>
    </w:pPr>
    <w:rPr>
      <w:b/>
      <w:bCs/>
      <w:i/>
      <w:iCs/>
      <w:sz w:val="26"/>
      <w:szCs w:val="26"/>
    </w:rPr>
  </w:style>
  <w:style w:type="paragraph" w:styleId="Heading6">
    <w:name w:val="heading 6"/>
    <w:basedOn w:val="Normal"/>
    <w:next w:val="Normal"/>
    <w:link w:val="Heading6Char"/>
    <w:qFormat/>
    <w:rsid w:val="000560CF"/>
    <w:pPr>
      <w:spacing w:before="240" w:after="60"/>
      <w:outlineLvl w:val="5"/>
    </w:pPr>
    <w:rPr>
      <w:b/>
      <w:bCs/>
      <w:sz w:val="22"/>
      <w:szCs w:val="22"/>
    </w:rPr>
  </w:style>
  <w:style w:type="paragraph" w:styleId="Heading7">
    <w:name w:val="heading 7"/>
    <w:basedOn w:val="Normal"/>
    <w:next w:val="Normal"/>
    <w:link w:val="Heading7Char"/>
    <w:qFormat/>
    <w:rsid w:val="000560CF"/>
    <w:pPr>
      <w:spacing w:before="240" w:after="60"/>
      <w:outlineLvl w:val="6"/>
    </w:pPr>
    <w:rPr>
      <w:sz w:val="24"/>
      <w:szCs w:val="24"/>
    </w:rPr>
  </w:style>
  <w:style w:type="paragraph" w:styleId="Heading8">
    <w:name w:val="heading 8"/>
    <w:basedOn w:val="Normal"/>
    <w:next w:val="Normal"/>
    <w:link w:val="Heading8Char"/>
    <w:qFormat/>
    <w:rsid w:val="000560CF"/>
    <w:pPr>
      <w:spacing w:before="240" w:after="60"/>
      <w:outlineLvl w:val="7"/>
    </w:pPr>
    <w:rPr>
      <w:i/>
      <w:iCs/>
      <w:sz w:val="24"/>
      <w:szCs w:val="24"/>
    </w:rPr>
  </w:style>
  <w:style w:type="paragraph" w:styleId="Heading9">
    <w:name w:val="heading 9"/>
    <w:basedOn w:val="Normal"/>
    <w:next w:val="Normal"/>
    <w:link w:val="Heading9Char"/>
    <w:qFormat/>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uiPriority w:val="99"/>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FB5CDD"/>
    <w:pPr>
      <w:pBdr>
        <w:bottom w:val="single" w:sz="4" w:space="4" w:color="auto"/>
      </w:pBdr>
      <w:spacing w:line="240" w:lineRule="auto"/>
    </w:pPr>
    <w:rPr>
      <w:b/>
      <w:sz w:val="18"/>
    </w:rPr>
  </w:style>
  <w:style w:type="paragraph" w:customStyle="1" w:styleId="SingleTxtG">
    <w:name w:val="_ Single Txt_G"/>
    <w:basedOn w:val="Normal"/>
    <w:link w:val="SingleTxtGZchnZchn"/>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rsid w:val="000560CF"/>
    <w:pPr>
      <w:tabs>
        <w:tab w:val="right" w:pos="1021"/>
      </w:tabs>
      <w:spacing w:line="220" w:lineRule="exact"/>
      <w:ind w:left="1134" w:right="1134" w:hanging="1134"/>
    </w:pPr>
    <w:rPr>
      <w:sz w:val="18"/>
    </w:rPr>
  </w:style>
  <w:style w:type="table" w:styleId="TableGrid">
    <w:name w:val="Table Grid"/>
    <w:basedOn w:val="TableNormal"/>
    <w:uiPriority w:val="59"/>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semiHidden/>
    <w:rsid w:val="000560CF"/>
    <w:pPr>
      <w:numPr>
        <w:numId w:val="5"/>
      </w:numPr>
    </w:pPr>
  </w:style>
  <w:style w:type="paragraph" w:styleId="Closing">
    <w:name w:val="Closing"/>
    <w:basedOn w:val="Normal"/>
    <w:link w:val="ClosingChar"/>
    <w:semiHidden/>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link w:val="HTMLAddressChar"/>
    <w:semiHidden/>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link w:val="MessageHeaderChar"/>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0560CF"/>
  </w:style>
  <w:style w:type="character" w:styleId="Emphasis">
    <w:name w:val="Emphasis"/>
    <w:basedOn w:val="DefaultParagraphFont"/>
    <w:qFormat/>
    <w:rsid w:val="000560CF"/>
    <w:rPr>
      <w:i/>
      <w:iCs/>
    </w:rPr>
  </w:style>
  <w:style w:type="paragraph" w:styleId="Date">
    <w:name w:val="Date"/>
    <w:basedOn w:val="Normal"/>
    <w:next w:val="Normal"/>
    <w:link w:val="DateChar"/>
    <w:semiHidden/>
    <w:rsid w:val="000560CF"/>
  </w:style>
  <w:style w:type="paragraph" w:styleId="Signature">
    <w:name w:val="Signature"/>
    <w:basedOn w:val="Normal"/>
    <w:link w:val="SignatureChar"/>
    <w:semiHidden/>
    <w:rsid w:val="000560CF"/>
    <w:pPr>
      <w:ind w:left="4252"/>
    </w:pPr>
  </w:style>
  <w:style w:type="paragraph" w:styleId="E-mailSignature">
    <w:name w:val="E-mail Signature"/>
    <w:basedOn w:val="Normal"/>
    <w:link w:val="E-mailSignatureChar"/>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link w:val="HTMLPreformattedChar"/>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semiHidden/>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uiPriority w:val="99"/>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rsid w:val="000560CF"/>
    <w:rPr>
      <w:b/>
      <w:sz w:val="18"/>
    </w:rPr>
  </w:style>
  <w:style w:type="character" w:styleId="EndnoteReference">
    <w:name w:val="endnote reference"/>
    <w:aliases w:val="1_G"/>
    <w:basedOn w:val="FootnoteReference"/>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link w:val="SalutationChar"/>
    <w:semiHidden/>
    <w:rsid w:val="000560CF"/>
  </w:style>
  <w:style w:type="paragraph" w:styleId="BodyTextIndent2">
    <w:name w:val="Body Text Indent 2"/>
    <w:basedOn w:val="Normal"/>
    <w:link w:val="BodyTextIndent2Char"/>
    <w:semiHidden/>
    <w:rsid w:val="000560CF"/>
    <w:pPr>
      <w:spacing w:after="120" w:line="480" w:lineRule="auto"/>
      <w:ind w:left="283"/>
    </w:pPr>
  </w:style>
  <w:style w:type="paragraph" w:styleId="BodyTextIndent3">
    <w:name w:val="Body Text Indent 3"/>
    <w:basedOn w:val="Normal"/>
    <w:link w:val="BodyTextIndent3Char"/>
    <w:semiHidden/>
    <w:rsid w:val="000560CF"/>
    <w:pPr>
      <w:spacing w:after="120"/>
      <w:ind w:left="283"/>
    </w:pPr>
    <w:rPr>
      <w:sz w:val="16"/>
      <w:szCs w:val="16"/>
    </w:rPr>
  </w:style>
  <w:style w:type="paragraph" w:styleId="BodyTextIndent">
    <w:name w:val="Body Text Indent"/>
    <w:basedOn w:val="Normal"/>
    <w:link w:val="BodyTextIndentChar"/>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link w:val="SubtitleChar"/>
    <w:qFormat/>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semiHidden/>
    <w:rsid w:val="000560CF"/>
    <w:pPr>
      <w:spacing w:after="120"/>
      <w:ind w:left="1440" w:right="1440"/>
    </w:pPr>
  </w:style>
  <w:style w:type="character" w:styleId="Strong">
    <w:name w:val="Strong"/>
    <w:basedOn w:val="DefaultParagraphFont"/>
    <w:qFormat/>
    <w:rsid w:val="000560CF"/>
    <w:rPr>
      <w:b/>
      <w:bCs/>
    </w:rPr>
  </w:style>
  <w:style w:type="paragraph" w:styleId="BodyText">
    <w:name w:val="Body Text"/>
    <w:basedOn w:val="Normal"/>
    <w:link w:val="BodyTextChar"/>
    <w:semiHidden/>
    <w:rsid w:val="000560CF"/>
    <w:pPr>
      <w:spacing w:after="120"/>
    </w:pPr>
  </w:style>
  <w:style w:type="paragraph" w:styleId="BodyText2">
    <w:name w:val="Body Text 2"/>
    <w:basedOn w:val="Normal"/>
    <w:link w:val="BodyText2Char"/>
    <w:semiHidden/>
    <w:rsid w:val="000560CF"/>
    <w:pPr>
      <w:spacing w:after="120" w:line="480" w:lineRule="auto"/>
    </w:pPr>
  </w:style>
  <w:style w:type="paragraph" w:styleId="BodyText3">
    <w:name w:val="Body Text 3"/>
    <w:basedOn w:val="Normal"/>
    <w:link w:val="BodyText3Char"/>
    <w:semiHidden/>
    <w:rsid w:val="000560CF"/>
    <w:pPr>
      <w:spacing w:after="120"/>
    </w:pPr>
    <w:rPr>
      <w:sz w:val="16"/>
      <w:szCs w:val="16"/>
    </w:rPr>
  </w:style>
  <w:style w:type="paragraph" w:styleId="BodyTextFirstIndent">
    <w:name w:val="Body Text First Indent"/>
    <w:basedOn w:val="BodyText"/>
    <w:link w:val="BodyTextFirstIndentChar"/>
    <w:semiHidden/>
    <w:rsid w:val="000560CF"/>
    <w:pPr>
      <w:ind w:firstLine="210"/>
    </w:pPr>
  </w:style>
  <w:style w:type="paragraph" w:styleId="BodyTextFirstIndent2">
    <w:name w:val="Body Text First Indent 2"/>
    <w:basedOn w:val="BodyTextIndent"/>
    <w:link w:val="BodyTextFirstIndent2Char"/>
    <w:semiHidden/>
    <w:rsid w:val="000560CF"/>
    <w:pPr>
      <w:ind w:firstLine="210"/>
    </w:pPr>
  </w:style>
  <w:style w:type="paragraph" w:styleId="EndnoteText">
    <w:name w:val="endnote text"/>
    <w:aliases w:val="2_G"/>
    <w:basedOn w:val="FootnoteText"/>
    <w:link w:val="EndnoteTextChar"/>
    <w:rsid w:val="000560CF"/>
  </w:style>
  <w:style w:type="paragraph" w:styleId="PlainText">
    <w:name w:val="Plain Text"/>
    <w:basedOn w:val="Normal"/>
    <w:link w:val="PlainTextChar"/>
    <w:semiHidden/>
    <w:rsid w:val="000560CF"/>
    <w:rPr>
      <w:rFonts w:ascii="Courier New" w:hAnsi="Courier New" w:cs="Courier New"/>
    </w:rPr>
  </w:style>
  <w:style w:type="paragraph" w:styleId="Title">
    <w:name w:val="Title"/>
    <w:basedOn w:val="Normal"/>
    <w:link w:val="TitleChar"/>
    <w:qFormat/>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F83"/>
    <w:rPr>
      <w:rFonts w:ascii="Tahoma" w:hAnsi="Tahoma" w:cs="Tahoma"/>
      <w:sz w:val="16"/>
      <w:szCs w:val="16"/>
      <w:lang w:val="es-ES" w:eastAsia="es-ES"/>
    </w:rPr>
  </w:style>
  <w:style w:type="character" w:customStyle="1" w:styleId="H1GChar">
    <w:name w:val="_ H_1_G Char"/>
    <w:link w:val="H1G"/>
    <w:rsid w:val="00936F28"/>
    <w:rPr>
      <w:b/>
      <w:sz w:val="24"/>
      <w:lang w:val="es-ES" w:eastAsia="es-ES"/>
    </w:rPr>
  </w:style>
  <w:style w:type="character" w:customStyle="1" w:styleId="HChGChar">
    <w:name w:val="_ H _Ch_G Char"/>
    <w:link w:val="HChG"/>
    <w:locked/>
    <w:rsid w:val="00936F28"/>
    <w:rPr>
      <w:b/>
      <w:sz w:val="28"/>
      <w:lang w:val="es-ES" w:eastAsia="es-ES"/>
    </w:rPr>
  </w:style>
  <w:style w:type="character" w:customStyle="1" w:styleId="SingleTxtGZchnZchn">
    <w:name w:val="_ Single Txt_G Zchn Zchn"/>
    <w:link w:val="SingleTxtG"/>
    <w:rsid w:val="00936F28"/>
    <w:rPr>
      <w:lang w:val="es-ES" w:eastAsia="es-ES"/>
    </w:rPr>
  </w:style>
  <w:style w:type="character" w:styleId="CommentReference">
    <w:name w:val="annotation reference"/>
    <w:basedOn w:val="DefaultParagraphFont"/>
    <w:semiHidden/>
    <w:rsid w:val="007A3AD0"/>
    <w:rPr>
      <w:sz w:val="6"/>
    </w:rPr>
  </w:style>
  <w:style w:type="paragraph" w:styleId="CommentText">
    <w:name w:val="annotation text"/>
    <w:basedOn w:val="Normal"/>
    <w:link w:val="CommentTextChar"/>
    <w:semiHidden/>
    <w:rsid w:val="007A3AD0"/>
    <w:pPr>
      <w:suppressAutoHyphens/>
    </w:pPr>
    <w:rPr>
      <w:lang w:val="en-GB" w:eastAsia="en-US"/>
    </w:rPr>
  </w:style>
  <w:style w:type="character" w:customStyle="1" w:styleId="CommentTextChar">
    <w:name w:val="Comment Text Char"/>
    <w:basedOn w:val="DefaultParagraphFont"/>
    <w:link w:val="CommentText"/>
    <w:semiHidden/>
    <w:rsid w:val="007A3AD0"/>
    <w:rPr>
      <w:lang w:val="en-GB" w:eastAsia="en-US"/>
    </w:rPr>
  </w:style>
  <w:style w:type="character" w:customStyle="1" w:styleId="FootnoteTextChar">
    <w:name w:val="Footnote Text Char"/>
    <w:aliases w:val="5_G Char"/>
    <w:basedOn w:val="DefaultParagraphFont"/>
    <w:link w:val="FootnoteText"/>
    <w:uiPriority w:val="99"/>
    <w:rsid w:val="007A3AD0"/>
    <w:rPr>
      <w:sz w:val="18"/>
      <w:lang w:val="es-ES" w:eastAsia="es-ES"/>
    </w:rPr>
  </w:style>
  <w:style w:type="character" w:customStyle="1" w:styleId="Heading1Char">
    <w:name w:val="Heading 1 Char"/>
    <w:aliases w:val="Table_G Char"/>
    <w:basedOn w:val="DefaultParagraphFont"/>
    <w:link w:val="Heading1"/>
    <w:rsid w:val="007A3AD0"/>
    <w:rPr>
      <w:rFonts w:cs="Arial"/>
      <w:bCs/>
      <w:szCs w:val="32"/>
      <w:lang w:val="es-ES" w:eastAsia="es-ES"/>
    </w:rPr>
  </w:style>
  <w:style w:type="character" w:customStyle="1" w:styleId="Heading2Char">
    <w:name w:val="Heading 2 Char"/>
    <w:basedOn w:val="DefaultParagraphFont"/>
    <w:link w:val="Heading2"/>
    <w:rsid w:val="007A3AD0"/>
    <w:rPr>
      <w:rFonts w:cs="Arial"/>
      <w:bCs/>
      <w:iCs/>
      <w:szCs w:val="28"/>
      <w:lang w:val="es-ES" w:eastAsia="es-ES"/>
    </w:rPr>
  </w:style>
  <w:style w:type="character" w:customStyle="1" w:styleId="Heading3Char">
    <w:name w:val="Heading 3 Char"/>
    <w:basedOn w:val="DefaultParagraphFont"/>
    <w:link w:val="Heading3"/>
    <w:rsid w:val="007A3AD0"/>
    <w:rPr>
      <w:rFonts w:ascii="Arial" w:hAnsi="Arial" w:cs="Arial"/>
      <w:b/>
      <w:bCs/>
      <w:sz w:val="26"/>
      <w:szCs w:val="26"/>
      <w:lang w:val="es-ES" w:eastAsia="es-ES"/>
    </w:rPr>
  </w:style>
  <w:style w:type="character" w:customStyle="1" w:styleId="Heading4Char">
    <w:name w:val="Heading 4 Char"/>
    <w:basedOn w:val="DefaultParagraphFont"/>
    <w:link w:val="Heading4"/>
    <w:rsid w:val="007A3AD0"/>
    <w:rPr>
      <w:b/>
      <w:bCs/>
      <w:sz w:val="28"/>
      <w:szCs w:val="28"/>
      <w:lang w:val="es-ES" w:eastAsia="es-ES"/>
    </w:rPr>
  </w:style>
  <w:style w:type="character" w:customStyle="1" w:styleId="Heading5Char">
    <w:name w:val="Heading 5 Char"/>
    <w:basedOn w:val="DefaultParagraphFont"/>
    <w:link w:val="Heading5"/>
    <w:rsid w:val="007A3AD0"/>
    <w:rPr>
      <w:b/>
      <w:bCs/>
      <w:i/>
      <w:iCs/>
      <w:sz w:val="26"/>
      <w:szCs w:val="26"/>
      <w:lang w:val="es-ES" w:eastAsia="es-ES"/>
    </w:rPr>
  </w:style>
  <w:style w:type="character" w:customStyle="1" w:styleId="Heading6Char">
    <w:name w:val="Heading 6 Char"/>
    <w:basedOn w:val="DefaultParagraphFont"/>
    <w:link w:val="Heading6"/>
    <w:rsid w:val="007A3AD0"/>
    <w:rPr>
      <w:b/>
      <w:bCs/>
      <w:sz w:val="22"/>
      <w:szCs w:val="22"/>
      <w:lang w:val="es-ES" w:eastAsia="es-ES"/>
    </w:rPr>
  </w:style>
  <w:style w:type="character" w:customStyle="1" w:styleId="Heading7Char">
    <w:name w:val="Heading 7 Char"/>
    <w:basedOn w:val="DefaultParagraphFont"/>
    <w:link w:val="Heading7"/>
    <w:rsid w:val="007A3AD0"/>
    <w:rPr>
      <w:sz w:val="24"/>
      <w:szCs w:val="24"/>
      <w:lang w:val="es-ES" w:eastAsia="es-ES"/>
    </w:rPr>
  </w:style>
  <w:style w:type="character" w:customStyle="1" w:styleId="Heading8Char">
    <w:name w:val="Heading 8 Char"/>
    <w:basedOn w:val="DefaultParagraphFont"/>
    <w:link w:val="Heading8"/>
    <w:rsid w:val="007A3AD0"/>
    <w:rPr>
      <w:i/>
      <w:iCs/>
      <w:sz w:val="24"/>
      <w:szCs w:val="24"/>
      <w:lang w:val="es-ES" w:eastAsia="es-ES"/>
    </w:rPr>
  </w:style>
  <w:style w:type="character" w:customStyle="1" w:styleId="Heading9Char">
    <w:name w:val="Heading 9 Char"/>
    <w:basedOn w:val="DefaultParagraphFont"/>
    <w:link w:val="Heading9"/>
    <w:rsid w:val="007A3AD0"/>
    <w:rPr>
      <w:rFonts w:ascii="Arial" w:hAnsi="Arial" w:cs="Arial"/>
      <w:sz w:val="22"/>
      <w:szCs w:val="22"/>
      <w:lang w:val="es-ES" w:eastAsia="es-ES"/>
    </w:rPr>
  </w:style>
  <w:style w:type="character" w:customStyle="1" w:styleId="EndnoteTextChar">
    <w:name w:val="Endnote Text Char"/>
    <w:aliases w:val="2_G Char"/>
    <w:basedOn w:val="DefaultParagraphFont"/>
    <w:link w:val="EndnoteText"/>
    <w:rsid w:val="007A3AD0"/>
    <w:rPr>
      <w:sz w:val="18"/>
      <w:lang w:val="es-ES" w:eastAsia="es-ES"/>
    </w:rPr>
  </w:style>
  <w:style w:type="character" w:customStyle="1" w:styleId="FooterChar">
    <w:name w:val="Footer Char"/>
    <w:aliases w:val="3_G Char"/>
    <w:basedOn w:val="DefaultParagraphFont"/>
    <w:link w:val="Footer"/>
    <w:rsid w:val="007A3AD0"/>
    <w:rPr>
      <w:sz w:val="16"/>
      <w:lang w:val="es-ES" w:eastAsia="es-ES"/>
    </w:rPr>
  </w:style>
  <w:style w:type="character" w:customStyle="1" w:styleId="HeaderChar">
    <w:name w:val="Header Char"/>
    <w:aliases w:val="6_G Char"/>
    <w:basedOn w:val="DefaultParagraphFont"/>
    <w:link w:val="Header"/>
    <w:uiPriority w:val="99"/>
    <w:rsid w:val="007A3AD0"/>
    <w:rPr>
      <w:b/>
      <w:sz w:val="18"/>
      <w:lang w:val="es-ES" w:eastAsia="es-ES"/>
    </w:rPr>
  </w:style>
  <w:style w:type="character" w:customStyle="1" w:styleId="H23GChar">
    <w:name w:val="_ H_2/3_G Char"/>
    <w:link w:val="H23G"/>
    <w:rsid w:val="007A3AD0"/>
    <w:rPr>
      <w:b/>
      <w:lang w:val="es-ES" w:eastAsia="es-ES"/>
    </w:rPr>
  </w:style>
  <w:style w:type="character" w:customStyle="1" w:styleId="SingleTxtGChar">
    <w:name w:val="_ Single Txt_G Char"/>
    <w:qFormat/>
    <w:rsid w:val="007A3AD0"/>
    <w:rPr>
      <w:lang w:eastAsia="en-US"/>
    </w:rPr>
  </w:style>
  <w:style w:type="character" w:customStyle="1" w:styleId="PlainTextChar">
    <w:name w:val="Plain Text Char"/>
    <w:basedOn w:val="DefaultParagraphFont"/>
    <w:link w:val="PlainText"/>
    <w:semiHidden/>
    <w:rsid w:val="007A3AD0"/>
    <w:rPr>
      <w:rFonts w:ascii="Courier New" w:hAnsi="Courier New" w:cs="Courier New"/>
      <w:lang w:val="es-ES" w:eastAsia="es-ES"/>
    </w:rPr>
  </w:style>
  <w:style w:type="character" w:customStyle="1" w:styleId="BodyTextChar">
    <w:name w:val="Body Text Char"/>
    <w:basedOn w:val="DefaultParagraphFont"/>
    <w:link w:val="BodyText"/>
    <w:semiHidden/>
    <w:rsid w:val="007A3AD0"/>
    <w:rPr>
      <w:lang w:val="es-ES" w:eastAsia="es-ES"/>
    </w:rPr>
  </w:style>
  <w:style w:type="character" w:customStyle="1" w:styleId="BodyTextIndentChar">
    <w:name w:val="Body Text Indent Char"/>
    <w:basedOn w:val="DefaultParagraphFont"/>
    <w:link w:val="BodyTextIndent"/>
    <w:semiHidden/>
    <w:rsid w:val="007A3AD0"/>
    <w:rPr>
      <w:lang w:val="es-ES" w:eastAsia="es-ES"/>
    </w:rPr>
  </w:style>
  <w:style w:type="character" w:customStyle="1" w:styleId="CommentaireCar">
    <w:name w:val="Commentaire Car"/>
    <w:basedOn w:val="DefaultParagraphFont"/>
    <w:semiHidden/>
    <w:rsid w:val="007A3AD0"/>
    <w:rPr>
      <w:lang w:eastAsia="en-US"/>
    </w:rPr>
  </w:style>
  <w:style w:type="character" w:customStyle="1" w:styleId="BodyText2Char">
    <w:name w:val="Body Text 2 Char"/>
    <w:basedOn w:val="DefaultParagraphFont"/>
    <w:link w:val="BodyText2"/>
    <w:semiHidden/>
    <w:rsid w:val="007A3AD0"/>
    <w:rPr>
      <w:lang w:val="es-ES" w:eastAsia="es-ES"/>
    </w:rPr>
  </w:style>
  <w:style w:type="character" w:customStyle="1" w:styleId="BodyText3Char">
    <w:name w:val="Body Text 3 Char"/>
    <w:basedOn w:val="DefaultParagraphFont"/>
    <w:link w:val="BodyText3"/>
    <w:semiHidden/>
    <w:rsid w:val="007A3AD0"/>
    <w:rPr>
      <w:sz w:val="16"/>
      <w:szCs w:val="16"/>
      <w:lang w:val="es-ES" w:eastAsia="es-ES"/>
    </w:rPr>
  </w:style>
  <w:style w:type="character" w:customStyle="1" w:styleId="BodyTextFirstIndentChar">
    <w:name w:val="Body Text First Indent Char"/>
    <w:basedOn w:val="BodyTextChar"/>
    <w:link w:val="BodyTextFirstIndent"/>
    <w:semiHidden/>
    <w:rsid w:val="007A3AD0"/>
    <w:rPr>
      <w:lang w:val="es-ES" w:eastAsia="es-ES"/>
    </w:rPr>
  </w:style>
  <w:style w:type="character" w:customStyle="1" w:styleId="BodyTextFirstIndent2Char">
    <w:name w:val="Body Text First Indent 2 Char"/>
    <w:basedOn w:val="BodyTextIndentChar"/>
    <w:link w:val="BodyTextFirstIndent2"/>
    <w:semiHidden/>
    <w:rsid w:val="007A3AD0"/>
    <w:rPr>
      <w:lang w:val="es-ES" w:eastAsia="es-ES"/>
    </w:rPr>
  </w:style>
  <w:style w:type="character" w:customStyle="1" w:styleId="BodyTextIndent2Char">
    <w:name w:val="Body Text Indent 2 Char"/>
    <w:basedOn w:val="DefaultParagraphFont"/>
    <w:link w:val="BodyTextIndent2"/>
    <w:semiHidden/>
    <w:rsid w:val="007A3AD0"/>
    <w:rPr>
      <w:lang w:val="es-ES" w:eastAsia="es-ES"/>
    </w:rPr>
  </w:style>
  <w:style w:type="character" w:customStyle="1" w:styleId="BodyTextIndent3Char">
    <w:name w:val="Body Text Indent 3 Char"/>
    <w:basedOn w:val="DefaultParagraphFont"/>
    <w:link w:val="BodyTextIndent3"/>
    <w:semiHidden/>
    <w:rsid w:val="007A3AD0"/>
    <w:rPr>
      <w:sz w:val="16"/>
      <w:szCs w:val="16"/>
      <w:lang w:val="es-ES" w:eastAsia="es-ES"/>
    </w:rPr>
  </w:style>
  <w:style w:type="character" w:customStyle="1" w:styleId="ClosingChar">
    <w:name w:val="Closing Char"/>
    <w:basedOn w:val="DefaultParagraphFont"/>
    <w:link w:val="Closing"/>
    <w:semiHidden/>
    <w:rsid w:val="007A3AD0"/>
    <w:rPr>
      <w:lang w:val="es-ES" w:eastAsia="es-ES"/>
    </w:rPr>
  </w:style>
  <w:style w:type="character" w:customStyle="1" w:styleId="DateChar">
    <w:name w:val="Date Char"/>
    <w:basedOn w:val="DefaultParagraphFont"/>
    <w:link w:val="Date"/>
    <w:semiHidden/>
    <w:rsid w:val="007A3AD0"/>
    <w:rPr>
      <w:lang w:val="es-ES" w:eastAsia="es-ES"/>
    </w:rPr>
  </w:style>
  <w:style w:type="character" w:customStyle="1" w:styleId="E-mailSignatureChar">
    <w:name w:val="E-mail Signature Char"/>
    <w:basedOn w:val="DefaultParagraphFont"/>
    <w:link w:val="E-mailSignature"/>
    <w:semiHidden/>
    <w:rsid w:val="007A3AD0"/>
    <w:rPr>
      <w:lang w:val="es-ES" w:eastAsia="es-ES"/>
    </w:rPr>
  </w:style>
  <w:style w:type="character" w:customStyle="1" w:styleId="HTMLAddressChar">
    <w:name w:val="HTML Address Char"/>
    <w:basedOn w:val="DefaultParagraphFont"/>
    <w:link w:val="HTMLAddress"/>
    <w:semiHidden/>
    <w:rsid w:val="007A3AD0"/>
    <w:rPr>
      <w:i/>
      <w:iCs/>
      <w:lang w:val="es-ES" w:eastAsia="es-ES"/>
    </w:rPr>
  </w:style>
  <w:style w:type="character" w:customStyle="1" w:styleId="HTMLPreformattedChar">
    <w:name w:val="HTML Preformatted Char"/>
    <w:basedOn w:val="DefaultParagraphFont"/>
    <w:link w:val="HTMLPreformatted"/>
    <w:semiHidden/>
    <w:rsid w:val="007A3AD0"/>
    <w:rPr>
      <w:rFonts w:ascii="Courier New" w:hAnsi="Courier New" w:cs="Courier New"/>
      <w:lang w:val="es-ES" w:eastAsia="es-ES"/>
    </w:rPr>
  </w:style>
  <w:style w:type="character" w:customStyle="1" w:styleId="MessageHeaderChar">
    <w:name w:val="Message Header Char"/>
    <w:basedOn w:val="DefaultParagraphFont"/>
    <w:link w:val="MessageHeader"/>
    <w:semiHidden/>
    <w:rsid w:val="007A3AD0"/>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7A3AD0"/>
    <w:rPr>
      <w:lang w:val="es-ES" w:eastAsia="es-ES"/>
    </w:rPr>
  </w:style>
  <w:style w:type="character" w:customStyle="1" w:styleId="SalutationChar">
    <w:name w:val="Salutation Char"/>
    <w:basedOn w:val="DefaultParagraphFont"/>
    <w:link w:val="Salutation"/>
    <w:semiHidden/>
    <w:rsid w:val="007A3AD0"/>
    <w:rPr>
      <w:lang w:val="es-ES" w:eastAsia="es-ES"/>
    </w:rPr>
  </w:style>
  <w:style w:type="character" w:customStyle="1" w:styleId="SignatureChar">
    <w:name w:val="Signature Char"/>
    <w:basedOn w:val="DefaultParagraphFont"/>
    <w:link w:val="Signature"/>
    <w:semiHidden/>
    <w:rsid w:val="007A3AD0"/>
    <w:rPr>
      <w:lang w:val="es-ES" w:eastAsia="es-ES"/>
    </w:rPr>
  </w:style>
  <w:style w:type="character" w:customStyle="1" w:styleId="SubtitleChar">
    <w:name w:val="Subtitle Char"/>
    <w:basedOn w:val="DefaultParagraphFont"/>
    <w:link w:val="Subtitle"/>
    <w:rsid w:val="007A3AD0"/>
    <w:rPr>
      <w:rFonts w:ascii="Arial" w:hAnsi="Arial" w:cs="Arial"/>
      <w:sz w:val="24"/>
      <w:szCs w:val="24"/>
      <w:lang w:val="es-ES" w:eastAsia="es-ES"/>
    </w:rPr>
  </w:style>
  <w:style w:type="character" w:customStyle="1" w:styleId="TitleChar">
    <w:name w:val="Title Char"/>
    <w:basedOn w:val="DefaultParagraphFont"/>
    <w:link w:val="Title"/>
    <w:rsid w:val="007A3AD0"/>
    <w:rPr>
      <w:rFonts w:ascii="Arial" w:hAnsi="Arial" w:cs="Arial"/>
      <w:b/>
      <w:bCs/>
      <w:kern w:val="28"/>
      <w:sz w:val="32"/>
      <w:szCs w:val="32"/>
      <w:lang w:val="es-ES" w:eastAsia="es-ES"/>
    </w:rPr>
  </w:style>
  <w:style w:type="paragraph" w:customStyle="1" w:styleId="Default">
    <w:name w:val="Default"/>
    <w:rsid w:val="007A3AD0"/>
    <w:pPr>
      <w:widowControl w:val="0"/>
      <w:autoSpaceDE w:val="0"/>
      <w:autoSpaceDN w:val="0"/>
      <w:adjustRightInd w:val="0"/>
    </w:pPr>
    <w:rPr>
      <w:color w:val="000000"/>
      <w:sz w:val="24"/>
      <w:szCs w:val="24"/>
      <w:lang w:eastAsia="en-US"/>
    </w:rPr>
  </w:style>
  <w:style w:type="character" w:customStyle="1" w:styleId="SingleTxtGCar">
    <w:name w:val="_ Single Txt_G Car"/>
    <w:rsid w:val="007A3AD0"/>
    <w:rPr>
      <w:lang w:val="en-GB" w:eastAsia="en-US" w:bidi="ar-SA"/>
    </w:rPr>
  </w:style>
  <w:style w:type="paragraph" w:styleId="ListParagraph">
    <w:name w:val="List Paragraph"/>
    <w:basedOn w:val="Normal"/>
    <w:uiPriority w:val="34"/>
    <w:qFormat/>
    <w:rsid w:val="007A3AD0"/>
    <w:pPr>
      <w:suppressAutoHyphens/>
      <w:ind w:left="720"/>
      <w:contextualSpacing/>
    </w:pPr>
    <w:rPr>
      <w:lang w:val="en-GB" w:eastAsia="en-US"/>
    </w:rPr>
  </w:style>
  <w:style w:type="paragraph" w:customStyle="1" w:styleId="Nummerierung">
    <w:name w:val="Nummerierung"/>
    <w:basedOn w:val="Normal"/>
    <w:rsid w:val="007A3AD0"/>
    <w:pPr>
      <w:numPr>
        <w:numId w:val="21"/>
      </w:numPr>
      <w:spacing w:line="240" w:lineRule="auto"/>
    </w:pPr>
    <w:rPr>
      <w:sz w:val="24"/>
      <w:szCs w:val="24"/>
      <w:lang w:val="en-US" w:eastAsia="en-US"/>
    </w:rPr>
  </w:style>
  <w:style w:type="paragraph" w:customStyle="1" w:styleId="UNParagraphStyle">
    <w:name w:val="UN Paragraph Style"/>
    <w:basedOn w:val="SingleTxtG"/>
    <w:link w:val="UNParagraphStyleChar"/>
    <w:qFormat/>
    <w:rsid w:val="007A3AD0"/>
    <w:pPr>
      <w:numPr>
        <w:numId w:val="24"/>
      </w:numPr>
      <w:suppressAutoHyphens/>
      <w:ind w:left="1134" w:firstLine="0"/>
    </w:pPr>
    <w:rPr>
      <w:lang w:val="en-CA" w:eastAsia="en-US"/>
    </w:rPr>
  </w:style>
  <w:style w:type="character" w:customStyle="1" w:styleId="UNParagraphStyleChar">
    <w:name w:val="UN Paragraph Style Char"/>
    <w:basedOn w:val="SingleTxtGCar"/>
    <w:link w:val="UNParagraphStyle"/>
    <w:rsid w:val="007A3AD0"/>
    <w:rPr>
      <w:lang w:val="en-CA" w:eastAsia="en-US" w:bidi="ar-SA"/>
    </w:rPr>
  </w:style>
  <w:style w:type="paragraph" w:styleId="CommentSubject">
    <w:name w:val="annotation subject"/>
    <w:basedOn w:val="CommentText"/>
    <w:next w:val="CommentText"/>
    <w:link w:val="CommentSubjectChar"/>
    <w:rsid w:val="007A3AD0"/>
    <w:pPr>
      <w:spacing w:line="240" w:lineRule="auto"/>
    </w:pPr>
    <w:rPr>
      <w:b/>
      <w:bCs/>
    </w:rPr>
  </w:style>
  <w:style w:type="character" w:customStyle="1" w:styleId="CommentSubjectChar">
    <w:name w:val="Comment Subject Char"/>
    <w:basedOn w:val="CommentTextChar"/>
    <w:link w:val="CommentSubject"/>
    <w:rsid w:val="007A3AD0"/>
    <w:rPr>
      <w:b/>
      <w:bCs/>
      <w:lang w:val="en-GB" w:eastAsia="en-US"/>
    </w:rPr>
  </w:style>
  <w:style w:type="paragraph" w:styleId="Revision">
    <w:name w:val="Revision"/>
    <w:hidden/>
    <w:uiPriority w:val="99"/>
    <w:semiHidden/>
    <w:rsid w:val="007A3AD0"/>
    <w:rPr>
      <w:lang w:val="en-GB" w:eastAsia="en-US"/>
    </w:rPr>
  </w:style>
  <w:style w:type="table" w:customStyle="1" w:styleId="Tabellenraster2">
    <w:name w:val="Tabellenraster2"/>
    <w:basedOn w:val="TableNormal"/>
    <w:next w:val="TableGrid"/>
    <w:rsid w:val="007A3AD0"/>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A3AD0"/>
    <w:pPr>
      <w:tabs>
        <w:tab w:val="left" w:pos="1418"/>
        <w:tab w:val="left" w:pos="1985"/>
        <w:tab w:val="left" w:pos="2552"/>
        <w:tab w:val="left" w:pos="3119"/>
        <w:tab w:val="left" w:pos="3686"/>
        <w:tab w:val="left" w:pos="4253"/>
        <w:tab w:val="left" w:pos="4820"/>
      </w:tabs>
      <w:spacing w:line="240" w:lineRule="auto"/>
      <w:jc w:val="both"/>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7.png"/><Relationship Id="rId11" Type="http://schemas.openxmlformats.org/officeDocument/2006/relationships/package" Target="embeddings/Microsoft_Visio_Drawing1221.vsdx"/><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eader" Target="header4.xml"/><Relationship Id="rId53" Type="http://schemas.openxmlformats.org/officeDocument/2006/relationships/header" Target="header8.xml"/><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3.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jpeg"/><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oter" Target="footer4.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2600-007D-4A0D-A1B8-768B37E8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19574</Words>
  <Characters>111578</Characters>
  <Application>Microsoft Office Word</Application>
  <DocSecurity>0</DocSecurity>
  <Lines>929</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ST/SG/AC.10/44/Add.1</vt:lpstr>
      <vt:lpstr>ST/SG/AC.10/44/Add.1</vt:lpstr>
    </vt:vector>
  </TitlesOfParts>
  <Company>ECE-ISU</Company>
  <LinksUpToDate>false</LinksUpToDate>
  <CharactersWithSpaces>130891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ST/SG/AC.10/44/Add.1</dc:title>
  <dc:creator>Carlos Ariel BRAGUNDE LOPEZ</dc:creator>
  <cp:lastModifiedBy>Laurence Berthet</cp:lastModifiedBy>
  <cp:revision>3</cp:revision>
  <cp:lastPrinted>2017-06-30T07:04:00Z</cp:lastPrinted>
  <dcterms:created xsi:type="dcterms:W3CDTF">2017-06-30T07:04:00Z</dcterms:created>
  <dcterms:modified xsi:type="dcterms:W3CDTF">2017-06-30T07:04:00Z</dcterms:modified>
</cp:coreProperties>
</file>