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46" w:rsidRDefault="00CD2746" w:rsidP="00CD2746">
      <w:pPr>
        <w:spacing w:line="240" w:lineRule="auto"/>
        <w:rPr>
          <w:sz w:val="2"/>
        </w:rPr>
        <w:sectPr w:rsidR="00CD2746" w:rsidSect="00CD2746">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CD2746" w:rsidRDefault="00CD2746" w:rsidP="00CD2746">
      <w:pPr>
        <w:pStyle w:val="H1"/>
        <w:spacing w:after="120"/>
        <w:rPr>
          <w:sz w:val="28"/>
        </w:rPr>
      </w:pPr>
      <w:r>
        <w:rPr>
          <w:sz w:val="28"/>
        </w:rPr>
        <w:lastRenderedPageBreak/>
        <w:t>Commission économique pour l’Europe</w:t>
      </w:r>
    </w:p>
    <w:p w:rsidR="009400BE" w:rsidRPr="009400BE" w:rsidRDefault="00CD2746" w:rsidP="009400BE">
      <w:pPr>
        <w:pStyle w:val="H1"/>
        <w:spacing w:after="120" w:line="300" w:lineRule="exact"/>
        <w:rPr>
          <w:b w:val="0"/>
          <w:sz w:val="28"/>
        </w:rPr>
      </w:pPr>
      <w:r>
        <w:rPr>
          <w:b w:val="0"/>
          <w:sz w:val="28"/>
        </w:rPr>
        <w:t>Comité des transports intérieurs</w:t>
      </w:r>
    </w:p>
    <w:p w:rsidR="009400BE" w:rsidRDefault="009400BE" w:rsidP="009400B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Forum mondial de l’harmonisation des Règlements </w:t>
      </w:r>
      <w:r>
        <w:rPr>
          <w:lang w:val="fr-FR"/>
        </w:rPr>
        <w:br/>
        <w:t>concernant les véhicules</w:t>
      </w:r>
    </w:p>
    <w:p w:rsidR="009400BE" w:rsidRPr="009400BE" w:rsidRDefault="009400BE" w:rsidP="009400BE">
      <w:pPr>
        <w:spacing w:line="120" w:lineRule="exact"/>
        <w:rPr>
          <w:sz w:val="10"/>
          <w:lang w:val="fr-FR"/>
        </w:rPr>
      </w:pPr>
    </w:p>
    <w:p w:rsidR="009400BE" w:rsidRDefault="009400BE" w:rsidP="009400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Groupe de travail en matière de roulement et de freinage</w:t>
      </w:r>
    </w:p>
    <w:p w:rsidR="009400BE" w:rsidRPr="009400BE" w:rsidRDefault="009400BE" w:rsidP="009400BE">
      <w:pPr>
        <w:spacing w:line="120" w:lineRule="exact"/>
        <w:rPr>
          <w:sz w:val="10"/>
          <w:lang w:val="fr-FR"/>
        </w:rPr>
      </w:pPr>
    </w:p>
    <w:p w:rsidR="009400BE" w:rsidRDefault="009400BE" w:rsidP="009400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fr-FR"/>
        </w:rPr>
        <w:t>Quatre-vingt-unième session</w:t>
      </w:r>
    </w:p>
    <w:p w:rsidR="009400BE" w:rsidRDefault="009400BE" w:rsidP="009400BE">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fr-FR"/>
        </w:rPr>
        <w:t>Genève, 1</w:t>
      </w:r>
      <w:r>
        <w:rPr>
          <w:vertAlign w:val="superscript"/>
          <w:lang w:val="fr-FR"/>
        </w:rPr>
        <w:t>er</w:t>
      </w:r>
      <w:r w:rsidR="00FB02F7">
        <w:rPr>
          <w:lang w:val="fr-FR"/>
        </w:rPr>
        <w:t>-5 </w:t>
      </w:r>
      <w:r>
        <w:rPr>
          <w:lang w:val="fr-FR"/>
        </w:rPr>
        <w:t>février 2016</w:t>
      </w:r>
    </w:p>
    <w:p w:rsidR="009400BE" w:rsidRDefault="00FB02F7" w:rsidP="009400BE">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fr-FR"/>
        </w:rPr>
        <w:t>Point 5 </w:t>
      </w:r>
      <w:r w:rsidR="009400BE">
        <w:rPr>
          <w:lang w:val="fr-FR"/>
        </w:rPr>
        <w:t>a) de l’ordre du jour provisoire</w:t>
      </w:r>
    </w:p>
    <w:p w:rsidR="009400BE" w:rsidRDefault="009400BE" w:rsidP="009400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Freinage des motocycles : Règlement n</w:t>
      </w:r>
      <w:r w:rsidRPr="009400BE">
        <w:rPr>
          <w:vertAlign w:val="superscript"/>
          <w:lang w:val="fr-FR"/>
        </w:rPr>
        <w:t>o</w:t>
      </w:r>
      <w:r>
        <w:rPr>
          <w:lang w:val="fr-FR"/>
        </w:rPr>
        <w:t> 78</w:t>
      </w:r>
    </w:p>
    <w:p w:rsidR="009400BE" w:rsidRPr="009400BE" w:rsidRDefault="009400BE" w:rsidP="009400BE">
      <w:pPr>
        <w:spacing w:line="120" w:lineRule="exact"/>
        <w:rPr>
          <w:sz w:val="10"/>
          <w:lang w:val="fr-FR"/>
        </w:rPr>
      </w:pPr>
    </w:p>
    <w:p w:rsidR="009400BE" w:rsidRPr="009400BE" w:rsidRDefault="009400BE" w:rsidP="009400BE">
      <w:pPr>
        <w:spacing w:line="120" w:lineRule="exact"/>
        <w:rPr>
          <w:sz w:val="10"/>
          <w:lang w:val="fr-FR"/>
        </w:rPr>
      </w:pPr>
    </w:p>
    <w:p w:rsidR="009400BE" w:rsidRPr="009400BE" w:rsidRDefault="009400BE" w:rsidP="009400BE">
      <w:pPr>
        <w:spacing w:line="120" w:lineRule="exact"/>
        <w:rPr>
          <w:sz w:val="10"/>
          <w:lang w:val="fr-FR"/>
        </w:rPr>
      </w:pPr>
    </w:p>
    <w:p w:rsidR="009400BE" w:rsidRDefault="009400BE" w:rsidP="009400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Proposition de complément au Règlement n</w:t>
      </w:r>
      <w:r>
        <w:rPr>
          <w:vertAlign w:val="superscript"/>
          <w:lang w:val="fr-FR"/>
        </w:rPr>
        <w:t>o </w:t>
      </w:r>
      <w:r>
        <w:rPr>
          <w:lang w:val="fr-FR"/>
        </w:rPr>
        <w:t xml:space="preserve">78 </w:t>
      </w:r>
      <w:r>
        <w:rPr>
          <w:lang w:val="fr-FR"/>
        </w:rPr>
        <w:br/>
        <w:t xml:space="preserve">(Prescriptions uniformes relatives à l’homologation </w:t>
      </w:r>
      <w:r>
        <w:rPr>
          <w:lang w:val="fr-FR"/>
        </w:rPr>
        <w:br/>
        <w:t>des véhicules des catégories L</w:t>
      </w:r>
      <w:r w:rsidRPr="00844985">
        <w:rPr>
          <w:vertAlign w:val="subscript"/>
          <w:lang w:val="fr-FR"/>
        </w:rPr>
        <w:t>1</w:t>
      </w:r>
      <w:r>
        <w:rPr>
          <w:lang w:val="fr-FR"/>
        </w:rPr>
        <w:t>, L</w:t>
      </w:r>
      <w:r w:rsidRPr="00844985">
        <w:rPr>
          <w:vertAlign w:val="subscript"/>
          <w:lang w:val="fr-FR"/>
        </w:rPr>
        <w:t>2</w:t>
      </w:r>
      <w:r>
        <w:rPr>
          <w:lang w:val="fr-FR"/>
        </w:rPr>
        <w:t>, L</w:t>
      </w:r>
      <w:r w:rsidRPr="00844985">
        <w:rPr>
          <w:vertAlign w:val="subscript"/>
          <w:lang w:val="fr-FR"/>
        </w:rPr>
        <w:t>3</w:t>
      </w:r>
      <w:r>
        <w:rPr>
          <w:lang w:val="fr-FR"/>
        </w:rPr>
        <w:t>, L</w:t>
      </w:r>
      <w:r w:rsidRPr="00844985">
        <w:rPr>
          <w:vertAlign w:val="subscript"/>
          <w:lang w:val="fr-FR"/>
        </w:rPr>
        <w:t>4</w:t>
      </w:r>
      <w:r>
        <w:rPr>
          <w:lang w:val="fr-FR"/>
        </w:rPr>
        <w:t xml:space="preserve"> et L</w:t>
      </w:r>
      <w:r w:rsidRPr="00844985">
        <w:rPr>
          <w:vertAlign w:val="subscript"/>
          <w:lang w:val="fr-FR"/>
        </w:rPr>
        <w:t>5</w:t>
      </w:r>
      <w:r>
        <w:rPr>
          <w:lang w:val="fr-FR"/>
        </w:rPr>
        <w:t xml:space="preserve"> </w:t>
      </w:r>
      <w:r>
        <w:rPr>
          <w:lang w:val="fr-FR"/>
        </w:rPr>
        <w:br/>
        <w:t>en ce qui concerne le freinage)</w:t>
      </w:r>
    </w:p>
    <w:p w:rsidR="00045A14" w:rsidRPr="00045A14" w:rsidRDefault="00045A14" w:rsidP="00045A14">
      <w:pPr>
        <w:pStyle w:val="SingleTxt"/>
        <w:spacing w:after="0" w:line="120" w:lineRule="exact"/>
        <w:rPr>
          <w:sz w:val="10"/>
          <w:lang w:val="fr-FR"/>
        </w:rPr>
      </w:pPr>
    </w:p>
    <w:p w:rsidR="00045A14" w:rsidRPr="00045A14" w:rsidRDefault="00045A14" w:rsidP="00045A14">
      <w:pPr>
        <w:pStyle w:val="SingleTxt"/>
        <w:spacing w:after="0" w:line="120" w:lineRule="exact"/>
        <w:rPr>
          <w:sz w:val="10"/>
          <w:lang w:val="fr-FR"/>
        </w:rPr>
      </w:pPr>
    </w:p>
    <w:p w:rsidR="009400BE" w:rsidRDefault="00045A14" w:rsidP="00045A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FR"/>
        </w:rPr>
      </w:pPr>
      <w:r>
        <w:rPr>
          <w:lang w:val="fr-FR"/>
        </w:rPr>
        <w:tab/>
      </w:r>
      <w:r>
        <w:rPr>
          <w:lang w:val="fr-FR"/>
        </w:rPr>
        <w:tab/>
      </w:r>
      <w:r w:rsidR="009400BE">
        <w:rPr>
          <w:lang w:val="fr-FR"/>
        </w:rPr>
        <w:t xml:space="preserve">Communication de l’expert de l’Association internationale </w:t>
      </w:r>
      <w:r>
        <w:rPr>
          <w:lang w:val="fr-FR"/>
        </w:rPr>
        <w:br/>
      </w:r>
      <w:r w:rsidR="009400BE">
        <w:rPr>
          <w:lang w:val="fr-FR"/>
        </w:rPr>
        <w:t>des constructeurs de motocycles</w:t>
      </w:r>
      <w:r w:rsidRPr="001C33DC">
        <w:rPr>
          <w:rStyle w:val="Appelnotedebasdep"/>
          <w:b w:val="0"/>
          <w:sz w:val="20"/>
          <w:szCs w:val="20"/>
          <w:vertAlign w:val="baseline"/>
          <w:lang w:val="fr-FR"/>
        </w:rPr>
        <w:footnoteReference w:customMarkFollows="1" w:id="1"/>
        <w:t>*</w:t>
      </w:r>
    </w:p>
    <w:p w:rsidR="00045A14" w:rsidRPr="00045A14" w:rsidRDefault="00045A14" w:rsidP="00045A14">
      <w:pPr>
        <w:pStyle w:val="SingleTxt"/>
        <w:spacing w:after="0" w:line="120" w:lineRule="exact"/>
        <w:rPr>
          <w:sz w:val="10"/>
          <w:lang w:val="fr-FR"/>
        </w:rPr>
      </w:pPr>
    </w:p>
    <w:p w:rsidR="00045A14" w:rsidRPr="00045A14" w:rsidRDefault="00045A14" w:rsidP="00045A14">
      <w:pPr>
        <w:pStyle w:val="SingleTxt"/>
        <w:spacing w:after="0" w:line="120" w:lineRule="exact"/>
        <w:rPr>
          <w:sz w:val="10"/>
          <w:lang w:val="fr-FR"/>
        </w:rPr>
      </w:pPr>
    </w:p>
    <w:p w:rsidR="009400BE" w:rsidRDefault="00045A14" w:rsidP="00045A14">
      <w:pPr>
        <w:pStyle w:val="SingleTxt"/>
        <w:rPr>
          <w:lang w:val="fr-FR"/>
        </w:rPr>
      </w:pPr>
      <w:r>
        <w:rPr>
          <w:lang w:val="fr-FR"/>
        </w:rPr>
        <w:tab/>
      </w:r>
      <w:r w:rsidR="009400BE">
        <w:rPr>
          <w:lang w:val="fr-FR"/>
        </w:rPr>
        <w:t>Le texte reproduit ci-après a été établi par les experts de l’Association internationale des constructeurs d</w:t>
      </w:r>
      <w:bookmarkStart w:id="1" w:name="insstart"/>
      <w:bookmarkEnd w:id="1"/>
      <w:r w:rsidR="009400BE">
        <w:rPr>
          <w:lang w:val="fr-FR"/>
        </w:rPr>
        <w:t>e motocycles (IMMA) dans le but d’autoriser le signal de freinage d’urgence. Les modifications qu’il est proposé d’apporter au texte actuel du Règlement sont signalées en caractères gras pour les ajouts et en caractères biffés pour les suppressions.</w:t>
      </w:r>
    </w:p>
    <w:p w:rsidR="00045A14" w:rsidRPr="00045A14" w:rsidRDefault="00045A14" w:rsidP="00045A14">
      <w:pPr>
        <w:pStyle w:val="SingleTxt"/>
        <w:spacing w:after="0" w:line="120" w:lineRule="exact"/>
        <w:rPr>
          <w:sz w:val="10"/>
          <w:lang w:val="fr-FR"/>
        </w:rPr>
      </w:pPr>
    </w:p>
    <w:p w:rsidR="00045A14" w:rsidRPr="00045A14" w:rsidRDefault="00045A14" w:rsidP="00045A14">
      <w:pPr>
        <w:pStyle w:val="SingleTxt"/>
        <w:spacing w:after="0" w:line="120" w:lineRule="exact"/>
        <w:rPr>
          <w:sz w:val="10"/>
          <w:szCs w:val="20"/>
        </w:rPr>
      </w:pPr>
    </w:p>
    <w:p w:rsidR="009400BE" w:rsidRDefault="009400BE" w:rsidP="00045A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Proposition</w:t>
      </w:r>
    </w:p>
    <w:p w:rsidR="00045A14" w:rsidRPr="00045A14" w:rsidRDefault="00045A14" w:rsidP="00045A14">
      <w:pPr>
        <w:pStyle w:val="SingleTxt"/>
        <w:spacing w:after="0" w:line="120" w:lineRule="exact"/>
        <w:rPr>
          <w:sz w:val="10"/>
          <w:lang w:val="fr-FR"/>
        </w:rPr>
      </w:pPr>
    </w:p>
    <w:p w:rsidR="00045A14" w:rsidRPr="00045A14" w:rsidRDefault="00045A14" w:rsidP="00045A14">
      <w:pPr>
        <w:pStyle w:val="SingleTxt"/>
        <w:spacing w:after="0" w:line="120" w:lineRule="exact"/>
        <w:rPr>
          <w:sz w:val="10"/>
          <w:lang w:val="fr-FR"/>
        </w:rPr>
      </w:pPr>
    </w:p>
    <w:p w:rsidR="009400BE" w:rsidRDefault="009400BE" w:rsidP="00045A14">
      <w:pPr>
        <w:pStyle w:val="SingleTxt"/>
        <w:rPr>
          <w:sz w:val="24"/>
        </w:rPr>
      </w:pPr>
      <w:r w:rsidRPr="00045A14">
        <w:rPr>
          <w:i/>
          <w:lang w:val="fr-FR"/>
        </w:rPr>
        <w:t>Ajouter un nouveau paragraphe 2.30</w:t>
      </w:r>
      <w:r>
        <w:rPr>
          <w:lang w:val="fr-FR"/>
        </w:rPr>
        <w:t>, ainsi conçu</w:t>
      </w:r>
      <w:r w:rsidR="00045A14">
        <w:rPr>
          <w:lang w:val="fr-FR"/>
        </w:rPr>
        <w:t> </w:t>
      </w:r>
      <w:r>
        <w:rPr>
          <w:lang w:val="fr-FR"/>
        </w:rPr>
        <w:t>:</w:t>
      </w:r>
    </w:p>
    <w:p w:rsidR="009400BE" w:rsidRDefault="00045A14" w:rsidP="00045A14">
      <w:pPr>
        <w:pStyle w:val="SingleTxt"/>
        <w:ind w:left="2218" w:hanging="951"/>
      </w:pPr>
      <w:r>
        <w:rPr>
          <w:lang w:val="fr-FR"/>
        </w:rPr>
        <w:t>« </w:t>
      </w:r>
      <w:r w:rsidR="009400BE" w:rsidRPr="00045A14">
        <w:rPr>
          <w:b/>
          <w:lang w:val="fr-FR"/>
        </w:rPr>
        <w:t>2.30</w:t>
      </w:r>
      <w:r w:rsidR="009400BE" w:rsidRPr="00045A14">
        <w:rPr>
          <w:b/>
          <w:lang w:val="fr-FR"/>
        </w:rPr>
        <w:tab/>
        <w:t xml:space="preserve">Par </w:t>
      </w:r>
      <w:r w:rsidRPr="00045A14">
        <w:rPr>
          <w:b/>
          <w:lang w:val="fr-FR"/>
        </w:rPr>
        <w:t>“Signal de freinage d’urgenceˮ</w:t>
      </w:r>
      <w:r w:rsidR="009400BE" w:rsidRPr="00045A14">
        <w:rPr>
          <w:b/>
          <w:lang w:val="fr-FR"/>
        </w:rPr>
        <w:t>, un signal logique indiquant l’actionnement du freinage d’urgence comme indiqué aux paragraphes 5.1.15 à 5.1.15.2 du présent Règlement</w:t>
      </w:r>
      <w:r w:rsidRPr="00045A14">
        <w:rPr>
          <w:b/>
          <w:lang w:val="fr-FR"/>
        </w:rPr>
        <w:t>.</w:t>
      </w:r>
      <w:r>
        <w:rPr>
          <w:lang w:val="fr-FR"/>
        </w:rPr>
        <w:t> »</w:t>
      </w:r>
      <w:r w:rsidR="009400BE">
        <w:rPr>
          <w:lang w:val="fr-FR"/>
        </w:rPr>
        <w:t>.</w:t>
      </w:r>
    </w:p>
    <w:p w:rsidR="009400BE" w:rsidRDefault="009400BE" w:rsidP="001C33DC">
      <w:pPr>
        <w:pStyle w:val="SingleTxt"/>
        <w:keepNext/>
      </w:pPr>
      <w:r w:rsidRPr="00045A14">
        <w:rPr>
          <w:i/>
          <w:lang w:val="fr-FR"/>
        </w:rPr>
        <w:lastRenderedPageBreak/>
        <w:t>Ajouter de nouveaux paragraphes 5.1.15 à 5.1.15.2</w:t>
      </w:r>
      <w:r w:rsidR="00045A14">
        <w:rPr>
          <w:lang w:val="fr-FR"/>
        </w:rPr>
        <w:t>, ainsi conçus </w:t>
      </w:r>
      <w:r>
        <w:rPr>
          <w:lang w:val="fr-FR"/>
        </w:rPr>
        <w:t>:</w:t>
      </w:r>
    </w:p>
    <w:p w:rsidR="009400BE" w:rsidRDefault="00982DAB" w:rsidP="001C33DC">
      <w:pPr>
        <w:pStyle w:val="SingleTxt"/>
        <w:keepNext/>
        <w:ind w:left="2218" w:hanging="951"/>
        <w:rPr>
          <w:rFonts w:eastAsia="Times New Roman"/>
          <w:b/>
        </w:rPr>
      </w:pPr>
      <w:r w:rsidRPr="00982DAB">
        <w:rPr>
          <w:rFonts w:eastAsia="Times New Roman"/>
          <w:lang w:val="fr-FR"/>
        </w:rPr>
        <w:t>« </w:t>
      </w:r>
      <w:r w:rsidR="009400BE">
        <w:rPr>
          <w:rFonts w:eastAsia="Times New Roman"/>
          <w:b/>
          <w:lang w:val="fr-FR"/>
        </w:rPr>
        <w:t>5.1.15</w:t>
      </w:r>
      <w:r w:rsidR="009400BE">
        <w:rPr>
          <w:rFonts w:eastAsia="Times New Roman"/>
          <w:b/>
          <w:lang w:val="fr-FR"/>
        </w:rPr>
        <w:tab/>
        <w:t xml:space="preserve">Lorsqu’un véhicule est équipé de </w:t>
      </w:r>
      <w:r w:rsidR="009400BE" w:rsidRPr="00045A14">
        <w:rPr>
          <w:b/>
          <w:lang w:val="fr-FR"/>
        </w:rPr>
        <w:t>dispositifs</w:t>
      </w:r>
      <w:r w:rsidR="009400BE">
        <w:rPr>
          <w:rFonts w:eastAsia="Times New Roman"/>
          <w:b/>
          <w:lang w:val="fr-FR"/>
        </w:rPr>
        <w:t xml:space="preserve"> permettant d’indiquer le freinage d’urgence, le signal de freinage d’urgence ne doit être activé que par l’utilisation du système de freinage de service lorsque les conditions ci-après sont réunies</w:t>
      </w:r>
      <w:r w:rsidR="009400BE" w:rsidRPr="001C33DC">
        <w:rPr>
          <w:rFonts w:eastAsia="Times New Roman"/>
          <w:lang w:val="fr-FR"/>
        </w:rPr>
        <w:t>*</w:t>
      </w:r>
      <w:r w:rsidR="001C33DC">
        <w:rPr>
          <w:rFonts w:eastAsia="Times New Roman"/>
          <w:b/>
          <w:lang w:val="fr-FR"/>
        </w:rPr>
        <w:t> </w:t>
      </w:r>
      <w:r w:rsidR="009400BE">
        <w:rPr>
          <w:rFonts w:eastAsia="Times New Roman"/>
          <w:b/>
          <w:lang w:val="fr-FR"/>
        </w:rPr>
        <w:t>:</w:t>
      </w:r>
    </w:p>
    <w:p w:rsidR="009400BE" w:rsidRDefault="009400BE" w:rsidP="001C33DC">
      <w:pPr>
        <w:pStyle w:val="SingleTxt"/>
        <w:ind w:left="2217" w:hanging="950"/>
        <w:rPr>
          <w:rFonts w:eastAsia="Times New Roman"/>
          <w:b/>
        </w:rPr>
      </w:pPr>
      <w:r>
        <w:rPr>
          <w:rFonts w:eastAsia="Times New Roman"/>
          <w:b/>
          <w:lang w:val="fr-FR"/>
        </w:rPr>
        <w:t>5.1.15.1</w:t>
      </w:r>
      <w:r>
        <w:rPr>
          <w:rFonts w:eastAsia="Times New Roman"/>
          <w:b/>
          <w:lang w:val="fr-FR"/>
        </w:rPr>
        <w:tab/>
        <w:t>Le signal ne doit pas être activé lorsque la décélération du véhicule est inférieure à 6 m/s</w:t>
      </w:r>
      <w:r>
        <w:rPr>
          <w:rFonts w:eastAsia="Times New Roman"/>
          <w:b/>
          <w:vertAlign w:val="superscript"/>
          <w:lang w:val="fr-FR"/>
        </w:rPr>
        <w:t>2</w:t>
      </w:r>
      <w:r>
        <w:rPr>
          <w:rFonts w:eastAsia="Times New Roman"/>
          <w:b/>
          <w:lang w:val="fr-FR"/>
        </w:rPr>
        <w:t xml:space="preserve"> mais il peut être activé en cas de décélération égale ou supérieure à cette valeur, la valeur effective étant définie par le constructeur du véhicule.</w:t>
      </w:r>
    </w:p>
    <w:p w:rsidR="009400BE" w:rsidRDefault="001C33DC" w:rsidP="001C33DC">
      <w:pPr>
        <w:pStyle w:val="SingleTxt"/>
        <w:ind w:left="2217" w:hanging="950"/>
        <w:rPr>
          <w:rFonts w:eastAsia="Times New Roman"/>
          <w:b/>
        </w:rPr>
      </w:pPr>
      <w:r>
        <w:rPr>
          <w:rFonts w:eastAsia="Times New Roman"/>
          <w:b/>
          <w:lang w:val="fr-FR"/>
        </w:rPr>
        <w:tab/>
      </w:r>
      <w:r>
        <w:rPr>
          <w:rFonts w:eastAsia="Times New Roman"/>
          <w:b/>
          <w:lang w:val="fr-FR"/>
        </w:rPr>
        <w:tab/>
      </w:r>
      <w:r w:rsidR="009400BE">
        <w:rPr>
          <w:rFonts w:eastAsia="Times New Roman"/>
          <w:b/>
          <w:lang w:val="fr-FR"/>
        </w:rPr>
        <w:t>Le signal doit être désactivé au plus tard lorsque la décélération est tombée en dessous de 2,5 m/s</w:t>
      </w:r>
      <w:r w:rsidR="009400BE">
        <w:rPr>
          <w:rFonts w:eastAsia="Times New Roman"/>
          <w:b/>
          <w:vertAlign w:val="superscript"/>
          <w:lang w:val="fr-FR"/>
        </w:rPr>
        <w:t>2</w:t>
      </w:r>
      <w:r w:rsidR="009400BE">
        <w:rPr>
          <w:rFonts w:eastAsia="Times New Roman"/>
          <w:b/>
          <w:lang w:val="fr-FR"/>
        </w:rPr>
        <w:t>.</w:t>
      </w:r>
    </w:p>
    <w:p w:rsidR="009400BE" w:rsidRDefault="009400BE" w:rsidP="001C33DC">
      <w:pPr>
        <w:pStyle w:val="SingleTxt"/>
        <w:ind w:left="2217" w:hanging="950"/>
        <w:rPr>
          <w:rFonts w:eastAsia="Times New Roman"/>
          <w:b/>
        </w:rPr>
      </w:pPr>
      <w:r>
        <w:rPr>
          <w:rFonts w:eastAsia="Times New Roman"/>
          <w:b/>
          <w:lang w:val="fr-FR"/>
        </w:rPr>
        <w:t>5.1.15.2</w:t>
      </w:r>
      <w:r>
        <w:rPr>
          <w:rFonts w:eastAsia="Times New Roman"/>
          <w:b/>
          <w:lang w:val="fr-FR"/>
        </w:rPr>
        <w:tab/>
        <w:t>Le signal peut aussi être activé et désactivé dans les conditions suivantes</w:t>
      </w:r>
      <w:r w:rsidR="001C33DC">
        <w:rPr>
          <w:rFonts w:eastAsia="Times New Roman"/>
          <w:b/>
          <w:lang w:val="fr-FR"/>
        </w:rPr>
        <w:t> </w:t>
      </w:r>
      <w:r>
        <w:rPr>
          <w:rFonts w:eastAsia="Times New Roman"/>
          <w:b/>
          <w:lang w:val="fr-FR"/>
        </w:rPr>
        <w:t>:</w:t>
      </w:r>
    </w:p>
    <w:p w:rsidR="009400BE" w:rsidRPr="001C33DC" w:rsidRDefault="001C33DC" w:rsidP="001C33DC">
      <w:pPr>
        <w:pStyle w:val="SingleTxt"/>
        <w:ind w:left="2693" w:hanging="1426"/>
        <w:rPr>
          <w:b/>
        </w:rPr>
      </w:pPr>
      <w:r>
        <w:rPr>
          <w:b/>
          <w:lang w:val="fr-FR"/>
        </w:rPr>
        <w:tab/>
      </w:r>
      <w:r>
        <w:rPr>
          <w:b/>
          <w:lang w:val="fr-FR"/>
        </w:rPr>
        <w:tab/>
      </w:r>
      <w:r w:rsidR="009400BE" w:rsidRPr="001C33DC">
        <w:rPr>
          <w:b/>
          <w:lang w:val="fr-FR"/>
        </w:rPr>
        <w:t>a)</w:t>
      </w:r>
      <w:r w:rsidR="009400BE" w:rsidRPr="001C33DC">
        <w:rPr>
          <w:b/>
          <w:lang w:val="fr-FR"/>
        </w:rPr>
        <w:tab/>
        <w:t>Le signal peut être activé dans l’hypothèse où la décélération du véhicule résultant de la demande de freinage respecte les seuils d’activation et de désa</w:t>
      </w:r>
      <w:r>
        <w:rPr>
          <w:b/>
          <w:lang w:val="fr-FR"/>
        </w:rPr>
        <w:t>ctivation définis au paragraphe </w:t>
      </w:r>
      <w:r w:rsidR="009400BE" w:rsidRPr="001C33DC">
        <w:rPr>
          <w:b/>
          <w:lang w:val="fr-FR"/>
        </w:rPr>
        <w:t>5.1.15.1 ci-dessus;</w:t>
      </w:r>
    </w:p>
    <w:p w:rsidR="009400BE" w:rsidRDefault="001C33DC" w:rsidP="001C33DC">
      <w:pPr>
        <w:pStyle w:val="SingleTxt"/>
        <w:ind w:left="2693" w:hanging="1426"/>
        <w:rPr>
          <w:rFonts w:eastAsia="Times New Roman"/>
          <w:b/>
        </w:rPr>
      </w:pPr>
      <w:r>
        <w:rPr>
          <w:b/>
          <w:lang w:val="fr-FR"/>
        </w:rPr>
        <w:tab/>
      </w:r>
      <w:r>
        <w:rPr>
          <w:b/>
          <w:lang w:val="fr-FR"/>
        </w:rPr>
        <w:tab/>
      </w:r>
      <w:r>
        <w:rPr>
          <w:b/>
          <w:lang w:val="fr-FR"/>
        </w:rPr>
        <w:tab/>
      </w:r>
      <w:r w:rsidR="009400BE" w:rsidRPr="001C33DC">
        <w:rPr>
          <w:b/>
          <w:lang w:val="fr-FR"/>
        </w:rPr>
        <w:t>Ou</w:t>
      </w:r>
    </w:p>
    <w:p w:rsidR="009400BE" w:rsidRDefault="001C33DC" w:rsidP="001C33DC">
      <w:pPr>
        <w:pStyle w:val="SingleTxt"/>
        <w:ind w:left="2693" w:hanging="1426"/>
        <w:rPr>
          <w:rFonts w:eastAsia="Times New Roman"/>
          <w:b/>
        </w:rPr>
      </w:pPr>
      <w:r>
        <w:rPr>
          <w:rFonts w:eastAsia="Times New Roman"/>
          <w:b/>
          <w:lang w:val="fr-FR"/>
        </w:rPr>
        <w:tab/>
      </w:r>
      <w:r>
        <w:rPr>
          <w:rFonts w:eastAsia="Times New Roman"/>
          <w:b/>
          <w:lang w:val="fr-FR"/>
        </w:rPr>
        <w:tab/>
      </w:r>
      <w:r w:rsidR="009400BE">
        <w:rPr>
          <w:rFonts w:eastAsia="Times New Roman"/>
          <w:b/>
          <w:lang w:val="fr-FR"/>
        </w:rPr>
        <w:t>b)</w:t>
      </w:r>
      <w:r w:rsidR="009400BE">
        <w:rPr>
          <w:rFonts w:eastAsia="Times New Roman"/>
          <w:b/>
          <w:lang w:val="fr-FR"/>
        </w:rPr>
        <w:tab/>
        <w:t xml:space="preserve">Le signal peut être activé à une </w:t>
      </w:r>
      <w:r w:rsidR="009400BE" w:rsidRPr="00844985">
        <w:rPr>
          <w:b/>
          <w:lang w:val="fr-FR"/>
        </w:rPr>
        <w:t>vitesse</w:t>
      </w:r>
      <w:r>
        <w:rPr>
          <w:rFonts w:eastAsia="Times New Roman"/>
          <w:b/>
          <w:lang w:val="fr-FR"/>
        </w:rPr>
        <w:t xml:space="preserve"> supérieure à 50 </w:t>
      </w:r>
      <w:r w:rsidR="009400BE">
        <w:rPr>
          <w:rFonts w:eastAsia="Times New Roman"/>
          <w:b/>
          <w:lang w:val="fr-FR"/>
        </w:rPr>
        <w:t xml:space="preserve">km/h lorsque le système antiblocage exécute des cycles complets (conformément à la définition figurant </w:t>
      </w:r>
      <w:r>
        <w:rPr>
          <w:rFonts w:eastAsia="Times New Roman"/>
          <w:b/>
          <w:lang w:val="fr-FR"/>
        </w:rPr>
        <w:t>au paragraphe 9.1 de l’annexe </w:t>
      </w:r>
      <w:r w:rsidR="009400BE">
        <w:rPr>
          <w:rFonts w:eastAsia="Times New Roman"/>
          <w:b/>
          <w:lang w:val="fr-FR"/>
        </w:rPr>
        <w:t>3) et lorsque la décélération est d’au moins 2,5 m/s</w:t>
      </w:r>
      <w:r w:rsidR="009400BE">
        <w:rPr>
          <w:rFonts w:eastAsia="Times New Roman"/>
          <w:b/>
          <w:vertAlign w:val="superscript"/>
          <w:lang w:val="fr-FR"/>
        </w:rPr>
        <w:t>2</w:t>
      </w:r>
      <w:r w:rsidR="009400BE">
        <w:rPr>
          <w:rFonts w:eastAsia="Times New Roman"/>
          <w:b/>
          <w:lang w:val="fr-FR"/>
        </w:rPr>
        <w:t>. La décélération peut être déclenchée dans l</w:t>
      </w:r>
      <w:r>
        <w:rPr>
          <w:rFonts w:eastAsia="Times New Roman"/>
          <w:b/>
          <w:lang w:val="fr-FR"/>
        </w:rPr>
        <w:t>es conditions décrites au point </w:t>
      </w:r>
      <w:r w:rsidR="009400BE">
        <w:rPr>
          <w:rFonts w:eastAsia="Times New Roman"/>
          <w:b/>
          <w:lang w:val="fr-FR"/>
        </w:rPr>
        <w:t>a). Le signal doit être désactivé lorsque le système antiblocage n’exécute plus des cycles complets.</w:t>
      </w:r>
    </w:p>
    <w:p w:rsidR="009400BE" w:rsidRDefault="009400BE" w:rsidP="001C33DC">
      <w:pPr>
        <w:pStyle w:val="SingleTxt"/>
      </w:pPr>
      <w:r w:rsidRPr="001C33DC">
        <w:rPr>
          <w:i/>
          <w:lang w:val="fr-FR"/>
        </w:rPr>
        <w:t>Ajouter en bas de la page co</w:t>
      </w:r>
      <w:r w:rsidR="00844985">
        <w:rPr>
          <w:i/>
          <w:lang w:val="fr-FR"/>
        </w:rPr>
        <w:t>rrespondant au paragraphe 5.1.1</w:t>
      </w:r>
      <w:r w:rsidRPr="001C33DC">
        <w:rPr>
          <w:i/>
          <w:lang w:val="fr-FR"/>
        </w:rPr>
        <w:t>5</w:t>
      </w:r>
      <w:r w:rsidR="001C33DC" w:rsidRPr="001C33DC">
        <w:rPr>
          <w:i/>
          <w:lang w:val="fr-FR"/>
        </w:rPr>
        <w:t xml:space="preserve"> </w:t>
      </w:r>
      <w:r w:rsidRPr="001C33DC">
        <w:rPr>
          <w:i/>
          <w:lang w:val="fr-FR"/>
        </w:rPr>
        <w:t>une note</w:t>
      </w:r>
      <w:r>
        <w:rPr>
          <w:lang w:val="fr-FR"/>
        </w:rPr>
        <w:t xml:space="preserve"> ainsi conçue</w:t>
      </w:r>
      <w:r w:rsidR="00FB02F7">
        <w:rPr>
          <w:lang w:val="fr-FR"/>
        </w:rPr>
        <w:t> </w:t>
      </w:r>
      <w:r>
        <w:rPr>
          <w:lang w:val="fr-FR"/>
        </w:rPr>
        <w:t>:</w:t>
      </w:r>
    </w:p>
    <w:p w:rsidR="009400BE" w:rsidRDefault="0040378F" w:rsidP="001C33DC">
      <w:pPr>
        <w:pStyle w:val="SingleTxt"/>
        <w:tabs>
          <w:tab w:val="clear" w:pos="1267"/>
          <w:tab w:val="left" w:pos="1116"/>
        </w:tabs>
        <w:ind w:left="1116"/>
        <w:rPr>
          <w:lang w:val="en-GB"/>
        </w:rPr>
      </w:pPr>
      <w:r w:rsidRPr="00982DAB">
        <w:rPr>
          <w:rFonts w:eastAsia="Times New Roman"/>
          <w:lang w:val="fr-FR"/>
        </w:rPr>
        <w:t>« </w:t>
      </w:r>
      <w:r w:rsidR="009400BE">
        <w:rPr>
          <w:lang w:val="en-GB"/>
        </w:rPr>
        <w:separator/>
      </w:r>
    </w:p>
    <w:p w:rsidR="009400BE" w:rsidRDefault="001C33DC" w:rsidP="001C33DC">
      <w:pPr>
        <w:pStyle w:val="Notedebasdepage"/>
        <w:tabs>
          <w:tab w:val="right" w:pos="1195"/>
          <w:tab w:val="left" w:pos="1267"/>
          <w:tab w:val="left" w:pos="1742"/>
          <w:tab w:val="left" w:pos="2218"/>
          <w:tab w:val="left" w:pos="2693"/>
        </w:tabs>
        <w:ind w:left="1267" w:right="1260" w:hanging="432"/>
        <w:rPr>
          <w:b/>
          <w:lang w:val="fr-FR"/>
        </w:rPr>
      </w:pPr>
      <w:r>
        <w:rPr>
          <w:lang w:val="fr-FR"/>
        </w:rPr>
        <w:tab/>
      </w:r>
      <w:r w:rsidRPr="001C33DC">
        <w:rPr>
          <w:lang w:val="fr-FR"/>
        </w:rPr>
        <w:t>*</w:t>
      </w:r>
      <w:r w:rsidRPr="001C33DC">
        <w:rPr>
          <w:b/>
          <w:lang w:val="fr-FR"/>
        </w:rPr>
        <w:tab/>
      </w:r>
      <w:r w:rsidR="009400BE" w:rsidRPr="001C33DC">
        <w:rPr>
          <w:b/>
          <w:lang w:val="fr-FR"/>
        </w:rPr>
        <w:t>Au moment de l’homologation de type, le constructeur du véhicule doit confirmer la conformité avec ces dispositions.</w:t>
      </w:r>
      <w:r w:rsidR="0040378F">
        <w:rPr>
          <w:b/>
          <w:lang w:val="fr-FR"/>
        </w:rPr>
        <w:t> </w:t>
      </w:r>
      <w:r w:rsidR="0040378F" w:rsidRPr="00816922">
        <w:rPr>
          <w:lang w:val="fr-FR"/>
        </w:rPr>
        <w:t>».</w:t>
      </w:r>
    </w:p>
    <w:p w:rsidR="001C33DC" w:rsidRPr="001C33DC" w:rsidRDefault="001C33DC" w:rsidP="001C33DC">
      <w:pPr>
        <w:pStyle w:val="SingleTxt"/>
        <w:spacing w:after="0" w:line="120" w:lineRule="exact"/>
        <w:rPr>
          <w:sz w:val="10"/>
          <w:lang w:val="fr-CH"/>
        </w:rPr>
      </w:pPr>
    </w:p>
    <w:p w:rsidR="001C33DC" w:rsidRPr="001C33DC" w:rsidRDefault="001C33DC" w:rsidP="001C33DC">
      <w:pPr>
        <w:pStyle w:val="SingleTxt"/>
        <w:spacing w:after="0" w:line="120" w:lineRule="exact"/>
        <w:rPr>
          <w:sz w:val="10"/>
          <w:lang w:val="fr-CH"/>
        </w:rPr>
      </w:pPr>
    </w:p>
    <w:p w:rsidR="009400BE" w:rsidRDefault="001C33DC" w:rsidP="001C33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9400BE">
        <w:rPr>
          <w:lang w:val="fr-FR"/>
        </w:rPr>
        <w:t>II.</w:t>
      </w:r>
      <w:r w:rsidR="009400BE">
        <w:rPr>
          <w:lang w:val="fr-FR"/>
        </w:rPr>
        <w:tab/>
        <w:t>Justification</w:t>
      </w:r>
    </w:p>
    <w:p w:rsidR="001C33DC" w:rsidRPr="001C33DC" w:rsidRDefault="001C33DC" w:rsidP="001C33DC">
      <w:pPr>
        <w:pStyle w:val="SingleTxt"/>
        <w:spacing w:after="0" w:line="120" w:lineRule="exact"/>
        <w:rPr>
          <w:sz w:val="10"/>
          <w:lang w:val="fr-FR"/>
        </w:rPr>
      </w:pPr>
    </w:p>
    <w:p w:rsidR="001C33DC" w:rsidRPr="001C33DC" w:rsidRDefault="001C33DC" w:rsidP="001C33DC">
      <w:pPr>
        <w:pStyle w:val="SingleTxt"/>
        <w:spacing w:after="0" w:line="120" w:lineRule="exact"/>
        <w:rPr>
          <w:sz w:val="10"/>
          <w:lang w:val="fr-FR"/>
        </w:rPr>
      </w:pPr>
    </w:p>
    <w:p w:rsidR="009400BE" w:rsidRDefault="009400BE" w:rsidP="00C50E66">
      <w:pPr>
        <w:pStyle w:val="SingleTxt"/>
        <w:rPr>
          <w:sz w:val="24"/>
        </w:rPr>
      </w:pPr>
      <w:r>
        <w:rPr>
          <w:lang w:val="fr-FR"/>
        </w:rPr>
        <w:t>1.</w:t>
      </w:r>
      <w:r>
        <w:rPr>
          <w:lang w:val="fr-FR"/>
        </w:rPr>
        <w:tab/>
        <w:t>Le signal de freinage d’urgence existe déjà sur le marché pour les véhicules à moteur. Les motocycles étant utilisés dans les mêmes conditions de circulation, cette option devra</w:t>
      </w:r>
      <w:r w:rsidR="00FB02F7">
        <w:rPr>
          <w:lang w:val="fr-FR"/>
        </w:rPr>
        <w:t>it également leur être offerte.</w:t>
      </w:r>
    </w:p>
    <w:p w:rsidR="009400BE" w:rsidRDefault="009400BE" w:rsidP="00C50E66">
      <w:pPr>
        <w:pStyle w:val="SingleTxt"/>
        <w:rPr>
          <w:rFonts w:eastAsia="Times New Roman"/>
        </w:rPr>
      </w:pPr>
      <w:r>
        <w:rPr>
          <w:rFonts w:eastAsia="Times New Roman"/>
          <w:lang w:val="fr-FR"/>
        </w:rPr>
        <w:t>2.</w:t>
      </w:r>
      <w:r>
        <w:rPr>
          <w:rFonts w:eastAsia="Times New Roman"/>
          <w:lang w:val="fr-FR"/>
        </w:rPr>
        <w:tab/>
        <w:t>La présente proposition a été élaborée à partir des dispositions du R</w:t>
      </w:r>
      <w:r w:rsidR="00C50E66">
        <w:rPr>
          <w:rFonts w:eastAsia="Times New Roman"/>
          <w:lang w:val="fr-FR"/>
        </w:rPr>
        <w:t>èglement n</w:t>
      </w:r>
      <w:r w:rsidR="00C50E66" w:rsidRPr="00C50E66">
        <w:rPr>
          <w:rFonts w:eastAsia="Times New Roman"/>
          <w:vertAlign w:val="superscript"/>
          <w:lang w:val="fr-FR"/>
        </w:rPr>
        <w:t>o</w:t>
      </w:r>
      <w:r w:rsidR="00C50E66">
        <w:rPr>
          <w:rFonts w:eastAsia="Times New Roman"/>
          <w:lang w:val="fr-FR"/>
        </w:rPr>
        <w:t> </w:t>
      </w:r>
      <w:r>
        <w:rPr>
          <w:rFonts w:eastAsia="Times New Roman"/>
          <w:lang w:val="fr-FR"/>
        </w:rPr>
        <w:t>13-H relatives au signal de freinage d’urgence, qui ont été modifiées pour tenir compte des différences entre les véhicules à moteur et les mo</w:t>
      </w:r>
      <w:r w:rsidR="00844985">
        <w:rPr>
          <w:rFonts w:eastAsia="Times New Roman"/>
          <w:lang w:val="fr-FR"/>
        </w:rPr>
        <w:t xml:space="preserve">tocycles. Cette modification </w:t>
      </w:r>
      <w:r>
        <w:rPr>
          <w:rFonts w:eastAsia="Times New Roman"/>
          <w:lang w:val="fr-FR"/>
        </w:rPr>
        <w:t>consiste à</w:t>
      </w:r>
      <w:r w:rsidR="00C50E66">
        <w:rPr>
          <w:rFonts w:eastAsia="Times New Roman"/>
          <w:lang w:val="fr-FR"/>
        </w:rPr>
        <w:t xml:space="preserve"> ajouter au paragraphe 5.1.15.2 </w:t>
      </w:r>
      <w:r>
        <w:rPr>
          <w:rFonts w:eastAsia="Times New Roman"/>
          <w:lang w:val="fr-FR"/>
        </w:rPr>
        <w:t xml:space="preserve">b) comme critère d’activation une valeur minimale de décélération à l’exécution de cycles complets par le système antiblocage ABS. Ce qui est en accord avec l’activation par la décélération, qui réclame également </w:t>
      </w:r>
      <w:r w:rsidR="00C50E66">
        <w:rPr>
          <w:rFonts w:eastAsia="Times New Roman"/>
          <w:lang w:val="fr-FR"/>
        </w:rPr>
        <w:t>une décélération d’au moins 2,5 </w:t>
      </w:r>
      <w:r>
        <w:rPr>
          <w:rFonts w:eastAsia="Times New Roman"/>
          <w:lang w:val="fr-FR"/>
        </w:rPr>
        <w:t>m/s</w:t>
      </w:r>
      <w:r>
        <w:rPr>
          <w:rFonts w:eastAsia="Times New Roman"/>
          <w:vertAlign w:val="superscript"/>
          <w:lang w:val="fr-FR"/>
        </w:rPr>
        <w:t>2</w:t>
      </w:r>
      <w:r>
        <w:rPr>
          <w:rFonts w:eastAsia="Times New Roman"/>
          <w:lang w:val="fr-FR"/>
        </w:rPr>
        <w:t>, et tient compte du fait que les systèmes de freinage indépendant caractéristiques des motocycles peuvent avoir l’ABS totalement activé sur l’une des roues sans que l’autre roue soit freinée.</w:t>
      </w:r>
    </w:p>
    <w:p w:rsidR="009400BE" w:rsidRDefault="009400BE" w:rsidP="00C50E66">
      <w:pPr>
        <w:pStyle w:val="SingleTxt"/>
        <w:rPr>
          <w:rFonts w:eastAsia="Times New Roman"/>
        </w:rPr>
      </w:pPr>
      <w:r>
        <w:rPr>
          <w:rFonts w:eastAsia="Times New Roman"/>
          <w:lang w:val="fr-FR"/>
        </w:rPr>
        <w:t>3.</w:t>
      </w:r>
      <w:r>
        <w:rPr>
          <w:rFonts w:eastAsia="Times New Roman"/>
          <w:lang w:val="fr-FR"/>
        </w:rPr>
        <w:tab/>
        <w:t xml:space="preserve">L’objet du présent amendement est </w:t>
      </w:r>
      <w:r w:rsidRPr="00C50E66">
        <w:rPr>
          <w:lang w:val="fr-FR"/>
        </w:rPr>
        <w:t>d’harmoniser</w:t>
      </w:r>
      <w:r>
        <w:rPr>
          <w:rFonts w:eastAsia="Times New Roman"/>
          <w:lang w:val="fr-FR"/>
        </w:rPr>
        <w:t xml:space="preserve"> l</w:t>
      </w:r>
      <w:r w:rsidR="00C50E66">
        <w:rPr>
          <w:rFonts w:eastAsia="Times New Roman"/>
          <w:lang w:val="fr-FR"/>
        </w:rPr>
        <w:t>es dispositions du Règlement n</w:t>
      </w:r>
      <w:r w:rsidR="00C50E66" w:rsidRPr="00C50E66">
        <w:rPr>
          <w:rFonts w:eastAsia="Times New Roman"/>
          <w:vertAlign w:val="superscript"/>
          <w:lang w:val="fr-FR"/>
        </w:rPr>
        <w:t>o</w:t>
      </w:r>
      <w:r w:rsidR="00C50E66">
        <w:rPr>
          <w:rFonts w:eastAsia="Times New Roman"/>
          <w:lang w:val="fr-FR"/>
        </w:rPr>
        <w:t> </w:t>
      </w:r>
      <w:r>
        <w:rPr>
          <w:rFonts w:eastAsia="Times New Roman"/>
          <w:lang w:val="fr-FR"/>
        </w:rPr>
        <w:t>78 avec celles de la pro</w:t>
      </w:r>
      <w:r w:rsidR="00C50E66">
        <w:rPr>
          <w:rFonts w:eastAsia="Times New Roman"/>
          <w:lang w:val="fr-FR"/>
        </w:rPr>
        <w:t>position d’amendement au RTM n</w:t>
      </w:r>
      <w:r w:rsidR="00C50E66" w:rsidRPr="00C50E66">
        <w:rPr>
          <w:rFonts w:eastAsia="Times New Roman"/>
          <w:vertAlign w:val="superscript"/>
          <w:lang w:val="fr-FR"/>
        </w:rPr>
        <w:t>o</w:t>
      </w:r>
      <w:r w:rsidR="00C50E66">
        <w:rPr>
          <w:rFonts w:eastAsia="Times New Roman"/>
          <w:lang w:val="fr-FR"/>
        </w:rPr>
        <w:t> </w:t>
      </w:r>
      <w:r w:rsidR="00FB02F7">
        <w:rPr>
          <w:rFonts w:eastAsia="Times New Roman"/>
          <w:lang w:val="fr-FR"/>
        </w:rPr>
        <w:t>3.</w:t>
      </w:r>
    </w:p>
    <w:p w:rsidR="009400BE" w:rsidRDefault="009400BE" w:rsidP="00C50E66">
      <w:pPr>
        <w:pStyle w:val="SingleTxt"/>
        <w:keepNext/>
        <w:keepLines/>
        <w:rPr>
          <w:rFonts w:eastAsia="Calibri"/>
          <w:szCs w:val="24"/>
          <w:lang w:val="en-US"/>
        </w:rPr>
      </w:pPr>
      <w:r>
        <w:rPr>
          <w:rFonts w:eastAsia="Times New Roman"/>
          <w:lang w:val="fr-FR"/>
        </w:rPr>
        <w:lastRenderedPageBreak/>
        <w:t>4.</w:t>
      </w:r>
      <w:r>
        <w:rPr>
          <w:rFonts w:eastAsia="Times New Roman"/>
          <w:lang w:val="fr-FR"/>
        </w:rPr>
        <w:tab/>
        <w:t>En parallèle, L’IMMA a proposé au GRE (ECE/TRANS/WP.29/GRE/2015/</w:t>
      </w:r>
      <w:r w:rsidR="00C50E66">
        <w:rPr>
          <w:rFonts w:eastAsia="Times New Roman"/>
          <w:lang w:val="fr-FR"/>
        </w:rPr>
        <w:t>40) de modifier le Règlement n</w:t>
      </w:r>
      <w:r w:rsidR="00C50E66" w:rsidRPr="00C50E66">
        <w:rPr>
          <w:rFonts w:eastAsia="Times New Roman"/>
          <w:vertAlign w:val="superscript"/>
          <w:lang w:val="fr-FR"/>
        </w:rPr>
        <w:t>o</w:t>
      </w:r>
      <w:r w:rsidR="00C50E66">
        <w:rPr>
          <w:rFonts w:eastAsia="Times New Roman"/>
          <w:lang w:val="fr-FR"/>
        </w:rPr>
        <w:t> </w:t>
      </w:r>
      <w:r>
        <w:rPr>
          <w:rFonts w:eastAsia="Times New Roman"/>
          <w:lang w:val="fr-FR"/>
        </w:rPr>
        <w:t>53 (Installation des dispositifs d’éclairage et de signalisation lumineuse sur les véhicules de la catégorie L</w:t>
      </w:r>
      <w:r w:rsidRPr="00844985">
        <w:rPr>
          <w:rFonts w:eastAsia="Times New Roman"/>
          <w:vertAlign w:val="subscript"/>
          <w:lang w:val="fr-FR"/>
        </w:rPr>
        <w:t>3</w:t>
      </w:r>
      <w:r>
        <w:rPr>
          <w:rFonts w:eastAsia="Times New Roman"/>
          <w:lang w:val="fr-FR"/>
        </w:rPr>
        <w:t>) de façon à permettre l’installation du signal de freinage d’urgence sur un véhicule.</w:t>
      </w:r>
    </w:p>
    <w:p w:rsidR="00CD2746" w:rsidRPr="00C50E66" w:rsidRDefault="00C50E66" w:rsidP="00C50E66">
      <w:pPr>
        <w:pStyle w:val="SingleTxt"/>
        <w:spacing w:after="0" w:line="240" w:lineRule="auto"/>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BFA9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D2746" w:rsidRPr="00C50E66" w:rsidSect="00CD2746">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39" w:rsidRDefault="00787939" w:rsidP="00F3330B">
      <w:pPr>
        <w:spacing w:line="240" w:lineRule="auto"/>
      </w:pPr>
      <w:r>
        <w:separator/>
      </w:r>
    </w:p>
  </w:endnote>
  <w:endnote w:type="continuationSeparator" w:id="0">
    <w:p w:rsidR="00787939" w:rsidRDefault="0078793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CD2746" w:rsidTr="00CD2746">
      <w:trPr>
        <w:jc w:val="center"/>
      </w:trPr>
      <w:tc>
        <w:tcPr>
          <w:tcW w:w="5126" w:type="dxa"/>
          <w:shd w:val="clear" w:color="auto" w:fill="auto"/>
        </w:tcPr>
        <w:p w:rsidR="00CD2746" w:rsidRPr="00CD2746" w:rsidRDefault="00CD2746" w:rsidP="00CD2746">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148F">
            <w:rPr>
              <w:b w:val="0"/>
              <w:w w:val="103"/>
              <w:sz w:val="14"/>
            </w:rPr>
            <w:t>GE.15-20576</w:t>
          </w:r>
          <w:r>
            <w:rPr>
              <w:b w:val="0"/>
              <w:w w:val="103"/>
              <w:sz w:val="14"/>
            </w:rPr>
            <w:fldChar w:fldCharType="end"/>
          </w:r>
        </w:p>
      </w:tc>
      <w:tc>
        <w:tcPr>
          <w:tcW w:w="5127" w:type="dxa"/>
          <w:shd w:val="clear" w:color="auto" w:fill="auto"/>
        </w:tcPr>
        <w:p w:rsidR="00CD2746" w:rsidRPr="00CD2746" w:rsidRDefault="00CD2746" w:rsidP="00CD2746">
          <w:pPr>
            <w:pStyle w:val="Pieddepage"/>
            <w:rPr>
              <w:w w:val="103"/>
            </w:rPr>
          </w:pPr>
          <w:r>
            <w:rPr>
              <w:w w:val="103"/>
            </w:rPr>
            <w:fldChar w:fldCharType="begin"/>
          </w:r>
          <w:r>
            <w:rPr>
              <w:w w:val="103"/>
            </w:rPr>
            <w:instrText xml:space="preserve"> PAGE  \* Arabic  \* MERGEFORMAT </w:instrText>
          </w:r>
          <w:r>
            <w:rPr>
              <w:w w:val="103"/>
            </w:rPr>
            <w:fldChar w:fldCharType="separate"/>
          </w:r>
          <w:r w:rsidR="00A34AA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4AA9">
            <w:rPr>
              <w:noProof/>
              <w:w w:val="103"/>
            </w:rPr>
            <w:t>3</w:t>
          </w:r>
          <w:r>
            <w:rPr>
              <w:w w:val="103"/>
            </w:rPr>
            <w:fldChar w:fldCharType="end"/>
          </w:r>
        </w:p>
      </w:tc>
    </w:tr>
  </w:tbl>
  <w:p w:rsidR="00CD2746" w:rsidRPr="00CD2746" w:rsidRDefault="00CD2746" w:rsidP="00CD27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CD2746" w:rsidTr="00CD2746">
      <w:trPr>
        <w:jc w:val="center"/>
      </w:trPr>
      <w:tc>
        <w:tcPr>
          <w:tcW w:w="5126" w:type="dxa"/>
          <w:shd w:val="clear" w:color="auto" w:fill="auto"/>
        </w:tcPr>
        <w:p w:rsidR="00CD2746" w:rsidRPr="00CD2746" w:rsidRDefault="00CD2746" w:rsidP="00CD2746">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A34AA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4AA9">
            <w:rPr>
              <w:noProof/>
              <w:w w:val="103"/>
            </w:rPr>
            <w:t>3</w:t>
          </w:r>
          <w:r>
            <w:rPr>
              <w:w w:val="103"/>
            </w:rPr>
            <w:fldChar w:fldCharType="end"/>
          </w:r>
        </w:p>
      </w:tc>
      <w:tc>
        <w:tcPr>
          <w:tcW w:w="5127" w:type="dxa"/>
          <w:shd w:val="clear" w:color="auto" w:fill="auto"/>
        </w:tcPr>
        <w:p w:rsidR="00CD2746" w:rsidRPr="00CD2746" w:rsidRDefault="00CD2746" w:rsidP="00CD2746">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148F">
            <w:rPr>
              <w:b w:val="0"/>
              <w:w w:val="103"/>
              <w:sz w:val="14"/>
            </w:rPr>
            <w:t>GE.15-20576</w:t>
          </w:r>
          <w:r>
            <w:rPr>
              <w:b w:val="0"/>
              <w:w w:val="103"/>
              <w:sz w:val="14"/>
            </w:rPr>
            <w:fldChar w:fldCharType="end"/>
          </w:r>
        </w:p>
      </w:tc>
    </w:tr>
  </w:tbl>
  <w:p w:rsidR="00CD2746" w:rsidRPr="00CD2746" w:rsidRDefault="00CD2746" w:rsidP="00CD274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46" w:rsidRDefault="00CD2746">
    <w:pPr>
      <w:pStyle w:val="Pieddepage"/>
    </w:pPr>
    <w:r>
      <w:rPr>
        <w:noProof/>
        <w:lang w:val="fr-FR" w:eastAsia="fr-FR"/>
      </w:rPr>
      <w:drawing>
        <wp:anchor distT="0" distB="0" distL="114300" distR="114300" simplePos="0" relativeHeight="251658240" behindDoc="0" locked="0" layoutInCell="1" allowOverlap="1" wp14:anchorId="2CBF4008" wp14:editId="400838D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D2746" w:rsidTr="00CD2746">
      <w:tc>
        <w:tcPr>
          <w:tcW w:w="3859" w:type="dxa"/>
        </w:tcPr>
        <w:p w:rsidR="00CD2746" w:rsidRDefault="00CD2746" w:rsidP="00CD2746">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4148F">
            <w:rPr>
              <w:b w:val="0"/>
              <w:sz w:val="20"/>
            </w:rPr>
            <w:t>GE.15-20576 (F)</w:t>
          </w:r>
          <w:r>
            <w:rPr>
              <w:b w:val="0"/>
              <w:sz w:val="20"/>
            </w:rPr>
            <w:fldChar w:fldCharType="end"/>
          </w:r>
          <w:r w:rsidR="00C50E66">
            <w:rPr>
              <w:b w:val="0"/>
              <w:sz w:val="20"/>
            </w:rPr>
            <w:t xml:space="preserve">    03</w:t>
          </w:r>
          <w:r w:rsidR="00826446">
            <w:rPr>
              <w:b w:val="0"/>
              <w:sz w:val="20"/>
            </w:rPr>
            <w:t>1215    21</w:t>
          </w:r>
          <w:r>
            <w:rPr>
              <w:b w:val="0"/>
              <w:sz w:val="20"/>
            </w:rPr>
            <w:t>1215</w:t>
          </w:r>
        </w:p>
        <w:p w:rsidR="00CD2746" w:rsidRPr="00CD2746" w:rsidRDefault="00CD2746" w:rsidP="00CD2746">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4148F">
            <w:rPr>
              <w:rFonts w:ascii="Barcode 3 of 9 by request" w:hAnsi="Barcode 3 of 9 by request"/>
              <w:b w:val="0"/>
              <w:spacing w:val="0"/>
              <w:w w:val="100"/>
              <w:sz w:val="24"/>
            </w:rPr>
            <w:t>*1520576*</w:t>
          </w:r>
          <w:r>
            <w:rPr>
              <w:rFonts w:ascii="Barcode 3 of 9 by request" w:hAnsi="Barcode 3 of 9 by request"/>
              <w:b w:val="0"/>
              <w:spacing w:val="0"/>
              <w:w w:val="100"/>
              <w:sz w:val="24"/>
            </w:rPr>
            <w:fldChar w:fldCharType="end"/>
          </w:r>
        </w:p>
      </w:tc>
      <w:tc>
        <w:tcPr>
          <w:tcW w:w="5127" w:type="dxa"/>
        </w:tcPr>
        <w:p w:rsidR="00CD2746" w:rsidRDefault="00CD2746" w:rsidP="00CD2746">
          <w:pPr>
            <w:pStyle w:val="Pieddepage"/>
            <w:spacing w:line="240" w:lineRule="atLeast"/>
            <w:jc w:val="right"/>
            <w:rPr>
              <w:b w:val="0"/>
              <w:sz w:val="20"/>
            </w:rPr>
          </w:pPr>
          <w:r>
            <w:rPr>
              <w:b w:val="0"/>
              <w:noProof/>
              <w:sz w:val="20"/>
              <w:lang w:val="fr-FR" w:eastAsia="fr-FR"/>
            </w:rPr>
            <w:drawing>
              <wp:inline distT="0" distB="0" distL="0" distR="0" wp14:anchorId="16786F76" wp14:editId="2558CAE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D2746" w:rsidRPr="00CD2746" w:rsidRDefault="00CD2746" w:rsidP="00CD2746">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39" w:rsidRPr="001C33DC" w:rsidRDefault="00787939" w:rsidP="001C33DC">
      <w:pPr>
        <w:pStyle w:val="Pieddepage"/>
        <w:spacing w:after="80"/>
        <w:ind w:left="792"/>
        <w:rPr>
          <w:sz w:val="16"/>
        </w:rPr>
      </w:pPr>
      <w:r w:rsidRPr="001C33DC">
        <w:rPr>
          <w:sz w:val="16"/>
        </w:rPr>
        <w:t>__________________</w:t>
      </w:r>
    </w:p>
  </w:footnote>
  <w:footnote w:type="continuationSeparator" w:id="0">
    <w:p w:rsidR="00787939" w:rsidRPr="001C33DC" w:rsidRDefault="00787939" w:rsidP="001C33DC">
      <w:pPr>
        <w:pStyle w:val="Pieddepage"/>
        <w:spacing w:after="80"/>
        <w:ind w:left="792"/>
        <w:rPr>
          <w:sz w:val="16"/>
        </w:rPr>
      </w:pPr>
      <w:r w:rsidRPr="001C33DC">
        <w:rPr>
          <w:sz w:val="16"/>
        </w:rPr>
        <w:t>__________________</w:t>
      </w:r>
    </w:p>
  </w:footnote>
  <w:footnote w:id="1">
    <w:p w:rsidR="00045A14" w:rsidRPr="00045A14" w:rsidRDefault="001C33DC" w:rsidP="001C33DC">
      <w:pPr>
        <w:pStyle w:val="Notedebasdepage"/>
        <w:tabs>
          <w:tab w:val="right" w:pos="1195"/>
          <w:tab w:val="left" w:pos="1267"/>
          <w:tab w:val="left" w:pos="1742"/>
          <w:tab w:val="left" w:pos="2218"/>
          <w:tab w:val="left" w:pos="2693"/>
        </w:tabs>
        <w:ind w:left="1267" w:right="1260" w:hanging="432"/>
        <w:rPr>
          <w:lang w:val="fr-CH"/>
        </w:rPr>
      </w:pPr>
      <w:r>
        <w:rPr>
          <w:rStyle w:val="Appelnotedebasdep"/>
        </w:rPr>
        <w:tab/>
      </w:r>
      <w:r w:rsidR="00045A14" w:rsidRPr="001C33DC">
        <w:rPr>
          <w:rStyle w:val="Appelnotedebasdep"/>
          <w:vertAlign w:val="baseline"/>
        </w:rPr>
        <w:t>*</w:t>
      </w:r>
      <w:r>
        <w:tab/>
      </w:r>
      <w:r w:rsidRPr="001C33DC">
        <w:rPr>
          <w:lang w:val="fr-FR"/>
        </w:rPr>
        <w:t xml:space="preserve">Conformément au programme de travail du Comité des transports </w:t>
      </w:r>
      <w:r>
        <w:rPr>
          <w:lang w:val="fr-FR"/>
        </w:rPr>
        <w:t>intérieurs pour la période 2014</w:t>
      </w:r>
      <w:r>
        <w:rPr>
          <w:lang w:val="fr-FR"/>
        </w:rPr>
        <w:noBreakHyphen/>
        <w:t>2018 (ECE/TRANS/240, par. </w:t>
      </w:r>
      <w:r w:rsidRPr="001C33DC">
        <w:rPr>
          <w:lang w:val="fr-FR"/>
        </w:rPr>
        <w:t>105, et ECE/TRANS/2014/26, activité 02.4), le Forum mondial a pour missio</w:t>
      </w:r>
      <w:r w:rsidR="00844985">
        <w:rPr>
          <w:lang w:val="fr-FR"/>
        </w:rPr>
        <w:t>n d’élaborer, d’harmoniser et d’</w:t>
      </w:r>
      <w:r w:rsidRPr="001C33DC">
        <w:rPr>
          <w:lang w:val="fr-FR"/>
        </w:rPr>
        <w:t>actualiser les Règlements afin d’améliorer le comportement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D2746" w:rsidTr="00CD2746">
      <w:trPr>
        <w:trHeight w:hRule="exact" w:val="864"/>
        <w:jc w:val="center"/>
      </w:trPr>
      <w:tc>
        <w:tcPr>
          <w:tcW w:w="4882" w:type="dxa"/>
          <w:shd w:val="clear" w:color="auto" w:fill="auto"/>
          <w:vAlign w:val="bottom"/>
        </w:tcPr>
        <w:p w:rsidR="00CD2746" w:rsidRPr="00CD2746" w:rsidRDefault="00CD2746" w:rsidP="00CD2746">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148F">
            <w:rPr>
              <w:b/>
              <w:color w:val="000000"/>
            </w:rPr>
            <w:t>ECE/TRANS/WP.29/GRRF/2016/23</w:t>
          </w:r>
          <w:r>
            <w:rPr>
              <w:b/>
              <w:color w:val="000000"/>
            </w:rPr>
            <w:fldChar w:fldCharType="end"/>
          </w:r>
        </w:p>
      </w:tc>
      <w:tc>
        <w:tcPr>
          <w:tcW w:w="5127" w:type="dxa"/>
          <w:shd w:val="clear" w:color="auto" w:fill="auto"/>
          <w:vAlign w:val="bottom"/>
        </w:tcPr>
        <w:p w:rsidR="00CD2746" w:rsidRDefault="00CD2746" w:rsidP="00CD2746">
          <w:pPr>
            <w:pStyle w:val="En-tte"/>
          </w:pPr>
        </w:p>
      </w:tc>
    </w:tr>
  </w:tbl>
  <w:p w:rsidR="00CD2746" w:rsidRPr="00CD2746" w:rsidRDefault="00CD2746" w:rsidP="00CD2746">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D2746" w:rsidTr="00CD2746">
      <w:trPr>
        <w:trHeight w:hRule="exact" w:val="864"/>
        <w:jc w:val="center"/>
      </w:trPr>
      <w:tc>
        <w:tcPr>
          <w:tcW w:w="4882" w:type="dxa"/>
          <w:shd w:val="clear" w:color="auto" w:fill="auto"/>
          <w:vAlign w:val="bottom"/>
        </w:tcPr>
        <w:p w:rsidR="00CD2746" w:rsidRDefault="00CD2746" w:rsidP="00CD2746">
          <w:pPr>
            <w:pStyle w:val="En-tte"/>
          </w:pPr>
        </w:p>
      </w:tc>
      <w:tc>
        <w:tcPr>
          <w:tcW w:w="5127" w:type="dxa"/>
          <w:shd w:val="clear" w:color="auto" w:fill="auto"/>
          <w:vAlign w:val="bottom"/>
        </w:tcPr>
        <w:p w:rsidR="00CD2746" w:rsidRPr="00CD2746" w:rsidRDefault="00CD2746" w:rsidP="00CD2746">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148F">
            <w:rPr>
              <w:b/>
              <w:color w:val="000000"/>
            </w:rPr>
            <w:t>ECE/TRANS/WP.29/GRRF/2016/23</w:t>
          </w:r>
          <w:r>
            <w:rPr>
              <w:b/>
              <w:color w:val="000000"/>
            </w:rPr>
            <w:fldChar w:fldCharType="end"/>
          </w:r>
        </w:p>
      </w:tc>
    </w:tr>
  </w:tbl>
  <w:p w:rsidR="00CD2746" w:rsidRPr="00CD2746" w:rsidRDefault="00CD2746" w:rsidP="00CD2746">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D2746" w:rsidTr="00CD2746">
      <w:trPr>
        <w:trHeight w:hRule="exact" w:val="864"/>
      </w:trPr>
      <w:tc>
        <w:tcPr>
          <w:tcW w:w="1267" w:type="dxa"/>
          <w:tcBorders>
            <w:bottom w:val="single" w:sz="4" w:space="0" w:color="auto"/>
          </w:tcBorders>
          <w:shd w:val="clear" w:color="auto" w:fill="auto"/>
          <w:vAlign w:val="bottom"/>
        </w:tcPr>
        <w:p w:rsidR="00CD2746" w:rsidRDefault="00CD2746" w:rsidP="00CD2746">
          <w:pPr>
            <w:pStyle w:val="En-tte"/>
            <w:spacing w:after="120"/>
          </w:pPr>
        </w:p>
      </w:tc>
      <w:tc>
        <w:tcPr>
          <w:tcW w:w="2059" w:type="dxa"/>
          <w:tcBorders>
            <w:bottom w:val="single" w:sz="4" w:space="0" w:color="auto"/>
          </w:tcBorders>
          <w:shd w:val="clear" w:color="auto" w:fill="auto"/>
          <w:vAlign w:val="bottom"/>
        </w:tcPr>
        <w:p w:rsidR="00CD2746" w:rsidRPr="00CD2746" w:rsidRDefault="00CD2746" w:rsidP="00CD274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D2746" w:rsidRDefault="00CD2746" w:rsidP="00CD2746">
          <w:pPr>
            <w:pStyle w:val="En-tte"/>
            <w:spacing w:after="120"/>
          </w:pPr>
        </w:p>
      </w:tc>
      <w:tc>
        <w:tcPr>
          <w:tcW w:w="6653" w:type="dxa"/>
          <w:gridSpan w:val="4"/>
          <w:tcBorders>
            <w:bottom w:val="single" w:sz="4" w:space="0" w:color="auto"/>
          </w:tcBorders>
          <w:shd w:val="clear" w:color="auto" w:fill="auto"/>
          <w:vAlign w:val="bottom"/>
        </w:tcPr>
        <w:p w:rsidR="00CD2746" w:rsidRPr="00CD2746" w:rsidRDefault="00CD2746" w:rsidP="00CD2746">
          <w:pPr>
            <w:spacing w:after="80" w:line="240" w:lineRule="auto"/>
            <w:jc w:val="right"/>
            <w:rPr>
              <w:position w:val="-4"/>
            </w:rPr>
          </w:pPr>
          <w:r>
            <w:rPr>
              <w:position w:val="-4"/>
              <w:sz w:val="40"/>
            </w:rPr>
            <w:t>ECE</w:t>
          </w:r>
          <w:r>
            <w:rPr>
              <w:position w:val="-4"/>
            </w:rPr>
            <w:t>/TRANS/WP.29/GRRF/2016/23</w:t>
          </w:r>
        </w:p>
      </w:tc>
    </w:tr>
    <w:tr w:rsidR="00CD2746" w:rsidRPr="00CD2746" w:rsidTr="00CD2746">
      <w:trPr>
        <w:gridAfter w:val="1"/>
        <w:wAfter w:w="18" w:type="dxa"/>
        <w:trHeight w:hRule="exact" w:val="2880"/>
      </w:trPr>
      <w:tc>
        <w:tcPr>
          <w:tcW w:w="1267" w:type="dxa"/>
          <w:tcBorders>
            <w:top w:val="single" w:sz="4" w:space="0" w:color="auto"/>
            <w:bottom w:val="single" w:sz="12" w:space="0" w:color="auto"/>
          </w:tcBorders>
          <w:shd w:val="clear" w:color="auto" w:fill="auto"/>
        </w:tcPr>
        <w:p w:rsidR="00CD2746" w:rsidRPr="00CD2746" w:rsidRDefault="00CD2746" w:rsidP="00CD2746">
          <w:pPr>
            <w:pStyle w:val="En-tte"/>
            <w:spacing w:before="120" w:line="240" w:lineRule="auto"/>
            <w:ind w:left="-72"/>
            <w:jc w:val="center"/>
          </w:pPr>
          <w:r>
            <w:t xml:space="preserve">  </w:t>
          </w:r>
          <w:r>
            <w:rPr>
              <w:noProof/>
              <w:lang w:val="fr-FR" w:eastAsia="fr-FR"/>
            </w:rPr>
            <w:drawing>
              <wp:inline distT="0" distB="0" distL="0" distR="0" wp14:anchorId="6D6FB93E" wp14:editId="7222666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D2746" w:rsidRPr="00CD2746" w:rsidRDefault="00CD2746" w:rsidP="00CD2746">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D2746" w:rsidRPr="00CD2746" w:rsidRDefault="00CD2746" w:rsidP="00CD2746">
          <w:pPr>
            <w:pStyle w:val="En-tte"/>
            <w:spacing w:before="109"/>
          </w:pPr>
        </w:p>
      </w:tc>
      <w:tc>
        <w:tcPr>
          <w:tcW w:w="3280" w:type="dxa"/>
          <w:tcBorders>
            <w:top w:val="single" w:sz="4" w:space="0" w:color="auto"/>
            <w:bottom w:val="single" w:sz="12" w:space="0" w:color="auto"/>
          </w:tcBorders>
          <w:shd w:val="clear" w:color="auto" w:fill="auto"/>
        </w:tcPr>
        <w:p w:rsidR="00CD2746" w:rsidRDefault="00CD2746" w:rsidP="00CD2746">
          <w:pPr>
            <w:pStyle w:val="Distribution"/>
            <w:rPr>
              <w:color w:val="000000"/>
            </w:rPr>
          </w:pPr>
          <w:r>
            <w:rPr>
              <w:color w:val="000000"/>
            </w:rPr>
            <w:t>Distr. générale</w:t>
          </w:r>
        </w:p>
        <w:p w:rsidR="00CD2746" w:rsidRDefault="00045A14" w:rsidP="00CD2746">
          <w:pPr>
            <w:pStyle w:val="Publication"/>
            <w:rPr>
              <w:color w:val="000000"/>
            </w:rPr>
          </w:pPr>
          <w:r>
            <w:rPr>
              <w:color w:val="000000"/>
            </w:rPr>
            <w:t>23</w:t>
          </w:r>
          <w:r w:rsidR="00CD2746">
            <w:rPr>
              <w:color w:val="000000"/>
            </w:rPr>
            <w:t xml:space="preserve"> </w:t>
          </w:r>
          <w:r>
            <w:rPr>
              <w:color w:val="000000"/>
            </w:rPr>
            <w:t>novembre</w:t>
          </w:r>
          <w:r w:rsidR="00CD2746">
            <w:rPr>
              <w:color w:val="000000"/>
            </w:rPr>
            <w:t xml:space="preserve"> 2015</w:t>
          </w:r>
        </w:p>
        <w:p w:rsidR="00CD2746" w:rsidRDefault="00CD2746" w:rsidP="00CD2746">
          <w:pPr>
            <w:rPr>
              <w:lang w:val="en-US"/>
            </w:rPr>
          </w:pPr>
          <w:r>
            <w:rPr>
              <w:lang w:val="en-US"/>
            </w:rPr>
            <w:t>Français</w:t>
          </w:r>
        </w:p>
        <w:p w:rsidR="00CD2746" w:rsidRPr="00CD2746" w:rsidRDefault="00CD2746" w:rsidP="00CD2746">
          <w:pPr>
            <w:pStyle w:val="Original"/>
            <w:rPr>
              <w:color w:val="000000"/>
            </w:rPr>
          </w:pPr>
          <w:r>
            <w:rPr>
              <w:color w:val="000000"/>
            </w:rPr>
            <w:t>Original : anglais</w:t>
          </w:r>
        </w:p>
      </w:tc>
    </w:tr>
  </w:tbl>
  <w:p w:rsidR="00CD2746" w:rsidRPr="00CD2746" w:rsidRDefault="00CD2746" w:rsidP="00CD2746">
    <w:pPr>
      <w:pStyle w:val="En-tt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576*"/>
    <w:docVar w:name="CreationDt" w:val="12/16/2015 10:12 AM"/>
    <w:docVar w:name="DocCategory" w:val="Doc"/>
    <w:docVar w:name="DocType" w:val="Final"/>
    <w:docVar w:name="DutyStation" w:val="Geneva"/>
    <w:docVar w:name="FooterJN" w:val="GE.15-20576"/>
    <w:docVar w:name="jobn" w:val="GE.15-20576 (F)"/>
    <w:docVar w:name="jobnDT" w:val="GE.15-20576 (F)   161215"/>
    <w:docVar w:name="jobnDTDT" w:val="GE.15-20576 (F)   161215   161215"/>
    <w:docVar w:name="JobNo" w:val="GE.1520576F"/>
    <w:docVar w:name="JobNo2" w:val="GE.1526705F"/>
    <w:docVar w:name="LocalDrive" w:val="0"/>
    <w:docVar w:name="OandT" w:val="OKRZESIK"/>
    <w:docVar w:name="PaperSize" w:val="A4"/>
    <w:docVar w:name="sss1" w:val="ECE/TRANS/WP.29/GRRF/2016/23"/>
    <w:docVar w:name="sss2" w:val="-"/>
    <w:docVar w:name="Symbol1" w:val="ECE/TRANS/WP.29/GRRF/2016/23"/>
    <w:docVar w:name="Symbol2" w:val="-"/>
  </w:docVars>
  <w:rsids>
    <w:rsidRoot w:val="00D1438D"/>
    <w:rsid w:val="000015B8"/>
    <w:rsid w:val="000046A5"/>
    <w:rsid w:val="000055FB"/>
    <w:rsid w:val="00010C97"/>
    <w:rsid w:val="00016483"/>
    <w:rsid w:val="00022173"/>
    <w:rsid w:val="0002226F"/>
    <w:rsid w:val="00022B4A"/>
    <w:rsid w:val="00023E37"/>
    <w:rsid w:val="000249FF"/>
    <w:rsid w:val="000258C3"/>
    <w:rsid w:val="00025DE5"/>
    <w:rsid w:val="000274C2"/>
    <w:rsid w:val="00033DC9"/>
    <w:rsid w:val="000378DE"/>
    <w:rsid w:val="00040497"/>
    <w:rsid w:val="00041ABD"/>
    <w:rsid w:val="00045A14"/>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3DC"/>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48F"/>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78F"/>
    <w:rsid w:val="004039C7"/>
    <w:rsid w:val="004065B7"/>
    <w:rsid w:val="004066EB"/>
    <w:rsid w:val="00406E1E"/>
    <w:rsid w:val="00414C9D"/>
    <w:rsid w:val="00415A2B"/>
    <w:rsid w:val="00416293"/>
    <w:rsid w:val="004164D6"/>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135F"/>
    <w:rsid w:val="00565C21"/>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37C55"/>
    <w:rsid w:val="006407EF"/>
    <w:rsid w:val="0064115E"/>
    <w:rsid w:val="006423E0"/>
    <w:rsid w:val="00646F60"/>
    <w:rsid w:val="0064762B"/>
    <w:rsid w:val="00650623"/>
    <w:rsid w:val="0065129E"/>
    <w:rsid w:val="006512C8"/>
    <w:rsid w:val="00653182"/>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87939"/>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E7AD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922"/>
    <w:rsid w:val="00816ECE"/>
    <w:rsid w:val="008173CF"/>
    <w:rsid w:val="00817884"/>
    <w:rsid w:val="0082537E"/>
    <w:rsid w:val="00825C31"/>
    <w:rsid w:val="00826446"/>
    <w:rsid w:val="00831BD0"/>
    <w:rsid w:val="00833A79"/>
    <w:rsid w:val="00833BFF"/>
    <w:rsid w:val="0083677A"/>
    <w:rsid w:val="00837284"/>
    <w:rsid w:val="0083731D"/>
    <w:rsid w:val="00837549"/>
    <w:rsid w:val="008415FE"/>
    <w:rsid w:val="00842319"/>
    <w:rsid w:val="008435C2"/>
    <w:rsid w:val="00844985"/>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0BE"/>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2DAB"/>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4AA9"/>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0E66"/>
    <w:rsid w:val="00C55B02"/>
    <w:rsid w:val="00C56142"/>
    <w:rsid w:val="00C56B3A"/>
    <w:rsid w:val="00C56EFE"/>
    <w:rsid w:val="00C57F00"/>
    <w:rsid w:val="00C60C0B"/>
    <w:rsid w:val="00C642B0"/>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2746"/>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38D"/>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1EF5"/>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02F7"/>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37961-AC7A-4BFC-8716-C2C62918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CD2746"/>
    <w:rPr>
      <w:sz w:val="16"/>
      <w:szCs w:val="16"/>
    </w:rPr>
  </w:style>
  <w:style w:type="paragraph" w:styleId="Commentaire">
    <w:name w:val="annotation text"/>
    <w:basedOn w:val="Normal"/>
    <w:link w:val="CommentaireCar"/>
    <w:uiPriority w:val="99"/>
    <w:semiHidden/>
    <w:unhideWhenUsed/>
    <w:rsid w:val="00CD2746"/>
    <w:pPr>
      <w:spacing w:line="240" w:lineRule="auto"/>
    </w:pPr>
    <w:rPr>
      <w:szCs w:val="20"/>
    </w:rPr>
  </w:style>
  <w:style w:type="character" w:customStyle="1" w:styleId="CommentaireCar">
    <w:name w:val="Commentaire Car"/>
    <w:basedOn w:val="Policepardfaut"/>
    <w:link w:val="Commentaire"/>
    <w:uiPriority w:val="99"/>
    <w:semiHidden/>
    <w:rsid w:val="00CD2746"/>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CD2746"/>
    <w:rPr>
      <w:b/>
      <w:bCs/>
    </w:rPr>
  </w:style>
  <w:style w:type="character" w:customStyle="1" w:styleId="ObjetducommentaireCar">
    <w:name w:val="Objet du commentaire Car"/>
    <w:basedOn w:val="CommentaireCar"/>
    <w:link w:val="Objetducommentaire"/>
    <w:uiPriority w:val="99"/>
    <w:semiHidden/>
    <w:rsid w:val="00CD2746"/>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D341-DAAD-4AB8-93ED-D3168F87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3615</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Julien Okrzesik</dc:creator>
  <cp:keywords/>
  <dc:description/>
  <cp:lastModifiedBy>Bénédicte Boudol</cp:lastModifiedBy>
  <cp:revision>2</cp:revision>
  <cp:lastPrinted>2015-12-16T10:33:00Z</cp:lastPrinted>
  <dcterms:created xsi:type="dcterms:W3CDTF">2015-12-21T12:14:00Z</dcterms:created>
  <dcterms:modified xsi:type="dcterms:W3CDTF">2015-12-21T12:14:00Z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1520576F</vt:lpwstr>
  </property>
  <property fmtid="{D5CDD505-2E9C-101B-9397-08002B2CF9AE}" pid="3" name="ODSRefJobNo">
    <vt:lpwstr>1526705F</vt:lpwstr>
  </property>
  <property fmtid="{D5CDD505-2E9C-101B-9397-08002B2CF9AE}" pid="4" name="Symbol1">
    <vt:lpwstr>ECE/TRANS/WP.29/GRRF/2016/23</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16 décembre 2015</vt:lpwstr>
  </property>
  <property fmtid="{D5CDD505-2E9C-101B-9397-08002B2CF9AE}" pid="12" name="Original">
    <vt:lpwstr>anglais</vt:lpwstr>
  </property>
  <property fmtid="{D5CDD505-2E9C-101B-9397-08002B2CF9AE}" pid="13" name="Release Date">
    <vt:lpwstr>161215</vt:lpwstr>
  </property>
</Properties>
</file>