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230B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230BC" w:rsidP="008230BC">
            <w:pPr>
              <w:jc w:val="right"/>
            </w:pPr>
            <w:r w:rsidRPr="008230BC">
              <w:rPr>
                <w:sz w:val="40"/>
              </w:rPr>
              <w:t>ECE</w:t>
            </w:r>
            <w:r>
              <w:t>/TRANS/WP.29/GRE/2016/32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230BC" w:rsidP="00892A2F">
            <w:pPr>
              <w:spacing w:before="240"/>
            </w:pPr>
            <w:r>
              <w:t>Distr. générale</w:t>
            </w:r>
          </w:p>
          <w:p w:rsidR="008230BC" w:rsidRDefault="00B64FAD" w:rsidP="008230BC">
            <w:pPr>
              <w:spacing w:line="240" w:lineRule="exact"/>
            </w:pPr>
            <w:r>
              <w:t>11 août 2016</w:t>
            </w:r>
          </w:p>
          <w:p w:rsidR="008230BC" w:rsidRDefault="008230BC" w:rsidP="008230BC">
            <w:pPr>
              <w:spacing w:line="240" w:lineRule="exact"/>
            </w:pPr>
            <w:r>
              <w:t>Français</w:t>
            </w:r>
          </w:p>
          <w:p w:rsidR="008230BC" w:rsidRPr="00DB58B5" w:rsidRDefault="008230BC" w:rsidP="008230B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230BC" w:rsidRPr="00A05DC1" w:rsidRDefault="008230BC" w:rsidP="00A05DC1">
      <w:pPr>
        <w:spacing w:before="120" w:after="120"/>
        <w:rPr>
          <w:b/>
          <w:noProof/>
          <w:w w:val="103"/>
          <w:sz w:val="24"/>
          <w:szCs w:val="24"/>
          <w:lang w:val="fr-FR"/>
        </w:rPr>
      </w:pPr>
      <w:r w:rsidRPr="00A05DC1">
        <w:rPr>
          <w:b/>
          <w:noProof/>
          <w:w w:val="103"/>
          <w:sz w:val="24"/>
          <w:szCs w:val="24"/>
          <w:lang w:val="fr-FR"/>
        </w:rPr>
        <w:t xml:space="preserve">Forum mondial de l’harmonisation </w:t>
      </w:r>
      <w:r w:rsidRPr="00A05DC1">
        <w:rPr>
          <w:b/>
          <w:noProof/>
          <w:w w:val="103"/>
          <w:sz w:val="24"/>
          <w:szCs w:val="24"/>
          <w:lang w:val="fr-FR"/>
        </w:rPr>
        <w:br/>
        <w:t>des Règlements concernant les véhicules</w:t>
      </w:r>
    </w:p>
    <w:p w:rsidR="008230BC" w:rsidRPr="00A05DC1" w:rsidRDefault="008230BC" w:rsidP="00B64FAD">
      <w:pPr>
        <w:rPr>
          <w:b/>
          <w:noProof/>
          <w:w w:val="103"/>
          <w:lang w:val="fr-FR"/>
        </w:rPr>
      </w:pPr>
      <w:r w:rsidRPr="00A05DC1">
        <w:rPr>
          <w:b/>
          <w:noProof/>
          <w:w w:val="103"/>
          <w:lang w:val="fr-FR"/>
        </w:rPr>
        <w:t>Groupe de travail de l’éclairage et de la signalisation lumineuse</w:t>
      </w:r>
    </w:p>
    <w:p w:rsidR="008230BC" w:rsidRPr="00A05DC1" w:rsidRDefault="008230BC" w:rsidP="00A05DC1">
      <w:pPr>
        <w:spacing w:before="120"/>
        <w:rPr>
          <w:b/>
          <w:noProof/>
          <w:w w:val="103"/>
          <w:lang w:val="fr-FR"/>
        </w:rPr>
      </w:pPr>
      <w:r w:rsidRPr="00A05DC1">
        <w:rPr>
          <w:b/>
          <w:noProof/>
          <w:w w:val="103"/>
          <w:lang w:val="fr-FR"/>
        </w:rPr>
        <w:t>Soixante-seizième session</w:t>
      </w:r>
    </w:p>
    <w:p w:rsidR="008230BC" w:rsidRPr="00F22145" w:rsidRDefault="008230BC" w:rsidP="00B64FAD">
      <w:pPr>
        <w:rPr>
          <w:bCs/>
          <w:noProof/>
          <w:spacing w:val="4"/>
          <w:w w:val="103"/>
          <w:lang w:val="fr-FR"/>
        </w:rPr>
      </w:pPr>
      <w:r w:rsidRPr="00F22145">
        <w:rPr>
          <w:noProof/>
          <w:spacing w:val="4"/>
          <w:w w:val="103"/>
          <w:lang w:val="fr-FR"/>
        </w:rPr>
        <w:t>Genève</w:t>
      </w:r>
      <w:r w:rsidRPr="00F22145">
        <w:rPr>
          <w:bCs/>
          <w:noProof/>
          <w:spacing w:val="4"/>
          <w:w w:val="103"/>
          <w:lang w:val="fr-FR"/>
        </w:rPr>
        <w:t xml:space="preserve">, </w:t>
      </w:r>
      <w:r w:rsidRPr="001D2CDD">
        <w:rPr>
          <w:bCs/>
          <w:noProof/>
          <w:spacing w:val="4"/>
          <w:w w:val="103"/>
          <w:lang w:val="fr-FR"/>
        </w:rPr>
        <w:t>2</w:t>
      </w:r>
      <w:r w:rsidRPr="00F22145">
        <w:rPr>
          <w:bCs/>
          <w:noProof/>
          <w:spacing w:val="4"/>
          <w:w w:val="103"/>
          <w:lang w:val="fr-FR"/>
        </w:rPr>
        <w:t>5-</w:t>
      </w:r>
      <w:r w:rsidRPr="001D2CDD">
        <w:rPr>
          <w:bCs/>
          <w:noProof/>
          <w:spacing w:val="4"/>
          <w:w w:val="103"/>
          <w:lang w:val="fr-FR"/>
        </w:rPr>
        <w:t>2</w:t>
      </w:r>
      <w:r w:rsidR="00A05DC1">
        <w:rPr>
          <w:bCs/>
          <w:noProof/>
          <w:spacing w:val="4"/>
          <w:w w:val="103"/>
          <w:lang w:val="fr-FR"/>
        </w:rPr>
        <w:t>8 </w:t>
      </w:r>
      <w:r w:rsidRPr="001D2CDD">
        <w:rPr>
          <w:bCs/>
          <w:noProof/>
          <w:spacing w:val="4"/>
          <w:w w:val="103"/>
          <w:lang w:val="fr-FR"/>
        </w:rPr>
        <w:t>octobre</w:t>
      </w:r>
      <w:r w:rsidRPr="00F22145">
        <w:rPr>
          <w:bCs/>
          <w:noProof/>
          <w:spacing w:val="4"/>
          <w:w w:val="103"/>
          <w:lang w:val="fr-FR"/>
        </w:rPr>
        <w:t xml:space="preserve"> 2016</w:t>
      </w:r>
    </w:p>
    <w:p w:rsidR="008230BC" w:rsidRPr="00F22145" w:rsidRDefault="008230BC" w:rsidP="00B64FAD">
      <w:pPr>
        <w:rPr>
          <w:bCs/>
          <w:noProof/>
          <w:spacing w:val="4"/>
          <w:w w:val="103"/>
          <w:lang w:val="fr-FR"/>
        </w:rPr>
      </w:pPr>
      <w:r w:rsidRPr="00F22145">
        <w:rPr>
          <w:bCs/>
          <w:noProof/>
          <w:spacing w:val="4"/>
          <w:w w:val="103"/>
          <w:lang w:val="fr-FR"/>
        </w:rPr>
        <w:t xml:space="preserve">Point </w:t>
      </w:r>
      <w:r w:rsidRPr="001D2CDD">
        <w:rPr>
          <w:bCs/>
          <w:noProof/>
          <w:spacing w:val="4"/>
          <w:w w:val="103"/>
          <w:lang w:val="fr-FR"/>
        </w:rPr>
        <w:t>4</w:t>
      </w:r>
      <w:r w:rsidRPr="00F22145">
        <w:rPr>
          <w:bCs/>
          <w:noProof/>
          <w:spacing w:val="4"/>
          <w:w w:val="103"/>
          <w:lang w:val="fr-FR"/>
        </w:rPr>
        <w:t xml:space="preserve"> de l’ordre du jour provisoire </w:t>
      </w:r>
    </w:p>
    <w:p w:rsidR="008230BC" w:rsidRPr="00A05DC1" w:rsidRDefault="008230BC" w:rsidP="00B64FAD">
      <w:pPr>
        <w:rPr>
          <w:b/>
          <w:bCs/>
          <w:noProof/>
          <w:lang w:val="fr-FR"/>
        </w:rPr>
      </w:pPr>
      <w:r w:rsidRPr="00A05DC1">
        <w:rPr>
          <w:b/>
          <w:bCs/>
          <w:noProof/>
          <w:lang w:val="fr-FR"/>
        </w:rPr>
        <w:t>Simplific</w:t>
      </w:r>
      <w:r w:rsidR="00A05DC1">
        <w:rPr>
          <w:b/>
          <w:bCs/>
          <w:noProof/>
          <w:lang w:val="fr-FR"/>
        </w:rPr>
        <w:t>ation des Règlements concernant</w:t>
      </w:r>
      <w:r w:rsidR="00A05DC1">
        <w:rPr>
          <w:b/>
          <w:bCs/>
          <w:noProof/>
          <w:lang w:val="fr-FR"/>
        </w:rPr>
        <w:br/>
        <w:t>l</w:t>
      </w:r>
      <w:r w:rsidRPr="00A05DC1">
        <w:rPr>
          <w:b/>
          <w:bCs/>
          <w:noProof/>
          <w:lang w:val="fr-FR"/>
        </w:rPr>
        <w:t>’éclairage et la signalisation lumineuse</w:t>
      </w:r>
    </w:p>
    <w:p w:rsidR="008230BC" w:rsidRPr="00372214" w:rsidRDefault="008230BC" w:rsidP="00B64FAD">
      <w:pPr>
        <w:pStyle w:val="HChG"/>
        <w:rPr>
          <w:noProof/>
          <w:lang w:val="fr-FR"/>
        </w:rPr>
      </w:pPr>
      <w:r w:rsidRPr="00372214">
        <w:rPr>
          <w:noProof/>
          <w:lang w:val="fr-FR"/>
        </w:rPr>
        <w:tab/>
      </w:r>
      <w:r w:rsidRPr="00372214">
        <w:rPr>
          <w:noProof/>
          <w:lang w:val="fr-FR"/>
        </w:rPr>
        <w:tab/>
      </w:r>
      <w:r w:rsidRPr="005C1DEB">
        <w:rPr>
          <w:noProof/>
          <w:lang w:val="fr-FR"/>
        </w:rPr>
        <w:t>Proposition d’amendement collectif aux Règlements n</w:t>
      </w:r>
      <w:r w:rsidRPr="005C1DEB">
        <w:rPr>
          <w:noProof/>
          <w:vertAlign w:val="superscript"/>
          <w:lang w:val="fr-FR"/>
        </w:rPr>
        <w:t>os</w:t>
      </w:r>
      <w:r w:rsidR="00B64FAD">
        <w:rPr>
          <w:noProof/>
          <w:lang w:val="fr-FR"/>
        </w:rPr>
        <w:t> 19,</w:t>
      </w:r>
      <w:r w:rsidR="00B64FAD">
        <w:rPr>
          <w:noProof/>
          <w:lang w:val="fr-FR"/>
        </w:rPr>
        <w:br/>
      </w:r>
      <w:r w:rsidRPr="005C1DEB">
        <w:rPr>
          <w:noProof/>
          <w:lang w:val="fr-FR"/>
        </w:rPr>
        <w:t>98, 112, 113 et 123</w:t>
      </w:r>
    </w:p>
    <w:p w:rsidR="008230BC" w:rsidRPr="00F22145" w:rsidRDefault="008230BC" w:rsidP="00B64FAD">
      <w:pPr>
        <w:pStyle w:val="H1G"/>
        <w:rPr>
          <w:noProof/>
          <w:w w:val="103"/>
          <w:position w:val="4"/>
          <w:sz w:val="20"/>
          <w:lang w:val="fr-FR"/>
        </w:rPr>
      </w:pPr>
      <w:r w:rsidRPr="00F22145">
        <w:rPr>
          <w:noProof/>
          <w:w w:val="103"/>
          <w:lang w:val="fr-FR"/>
        </w:rPr>
        <w:tab/>
      </w:r>
      <w:r w:rsidRPr="00F22145">
        <w:rPr>
          <w:noProof/>
          <w:w w:val="103"/>
          <w:lang w:val="fr-FR"/>
        </w:rPr>
        <w:tab/>
      </w:r>
      <w:r w:rsidRPr="005C1DEB">
        <w:rPr>
          <w:noProof/>
          <w:w w:val="103"/>
          <w:lang w:val="fr-FR"/>
        </w:rPr>
        <w:t>Communication d</w:t>
      </w:r>
      <w:r w:rsidR="00B64FAD">
        <w:rPr>
          <w:noProof/>
          <w:w w:val="103"/>
          <w:lang w:val="fr-FR"/>
        </w:rPr>
        <w:t>e l’expert du Groupe de travail</w:t>
      </w:r>
      <w:r w:rsidRPr="005C1DEB">
        <w:rPr>
          <w:noProof/>
          <w:w w:val="103"/>
          <w:lang w:val="fr-FR"/>
        </w:rPr>
        <w:br/>
        <w:t>« Bruxelles 1952 » (GTB)</w:t>
      </w:r>
      <w:r w:rsidR="00B64FAD" w:rsidRPr="00B64FAD">
        <w:rPr>
          <w:rStyle w:val="FootnoteReference"/>
          <w:b w:val="0"/>
          <w:noProof/>
          <w:w w:val="103"/>
          <w:sz w:val="20"/>
          <w:vertAlign w:val="baseline"/>
        </w:rPr>
        <w:footnoteReference w:customMarkFollows="1" w:id="2"/>
        <w:t>*</w:t>
      </w:r>
    </w:p>
    <w:p w:rsidR="008230BC" w:rsidRDefault="008230BC" w:rsidP="00B64FAD">
      <w:pPr>
        <w:pStyle w:val="SingleTxtG"/>
        <w:ind w:firstLine="567"/>
        <w:rPr>
          <w:rFonts w:ascii="Calibri" w:hAnsi="Calibri"/>
          <w:noProof/>
          <w:lang w:val="fr-FR"/>
        </w:rPr>
      </w:pPr>
      <w:r w:rsidRPr="005C1DEB">
        <w:rPr>
          <w:noProof/>
          <w:w w:val="103"/>
          <w:lang w:val="fr-FR"/>
        </w:rPr>
        <w:t>Le texte ci-après, qui a été établi par l’expert du Groupe de travail « Bruxelles 1952 » (GTB)</w:t>
      </w:r>
      <w:r w:rsidRPr="00F22145">
        <w:rPr>
          <w:noProof/>
          <w:w w:val="103"/>
          <w:lang w:val="fr-FR"/>
        </w:rPr>
        <w:t xml:space="preserve">, vise à </w:t>
      </w:r>
      <w:r>
        <w:rPr>
          <w:noProof/>
          <w:w w:val="103"/>
          <w:lang w:val="fr-FR"/>
        </w:rPr>
        <w:t xml:space="preserve">fournir des éclaircissements concernant </w:t>
      </w:r>
      <w:r w:rsidRPr="00426ED0">
        <w:rPr>
          <w:noProof/>
          <w:w w:val="103"/>
          <w:lang w:val="fr-FR"/>
        </w:rPr>
        <w:t xml:space="preserve">le cycle d’essai relatif </w:t>
      </w:r>
      <w:r>
        <w:rPr>
          <w:noProof/>
          <w:w w:val="103"/>
          <w:lang w:val="fr-FR"/>
        </w:rPr>
        <w:t xml:space="preserve">au </w:t>
      </w:r>
      <w:r w:rsidRPr="005C1DEB">
        <w:rPr>
          <w:noProof/>
          <w:w w:val="103"/>
        </w:rPr>
        <w:t>déplacement de la ligne de coupure</w:t>
      </w:r>
      <w:r w:rsidRPr="00426ED0">
        <w:rPr>
          <w:noProof/>
          <w:w w:val="103"/>
        </w:rPr>
        <w:t xml:space="preserve"> </w:t>
      </w:r>
      <w:r w:rsidRPr="005C1DEB">
        <w:rPr>
          <w:noProof/>
          <w:w w:val="103"/>
        </w:rPr>
        <w:t>du faisceau de croisement</w:t>
      </w:r>
      <w:r>
        <w:rPr>
          <w:noProof/>
          <w:w w:val="103"/>
        </w:rPr>
        <w:t xml:space="preserve"> </w:t>
      </w:r>
      <w:r w:rsidRPr="005C1DEB">
        <w:rPr>
          <w:noProof/>
          <w:w w:val="103"/>
        </w:rPr>
        <w:t>sous l’effet de la chaleur</w:t>
      </w:r>
      <w:r w:rsidRPr="00426ED0">
        <w:rPr>
          <w:noProof/>
          <w:w w:val="103"/>
          <w:lang w:val="fr-FR"/>
        </w:rPr>
        <w:t xml:space="preserve"> dans </w:t>
      </w:r>
      <w:r w:rsidRPr="00F22145">
        <w:rPr>
          <w:noProof/>
          <w:w w:val="103"/>
          <w:lang w:val="fr-FR"/>
        </w:rPr>
        <w:t xml:space="preserve">le Règlement concernant </w:t>
      </w:r>
      <w:r w:rsidRPr="001D2CDD">
        <w:rPr>
          <w:noProof/>
          <w:w w:val="103"/>
          <w:lang w:val="fr-FR"/>
        </w:rPr>
        <w:t xml:space="preserve">les </w:t>
      </w:r>
      <w:r w:rsidRPr="00426ED0">
        <w:rPr>
          <w:noProof/>
          <w:w w:val="103"/>
          <w:lang w:val="fr-FR"/>
        </w:rPr>
        <w:t>feux de brouillard avant et les Règlements concernant les projecteurs</w:t>
      </w:r>
      <w:r w:rsidRPr="00F22145">
        <w:rPr>
          <w:noProof/>
          <w:w w:val="103"/>
          <w:lang w:val="fr-FR"/>
        </w:rPr>
        <w:t xml:space="preserve">. </w:t>
      </w:r>
      <w:r w:rsidRPr="00B92004">
        <w:rPr>
          <w:noProof/>
          <w:w w:val="103"/>
          <w:lang w:val="fr-FR"/>
        </w:rPr>
        <w:t>Les modifications qu’il est proposé d’apporter au texte actuel des Règlements sont signalées en caractères gras pour les parties de texte nouvelles ou biffé</w:t>
      </w:r>
      <w:r>
        <w:rPr>
          <w:noProof/>
          <w:w w:val="103"/>
          <w:lang w:val="fr-FR"/>
        </w:rPr>
        <w:t>e</w:t>
      </w:r>
      <w:r w:rsidRPr="00B92004">
        <w:rPr>
          <w:noProof/>
          <w:w w:val="103"/>
          <w:lang w:val="fr-FR"/>
        </w:rPr>
        <w:t>s pour les parties supprimées</w:t>
      </w:r>
      <w:r w:rsidRPr="00F22145">
        <w:rPr>
          <w:rFonts w:ascii="Calibri" w:hAnsi="Calibri"/>
          <w:noProof/>
          <w:lang w:val="fr-FR"/>
        </w:rPr>
        <w:t>.</w:t>
      </w:r>
    </w:p>
    <w:p w:rsidR="008230BC" w:rsidRPr="00DD2038" w:rsidRDefault="008230BC" w:rsidP="00B64FAD">
      <w:pPr>
        <w:pStyle w:val="HChG"/>
        <w:rPr>
          <w:noProof/>
          <w:lang w:val="fr-FR"/>
        </w:rPr>
      </w:pPr>
      <w:r w:rsidRPr="00F22145">
        <w:rPr>
          <w:noProof/>
          <w:w w:val="103"/>
          <w:lang w:val="fr-FR"/>
        </w:rPr>
        <w:lastRenderedPageBreak/>
        <w:tab/>
      </w:r>
      <w:r w:rsidRPr="00B92004">
        <w:rPr>
          <w:noProof/>
          <w:w w:val="103"/>
          <w:lang w:val="fr-FR"/>
        </w:rPr>
        <w:t>I.</w:t>
      </w:r>
      <w:r w:rsidRPr="00B92004">
        <w:rPr>
          <w:noProof/>
          <w:w w:val="103"/>
          <w:lang w:val="fr-FR"/>
        </w:rPr>
        <w:tab/>
        <w:t>Proposition</w:t>
      </w:r>
    </w:p>
    <w:p w:rsidR="008230BC" w:rsidRPr="00AF30F0" w:rsidRDefault="008230BC" w:rsidP="00B64FAD">
      <w:pPr>
        <w:pStyle w:val="H1G"/>
        <w:rPr>
          <w:noProof/>
          <w:w w:val="103"/>
          <w:lang w:val="fr-FR"/>
        </w:rPr>
      </w:pPr>
      <w:r w:rsidRPr="00AF30F0">
        <w:rPr>
          <w:noProof/>
          <w:w w:val="103"/>
          <w:lang w:val="fr-FR"/>
        </w:rPr>
        <w:tab/>
      </w:r>
      <w:r w:rsidR="00B64FAD">
        <w:rPr>
          <w:noProof/>
          <w:w w:val="103"/>
          <w:lang w:val="fr-FR"/>
        </w:rPr>
        <w:t>A.</w:t>
      </w:r>
      <w:r w:rsidR="00B64FAD">
        <w:rPr>
          <w:noProof/>
          <w:w w:val="103"/>
          <w:lang w:val="fr-FR"/>
        </w:rPr>
        <w:tab/>
      </w:r>
      <w:r w:rsidRPr="00AF30F0">
        <w:rPr>
          <w:noProof/>
          <w:w w:val="103"/>
          <w:lang w:val="fr-FR"/>
        </w:rPr>
        <w:t>Complément 9 à la série 04 d’amendements au Règlement n</w:t>
      </w:r>
      <w:r w:rsidRPr="00AF30F0">
        <w:rPr>
          <w:noProof/>
          <w:w w:val="103"/>
          <w:vertAlign w:val="superscript"/>
          <w:lang w:val="fr-FR"/>
        </w:rPr>
        <w:t>o</w:t>
      </w:r>
      <w:r w:rsidR="00B64FAD">
        <w:rPr>
          <w:noProof/>
          <w:w w:val="103"/>
          <w:lang w:val="fr-FR"/>
        </w:rPr>
        <w:t> 19</w:t>
      </w:r>
      <w:r w:rsidRPr="005C1DEB">
        <w:rPr>
          <w:noProof/>
          <w:w w:val="103"/>
          <w:lang w:val="fr-FR"/>
        </w:rPr>
        <w:br/>
        <w:t>(Feux de brouillard avant)</w:t>
      </w:r>
      <w:r w:rsidR="00217DD6">
        <w:rPr>
          <w:noProof/>
          <w:w w:val="103"/>
          <w:lang w:val="fr-FR"/>
        </w:rPr>
        <w:t> </w:t>
      </w:r>
      <w:r w:rsidRPr="00AF30F0">
        <w:rPr>
          <w:noProof/>
          <w:w w:val="103"/>
          <w:lang w:val="fr-FR"/>
        </w:rPr>
        <w:t>:</w:t>
      </w:r>
    </w:p>
    <w:p w:rsidR="008230BC" w:rsidRPr="001D2CDD" w:rsidRDefault="008230BC" w:rsidP="00B64FAD">
      <w:pPr>
        <w:pStyle w:val="SingleTxtG"/>
        <w:rPr>
          <w:noProof/>
          <w:w w:val="103"/>
          <w:lang w:val="fr-FR"/>
        </w:rPr>
      </w:pPr>
      <w:r w:rsidRPr="00B64FAD">
        <w:rPr>
          <w:i/>
          <w:noProof/>
          <w:w w:val="103"/>
          <w:lang w:val="fr-FR"/>
        </w:rPr>
        <w:t>Annexe 5, paragraphe 2.2.2</w:t>
      </w:r>
      <w:r w:rsidRPr="00B92004">
        <w:rPr>
          <w:noProof/>
          <w:w w:val="103"/>
          <w:lang w:val="fr-FR"/>
        </w:rPr>
        <w:t>,</w:t>
      </w:r>
      <w:r w:rsidRPr="00B92004">
        <w:rPr>
          <w:b/>
          <w:noProof/>
          <w:w w:val="103"/>
          <w:lang w:val="fr-FR"/>
        </w:rPr>
        <w:t xml:space="preserve"> </w:t>
      </w:r>
      <w:r w:rsidRPr="00B92004">
        <w:rPr>
          <w:noProof/>
          <w:w w:val="103"/>
          <w:lang w:val="fr-FR"/>
        </w:rPr>
        <w:t>modifier comme suit :</w:t>
      </w:r>
    </w:p>
    <w:p w:rsidR="008230BC" w:rsidRPr="001D2CDD" w:rsidRDefault="008230BC" w:rsidP="00B64FAD">
      <w:pPr>
        <w:pStyle w:val="SingleTxtG"/>
        <w:ind w:left="2268" w:hanging="1134"/>
        <w:rPr>
          <w:noProof/>
          <w:lang w:val="fr-FR"/>
        </w:rPr>
      </w:pPr>
      <w:r w:rsidRPr="001D2CDD">
        <w:rPr>
          <w:noProof/>
          <w:lang w:val="fr-FR"/>
        </w:rPr>
        <w:t>« </w:t>
      </w:r>
      <w:r w:rsidRPr="00217DD6">
        <w:rPr>
          <w:noProof/>
          <w:lang w:val="fr-FR"/>
        </w:rPr>
        <w:t>2.2.2</w:t>
      </w:r>
      <w:r w:rsidRPr="001D2CDD">
        <w:rPr>
          <w:noProof/>
          <w:lang w:val="fr-FR"/>
        </w:rPr>
        <w:tab/>
      </w:r>
      <w:r w:rsidRPr="000F5164">
        <w:rPr>
          <w:noProof/>
          <w:lang w:val="fr-FR"/>
        </w:rPr>
        <w:tab/>
      </w:r>
      <w:r w:rsidRPr="005C1DEB">
        <w:rPr>
          <w:noProof/>
          <w:lang w:val="fr-FR"/>
        </w:rPr>
        <w:t>Cependant, si cette valeur est supérieure à 2 mr</w:t>
      </w:r>
      <w:r w:rsidR="00B64FAD">
        <w:rPr>
          <w:noProof/>
          <w:lang w:val="fr-FR"/>
        </w:rPr>
        <w:t>ad mais inférieure ou égale à 3 </w:t>
      </w:r>
      <w:r w:rsidRPr="005C1DEB">
        <w:rPr>
          <w:noProof/>
          <w:lang w:val="fr-FR"/>
        </w:rPr>
        <w:t xml:space="preserve">mrad </w:t>
      </w:r>
      <w:r w:rsidRPr="009C2A65">
        <w:rPr>
          <w:b/>
          <w:noProof/>
        </w:rPr>
        <w:t xml:space="preserve">(2,0 mrad &lt; </w:t>
      </w:r>
      <w:r w:rsidRPr="005C1DEB">
        <w:rPr>
          <w:noProof/>
          <w:lang w:val="en-US"/>
        </w:rPr>
        <w:t>Δ</w:t>
      </w:r>
      <w:r w:rsidRPr="009C2A65">
        <w:rPr>
          <w:b/>
          <w:noProof/>
        </w:rPr>
        <w:t xml:space="preserve"> r</w:t>
      </w:r>
      <w:r w:rsidRPr="009C2A65">
        <w:rPr>
          <w:b/>
          <w:noProof/>
          <w:vertAlign w:val="subscript"/>
        </w:rPr>
        <w:t>I</w:t>
      </w:r>
      <w:r w:rsidRPr="009C2A65">
        <w:rPr>
          <w:b/>
          <w:noProof/>
        </w:rPr>
        <w:t xml:space="preserve"> </w:t>
      </w:r>
      <w:r w:rsidRPr="009C2A65">
        <w:rPr>
          <w:b/>
          <w:noProof/>
          <w:u w:val="single"/>
        </w:rPr>
        <w:t>&lt;</w:t>
      </w:r>
      <w:r w:rsidRPr="009C2A65">
        <w:rPr>
          <w:b/>
          <w:noProof/>
        </w:rPr>
        <w:t xml:space="preserve"> 3,0 mrad)</w:t>
      </w:r>
      <w:r w:rsidRPr="005C1DEB">
        <w:rPr>
          <w:noProof/>
          <w:lang w:val="fr-FR"/>
        </w:rPr>
        <w:t xml:space="preserve">, un </w:t>
      </w:r>
      <w:r w:rsidRPr="005C1DEB">
        <w:rPr>
          <w:strike/>
          <w:noProof/>
          <w:lang w:val="fr-FR"/>
        </w:rPr>
        <w:t>second</w:t>
      </w:r>
      <w:r w:rsidRPr="005C1DEB">
        <w:rPr>
          <w:noProof/>
          <w:lang w:val="fr-FR"/>
        </w:rPr>
        <w:t xml:space="preserve"> </w:t>
      </w:r>
      <w:r w:rsidRPr="001D2CDD">
        <w:rPr>
          <w:b/>
          <w:noProof/>
          <w:lang w:val="fr-FR"/>
        </w:rPr>
        <w:t xml:space="preserve">autre échantillon de </w:t>
      </w:r>
      <w:r w:rsidRPr="005C1DEB">
        <w:rPr>
          <w:noProof/>
          <w:lang w:val="fr-FR"/>
        </w:rPr>
        <w:t>feu de brouillard avant</w:t>
      </w:r>
      <w:r w:rsidRPr="00E541D5">
        <w:rPr>
          <w:noProof/>
          <w:lang w:val="fr-FR"/>
        </w:rPr>
        <w:t xml:space="preserve"> </w:t>
      </w:r>
      <w:r w:rsidRPr="005C1DEB">
        <w:rPr>
          <w:b/>
          <w:noProof/>
        </w:rPr>
        <w:t>monté sur un appareillage d’essai</w:t>
      </w:r>
      <w:r w:rsidRPr="00E541D5">
        <w:rPr>
          <w:b/>
          <w:noProof/>
        </w:rPr>
        <w:t xml:space="preserve"> </w:t>
      </w:r>
      <w:r w:rsidRPr="005C1DEB">
        <w:rPr>
          <w:b/>
          <w:noProof/>
        </w:rPr>
        <w:t>représentatif de son installation correcte sur le véhicule</w:t>
      </w:r>
      <w:r w:rsidRPr="00E541D5">
        <w:rPr>
          <w:noProof/>
        </w:rPr>
        <w:t xml:space="preserve"> </w:t>
      </w:r>
      <w:r w:rsidRPr="005C1DEB">
        <w:rPr>
          <w:noProof/>
          <w:lang w:val="fr-FR"/>
        </w:rPr>
        <w:t>est mis à l’essai comme prévu au paragraphe 2.1 ci-dessus</w:t>
      </w:r>
      <w:r w:rsidRPr="001D2CDD">
        <w:rPr>
          <w:strike/>
          <w:noProof/>
          <w:lang w:val="fr-FR"/>
        </w:rPr>
        <w:t>. Cette mise à l'essai est effectuée après que le feu de brouillard a été</w:t>
      </w:r>
      <w:r w:rsidRPr="005C1DEB">
        <w:rPr>
          <w:b/>
          <w:noProof/>
          <w:lang w:val="fr-FR"/>
        </w:rPr>
        <w:t>,</w:t>
      </w:r>
      <w:r w:rsidRPr="005C1DEB">
        <w:rPr>
          <w:noProof/>
          <w:lang w:val="fr-FR"/>
        </w:rPr>
        <w:t xml:space="preserve"> </w:t>
      </w:r>
      <w:r w:rsidRPr="005C1DEB">
        <w:rPr>
          <w:b/>
          <w:noProof/>
          <w:lang w:val="fr-FR"/>
        </w:rPr>
        <w:t>après avoir été</w:t>
      </w:r>
      <w:r w:rsidRPr="005C1DEB">
        <w:rPr>
          <w:noProof/>
          <w:lang w:val="fr-FR"/>
        </w:rPr>
        <w:t xml:space="preserve"> soumis </w:t>
      </w:r>
      <w:r w:rsidRPr="005C1DEB">
        <w:rPr>
          <w:b/>
          <w:noProof/>
          <w:lang w:val="fr-FR"/>
        </w:rPr>
        <w:t xml:space="preserve">trois </w:t>
      </w:r>
      <w:r w:rsidRPr="001D2CDD">
        <w:rPr>
          <w:strike/>
          <w:noProof/>
          <w:lang w:val="fr-FR"/>
        </w:rPr>
        <w:t>cycles</w:t>
      </w:r>
      <w:r w:rsidRPr="005C1DEB">
        <w:rPr>
          <w:b/>
          <w:noProof/>
          <w:lang w:val="fr-FR"/>
        </w:rPr>
        <w:t xml:space="preserve"> fois de suite</w:t>
      </w:r>
      <w:r w:rsidRPr="005C1DEB">
        <w:rPr>
          <w:noProof/>
          <w:lang w:val="fr-FR"/>
        </w:rPr>
        <w:t xml:space="preserve"> au cycle décrit ci-dessous, afin de stabiliser la position des parties mécaniques du feu </w:t>
      </w:r>
      <w:r w:rsidRPr="005C1DEB">
        <w:rPr>
          <w:strike/>
          <w:noProof/>
          <w:lang w:val="fr-FR"/>
        </w:rPr>
        <w:t>sur un support représentatif de son installation sur le véhicule</w:t>
      </w:r>
      <w:r w:rsidR="00B64FAD" w:rsidRPr="00B64FAD">
        <w:rPr>
          <w:noProof/>
          <w:lang w:val="fr-FR"/>
        </w:rPr>
        <w:t> </w:t>
      </w:r>
      <w:r w:rsidRPr="005C1DEB">
        <w:rPr>
          <w:noProof/>
          <w:lang w:val="fr-FR"/>
        </w:rPr>
        <w:t>:</w:t>
      </w:r>
      <w:r w:rsidRPr="001D2CDD">
        <w:rPr>
          <w:noProof/>
          <w:lang w:val="fr-FR"/>
        </w:rPr>
        <w:t xml:space="preserve"> </w:t>
      </w:r>
    </w:p>
    <w:p w:rsidR="008230BC" w:rsidRPr="005C1DEB" w:rsidRDefault="00C14DC6" w:rsidP="00C14DC6">
      <w:pPr>
        <w:pStyle w:val="SingleTxtG"/>
        <w:ind w:left="2268"/>
        <w:rPr>
          <w:noProof/>
          <w:lang w:val="fr-FR"/>
        </w:rPr>
      </w:pPr>
      <w:r>
        <w:rPr>
          <w:noProof/>
          <w:lang w:val="fr-FR"/>
        </w:rPr>
        <w:t>a)</w:t>
      </w:r>
      <w:r>
        <w:rPr>
          <w:noProof/>
          <w:lang w:val="fr-FR"/>
        </w:rPr>
        <w:tab/>
      </w:r>
      <w:r w:rsidR="008230BC" w:rsidRPr="005C1DEB">
        <w:rPr>
          <w:noProof/>
          <w:lang w:val="fr-FR"/>
        </w:rPr>
        <w:t>1 heure de fonctionnement du feu de brouillard avant (la tension étant r</w:t>
      </w:r>
      <w:r w:rsidR="00A05DC1">
        <w:rPr>
          <w:noProof/>
          <w:lang w:val="fr-FR"/>
        </w:rPr>
        <w:t>églée comme prévu au paragraphe </w:t>
      </w:r>
      <w:r w:rsidR="008230BC" w:rsidRPr="005C1DEB">
        <w:rPr>
          <w:noProof/>
          <w:lang w:val="fr-FR"/>
        </w:rPr>
        <w:t>1.1.2 de la présente annexe)</w:t>
      </w:r>
      <w:r w:rsidR="00A05DC1">
        <w:rPr>
          <w:noProof/>
          <w:lang w:val="fr-FR"/>
        </w:rPr>
        <w:t> </w:t>
      </w:r>
      <w:r w:rsidR="008230BC" w:rsidRPr="005C1DEB">
        <w:rPr>
          <w:noProof/>
          <w:lang w:val="fr-FR"/>
        </w:rPr>
        <w:t>;</w:t>
      </w:r>
    </w:p>
    <w:p w:rsidR="008230BC" w:rsidRPr="00C14DC6" w:rsidRDefault="00C14DC6" w:rsidP="00C14DC6">
      <w:pPr>
        <w:pStyle w:val="SingleTxtG"/>
        <w:ind w:left="2268"/>
        <w:rPr>
          <w:rFonts w:eastAsia="MS Mincho"/>
          <w:noProof/>
          <w:lang w:val="fr-FR"/>
        </w:rPr>
      </w:pPr>
      <w:r>
        <w:rPr>
          <w:rFonts w:eastAsia="MS Mincho"/>
          <w:noProof/>
          <w:lang w:val="fr-FR"/>
        </w:rPr>
        <w:t>b)</w:t>
      </w:r>
      <w:r>
        <w:rPr>
          <w:rFonts w:eastAsia="MS Mincho"/>
          <w:noProof/>
          <w:lang w:val="fr-FR"/>
        </w:rPr>
        <w:tab/>
      </w:r>
      <w:r w:rsidR="008230BC" w:rsidRPr="005C1DEB">
        <w:rPr>
          <w:rFonts w:eastAsia="MS Mincho"/>
          <w:strike/>
          <w:noProof/>
          <w:lang w:val="fr-FR"/>
        </w:rPr>
        <w:t>1 heure d’arrêt</w:t>
      </w:r>
      <w:r w:rsidR="008230BC" w:rsidRPr="005C1DEB">
        <w:rPr>
          <w:rFonts w:eastAsia="MS Mincho"/>
          <w:noProof/>
          <w:lang w:val="fr-FR"/>
        </w:rPr>
        <w:t>.</w:t>
      </w:r>
      <w:r w:rsidR="008230BC" w:rsidRPr="001D2CDD">
        <w:rPr>
          <w:rFonts w:eastAsia="MS Mincho"/>
          <w:noProof/>
          <w:lang w:val="fr-FR"/>
        </w:rPr>
        <w:t xml:space="preserve"> </w:t>
      </w:r>
      <w:r w:rsidR="008230BC" w:rsidRPr="005F7606">
        <w:rPr>
          <w:rFonts w:eastAsia="MS Mincho"/>
          <w:b/>
          <w:noProof/>
          <w:lang w:val="fr-FR"/>
        </w:rPr>
        <w:t>1 heure</w:t>
      </w:r>
      <w:r w:rsidR="008230BC" w:rsidRPr="005F7606">
        <w:rPr>
          <w:rFonts w:eastAsia="MS Mincho"/>
          <w:noProof/>
          <w:lang w:val="fr-FR"/>
        </w:rPr>
        <w:t xml:space="preserve"> </w:t>
      </w:r>
      <w:r w:rsidR="008230BC" w:rsidRPr="003B3EBF">
        <w:rPr>
          <w:rFonts w:eastAsia="MS Mincho"/>
          <w:b/>
          <w:noProof/>
          <w:lang w:val="fr-FR"/>
        </w:rPr>
        <w:t xml:space="preserve">de mise hors tension du </w:t>
      </w:r>
      <w:r w:rsidR="008230BC" w:rsidRPr="005F7606">
        <w:rPr>
          <w:rFonts w:eastAsia="MS Mincho"/>
          <w:b/>
          <w:noProof/>
          <w:lang w:val="fr-FR"/>
        </w:rPr>
        <w:t>feu de brouillard avant</w:t>
      </w:r>
      <w:r w:rsidR="008230BC">
        <w:rPr>
          <w:rFonts w:eastAsia="MS Mincho"/>
          <w:b/>
          <w:noProof/>
          <w:lang w:val="fr-FR"/>
        </w:rPr>
        <w:t>. </w:t>
      </w:r>
      <w:r w:rsidR="008230BC" w:rsidRPr="00217DD6">
        <w:rPr>
          <w:rFonts w:eastAsia="MS Mincho"/>
          <w:noProof/>
          <w:lang w:val="fr-FR"/>
        </w:rPr>
        <w:t>»</w:t>
      </w:r>
      <w:r w:rsidR="00217DD6">
        <w:rPr>
          <w:rFonts w:eastAsia="MS Mincho"/>
          <w:noProof/>
          <w:lang w:val="fr-FR"/>
        </w:rPr>
        <w:t>.</w:t>
      </w:r>
    </w:p>
    <w:p w:rsidR="008230BC" w:rsidRPr="000F5164" w:rsidRDefault="008230BC" w:rsidP="00C14DC6">
      <w:pPr>
        <w:pStyle w:val="SingleTxtG"/>
        <w:rPr>
          <w:b/>
          <w:noProof/>
          <w:lang w:val="fr-FR"/>
        </w:rPr>
      </w:pPr>
      <w:r w:rsidRPr="00B92004">
        <w:rPr>
          <w:i/>
          <w:noProof/>
          <w:lang w:val="fr-FR"/>
        </w:rPr>
        <w:t xml:space="preserve">Paragraphe </w:t>
      </w:r>
      <w:r w:rsidR="00C14DC6">
        <w:rPr>
          <w:i/>
          <w:noProof/>
          <w:lang w:val="fr-FR"/>
        </w:rPr>
        <w:t>2.2.3</w:t>
      </w:r>
      <w:r w:rsidRPr="00B92004">
        <w:rPr>
          <w:i/>
          <w:noProof/>
          <w:lang w:val="fr-FR"/>
        </w:rPr>
        <w:t>,</w:t>
      </w:r>
      <w:r w:rsidRPr="00B92004">
        <w:rPr>
          <w:b/>
          <w:i/>
          <w:noProof/>
          <w:lang w:val="fr-FR"/>
        </w:rPr>
        <w:t xml:space="preserve"> </w:t>
      </w:r>
      <w:r w:rsidRPr="00B92004">
        <w:rPr>
          <w:noProof/>
          <w:lang w:val="fr-FR"/>
        </w:rPr>
        <w:t xml:space="preserve">modifier comme </w:t>
      </w:r>
      <w:r w:rsidR="00A05DC1">
        <w:rPr>
          <w:noProof/>
          <w:lang w:val="fr-FR"/>
        </w:rPr>
        <w:t>suit </w:t>
      </w:r>
      <w:r w:rsidRPr="00B92004">
        <w:rPr>
          <w:noProof/>
          <w:lang w:val="fr-FR"/>
        </w:rPr>
        <w:t>:</w:t>
      </w:r>
    </w:p>
    <w:p w:rsidR="008230BC" w:rsidRPr="005C1DEB" w:rsidRDefault="00C14DC6" w:rsidP="00C14DC6">
      <w:pPr>
        <w:pStyle w:val="SingleTxtG"/>
        <w:ind w:left="2268" w:hanging="1134"/>
        <w:rPr>
          <w:strike/>
          <w:noProof/>
          <w:lang w:val="fr-FR"/>
        </w:rPr>
      </w:pPr>
      <w:r>
        <w:rPr>
          <w:noProof/>
          <w:lang w:val="fr-FR"/>
        </w:rPr>
        <w:t>« 2.2.3</w:t>
      </w:r>
      <w:r w:rsidR="008230BC" w:rsidRPr="000F5164">
        <w:rPr>
          <w:noProof/>
          <w:lang w:val="fr-FR"/>
        </w:rPr>
        <w:tab/>
      </w:r>
      <w:r w:rsidR="008230BC" w:rsidRPr="005C1DEB">
        <w:rPr>
          <w:strike/>
          <w:noProof/>
          <w:lang w:val="fr-FR"/>
        </w:rPr>
        <w:t>Le feu de brouillard avant est considéré comme acceptable si la moyenne des valeurs absolues ∆rI mesurée sur le premier échantillon et ∆rII mesurée sur le second échantillon est inférieure ou égale à 2 mrad</w:t>
      </w:r>
      <w:r w:rsidR="00217DD6">
        <w:rPr>
          <w:strike/>
          <w:noProof/>
          <w:lang w:val="fr-FR"/>
        </w:rPr>
        <w:t> </w:t>
      </w:r>
      <w:r w:rsidR="008230BC" w:rsidRPr="005C1DEB">
        <w:rPr>
          <w:strike/>
          <w:noProof/>
          <w:lang w:val="fr-FR"/>
        </w:rPr>
        <w:t xml:space="preserve">: </w:t>
      </w:r>
    </w:p>
    <w:p w:rsidR="008230BC" w:rsidRPr="005C1DEB" w:rsidRDefault="008230BC" w:rsidP="00C14DC6">
      <w:pPr>
        <w:pStyle w:val="SingleTxtG"/>
        <w:ind w:left="2268"/>
        <w:rPr>
          <w:strike/>
          <w:noProof/>
          <w:lang w:val="fr-FR"/>
        </w:rPr>
      </w:pPr>
      <w:r w:rsidRPr="005C1DEB">
        <w:rPr>
          <w:noProof/>
          <w:lang w:val="fr-FR"/>
        </w:rPr>
        <w:tab/>
      </w:r>
      <w:r w:rsidRPr="005C1DEB">
        <w:rPr>
          <w:strike/>
          <w:noProof/>
          <w:lang w:val="fr-FR"/>
        </w:rPr>
        <w:t>(∆ r</w:t>
      </w:r>
      <w:r w:rsidRPr="005C1DEB">
        <w:rPr>
          <w:strike/>
          <w:noProof/>
          <w:vertAlign w:val="subscript"/>
          <w:lang w:val="fr-FR"/>
        </w:rPr>
        <w:t>I</w:t>
      </w:r>
      <w:r w:rsidRPr="005C1DEB">
        <w:rPr>
          <w:strike/>
          <w:noProof/>
          <w:lang w:val="fr-FR"/>
        </w:rPr>
        <w:t xml:space="preserve"> + ∆ r</w:t>
      </w:r>
      <w:r w:rsidRPr="005C1DEB">
        <w:rPr>
          <w:strike/>
          <w:noProof/>
          <w:vertAlign w:val="subscript"/>
          <w:lang w:val="fr-FR"/>
        </w:rPr>
        <w:t>II</w:t>
      </w:r>
      <w:r w:rsidRPr="005C1DEB">
        <w:rPr>
          <w:strike/>
          <w:noProof/>
          <w:lang w:val="fr-FR"/>
        </w:rPr>
        <w:t>) / 2 ≤ 2 mrad.</w:t>
      </w:r>
    </w:p>
    <w:p w:rsidR="008230BC" w:rsidRPr="003B3EBF" w:rsidRDefault="008230BC" w:rsidP="00C14DC6">
      <w:pPr>
        <w:pStyle w:val="SingleTxtG"/>
        <w:ind w:left="2268"/>
        <w:rPr>
          <w:b/>
          <w:noProof/>
          <w:lang w:val="fr-FR"/>
        </w:rPr>
      </w:pPr>
      <w:r w:rsidRPr="003B3EBF">
        <w:rPr>
          <w:rFonts w:eastAsia="MS Mincho"/>
          <w:b/>
          <w:bCs/>
          <w:noProof/>
          <w:lang w:val="fr-FR"/>
        </w:rPr>
        <w:t>Après avoir été soumis trois fois de suite à ce cycle</w:t>
      </w:r>
      <w:r w:rsidRPr="003B3EBF">
        <w:rPr>
          <w:b/>
          <w:noProof/>
          <w:lang w:val="fr-FR"/>
        </w:rPr>
        <w:t xml:space="preserve">, le feu de brouillard avant est considéré comme acceptable si les valeurs absolues ∆r mesurées sur cet autre échantillon comme prévu au paragraphe </w:t>
      </w:r>
      <w:r w:rsidRPr="003B3EBF">
        <w:rPr>
          <w:b/>
          <w:bCs/>
          <w:noProof/>
          <w:lang w:val="fr-FR"/>
        </w:rPr>
        <w:t xml:space="preserve">2.1. </w:t>
      </w:r>
      <w:r>
        <w:rPr>
          <w:b/>
          <w:bCs/>
          <w:noProof/>
          <w:lang w:val="fr-FR"/>
        </w:rPr>
        <w:t xml:space="preserve">ci-dessus </w:t>
      </w:r>
      <w:r w:rsidRPr="003B3EBF">
        <w:rPr>
          <w:b/>
          <w:noProof/>
        </w:rPr>
        <w:t>satisf</w:t>
      </w:r>
      <w:r>
        <w:rPr>
          <w:b/>
          <w:noProof/>
        </w:rPr>
        <w:t xml:space="preserve">ont </w:t>
      </w:r>
      <w:r w:rsidRPr="003B3EBF">
        <w:rPr>
          <w:b/>
          <w:noProof/>
        </w:rPr>
        <w:t xml:space="preserve">aux prescriptions du </w:t>
      </w:r>
      <w:r w:rsidRPr="003B3EBF">
        <w:rPr>
          <w:b/>
          <w:bCs/>
          <w:noProof/>
          <w:lang w:val="fr-FR"/>
        </w:rPr>
        <w:t xml:space="preserve">paragraphe </w:t>
      </w:r>
      <w:r>
        <w:rPr>
          <w:b/>
          <w:bCs/>
          <w:noProof/>
          <w:lang w:val="fr-FR"/>
        </w:rPr>
        <w:t>2.</w:t>
      </w:r>
      <w:r w:rsidRPr="003B3EBF">
        <w:rPr>
          <w:b/>
          <w:bCs/>
          <w:noProof/>
          <w:lang w:val="fr-FR"/>
        </w:rPr>
        <w:t>2.1. ci-dessus</w:t>
      </w:r>
      <w:r w:rsidRPr="003B3EBF">
        <w:rPr>
          <w:b/>
          <w:noProof/>
          <w:lang w:val="fr-FR"/>
        </w:rPr>
        <w:t>.</w:t>
      </w:r>
      <w:r>
        <w:rPr>
          <w:b/>
          <w:noProof/>
          <w:lang w:val="fr-FR"/>
        </w:rPr>
        <w:t> </w:t>
      </w:r>
      <w:r w:rsidRPr="00217DD6">
        <w:rPr>
          <w:noProof/>
          <w:lang w:val="fr-FR"/>
        </w:rPr>
        <w:t>»</w:t>
      </w:r>
      <w:r w:rsidR="00217DD6" w:rsidRPr="00217DD6">
        <w:rPr>
          <w:noProof/>
          <w:lang w:val="fr-FR"/>
        </w:rPr>
        <w:t>.</w:t>
      </w:r>
    </w:p>
    <w:p w:rsidR="008230BC" w:rsidRPr="001D2CDD" w:rsidRDefault="00C14DC6" w:rsidP="00C14DC6">
      <w:pPr>
        <w:pStyle w:val="H1G"/>
        <w:rPr>
          <w:noProof/>
          <w:lang w:val="fr-FR"/>
        </w:rPr>
      </w:pPr>
      <w:r>
        <w:rPr>
          <w:noProof/>
          <w:lang w:val="fr-FR"/>
        </w:rPr>
        <w:tab/>
        <w:t>B.</w:t>
      </w:r>
      <w:r>
        <w:rPr>
          <w:noProof/>
          <w:lang w:val="fr-FR"/>
        </w:rPr>
        <w:tab/>
      </w:r>
      <w:r w:rsidR="008230BC" w:rsidRPr="00B92004">
        <w:rPr>
          <w:noProof/>
          <w:lang w:val="fr-FR"/>
        </w:rPr>
        <w:t>Complément 8 à la série 01 d’amendements au Règlement</w:t>
      </w:r>
      <w:r w:rsidR="008230BC" w:rsidRPr="001D2CDD">
        <w:rPr>
          <w:noProof/>
          <w:lang w:val="fr-FR"/>
        </w:rPr>
        <w:t xml:space="preserve"> n</w:t>
      </w:r>
      <w:r w:rsidR="008230BC" w:rsidRPr="001D2CDD">
        <w:rPr>
          <w:noProof/>
          <w:vertAlign w:val="superscript"/>
          <w:lang w:val="fr-FR"/>
        </w:rPr>
        <w:t>o</w:t>
      </w:r>
      <w:r w:rsidR="008230BC" w:rsidRPr="001D2CDD">
        <w:rPr>
          <w:noProof/>
          <w:lang w:val="fr-FR"/>
        </w:rPr>
        <w:t> </w:t>
      </w:r>
      <w:r>
        <w:rPr>
          <w:noProof/>
          <w:lang w:val="fr-FR"/>
        </w:rPr>
        <w:t>98</w:t>
      </w:r>
      <w:r>
        <w:rPr>
          <w:noProof/>
          <w:lang w:val="fr-FR"/>
        </w:rPr>
        <w:br/>
      </w:r>
      <w:r w:rsidR="008230BC" w:rsidRPr="000F5164">
        <w:rPr>
          <w:noProof/>
          <w:lang w:val="fr-FR"/>
        </w:rPr>
        <w:t>(</w:t>
      </w:r>
      <w:r w:rsidR="008230BC" w:rsidRPr="005C1DEB">
        <w:rPr>
          <w:noProof/>
          <w:lang w:val="fr-FR"/>
        </w:rPr>
        <w:t>Projecteurs à source lumineuse à décharge</w:t>
      </w:r>
      <w:r w:rsidR="008230BC" w:rsidRPr="000F5164">
        <w:rPr>
          <w:noProof/>
          <w:lang w:val="fr-FR"/>
        </w:rPr>
        <w:t>)</w:t>
      </w:r>
      <w:r w:rsidR="008230BC" w:rsidRPr="001D2CDD">
        <w:rPr>
          <w:noProof/>
          <w:lang w:val="fr-FR"/>
        </w:rPr>
        <w:t> </w:t>
      </w:r>
      <w:r w:rsidR="008230BC" w:rsidRPr="000F5164">
        <w:rPr>
          <w:noProof/>
          <w:lang w:val="fr-FR"/>
        </w:rPr>
        <w:t>:</w:t>
      </w:r>
    </w:p>
    <w:p w:rsidR="008230BC" w:rsidRPr="001D2CDD" w:rsidRDefault="008230BC" w:rsidP="00C14DC6">
      <w:pPr>
        <w:pStyle w:val="SingleTxtG"/>
        <w:rPr>
          <w:noProof/>
          <w:lang w:val="fr-FR"/>
        </w:rPr>
      </w:pPr>
      <w:r w:rsidRPr="00B92004">
        <w:rPr>
          <w:i/>
          <w:iCs/>
          <w:noProof/>
          <w:lang w:val="fr-FR"/>
        </w:rPr>
        <w:t>Annexe 4, paragraphes 2.2.1 et 2.2.2,</w:t>
      </w:r>
      <w:r w:rsidRPr="00B92004">
        <w:rPr>
          <w:noProof/>
          <w:lang w:val="fr-FR"/>
        </w:rPr>
        <w:t xml:space="preserve"> modifier comme suit</w:t>
      </w:r>
      <w:r w:rsidR="00C14DC6">
        <w:rPr>
          <w:noProof/>
          <w:lang w:val="fr-FR"/>
        </w:rPr>
        <w:t> </w:t>
      </w:r>
      <w:r w:rsidRPr="00B92004">
        <w:rPr>
          <w:noProof/>
          <w:lang w:val="fr-FR"/>
        </w:rPr>
        <w:t>:</w:t>
      </w:r>
    </w:p>
    <w:p w:rsidR="008230BC" w:rsidRPr="005C1DEB" w:rsidRDefault="00A05DC1" w:rsidP="00C14DC6">
      <w:pPr>
        <w:pStyle w:val="SingleTxtG"/>
        <w:ind w:left="2268" w:hanging="1134"/>
        <w:rPr>
          <w:noProof/>
          <w:lang w:val="fr-FR" w:eastAsia="ja-JP"/>
        </w:rPr>
      </w:pPr>
      <w:r>
        <w:rPr>
          <w:noProof/>
          <w:lang w:val="fr-FR"/>
        </w:rPr>
        <w:t>« </w:t>
      </w:r>
      <w:r w:rsidR="00C14DC6">
        <w:rPr>
          <w:noProof/>
          <w:lang w:val="fr-FR"/>
        </w:rPr>
        <w:t>2.2.1</w:t>
      </w:r>
      <w:r w:rsidR="008230BC" w:rsidRPr="000F5164">
        <w:rPr>
          <w:noProof/>
          <w:lang w:val="fr-FR"/>
        </w:rPr>
        <w:tab/>
      </w:r>
      <w:r w:rsidR="008230BC" w:rsidRPr="005C1DEB">
        <w:rPr>
          <w:noProof/>
          <w:lang w:val="fr-FR" w:eastAsia="ja-JP"/>
        </w:rPr>
        <w:t xml:space="preserve">Le résultat exprimé en milliradians (mrad) est considéré comme acceptable pour un feu de croisement quand la valeur absolue </w:t>
      </w:r>
      <w:r w:rsidR="008230BC" w:rsidRPr="005C1DEB">
        <w:rPr>
          <w:noProof/>
          <w:lang w:val="en-GB" w:eastAsia="ja-JP"/>
        </w:rPr>
        <w:sym w:font="Symbol" w:char="F044"/>
      </w:r>
      <w:r w:rsidR="008230BC" w:rsidRPr="009C2A65">
        <w:rPr>
          <w:noProof/>
          <w:lang w:eastAsia="ja-JP"/>
        </w:rPr>
        <w:t xml:space="preserve"> r</w:t>
      </w:r>
      <w:r w:rsidR="008230BC" w:rsidRPr="009C2A65">
        <w:rPr>
          <w:noProof/>
          <w:vertAlign w:val="subscript"/>
          <w:lang w:eastAsia="ja-JP"/>
        </w:rPr>
        <w:t>1</w:t>
      </w:r>
      <w:r w:rsidR="008230BC" w:rsidRPr="009C2A65">
        <w:rPr>
          <w:noProof/>
          <w:lang w:eastAsia="ja-JP"/>
        </w:rPr>
        <w:t xml:space="preserve"> = </w:t>
      </w:r>
      <w:r w:rsidR="008230BC" w:rsidRPr="005C1DEB">
        <w:rPr>
          <w:noProof/>
          <w:lang w:val="en-GB" w:eastAsia="ja-JP"/>
        </w:rPr>
        <w:sym w:font="Symbol" w:char="F0BD"/>
      </w:r>
      <w:r w:rsidR="008230BC" w:rsidRPr="009C2A65">
        <w:rPr>
          <w:noProof/>
          <w:lang w:eastAsia="ja-JP"/>
        </w:rPr>
        <w:t xml:space="preserve"> r</w:t>
      </w:r>
      <w:r w:rsidR="008230BC" w:rsidRPr="009C2A65">
        <w:rPr>
          <w:noProof/>
          <w:vertAlign w:val="subscript"/>
          <w:lang w:eastAsia="ja-JP"/>
        </w:rPr>
        <w:t>3</w:t>
      </w:r>
      <w:r w:rsidR="008230BC" w:rsidRPr="009C2A65">
        <w:rPr>
          <w:noProof/>
          <w:lang w:eastAsia="ja-JP"/>
        </w:rPr>
        <w:t xml:space="preserve"> – r</w:t>
      </w:r>
      <w:r w:rsidR="008230BC" w:rsidRPr="009C2A65">
        <w:rPr>
          <w:noProof/>
          <w:vertAlign w:val="subscript"/>
          <w:lang w:eastAsia="ja-JP"/>
        </w:rPr>
        <w:t>60</w:t>
      </w:r>
      <w:r w:rsidR="008230BC" w:rsidRPr="009C2A65">
        <w:rPr>
          <w:noProof/>
          <w:lang w:eastAsia="ja-JP"/>
        </w:rPr>
        <w:t xml:space="preserve"> </w:t>
      </w:r>
      <w:r w:rsidR="008230BC" w:rsidRPr="005C1DEB">
        <w:rPr>
          <w:noProof/>
          <w:lang w:val="en-GB" w:eastAsia="ja-JP"/>
        </w:rPr>
        <w:sym w:font="Symbol" w:char="F0BD"/>
      </w:r>
      <w:r w:rsidR="008230BC" w:rsidRPr="009C2A65">
        <w:rPr>
          <w:noProof/>
          <w:lang w:eastAsia="ja-JP"/>
        </w:rPr>
        <w:t xml:space="preserve"> </w:t>
      </w:r>
      <w:r w:rsidR="008230BC" w:rsidRPr="005C1DEB">
        <w:rPr>
          <w:noProof/>
          <w:lang w:val="fr-FR" w:eastAsia="ja-JP"/>
        </w:rPr>
        <w:t xml:space="preserve">enregistrée sur le projecteur n’est pas supérieure à 1,0 mrad </w:t>
      </w:r>
      <w:r w:rsidR="008230BC" w:rsidRPr="009C2A65">
        <w:rPr>
          <w:noProof/>
          <w:lang w:eastAsia="ja-JP"/>
        </w:rPr>
        <w:t>(</w:t>
      </w:r>
      <w:r w:rsidR="008230BC" w:rsidRPr="005C1DEB">
        <w:rPr>
          <w:noProof/>
          <w:lang w:val="en-GB" w:eastAsia="ja-JP"/>
        </w:rPr>
        <w:sym w:font="Symbol" w:char="F044"/>
      </w:r>
      <w:r w:rsidR="008230BC" w:rsidRPr="009C2A65">
        <w:rPr>
          <w:noProof/>
          <w:lang w:eastAsia="ja-JP"/>
        </w:rPr>
        <w:t xml:space="preserve"> r</w:t>
      </w:r>
      <w:r w:rsidR="008230BC" w:rsidRPr="009C2A65">
        <w:rPr>
          <w:noProof/>
          <w:vertAlign w:val="subscript"/>
          <w:lang w:eastAsia="ja-JP"/>
        </w:rPr>
        <w:t>1</w:t>
      </w:r>
      <w:r w:rsidR="008230BC" w:rsidRPr="009C2A65">
        <w:rPr>
          <w:noProof/>
          <w:lang w:eastAsia="ja-JP"/>
        </w:rPr>
        <w:t xml:space="preserve"> </w:t>
      </w:r>
      <w:r w:rsidR="008230BC" w:rsidRPr="005C1DEB">
        <w:rPr>
          <w:noProof/>
          <w:lang w:val="en-GB" w:eastAsia="ja-JP"/>
        </w:rPr>
        <w:sym w:font="Symbol" w:char="F0A3"/>
      </w:r>
      <w:r w:rsidR="008230BC" w:rsidRPr="009C2A65">
        <w:rPr>
          <w:noProof/>
          <w:lang w:eastAsia="ja-JP"/>
        </w:rPr>
        <w:t xml:space="preserve"> 1,0 mrad)</w:t>
      </w:r>
      <w:r w:rsidR="008230BC" w:rsidRPr="009C2A65">
        <w:rPr>
          <w:b/>
          <w:noProof/>
          <w:lang w:eastAsia="ja-JP"/>
        </w:rPr>
        <w:t xml:space="preserve"> </w:t>
      </w:r>
      <w:r w:rsidR="008230BC" w:rsidRPr="005C1DEB">
        <w:rPr>
          <w:noProof/>
          <w:lang w:val="fr-FR" w:eastAsia="ja-JP"/>
        </w:rPr>
        <w:t xml:space="preserve">vers le haut ni à 2,0 mrad </w:t>
      </w:r>
      <w:r w:rsidR="008230BC" w:rsidRPr="009C2A65">
        <w:rPr>
          <w:noProof/>
          <w:lang w:eastAsia="ja-JP"/>
        </w:rPr>
        <w:t>(</w:t>
      </w:r>
      <w:r w:rsidR="008230BC" w:rsidRPr="005C1DEB">
        <w:rPr>
          <w:noProof/>
          <w:lang w:val="en-GB" w:eastAsia="ja-JP"/>
        </w:rPr>
        <w:sym w:font="Symbol" w:char="F044"/>
      </w:r>
      <w:r w:rsidR="008230BC" w:rsidRPr="009C2A65">
        <w:rPr>
          <w:noProof/>
          <w:lang w:eastAsia="ja-JP"/>
        </w:rPr>
        <w:t xml:space="preserve"> r</w:t>
      </w:r>
      <w:r w:rsidR="008230BC" w:rsidRPr="009C2A65">
        <w:rPr>
          <w:noProof/>
          <w:vertAlign w:val="subscript"/>
          <w:lang w:eastAsia="ja-JP"/>
        </w:rPr>
        <w:t>1</w:t>
      </w:r>
      <w:r w:rsidR="008230BC" w:rsidRPr="009C2A65">
        <w:rPr>
          <w:noProof/>
          <w:lang w:eastAsia="ja-JP"/>
        </w:rPr>
        <w:t xml:space="preserve"> </w:t>
      </w:r>
      <w:r w:rsidR="008230BC" w:rsidRPr="005C1DEB">
        <w:rPr>
          <w:noProof/>
          <w:lang w:val="en-GB" w:eastAsia="ja-JP"/>
        </w:rPr>
        <w:sym w:font="Symbol" w:char="F0A3"/>
      </w:r>
      <w:r w:rsidR="008230BC" w:rsidRPr="009C2A65">
        <w:rPr>
          <w:noProof/>
          <w:lang w:eastAsia="ja-JP"/>
        </w:rPr>
        <w:t xml:space="preserve"> 2,0 mrad) </w:t>
      </w:r>
      <w:r w:rsidR="008230BC" w:rsidRPr="005C1DEB">
        <w:rPr>
          <w:noProof/>
          <w:lang w:val="fr-FR" w:eastAsia="ja-JP"/>
        </w:rPr>
        <w:t>vers le bas. [~]</w:t>
      </w:r>
    </w:p>
    <w:p w:rsidR="008230BC" w:rsidRDefault="00C14DC6" w:rsidP="00C14DC6">
      <w:pPr>
        <w:pStyle w:val="SingleTxtG"/>
        <w:ind w:left="2268" w:hanging="1134"/>
        <w:rPr>
          <w:noProof/>
          <w:lang w:val="fr-FR" w:eastAsia="ja-JP"/>
        </w:rPr>
      </w:pPr>
      <w:r>
        <w:rPr>
          <w:noProof/>
          <w:lang w:val="fr-FR" w:eastAsia="ja-JP"/>
        </w:rPr>
        <w:t>2.2.2</w:t>
      </w:r>
      <w:r w:rsidR="008230BC" w:rsidRPr="005C1DEB">
        <w:rPr>
          <w:noProof/>
          <w:lang w:val="fr-FR" w:eastAsia="ja-JP"/>
        </w:rPr>
        <w:tab/>
        <w:t>Cependant, si cette valeur est</w:t>
      </w:r>
      <w:r>
        <w:rPr>
          <w:noProof/>
          <w:lang w:val="fr-FR" w:eastAsia="ja-JP"/>
        </w:rPr>
        <w:t> </w:t>
      </w:r>
      <w:r w:rsidR="008230BC" w:rsidRPr="005C1DEB">
        <w:rPr>
          <w:noProof/>
          <w:lang w:val="fr-FR" w:eastAsia="ja-JP"/>
        </w:rPr>
        <w:t>: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5"/>
      </w:tblGrid>
      <w:tr w:rsidR="00217DD6" w:rsidRPr="00217DD6" w:rsidTr="00217DD6"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7DD6" w:rsidRPr="000F5164" w:rsidRDefault="00217DD6" w:rsidP="00217DD6">
            <w:pPr>
              <w:widowControl w:val="0"/>
              <w:tabs>
                <w:tab w:val="left" w:pos="3627"/>
                <w:tab w:val="left" w:pos="4779"/>
                <w:tab w:val="left" w:pos="5931"/>
                <w:tab w:val="left" w:pos="7083"/>
                <w:tab w:val="left" w:pos="8235"/>
              </w:tabs>
              <w:kinsoku/>
              <w:overflowPunct/>
              <w:autoSpaceDE/>
              <w:autoSpaceDN/>
              <w:adjustRightInd/>
              <w:snapToGrid/>
              <w:spacing w:before="80" w:after="80" w:line="276" w:lineRule="auto"/>
              <w:ind w:right="1417"/>
              <w:rPr>
                <w:i/>
                <w:noProof/>
                <w:sz w:val="16"/>
                <w:szCs w:val="16"/>
                <w:highlight w:val="lightGray"/>
                <w:lang w:val="fr-FR" w:eastAsia="ja-JP"/>
              </w:rPr>
            </w:pPr>
            <w:r>
              <w:rPr>
                <w:i/>
                <w:noProof/>
                <w:sz w:val="16"/>
                <w:szCs w:val="16"/>
                <w:lang w:val="fr-FR" w:eastAsia="ja-JP"/>
              </w:rPr>
              <w:t xml:space="preserve">Sens de </w:t>
            </w:r>
            <w:r w:rsidRPr="005C1DEB">
              <w:rPr>
                <w:i/>
                <w:noProof/>
                <w:sz w:val="16"/>
                <w:szCs w:val="16"/>
                <w:lang w:val="fr-FR" w:eastAsia="ja-JP"/>
              </w:rPr>
              <w:t>déplacement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7DD6" w:rsidRPr="005C1DEB" w:rsidRDefault="00217DD6" w:rsidP="000F478F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779"/>
                <w:tab w:val="left" w:pos="5931"/>
                <w:tab w:val="left" w:pos="7083"/>
                <w:tab w:val="left" w:pos="8235"/>
              </w:tabs>
              <w:kinsoku/>
              <w:overflowPunct/>
              <w:autoSpaceDE/>
              <w:autoSpaceDN/>
              <w:adjustRightInd/>
              <w:snapToGrid/>
              <w:spacing w:before="80" w:after="80" w:line="276" w:lineRule="auto"/>
              <w:ind w:right="1134"/>
              <w:jc w:val="both"/>
              <w:rPr>
                <w:noProof/>
                <w:lang w:val="fr-FR" w:eastAsia="ja-JP"/>
              </w:rPr>
            </w:pPr>
          </w:p>
        </w:tc>
      </w:tr>
      <w:tr w:rsidR="00217DD6" w:rsidRPr="00217DD6" w:rsidTr="00217DD6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17DD6" w:rsidRPr="00217DD6" w:rsidRDefault="00217DD6" w:rsidP="00217DD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17DD6" w:rsidRPr="00217DD6" w:rsidRDefault="00217DD6" w:rsidP="00217DD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217DD6" w:rsidRPr="00217DD6" w:rsidTr="00217DD6">
        <w:tc>
          <w:tcPr>
            <w:tcW w:w="2835" w:type="dxa"/>
            <w:shd w:val="clear" w:color="auto" w:fill="auto"/>
            <w:vAlign w:val="center"/>
          </w:tcPr>
          <w:p w:rsidR="00217DD6" w:rsidRPr="000F5164" w:rsidRDefault="00217DD6" w:rsidP="000F478F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779"/>
                <w:tab w:val="left" w:pos="5931"/>
                <w:tab w:val="left" w:pos="7083"/>
                <w:tab w:val="left" w:pos="8235"/>
              </w:tabs>
              <w:kinsoku/>
              <w:overflowPunct/>
              <w:autoSpaceDE/>
              <w:autoSpaceDN/>
              <w:adjustRightInd/>
              <w:snapToGrid/>
              <w:spacing w:before="40" w:after="40" w:line="276" w:lineRule="auto"/>
              <w:ind w:right="1167"/>
              <w:rPr>
                <w:noProof/>
                <w:highlight w:val="lightGray"/>
                <w:lang w:val="fr-FR" w:eastAsia="ja-JP"/>
              </w:rPr>
            </w:pPr>
            <w:r>
              <w:rPr>
                <w:noProof/>
                <w:lang w:val="fr-FR" w:eastAsia="ja-JP"/>
              </w:rPr>
              <w:t xml:space="preserve">Vers le </w:t>
            </w:r>
            <w:r w:rsidRPr="005C1DEB">
              <w:rPr>
                <w:noProof/>
                <w:lang w:val="fr-FR" w:eastAsia="ja-JP"/>
              </w:rPr>
              <w:t xml:space="preserve">haut </w:t>
            </w:r>
          </w:p>
        </w:tc>
        <w:tc>
          <w:tcPr>
            <w:tcW w:w="4536" w:type="dxa"/>
            <w:shd w:val="clear" w:color="auto" w:fill="auto"/>
          </w:tcPr>
          <w:p w:rsidR="00217DD6" w:rsidRPr="005C1DEB" w:rsidRDefault="00217DD6" w:rsidP="00217DD6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144"/>
                <w:tab w:val="left" w:pos="4779"/>
                <w:tab w:val="left" w:pos="5931"/>
                <w:tab w:val="left" w:pos="7083"/>
                <w:tab w:val="left" w:pos="8235"/>
              </w:tabs>
              <w:kinsoku/>
              <w:overflowPunct/>
              <w:autoSpaceDE/>
              <w:autoSpaceDN/>
              <w:adjustRightInd/>
              <w:snapToGrid/>
              <w:spacing w:before="40" w:after="40" w:line="276" w:lineRule="auto"/>
              <w:ind w:right="188"/>
              <w:rPr>
                <w:noProof/>
                <w:lang w:val="fr-FR" w:eastAsia="ja-JP"/>
              </w:rPr>
            </w:pPr>
            <w:r>
              <w:rPr>
                <w:noProof/>
                <w:lang w:val="fr-FR"/>
              </w:rPr>
              <w:t>Supérieure à 1,0 mrad mais inférieure ou égale</w:t>
            </w:r>
            <w:r>
              <w:rPr>
                <w:noProof/>
                <w:lang w:val="fr-FR"/>
              </w:rPr>
              <w:br/>
            </w:r>
            <w:r w:rsidRPr="005C1DEB">
              <w:rPr>
                <w:noProof/>
                <w:lang w:val="fr-FR"/>
              </w:rPr>
              <w:t>à 1,5</w:t>
            </w:r>
            <w:r>
              <w:rPr>
                <w:noProof/>
                <w:lang w:val="fr-FR"/>
              </w:rPr>
              <w:t> </w:t>
            </w:r>
            <w:r w:rsidRPr="005C1DEB">
              <w:rPr>
                <w:noProof/>
                <w:lang w:val="fr-FR"/>
              </w:rPr>
              <w:t xml:space="preserve">mrad </w:t>
            </w:r>
            <w:r w:rsidRPr="009C2A65">
              <w:rPr>
                <w:noProof/>
              </w:rPr>
              <w:t>(1,0 mrad &lt; </w:t>
            </w:r>
            <w:r w:rsidRPr="005C1DEB">
              <w:rPr>
                <w:noProof/>
                <w:lang w:val="en-GB"/>
              </w:rPr>
              <w:t>Δ</w:t>
            </w:r>
            <w:r w:rsidRPr="009C2A65">
              <w:rPr>
                <w:noProof/>
              </w:rPr>
              <w:t>r</w:t>
            </w:r>
            <w:r w:rsidRPr="009C2A65">
              <w:rPr>
                <w:noProof/>
                <w:vertAlign w:val="subscript"/>
              </w:rPr>
              <w:t>I</w:t>
            </w:r>
            <w:r w:rsidRPr="009C2A65">
              <w:rPr>
                <w:noProof/>
              </w:rPr>
              <w:t xml:space="preserve"> </w:t>
            </w:r>
            <w:r w:rsidRPr="009C2A65">
              <w:rPr>
                <w:noProof/>
                <w:u w:val="single"/>
              </w:rPr>
              <w:t>&lt;</w:t>
            </w:r>
            <w:r w:rsidRPr="009C2A65">
              <w:rPr>
                <w:noProof/>
              </w:rPr>
              <w:t xml:space="preserve"> 1,5 mrad)</w:t>
            </w:r>
          </w:p>
        </w:tc>
      </w:tr>
      <w:tr w:rsidR="00217DD6" w:rsidRPr="00217DD6" w:rsidTr="00217DD6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7DD6" w:rsidRPr="000F5164" w:rsidRDefault="00217DD6" w:rsidP="000F478F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779"/>
                <w:tab w:val="left" w:pos="5931"/>
                <w:tab w:val="left" w:pos="7083"/>
                <w:tab w:val="left" w:pos="8235"/>
              </w:tabs>
              <w:kinsoku/>
              <w:overflowPunct/>
              <w:autoSpaceDE/>
              <w:autoSpaceDN/>
              <w:adjustRightInd/>
              <w:snapToGrid/>
              <w:spacing w:before="40" w:after="40" w:line="276" w:lineRule="auto"/>
              <w:ind w:right="1134"/>
              <w:rPr>
                <w:noProof/>
                <w:highlight w:val="lightGray"/>
                <w:lang w:val="fr-FR" w:eastAsia="ja-JP"/>
              </w:rPr>
            </w:pPr>
            <w:r w:rsidRPr="005C1DEB">
              <w:rPr>
                <w:noProof/>
                <w:lang w:val="fr-FR" w:eastAsia="ja-JP"/>
              </w:rPr>
              <w:t xml:space="preserve">Vers le bas 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:rsidR="00217DD6" w:rsidRPr="005C1DEB" w:rsidRDefault="00217DD6" w:rsidP="00217DD6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144"/>
                <w:tab w:val="left" w:pos="4779"/>
                <w:tab w:val="left" w:pos="5931"/>
                <w:tab w:val="left" w:pos="7083"/>
                <w:tab w:val="left" w:pos="8235"/>
              </w:tabs>
              <w:kinsoku/>
              <w:overflowPunct/>
              <w:autoSpaceDE/>
              <w:autoSpaceDN/>
              <w:adjustRightInd/>
              <w:snapToGrid/>
              <w:spacing w:before="40" w:after="40" w:line="276" w:lineRule="auto"/>
              <w:ind w:right="188"/>
              <w:rPr>
                <w:noProof/>
                <w:lang w:val="fr-FR" w:eastAsia="ja-JP"/>
              </w:rPr>
            </w:pPr>
            <w:r w:rsidRPr="005C1DEB">
              <w:rPr>
                <w:noProof/>
                <w:lang w:val="fr-FR"/>
              </w:rPr>
              <w:t>Supérieure à 2,</w:t>
            </w:r>
            <w:r>
              <w:rPr>
                <w:noProof/>
                <w:lang w:val="fr-FR"/>
              </w:rPr>
              <w:t>0 mrad mais inférieure ou égale</w:t>
            </w:r>
            <w:r>
              <w:rPr>
                <w:noProof/>
                <w:lang w:val="fr-FR"/>
              </w:rPr>
              <w:br/>
            </w:r>
            <w:r w:rsidRPr="005C1DEB">
              <w:rPr>
                <w:noProof/>
                <w:lang w:val="fr-FR"/>
              </w:rPr>
              <w:t>à 3,0</w:t>
            </w:r>
            <w:r>
              <w:rPr>
                <w:noProof/>
                <w:lang w:val="fr-FR"/>
              </w:rPr>
              <w:t> </w:t>
            </w:r>
            <w:r w:rsidRPr="005C1DEB">
              <w:rPr>
                <w:noProof/>
                <w:lang w:val="fr-FR"/>
              </w:rPr>
              <w:t xml:space="preserve">mrad </w:t>
            </w:r>
            <w:r w:rsidRPr="009C2A65">
              <w:rPr>
                <w:noProof/>
              </w:rPr>
              <w:t>(2,0 mrad &lt; </w:t>
            </w:r>
            <w:r w:rsidRPr="005C1DEB">
              <w:rPr>
                <w:noProof/>
                <w:lang w:val="en-GB"/>
              </w:rPr>
              <w:t>Δ</w:t>
            </w:r>
            <w:r w:rsidRPr="009C2A65">
              <w:rPr>
                <w:noProof/>
              </w:rPr>
              <w:t>r</w:t>
            </w:r>
            <w:r w:rsidRPr="009C2A65">
              <w:rPr>
                <w:noProof/>
                <w:vertAlign w:val="subscript"/>
              </w:rPr>
              <w:t>I</w:t>
            </w:r>
            <w:r w:rsidRPr="009C2A65">
              <w:rPr>
                <w:noProof/>
              </w:rPr>
              <w:t xml:space="preserve"> </w:t>
            </w:r>
            <w:r w:rsidRPr="009C2A65">
              <w:rPr>
                <w:noProof/>
                <w:u w:val="single"/>
              </w:rPr>
              <w:t>&lt;</w:t>
            </w:r>
            <w:r w:rsidRPr="009C2A65">
              <w:rPr>
                <w:noProof/>
              </w:rPr>
              <w:t xml:space="preserve"> 3,0 mrad)</w:t>
            </w:r>
          </w:p>
        </w:tc>
      </w:tr>
    </w:tbl>
    <w:p w:rsidR="00217DD6" w:rsidRPr="00217DD6" w:rsidRDefault="00217DD6" w:rsidP="00217DD6">
      <w:pPr>
        <w:pStyle w:val="SingleTxtG"/>
      </w:pPr>
    </w:p>
    <w:p w:rsidR="008230BC" w:rsidRPr="005C1DEB" w:rsidRDefault="008230BC" w:rsidP="00C14DC6">
      <w:pPr>
        <w:pStyle w:val="SingleTxtG"/>
        <w:ind w:left="2268"/>
        <w:rPr>
          <w:strike/>
          <w:noProof/>
          <w:lang w:val="fr-FR"/>
        </w:rPr>
      </w:pPr>
      <w:r w:rsidRPr="005C1DEB">
        <w:rPr>
          <w:strike/>
          <w:noProof/>
          <w:lang w:val="fr-FR"/>
        </w:rPr>
        <w:lastRenderedPageBreak/>
        <w:t>Un autre échantillon de projecteur est soumis à l’essai comme prévu au paragraphe 2.1, après avoir subi trois fois de suite le cycle de fonctionnement décrit ci-dessous afin de stabiliser le positionnement des parties mécaniques du projecteur, placé sur un support représentatif de son installation correcte sur le véhicule</w:t>
      </w:r>
      <w:r w:rsidR="00A741F3">
        <w:rPr>
          <w:strike/>
          <w:noProof/>
          <w:lang w:val="fr-FR"/>
        </w:rPr>
        <w:t> </w:t>
      </w:r>
      <w:r w:rsidRPr="005C1DEB">
        <w:rPr>
          <w:strike/>
          <w:noProof/>
          <w:lang w:val="fr-FR"/>
        </w:rPr>
        <w:t>:</w:t>
      </w:r>
    </w:p>
    <w:p w:rsidR="008230BC" w:rsidRPr="005C1DEB" w:rsidRDefault="008230BC" w:rsidP="008230BC">
      <w:pPr>
        <w:kinsoku/>
        <w:overflowPunct/>
        <w:autoSpaceDE/>
        <w:autoSpaceDN/>
        <w:adjustRightInd/>
        <w:snapToGrid/>
        <w:spacing w:after="120" w:line="276" w:lineRule="auto"/>
        <w:ind w:left="2268" w:right="1134"/>
        <w:jc w:val="both"/>
        <w:rPr>
          <w:strike/>
          <w:noProof/>
          <w:lang w:val="fr-FR"/>
        </w:rPr>
      </w:pPr>
      <w:r w:rsidRPr="005C1DEB">
        <w:rPr>
          <w:strike/>
          <w:noProof/>
          <w:lang w:val="fr-FR"/>
        </w:rPr>
        <w:t>Allumage du feu de croisement pendant une heure (la tension d’alimentation étant réglée comme prévu au paragraphe 1.1.1.2)</w:t>
      </w:r>
      <w:r w:rsidR="00A741F3">
        <w:rPr>
          <w:strike/>
          <w:noProof/>
          <w:lang w:val="fr-FR"/>
        </w:rPr>
        <w:t> </w:t>
      </w:r>
      <w:r w:rsidRPr="005C1DEB">
        <w:rPr>
          <w:strike/>
          <w:noProof/>
          <w:lang w:val="fr-FR"/>
        </w:rPr>
        <w:t xml:space="preserve">; </w:t>
      </w:r>
    </w:p>
    <w:p w:rsidR="008230BC" w:rsidRPr="005C1DEB" w:rsidRDefault="008230BC" w:rsidP="00C14DC6">
      <w:pPr>
        <w:pStyle w:val="SingleTxtG"/>
        <w:ind w:left="2268"/>
        <w:rPr>
          <w:strike/>
          <w:noProof/>
          <w:lang w:val="fr-FR" w:eastAsia="ja-JP"/>
        </w:rPr>
      </w:pPr>
      <w:r w:rsidRPr="005C1DEB">
        <w:rPr>
          <w:strike/>
          <w:noProof/>
          <w:lang w:val="fr-FR" w:eastAsia="ja-JP"/>
        </w:rPr>
        <w:t>À la fin de cette période d’une heure, le type de projecteur est considéré comme acceptable si la valeur absolue Δr mesurée sur l’échantillon satisfait aux prescriptions du paragraphe 2.2.1 ci-dessus.</w:t>
      </w:r>
      <w:r w:rsidR="00A741F3">
        <w:rPr>
          <w:strike/>
          <w:noProof/>
          <w:lang w:val="fr-FR" w:eastAsia="ja-JP"/>
        </w:rPr>
        <w:t> </w:t>
      </w:r>
      <w:r w:rsidRPr="005C1DEB">
        <w:rPr>
          <w:strike/>
          <w:noProof/>
          <w:lang w:val="fr-FR" w:eastAsia="ja-JP"/>
        </w:rPr>
        <w:t xml:space="preserve">». </w:t>
      </w:r>
    </w:p>
    <w:p w:rsidR="008230BC" w:rsidRPr="005C1DEB" w:rsidRDefault="008230BC" w:rsidP="00C14DC6">
      <w:pPr>
        <w:pStyle w:val="SingleTxtG"/>
        <w:ind w:left="2268"/>
        <w:rPr>
          <w:b/>
          <w:noProof/>
          <w:lang w:eastAsia="ja-JP"/>
        </w:rPr>
      </w:pPr>
      <w:r w:rsidRPr="003B3EBF">
        <w:rPr>
          <w:b/>
          <w:noProof/>
          <w:lang w:eastAsia="ja-JP"/>
        </w:rPr>
        <w:t xml:space="preserve">Un autre </w:t>
      </w:r>
      <w:r w:rsidRPr="003B3EBF">
        <w:rPr>
          <w:b/>
          <w:noProof/>
          <w:lang w:val="fr-FR" w:eastAsia="ja-JP"/>
        </w:rPr>
        <w:t xml:space="preserve">échantillon </w:t>
      </w:r>
      <w:r w:rsidRPr="006A69D3">
        <w:rPr>
          <w:b/>
          <w:noProof/>
          <w:lang w:eastAsia="ja-JP"/>
        </w:rPr>
        <w:t>de projecteur</w:t>
      </w:r>
      <w:r>
        <w:rPr>
          <w:b/>
          <w:noProof/>
          <w:lang w:eastAsia="ja-JP"/>
        </w:rPr>
        <w:t xml:space="preserve"> </w:t>
      </w:r>
      <w:r w:rsidRPr="006A69D3">
        <w:rPr>
          <w:b/>
          <w:noProof/>
          <w:lang w:val="fr-FR" w:eastAsia="ja-JP"/>
        </w:rPr>
        <w:t>monté sur un appareillage d’essai</w:t>
      </w:r>
      <w:r w:rsidRPr="000F5164">
        <w:rPr>
          <w:b/>
          <w:noProof/>
          <w:lang w:val="fr-FR" w:eastAsia="ja-JP"/>
        </w:rPr>
        <w:t xml:space="preserve"> </w:t>
      </w:r>
      <w:r w:rsidRPr="006A69D3">
        <w:rPr>
          <w:b/>
          <w:noProof/>
          <w:lang w:val="fr-FR" w:eastAsia="ja-JP"/>
        </w:rPr>
        <w:t>représentatif de son installation correcte sur le véhicule</w:t>
      </w:r>
      <w:r w:rsidRPr="000F5164">
        <w:rPr>
          <w:b/>
          <w:noProof/>
          <w:lang w:val="fr-FR" w:eastAsia="ja-JP"/>
        </w:rPr>
        <w:t xml:space="preserve"> </w:t>
      </w:r>
      <w:r w:rsidRPr="005C1DEB">
        <w:rPr>
          <w:b/>
          <w:noProof/>
          <w:lang w:eastAsia="ja-JP"/>
        </w:rPr>
        <w:t xml:space="preserve">est mis à l’essai comme prévu au paragraphe 2.1 </w:t>
      </w:r>
      <w:r w:rsidRPr="003B3EBF">
        <w:rPr>
          <w:b/>
          <w:noProof/>
          <w:lang w:val="fr-FR" w:eastAsia="ja-JP"/>
        </w:rPr>
        <w:t>ci-dessus</w:t>
      </w:r>
      <w:r>
        <w:rPr>
          <w:b/>
          <w:noProof/>
          <w:lang w:val="fr-FR" w:eastAsia="ja-JP"/>
        </w:rPr>
        <w:t>,</w:t>
      </w:r>
      <w:r w:rsidRPr="003B3EBF">
        <w:rPr>
          <w:b/>
          <w:noProof/>
          <w:lang w:eastAsia="ja-JP"/>
        </w:rPr>
        <w:t xml:space="preserve"> </w:t>
      </w:r>
      <w:r w:rsidRPr="005C1DEB">
        <w:rPr>
          <w:b/>
          <w:noProof/>
          <w:lang w:eastAsia="ja-JP"/>
        </w:rPr>
        <w:t>après avoir été soumis trois fois de suite au cycle décrit ci-dessous, afin de stabiliser la position des parties mécaniques du projecteur</w:t>
      </w:r>
      <w:r w:rsidR="00C14DC6">
        <w:rPr>
          <w:b/>
          <w:noProof/>
          <w:lang w:eastAsia="ja-JP"/>
        </w:rPr>
        <w:t> </w:t>
      </w:r>
      <w:r w:rsidRPr="005C1DEB">
        <w:rPr>
          <w:b/>
          <w:noProof/>
          <w:lang w:eastAsia="ja-JP"/>
        </w:rPr>
        <w:t>:</w:t>
      </w:r>
    </w:p>
    <w:p w:rsidR="008230BC" w:rsidRPr="005C1DEB" w:rsidRDefault="00C14DC6" w:rsidP="00C14DC6">
      <w:pPr>
        <w:pStyle w:val="SingleTxtG"/>
        <w:ind w:left="2268"/>
        <w:rPr>
          <w:b/>
          <w:noProof/>
          <w:lang w:val="fr-FR" w:eastAsia="ja-JP"/>
        </w:rPr>
      </w:pPr>
      <w:r>
        <w:rPr>
          <w:b/>
          <w:noProof/>
          <w:lang w:val="fr-FR" w:eastAsia="ja-JP"/>
        </w:rPr>
        <w:tab/>
        <w:t>a)</w:t>
      </w:r>
      <w:r w:rsidR="008230BC" w:rsidRPr="005C1DEB">
        <w:rPr>
          <w:b/>
          <w:noProof/>
          <w:lang w:val="fr-FR" w:eastAsia="ja-JP"/>
        </w:rPr>
        <w:tab/>
        <w:t xml:space="preserve">1 heure de fonctionnement du </w:t>
      </w:r>
      <w:r w:rsidR="008230BC" w:rsidRPr="005C1DEB">
        <w:rPr>
          <w:b/>
          <w:noProof/>
          <w:lang w:eastAsia="ja-JP"/>
        </w:rPr>
        <w:t xml:space="preserve">projecteur </w:t>
      </w:r>
      <w:r w:rsidR="008230BC" w:rsidRPr="005C1DEB">
        <w:rPr>
          <w:b/>
          <w:noProof/>
          <w:lang w:val="fr-FR" w:eastAsia="ja-JP"/>
        </w:rPr>
        <w:t>(la tension étant réglée comme prévu au paragraphe 1.1.1.2 de la présente annexe)</w:t>
      </w:r>
      <w:r>
        <w:rPr>
          <w:b/>
          <w:noProof/>
          <w:lang w:val="fr-FR" w:eastAsia="ja-JP"/>
        </w:rPr>
        <w:t> </w:t>
      </w:r>
      <w:r w:rsidR="008230BC" w:rsidRPr="005C1DEB">
        <w:rPr>
          <w:b/>
          <w:noProof/>
          <w:lang w:val="fr-FR" w:eastAsia="ja-JP"/>
        </w:rPr>
        <w:t>;</w:t>
      </w:r>
    </w:p>
    <w:p w:rsidR="008230BC" w:rsidRPr="005F7606" w:rsidRDefault="008230BC" w:rsidP="00C14DC6">
      <w:pPr>
        <w:pStyle w:val="SingleTxtG"/>
        <w:ind w:left="2268"/>
        <w:rPr>
          <w:b/>
          <w:noProof/>
          <w:lang w:val="fr-FR" w:eastAsia="ja-JP"/>
        </w:rPr>
      </w:pPr>
      <w:r>
        <w:rPr>
          <w:b/>
          <w:noProof/>
          <w:lang w:val="fr-FR" w:eastAsia="ja-JP"/>
        </w:rPr>
        <w:t>b)</w:t>
      </w:r>
      <w:r>
        <w:rPr>
          <w:b/>
          <w:noProof/>
          <w:lang w:val="fr-FR" w:eastAsia="ja-JP"/>
        </w:rPr>
        <w:tab/>
        <w:t>1 heure de mise hors tension du projecteur</w:t>
      </w:r>
      <w:r w:rsidRPr="005F7606">
        <w:rPr>
          <w:b/>
          <w:noProof/>
          <w:lang w:val="fr-FR" w:eastAsia="ja-JP"/>
        </w:rPr>
        <w:t>.</w:t>
      </w:r>
    </w:p>
    <w:p w:rsidR="008230BC" w:rsidRPr="000F5164" w:rsidRDefault="008230BC" w:rsidP="00C14DC6">
      <w:pPr>
        <w:pStyle w:val="SingleTxtG"/>
        <w:ind w:left="2268"/>
        <w:rPr>
          <w:b/>
          <w:noProof/>
          <w:lang w:val="fr-FR" w:eastAsia="ja-JP"/>
        </w:rPr>
      </w:pPr>
      <w:r w:rsidRPr="003B3EBF">
        <w:rPr>
          <w:b/>
          <w:bCs/>
          <w:noProof/>
          <w:lang w:val="fr-FR" w:eastAsia="ja-JP"/>
        </w:rPr>
        <w:t>Après avoir été soumis trois fois de suite à ce cycle</w:t>
      </w:r>
      <w:r w:rsidRPr="003B3EBF">
        <w:rPr>
          <w:b/>
          <w:noProof/>
          <w:lang w:val="fr-FR" w:eastAsia="ja-JP"/>
        </w:rPr>
        <w:t xml:space="preserve">, le </w:t>
      </w:r>
      <w:r w:rsidRPr="003B3EBF">
        <w:rPr>
          <w:b/>
          <w:bCs/>
          <w:noProof/>
          <w:lang w:val="fr-FR" w:eastAsia="ja-JP"/>
        </w:rPr>
        <w:t xml:space="preserve">projecteur </w:t>
      </w:r>
      <w:r w:rsidRPr="003B3EBF">
        <w:rPr>
          <w:b/>
          <w:noProof/>
          <w:lang w:val="fr-FR" w:eastAsia="ja-JP"/>
        </w:rPr>
        <w:t xml:space="preserve">est considéré comme acceptable si les valeurs absolues ∆r mesurées sur cet autre échantillon comme prévu au paragraphe </w:t>
      </w:r>
      <w:r w:rsidRPr="003B3EBF">
        <w:rPr>
          <w:b/>
          <w:bCs/>
          <w:noProof/>
          <w:lang w:val="fr-FR" w:eastAsia="ja-JP"/>
        </w:rPr>
        <w:t xml:space="preserve">2.1. ci-dessus </w:t>
      </w:r>
      <w:r w:rsidRPr="003B3EBF">
        <w:rPr>
          <w:b/>
          <w:noProof/>
          <w:lang w:eastAsia="ja-JP"/>
        </w:rPr>
        <w:t xml:space="preserve">satisfont aux prescriptions du </w:t>
      </w:r>
      <w:r w:rsidRPr="003B3EBF">
        <w:rPr>
          <w:b/>
          <w:bCs/>
          <w:noProof/>
          <w:lang w:val="fr-FR" w:eastAsia="ja-JP"/>
        </w:rPr>
        <w:t>paragraphe 2.2.1. ci-dessus</w:t>
      </w:r>
      <w:r w:rsidRPr="003B3EBF">
        <w:rPr>
          <w:b/>
          <w:noProof/>
          <w:lang w:val="fr-FR" w:eastAsia="ja-JP"/>
        </w:rPr>
        <w:t>. </w:t>
      </w:r>
      <w:r w:rsidRPr="00A741F3">
        <w:rPr>
          <w:noProof/>
          <w:lang w:val="fr-FR" w:eastAsia="ja-JP"/>
        </w:rPr>
        <w:t>»</w:t>
      </w:r>
      <w:r w:rsidR="00A741F3" w:rsidRPr="00A741F3">
        <w:rPr>
          <w:noProof/>
          <w:lang w:val="fr-FR" w:eastAsia="ja-JP"/>
        </w:rPr>
        <w:t>.</w:t>
      </w:r>
    </w:p>
    <w:p w:rsidR="008230BC" w:rsidRPr="000F5164" w:rsidRDefault="00C14DC6" w:rsidP="00C14DC6">
      <w:pPr>
        <w:pStyle w:val="H1G"/>
        <w:rPr>
          <w:noProof/>
          <w:lang w:val="fr-FR"/>
        </w:rPr>
      </w:pPr>
      <w:r>
        <w:rPr>
          <w:noProof/>
          <w:lang w:val="fr-FR"/>
        </w:rPr>
        <w:tab/>
        <w:t>C.</w:t>
      </w:r>
      <w:r>
        <w:rPr>
          <w:noProof/>
          <w:lang w:val="fr-FR"/>
        </w:rPr>
        <w:tab/>
      </w:r>
      <w:r w:rsidR="008230BC" w:rsidRPr="00AF30F0">
        <w:rPr>
          <w:noProof/>
          <w:lang w:val="fr-FR"/>
        </w:rPr>
        <w:t>Complément 7 à la série 01 d’amendements au Règlement n</w:t>
      </w:r>
      <w:r w:rsidR="008230BC" w:rsidRPr="00AF30F0">
        <w:rPr>
          <w:noProof/>
          <w:vertAlign w:val="superscript"/>
          <w:lang w:val="fr-FR"/>
        </w:rPr>
        <w:t>o</w:t>
      </w:r>
      <w:r w:rsidR="008230BC" w:rsidRPr="001D2CDD">
        <w:rPr>
          <w:noProof/>
          <w:lang w:val="fr-FR"/>
        </w:rPr>
        <w:t> </w:t>
      </w:r>
      <w:r>
        <w:rPr>
          <w:noProof/>
          <w:lang w:val="fr-FR"/>
        </w:rPr>
        <w:t>112</w:t>
      </w:r>
      <w:r>
        <w:rPr>
          <w:noProof/>
          <w:lang w:val="fr-FR"/>
        </w:rPr>
        <w:br/>
      </w:r>
      <w:r w:rsidR="008230BC" w:rsidRPr="000F5164">
        <w:rPr>
          <w:noProof/>
          <w:lang w:val="fr-FR"/>
        </w:rPr>
        <w:t>(</w:t>
      </w:r>
      <w:r w:rsidR="008230BC" w:rsidRPr="005C1DEB">
        <w:rPr>
          <w:noProof/>
          <w:lang w:val="fr-FR"/>
        </w:rPr>
        <w:t>Projecteurs émettant un faisceau de croisement asymétrique</w:t>
      </w:r>
      <w:r w:rsidR="008230BC" w:rsidRPr="000F5164">
        <w:rPr>
          <w:noProof/>
          <w:lang w:val="fr-FR"/>
        </w:rPr>
        <w:t>)</w:t>
      </w:r>
      <w:r>
        <w:rPr>
          <w:noProof/>
          <w:lang w:val="fr-FR"/>
        </w:rPr>
        <w:t> </w:t>
      </w:r>
      <w:r w:rsidR="008230BC" w:rsidRPr="000F5164">
        <w:rPr>
          <w:noProof/>
          <w:lang w:val="fr-FR"/>
        </w:rPr>
        <w:t>:</w:t>
      </w:r>
    </w:p>
    <w:p w:rsidR="008230BC" w:rsidRPr="00AF30F0" w:rsidRDefault="008230BC" w:rsidP="00C14DC6">
      <w:pPr>
        <w:pStyle w:val="SingleTxtG"/>
        <w:rPr>
          <w:noProof/>
          <w:lang w:val="fr-FR"/>
        </w:rPr>
      </w:pPr>
      <w:r w:rsidRPr="00AF30F0">
        <w:rPr>
          <w:i/>
          <w:iCs/>
          <w:noProof/>
          <w:lang w:val="fr-FR"/>
        </w:rPr>
        <w:t>Annexe 4, paragraphes 2.2.1. et 2.2.2,</w:t>
      </w:r>
      <w:r w:rsidRPr="00AF30F0">
        <w:rPr>
          <w:noProof/>
          <w:lang w:val="fr-FR"/>
        </w:rPr>
        <w:t xml:space="preserve"> modifier comme suit</w:t>
      </w:r>
      <w:r w:rsidR="001B2692">
        <w:rPr>
          <w:noProof/>
          <w:lang w:val="fr-FR"/>
        </w:rPr>
        <w:t> </w:t>
      </w:r>
      <w:r w:rsidRPr="00AF30F0">
        <w:rPr>
          <w:noProof/>
          <w:lang w:val="fr-FR"/>
        </w:rPr>
        <w:t>:</w:t>
      </w:r>
    </w:p>
    <w:p w:rsidR="008230BC" w:rsidRPr="005C1DEB" w:rsidRDefault="00A05DC1" w:rsidP="00C14DC6">
      <w:pPr>
        <w:pStyle w:val="SingleTxtG"/>
        <w:ind w:left="2268" w:hanging="1134"/>
        <w:rPr>
          <w:noProof/>
          <w:lang w:val="fr-FR" w:eastAsia="ja-JP"/>
        </w:rPr>
      </w:pPr>
      <w:r>
        <w:rPr>
          <w:noProof/>
          <w:lang w:val="fr-FR"/>
        </w:rPr>
        <w:t>« 2.2.1</w:t>
      </w:r>
      <w:r w:rsidR="008230BC" w:rsidRPr="000F5164">
        <w:rPr>
          <w:noProof/>
          <w:lang w:val="fr-FR"/>
        </w:rPr>
        <w:tab/>
      </w:r>
      <w:r w:rsidR="008230BC" w:rsidRPr="005C1DEB">
        <w:rPr>
          <w:noProof/>
          <w:lang w:val="fr-FR" w:eastAsia="ja-JP"/>
        </w:rPr>
        <w:t xml:space="preserve">Le résultat exprimé en milliradians (mrad) est considéré comme acceptable pour un feu de croisement quand la valeur absolue </w:t>
      </w:r>
      <w:r w:rsidR="008230BC" w:rsidRPr="005C1DEB">
        <w:rPr>
          <w:noProof/>
          <w:lang w:val="en-GB" w:eastAsia="ja-JP"/>
        </w:rPr>
        <w:sym w:font="Symbol" w:char="F044"/>
      </w:r>
      <w:r w:rsidR="008230BC" w:rsidRPr="009C2A65">
        <w:rPr>
          <w:noProof/>
          <w:lang w:eastAsia="ja-JP"/>
        </w:rPr>
        <w:t xml:space="preserve"> r</w:t>
      </w:r>
      <w:r w:rsidR="008230BC" w:rsidRPr="009C2A65">
        <w:rPr>
          <w:noProof/>
          <w:vertAlign w:val="subscript"/>
          <w:lang w:eastAsia="ja-JP"/>
        </w:rPr>
        <w:t>1</w:t>
      </w:r>
      <w:r w:rsidR="008230BC" w:rsidRPr="009C2A65">
        <w:rPr>
          <w:noProof/>
          <w:lang w:eastAsia="ja-JP"/>
        </w:rPr>
        <w:t xml:space="preserve"> = </w:t>
      </w:r>
      <w:r w:rsidR="008230BC" w:rsidRPr="005C1DEB">
        <w:rPr>
          <w:noProof/>
          <w:lang w:val="en-GB" w:eastAsia="ja-JP"/>
        </w:rPr>
        <w:sym w:font="Symbol" w:char="F0BD"/>
      </w:r>
      <w:r w:rsidR="008230BC" w:rsidRPr="009C2A65">
        <w:rPr>
          <w:noProof/>
          <w:lang w:eastAsia="ja-JP"/>
        </w:rPr>
        <w:t xml:space="preserve"> r</w:t>
      </w:r>
      <w:r w:rsidR="008230BC" w:rsidRPr="009C2A65">
        <w:rPr>
          <w:noProof/>
          <w:vertAlign w:val="subscript"/>
          <w:lang w:eastAsia="ja-JP"/>
        </w:rPr>
        <w:t>3</w:t>
      </w:r>
      <w:r w:rsidR="008230BC" w:rsidRPr="009C2A65">
        <w:rPr>
          <w:noProof/>
          <w:lang w:eastAsia="ja-JP"/>
        </w:rPr>
        <w:t xml:space="preserve"> – r</w:t>
      </w:r>
      <w:r w:rsidR="008230BC" w:rsidRPr="009C2A65">
        <w:rPr>
          <w:noProof/>
          <w:vertAlign w:val="subscript"/>
          <w:lang w:eastAsia="ja-JP"/>
        </w:rPr>
        <w:t>60</w:t>
      </w:r>
      <w:r w:rsidR="008230BC" w:rsidRPr="009C2A65">
        <w:rPr>
          <w:noProof/>
          <w:lang w:eastAsia="ja-JP"/>
        </w:rPr>
        <w:t xml:space="preserve"> </w:t>
      </w:r>
      <w:r w:rsidR="008230BC" w:rsidRPr="005C1DEB">
        <w:rPr>
          <w:noProof/>
          <w:lang w:val="en-GB" w:eastAsia="ja-JP"/>
        </w:rPr>
        <w:sym w:font="Symbol" w:char="F0BD"/>
      </w:r>
      <w:r w:rsidR="008230BC" w:rsidRPr="009C2A65">
        <w:rPr>
          <w:noProof/>
          <w:lang w:eastAsia="ja-JP"/>
        </w:rPr>
        <w:t xml:space="preserve"> </w:t>
      </w:r>
      <w:r w:rsidR="008230BC" w:rsidRPr="005C1DEB">
        <w:rPr>
          <w:noProof/>
          <w:lang w:val="fr-FR" w:eastAsia="ja-JP"/>
        </w:rPr>
        <w:t xml:space="preserve">enregistrée sur le projecteur n’est pas supérieure à 1,0 mrad </w:t>
      </w:r>
      <w:r w:rsidR="008230BC" w:rsidRPr="009C2A65">
        <w:rPr>
          <w:noProof/>
          <w:lang w:eastAsia="ja-JP"/>
        </w:rPr>
        <w:t>(</w:t>
      </w:r>
      <w:r w:rsidR="008230BC" w:rsidRPr="005C1DEB">
        <w:rPr>
          <w:noProof/>
          <w:lang w:val="en-GB" w:eastAsia="ja-JP"/>
        </w:rPr>
        <w:sym w:font="Symbol" w:char="F044"/>
      </w:r>
      <w:r w:rsidR="008230BC" w:rsidRPr="009C2A65">
        <w:rPr>
          <w:noProof/>
          <w:lang w:eastAsia="ja-JP"/>
        </w:rPr>
        <w:t xml:space="preserve"> r</w:t>
      </w:r>
      <w:r w:rsidR="008230BC" w:rsidRPr="009C2A65">
        <w:rPr>
          <w:noProof/>
          <w:vertAlign w:val="subscript"/>
          <w:lang w:eastAsia="ja-JP"/>
        </w:rPr>
        <w:t>1</w:t>
      </w:r>
      <w:r w:rsidR="008230BC" w:rsidRPr="009C2A65">
        <w:rPr>
          <w:noProof/>
          <w:lang w:eastAsia="ja-JP"/>
        </w:rPr>
        <w:t xml:space="preserve"> </w:t>
      </w:r>
      <w:r w:rsidR="008230BC" w:rsidRPr="005C1DEB">
        <w:rPr>
          <w:noProof/>
          <w:lang w:val="en-GB" w:eastAsia="ja-JP"/>
        </w:rPr>
        <w:sym w:font="Symbol" w:char="F0A3"/>
      </w:r>
      <w:r w:rsidR="008230BC" w:rsidRPr="009C2A65">
        <w:rPr>
          <w:noProof/>
          <w:lang w:eastAsia="ja-JP"/>
        </w:rPr>
        <w:t xml:space="preserve"> 1,0 mrad)</w:t>
      </w:r>
      <w:r w:rsidR="008230BC" w:rsidRPr="009C2A65">
        <w:rPr>
          <w:b/>
          <w:noProof/>
          <w:lang w:eastAsia="ja-JP"/>
        </w:rPr>
        <w:t xml:space="preserve"> </w:t>
      </w:r>
      <w:r w:rsidR="001B2692">
        <w:rPr>
          <w:noProof/>
          <w:lang w:val="fr-FR" w:eastAsia="ja-JP"/>
        </w:rPr>
        <w:t>vers le haut ni à 2,0 </w:t>
      </w:r>
      <w:r w:rsidR="008230BC" w:rsidRPr="005C1DEB">
        <w:rPr>
          <w:noProof/>
          <w:lang w:val="fr-FR" w:eastAsia="ja-JP"/>
        </w:rPr>
        <w:t xml:space="preserve">mrad </w:t>
      </w:r>
      <w:r w:rsidR="008230BC" w:rsidRPr="009C2A65">
        <w:rPr>
          <w:noProof/>
          <w:lang w:eastAsia="ja-JP"/>
        </w:rPr>
        <w:t>(</w:t>
      </w:r>
      <w:r w:rsidR="008230BC" w:rsidRPr="005C1DEB">
        <w:rPr>
          <w:noProof/>
          <w:lang w:val="en-GB" w:eastAsia="ja-JP"/>
        </w:rPr>
        <w:sym w:font="Symbol" w:char="F044"/>
      </w:r>
      <w:r w:rsidR="008230BC" w:rsidRPr="009C2A65">
        <w:rPr>
          <w:noProof/>
          <w:lang w:eastAsia="ja-JP"/>
        </w:rPr>
        <w:t xml:space="preserve"> r</w:t>
      </w:r>
      <w:r w:rsidR="008230BC" w:rsidRPr="009C2A65">
        <w:rPr>
          <w:noProof/>
          <w:vertAlign w:val="subscript"/>
          <w:lang w:eastAsia="ja-JP"/>
        </w:rPr>
        <w:t>1</w:t>
      </w:r>
      <w:r w:rsidR="008230BC" w:rsidRPr="009C2A65">
        <w:rPr>
          <w:noProof/>
          <w:lang w:eastAsia="ja-JP"/>
        </w:rPr>
        <w:t xml:space="preserve"> </w:t>
      </w:r>
      <w:r w:rsidR="008230BC" w:rsidRPr="005C1DEB">
        <w:rPr>
          <w:noProof/>
          <w:lang w:val="en-GB" w:eastAsia="ja-JP"/>
        </w:rPr>
        <w:sym w:font="Symbol" w:char="F0A3"/>
      </w:r>
      <w:r w:rsidR="008230BC" w:rsidRPr="009C2A65">
        <w:rPr>
          <w:noProof/>
          <w:lang w:eastAsia="ja-JP"/>
        </w:rPr>
        <w:t xml:space="preserve"> 2,0 mrad)</w:t>
      </w:r>
      <w:r w:rsidR="008230BC" w:rsidRPr="005C1DEB">
        <w:rPr>
          <w:noProof/>
          <w:lang w:val="fr-FR" w:eastAsia="ja-JP"/>
        </w:rPr>
        <w:t xml:space="preserve"> vers le bas.</w:t>
      </w:r>
    </w:p>
    <w:p w:rsidR="008230BC" w:rsidRDefault="00A05DC1" w:rsidP="00C14DC6">
      <w:pPr>
        <w:pStyle w:val="SingleTxtG"/>
        <w:ind w:left="2268" w:hanging="1134"/>
        <w:rPr>
          <w:noProof/>
          <w:lang w:val="fr-FR" w:eastAsia="ja-JP"/>
        </w:rPr>
      </w:pPr>
      <w:r>
        <w:rPr>
          <w:noProof/>
          <w:lang w:val="fr-FR" w:eastAsia="ja-JP"/>
        </w:rPr>
        <w:t>2.2.2</w:t>
      </w:r>
      <w:r w:rsidR="008230BC" w:rsidRPr="005C1DEB">
        <w:rPr>
          <w:noProof/>
          <w:lang w:val="fr-FR" w:eastAsia="ja-JP"/>
        </w:rPr>
        <w:tab/>
        <w:t>Cependant, si cette valeur est</w:t>
      </w:r>
      <w:r>
        <w:rPr>
          <w:noProof/>
          <w:lang w:val="fr-FR" w:eastAsia="ja-JP"/>
        </w:rPr>
        <w:t> </w:t>
      </w:r>
      <w:r w:rsidR="008230BC" w:rsidRPr="005C1DEB">
        <w:rPr>
          <w:noProof/>
          <w:lang w:val="fr-FR" w:eastAsia="ja-JP"/>
        </w:rPr>
        <w:t>: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5"/>
      </w:tblGrid>
      <w:tr w:rsidR="001B2692" w:rsidRPr="001B2692" w:rsidTr="00217DD6"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2692" w:rsidRPr="000F5164" w:rsidRDefault="001B2692" w:rsidP="000F478F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779"/>
                <w:tab w:val="left" w:pos="5931"/>
                <w:tab w:val="left" w:pos="7083"/>
                <w:tab w:val="left" w:pos="8235"/>
              </w:tabs>
              <w:kinsoku/>
              <w:overflowPunct/>
              <w:autoSpaceDE/>
              <w:autoSpaceDN/>
              <w:adjustRightInd/>
              <w:snapToGrid/>
              <w:spacing w:before="80" w:after="80" w:line="276" w:lineRule="auto"/>
              <w:ind w:right="1134"/>
              <w:rPr>
                <w:i/>
                <w:noProof/>
                <w:sz w:val="16"/>
                <w:szCs w:val="16"/>
                <w:highlight w:val="lightGray"/>
                <w:lang w:val="fr-FR" w:eastAsia="ja-JP"/>
              </w:rPr>
            </w:pPr>
            <w:r w:rsidRPr="005C1DEB">
              <w:rPr>
                <w:i/>
                <w:noProof/>
                <w:sz w:val="16"/>
                <w:szCs w:val="16"/>
                <w:lang w:val="fr-FR" w:eastAsia="ja-JP"/>
              </w:rPr>
              <w:t xml:space="preserve">Sens de déplacement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2692" w:rsidRPr="005C1DEB" w:rsidRDefault="001B2692" w:rsidP="000F478F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779"/>
                <w:tab w:val="left" w:pos="5931"/>
                <w:tab w:val="left" w:pos="7083"/>
                <w:tab w:val="left" w:pos="8235"/>
              </w:tabs>
              <w:kinsoku/>
              <w:overflowPunct/>
              <w:autoSpaceDE/>
              <w:autoSpaceDN/>
              <w:adjustRightInd/>
              <w:snapToGrid/>
              <w:spacing w:before="80" w:after="80" w:line="276" w:lineRule="auto"/>
              <w:ind w:right="1134"/>
              <w:jc w:val="both"/>
              <w:rPr>
                <w:noProof/>
                <w:lang w:val="fr-FR" w:eastAsia="ja-JP"/>
              </w:rPr>
            </w:pPr>
          </w:p>
        </w:tc>
      </w:tr>
      <w:tr w:rsidR="001B2692" w:rsidRPr="001B2692" w:rsidTr="00217DD6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B2692" w:rsidRPr="001B2692" w:rsidRDefault="001B2692" w:rsidP="001B269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B2692" w:rsidRPr="001B2692" w:rsidRDefault="001B2692" w:rsidP="001B269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1B2692" w:rsidRPr="001B2692" w:rsidTr="00217DD6">
        <w:tc>
          <w:tcPr>
            <w:tcW w:w="2835" w:type="dxa"/>
            <w:shd w:val="clear" w:color="auto" w:fill="auto"/>
            <w:vAlign w:val="center"/>
          </w:tcPr>
          <w:p w:rsidR="001B2692" w:rsidRPr="000F5164" w:rsidRDefault="001B2692" w:rsidP="000F478F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779"/>
                <w:tab w:val="left" w:pos="5931"/>
                <w:tab w:val="left" w:pos="7083"/>
                <w:tab w:val="left" w:pos="8235"/>
              </w:tabs>
              <w:kinsoku/>
              <w:overflowPunct/>
              <w:autoSpaceDE/>
              <w:autoSpaceDN/>
              <w:adjustRightInd/>
              <w:snapToGrid/>
              <w:spacing w:before="40" w:after="40" w:line="276" w:lineRule="auto"/>
              <w:ind w:right="1134"/>
              <w:rPr>
                <w:noProof/>
                <w:highlight w:val="lightGray"/>
                <w:lang w:val="fr-FR" w:eastAsia="ja-JP"/>
              </w:rPr>
            </w:pPr>
            <w:r w:rsidRPr="005C1DEB">
              <w:rPr>
                <w:noProof/>
                <w:lang w:val="fr-FR" w:eastAsia="ja-JP"/>
              </w:rPr>
              <w:t xml:space="preserve">Vers le haut </w:t>
            </w:r>
          </w:p>
        </w:tc>
        <w:tc>
          <w:tcPr>
            <w:tcW w:w="4536" w:type="dxa"/>
            <w:shd w:val="clear" w:color="auto" w:fill="auto"/>
          </w:tcPr>
          <w:p w:rsidR="001B2692" w:rsidRPr="005C1DEB" w:rsidRDefault="001B2692" w:rsidP="00217DD6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144"/>
                <w:tab w:val="left" w:pos="4779"/>
                <w:tab w:val="left" w:pos="5931"/>
                <w:tab w:val="left" w:pos="7083"/>
                <w:tab w:val="left" w:pos="8235"/>
              </w:tabs>
              <w:kinsoku/>
              <w:overflowPunct/>
              <w:autoSpaceDE/>
              <w:autoSpaceDN/>
              <w:adjustRightInd/>
              <w:snapToGrid/>
              <w:spacing w:before="40" w:after="40" w:line="276" w:lineRule="auto"/>
              <w:ind w:right="188"/>
              <w:rPr>
                <w:noProof/>
                <w:lang w:val="fr-FR" w:eastAsia="ja-JP"/>
              </w:rPr>
            </w:pPr>
            <w:r w:rsidRPr="005C1DEB">
              <w:rPr>
                <w:noProof/>
                <w:lang w:val="fr-FR"/>
              </w:rPr>
              <w:t>Supérieure à 1,</w:t>
            </w:r>
            <w:r>
              <w:rPr>
                <w:noProof/>
                <w:lang w:val="fr-FR"/>
              </w:rPr>
              <w:t>0 mrad mais inférieure ou égale</w:t>
            </w:r>
            <w:r w:rsidR="00217DD6">
              <w:rPr>
                <w:noProof/>
                <w:lang w:val="fr-FR"/>
              </w:rPr>
              <w:br/>
            </w:r>
            <w:r w:rsidRPr="005C1DEB">
              <w:rPr>
                <w:noProof/>
                <w:lang w:val="fr-FR"/>
              </w:rPr>
              <w:t xml:space="preserve">à 1,5 mrad </w:t>
            </w:r>
            <w:r w:rsidRPr="009C2A65">
              <w:rPr>
                <w:noProof/>
              </w:rPr>
              <w:t>(1,0 mrad &lt; </w:t>
            </w:r>
            <w:r w:rsidRPr="005C1DEB">
              <w:rPr>
                <w:noProof/>
                <w:lang w:val="en-GB"/>
              </w:rPr>
              <w:t>Δ</w:t>
            </w:r>
            <w:r w:rsidRPr="009C2A65">
              <w:rPr>
                <w:noProof/>
              </w:rPr>
              <w:t>r</w:t>
            </w:r>
            <w:r w:rsidRPr="009C2A65">
              <w:rPr>
                <w:noProof/>
                <w:vertAlign w:val="subscript"/>
              </w:rPr>
              <w:t>I</w:t>
            </w:r>
            <w:r w:rsidRPr="009C2A65">
              <w:rPr>
                <w:noProof/>
              </w:rPr>
              <w:t xml:space="preserve"> </w:t>
            </w:r>
            <w:r w:rsidRPr="009C2A65">
              <w:rPr>
                <w:noProof/>
                <w:u w:val="single"/>
              </w:rPr>
              <w:t>&lt;</w:t>
            </w:r>
            <w:r w:rsidRPr="009C2A65">
              <w:rPr>
                <w:noProof/>
              </w:rPr>
              <w:t xml:space="preserve"> 1,5 mrad)</w:t>
            </w:r>
          </w:p>
        </w:tc>
      </w:tr>
      <w:tr w:rsidR="001B2692" w:rsidRPr="001B2692" w:rsidTr="00217DD6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2692" w:rsidRPr="000F5164" w:rsidRDefault="001B2692" w:rsidP="000F478F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779"/>
                <w:tab w:val="left" w:pos="5931"/>
                <w:tab w:val="left" w:pos="7083"/>
                <w:tab w:val="left" w:pos="8235"/>
              </w:tabs>
              <w:kinsoku/>
              <w:overflowPunct/>
              <w:autoSpaceDE/>
              <w:autoSpaceDN/>
              <w:adjustRightInd/>
              <w:snapToGrid/>
              <w:spacing w:before="40" w:after="40" w:line="276" w:lineRule="auto"/>
              <w:ind w:right="1134"/>
              <w:rPr>
                <w:noProof/>
                <w:highlight w:val="lightGray"/>
                <w:lang w:val="fr-FR" w:eastAsia="ja-JP"/>
              </w:rPr>
            </w:pPr>
            <w:r w:rsidRPr="005C1DEB">
              <w:rPr>
                <w:noProof/>
                <w:lang w:val="fr-FR" w:eastAsia="ja-JP"/>
              </w:rPr>
              <w:t xml:space="preserve">Vers le bas 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:rsidR="001B2692" w:rsidRPr="005C1DEB" w:rsidRDefault="001B2692" w:rsidP="001B2692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144"/>
                <w:tab w:val="left" w:pos="4779"/>
                <w:tab w:val="left" w:pos="5931"/>
                <w:tab w:val="left" w:pos="7083"/>
                <w:tab w:val="left" w:pos="8235"/>
              </w:tabs>
              <w:kinsoku/>
              <w:overflowPunct/>
              <w:autoSpaceDE/>
              <w:autoSpaceDN/>
              <w:adjustRightInd/>
              <w:snapToGrid/>
              <w:spacing w:before="40" w:after="40" w:line="276" w:lineRule="auto"/>
              <w:ind w:right="188"/>
              <w:rPr>
                <w:noProof/>
                <w:lang w:val="fr-FR" w:eastAsia="ja-JP"/>
              </w:rPr>
            </w:pPr>
            <w:r w:rsidRPr="005C1DEB">
              <w:rPr>
                <w:noProof/>
                <w:lang w:val="fr-FR"/>
              </w:rPr>
              <w:t>Supérieure à 2,</w:t>
            </w:r>
            <w:r w:rsidR="00217DD6">
              <w:rPr>
                <w:noProof/>
                <w:lang w:val="fr-FR"/>
              </w:rPr>
              <w:t>0 mrad mais inférieure ou égale</w:t>
            </w:r>
            <w:r w:rsidR="00217DD6">
              <w:rPr>
                <w:noProof/>
                <w:lang w:val="fr-FR"/>
              </w:rPr>
              <w:br/>
            </w:r>
            <w:r w:rsidRPr="005C1DEB">
              <w:rPr>
                <w:noProof/>
                <w:lang w:val="fr-FR"/>
              </w:rPr>
              <w:t>à 3,0</w:t>
            </w:r>
            <w:r>
              <w:rPr>
                <w:noProof/>
                <w:lang w:val="fr-FR"/>
              </w:rPr>
              <w:t> </w:t>
            </w:r>
            <w:r w:rsidRPr="005C1DEB">
              <w:rPr>
                <w:noProof/>
                <w:lang w:val="fr-FR"/>
              </w:rPr>
              <w:t xml:space="preserve">mrad </w:t>
            </w:r>
            <w:r w:rsidRPr="009C2A65">
              <w:rPr>
                <w:noProof/>
              </w:rPr>
              <w:t>(2,0 mrad &lt; </w:t>
            </w:r>
            <w:r w:rsidRPr="005C1DEB">
              <w:rPr>
                <w:noProof/>
                <w:lang w:val="en-GB"/>
              </w:rPr>
              <w:t>Δ</w:t>
            </w:r>
            <w:r w:rsidRPr="009C2A65">
              <w:rPr>
                <w:noProof/>
              </w:rPr>
              <w:t>r</w:t>
            </w:r>
            <w:r w:rsidRPr="009C2A65">
              <w:rPr>
                <w:noProof/>
                <w:vertAlign w:val="subscript"/>
              </w:rPr>
              <w:t>I</w:t>
            </w:r>
            <w:r w:rsidRPr="009C2A65">
              <w:rPr>
                <w:noProof/>
              </w:rPr>
              <w:t xml:space="preserve"> </w:t>
            </w:r>
            <w:r w:rsidRPr="009C2A65">
              <w:rPr>
                <w:noProof/>
                <w:u w:val="single"/>
              </w:rPr>
              <w:t>&lt;</w:t>
            </w:r>
            <w:r w:rsidRPr="009C2A65">
              <w:rPr>
                <w:noProof/>
              </w:rPr>
              <w:t xml:space="preserve"> 3,0 mrad)</w:t>
            </w:r>
          </w:p>
        </w:tc>
      </w:tr>
    </w:tbl>
    <w:p w:rsidR="008230BC" w:rsidRPr="005C1DEB" w:rsidRDefault="008230BC" w:rsidP="001B2692">
      <w:pPr>
        <w:pStyle w:val="SingleTxtG"/>
        <w:spacing w:before="240"/>
        <w:ind w:left="2268"/>
        <w:rPr>
          <w:strike/>
          <w:noProof/>
          <w:lang w:val="fr-FR"/>
        </w:rPr>
      </w:pPr>
      <w:r w:rsidRPr="005C1DEB">
        <w:rPr>
          <w:strike/>
          <w:noProof/>
          <w:lang w:val="fr-FR"/>
        </w:rPr>
        <w:t>Un autre échantillon de projecteur est soumis à l’essai comme prévu au paragraphe 2.1, après avoir subi trois fois de suite le cycle de fonctionnement décrit ci-dessous afin de stabiliser le positionnement des parties mécaniques du projecteur, placé sur un support représentatif de son installation correcte sur le véhicule</w:t>
      </w:r>
      <w:r w:rsidR="001B2692">
        <w:rPr>
          <w:strike/>
          <w:noProof/>
          <w:lang w:val="fr-FR"/>
        </w:rPr>
        <w:t> </w:t>
      </w:r>
      <w:r w:rsidRPr="005C1DEB">
        <w:rPr>
          <w:strike/>
          <w:noProof/>
          <w:lang w:val="fr-FR"/>
        </w:rPr>
        <w:t>:</w:t>
      </w:r>
    </w:p>
    <w:p w:rsidR="008230BC" w:rsidRPr="005C1DEB" w:rsidRDefault="008230BC" w:rsidP="00C14DC6">
      <w:pPr>
        <w:pStyle w:val="SingleTxtG"/>
        <w:ind w:left="2268"/>
        <w:rPr>
          <w:strike/>
          <w:noProof/>
          <w:lang w:val="fr-FR"/>
        </w:rPr>
      </w:pPr>
      <w:r w:rsidRPr="005C1DEB">
        <w:rPr>
          <w:strike/>
          <w:noProof/>
          <w:lang w:val="fr-FR"/>
        </w:rPr>
        <w:t>Allumage du feu de croisement pendant une heure (la tension d’alimentation étant réglée comme prévu au paragraphe 1.1.1.2)</w:t>
      </w:r>
      <w:r w:rsidR="001B2692">
        <w:rPr>
          <w:strike/>
          <w:noProof/>
          <w:lang w:val="fr-FR"/>
        </w:rPr>
        <w:t> </w:t>
      </w:r>
      <w:r w:rsidRPr="005C1DEB">
        <w:rPr>
          <w:strike/>
          <w:noProof/>
          <w:lang w:val="fr-FR"/>
        </w:rPr>
        <w:t xml:space="preserve">; </w:t>
      </w:r>
    </w:p>
    <w:p w:rsidR="008230BC" w:rsidRPr="005C1DEB" w:rsidRDefault="008230BC" w:rsidP="00C14DC6">
      <w:pPr>
        <w:pStyle w:val="SingleTxtG"/>
        <w:ind w:left="2268"/>
        <w:rPr>
          <w:strike/>
          <w:noProof/>
          <w:lang w:val="fr-FR" w:eastAsia="ja-JP"/>
        </w:rPr>
      </w:pPr>
      <w:r w:rsidRPr="005C1DEB">
        <w:rPr>
          <w:strike/>
          <w:noProof/>
          <w:lang w:val="fr-FR" w:eastAsia="ja-JP"/>
        </w:rPr>
        <w:lastRenderedPageBreak/>
        <w:t>À la fin de cette période d’une heure, le type de projecteur est considéré comme acceptable si la valeur absolue Δr mesurée sur l’échantillon satisfait aux prescriptions du paragraphe 2.2.1 ci-dessus.</w:t>
      </w:r>
      <w:r w:rsidR="00A741F3">
        <w:rPr>
          <w:strike/>
          <w:noProof/>
          <w:lang w:val="fr-FR" w:eastAsia="ja-JP"/>
        </w:rPr>
        <w:t> </w:t>
      </w:r>
      <w:r w:rsidRPr="005C1DEB">
        <w:rPr>
          <w:strike/>
          <w:noProof/>
          <w:lang w:val="fr-FR" w:eastAsia="ja-JP"/>
        </w:rPr>
        <w:t xml:space="preserve">». </w:t>
      </w:r>
    </w:p>
    <w:p w:rsidR="008230BC" w:rsidRPr="003B3EBF" w:rsidRDefault="008230BC" w:rsidP="00C14DC6">
      <w:pPr>
        <w:pStyle w:val="SingleTxtG"/>
        <w:ind w:left="2268"/>
        <w:rPr>
          <w:b/>
          <w:noProof/>
          <w:lang w:eastAsia="ja-JP"/>
        </w:rPr>
      </w:pPr>
      <w:r w:rsidRPr="003B3EBF">
        <w:rPr>
          <w:b/>
          <w:noProof/>
          <w:lang w:eastAsia="ja-JP"/>
        </w:rPr>
        <w:t xml:space="preserve">Un autre </w:t>
      </w:r>
      <w:r w:rsidRPr="003B3EBF">
        <w:rPr>
          <w:b/>
          <w:noProof/>
          <w:lang w:val="fr-FR" w:eastAsia="ja-JP"/>
        </w:rPr>
        <w:t xml:space="preserve">échantillon </w:t>
      </w:r>
      <w:r w:rsidRPr="003B3EBF">
        <w:rPr>
          <w:b/>
          <w:noProof/>
          <w:lang w:eastAsia="ja-JP"/>
        </w:rPr>
        <w:t xml:space="preserve">de projecteur </w:t>
      </w:r>
      <w:r w:rsidRPr="003B3EBF">
        <w:rPr>
          <w:b/>
          <w:noProof/>
          <w:lang w:val="fr-FR" w:eastAsia="ja-JP"/>
        </w:rPr>
        <w:t xml:space="preserve">monté sur un appareillage d’essai représentatif de son installation correcte sur le véhicule </w:t>
      </w:r>
      <w:r w:rsidRPr="003B3EBF">
        <w:rPr>
          <w:b/>
          <w:noProof/>
          <w:lang w:eastAsia="ja-JP"/>
        </w:rPr>
        <w:t xml:space="preserve">est mis à l’essai comme prévu au paragraphe 2.1 </w:t>
      </w:r>
      <w:r w:rsidRPr="003B3EBF">
        <w:rPr>
          <w:b/>
          <w:noProof/>
          <w:lang w:val="fr-FR" w:eastAsia="ja-JP"/>
        </w:rPr>
        <w:t>ci-dessus,</w:t>
      </w:r>
      <w:r w:rsidRPr="003B3EBF">
        <w:rPr>
          <w:b/>
          <w:noProof/>
          <w:lang w:eastAsia="ja-JP"/>
        </w:rPr>
        <w:t xml:space="preserve"> après avoir été soumis trois fois de suite au cycle décrit ci-dessous, afin de stabiliser la position des p</w:t>
      </w:r>
      <w:r w:rsidR="001B2692">
        <w:rPr>
          <w:b/>
          <w:noProof/>
          <w:lang w:eastAsia="ja-JP"/>
        </w:rPr>
        <w:t>arties mécaniques du projecteur </w:t>
      </w:r>
      <w:r w:rsidRPr="003B3EBF">
        <w:rPr>
          <w:b/>
          <w:noProof/>
          <w:lang w:eastAsia="ja-JP"/>
        </w:rPr>
        <w:t>:</w:t>
      </w:r>
    </w:p>
    <w:p w:rsidR="008230BC" w:rsidRPr="005C1DEB" w:rsidRDefault="00C14DC6" w:rsidP="00C14DC6">
      <w:pPr>
        <w:pStyle w:val="SingleTxtG"/>
        <w:ind w:left="2268"/>
        <w:rPr>
          <w:b/>
          <w:noProof/>
          <w:lang w:val="fr-FR" w:eastAsia="ja-JP"/>
        </w:rPr>
      </w:pPr>
      <w:r>
        <w:rPr>
          <w:b/>
          <w:noProof/>
          <w:lang w:val="fr-FR" w:eastAsia="ja-JP"/>
        </w:rPr>
        <w:t>a)</w:t>
      </w:r>
      <w:r w:rsidR="008230BC">
        <w:rPr>
          <w:b/>
          <w:noProof/>
          <w:lang w:val="fr-FR" w:eastAsia="ja-JP"/>
        </w:rPr>
        <w:tab/>
      </w:r>
      <w:r w:rsidR="008230BC" w:rsidRPr="003B3EBF">
        <w:rPr>
          <w:b/>
          <w:noProof/>
          <w:lang w:val="fr-FR" w:eastAsia="ja-JP"/>
        </w:rPr>
        <w:t xml:space="preserve">1 heure de fonctionnement du </w:t>
      </w:r>
      <w:r w:rsidR="008230BC" w:rsidRPr="003B3EBF">
        <w:rPr>
          <w:b/>
          <w:noProof/>
          <w:lang w:eastAsia="ja-JP"/>
        </w:rPr>
        <w:t xml:space="preserve">projecteur </w:t>
      </w:r>
      <w:r w:rsidR="008230BC" w:rsidRPr="003B3EBF">
        <w:rPr>
          <w:b/>
          <w:noProof/>
          <w:lang w:val="fr-FR" w:eastAsia="ja-JP"/>
        </w:rPr>
        <w:t>(la tension étant réglée comme prévu au paragraphe 1.1.</w:t>
      </w:r>
      <w:r w:rsidR="008230BC">
        <w:rPr>
          <w:b/>
          <w:noProof/>
          <w:lang w:val="fr-FR" w:eastAsia="ja-JP"/>
        </w:rPr>
        <w:t>1.</w:t>
      </w:r>
      <w:r w:rsidR="008230BC" w:rsidRPr="003B3EBF">
        <w:rPr>
          <w:b/>
          <w:noProof/>
          <w:lang w:val="fr-FR" w:eastAsia="ja-JP"/>
        </w:rPr>
        <w:t>2 de la présente annexe)</w:t>
      </w:r>
      <w:r w:rsidR="001B2692">
        <w:rPr>
          <w:b/>
          <w:noProof/>
          <w:lang w:val="fr-FR" w:eastAsia="ja-JP"/>
        </w:rPr>
        <w:t> </w:t>
      </w:r>
      <w:r w:rsidR="008230BC" w:rsidRPr="003B3EBF">
        <w:rPr>
          <w:b/>
          <w:noProof/>
          <w:lang w:val="fr-FR" w:eastAsia="ja-JP"/>
        </w:rPr>
        <w:t>;</w:t>
      </w:r>
    </w:p>
    <w:p w:rsidR="008230BC" w:rsidRPr="005C1DEB" w:rsidRDefault="008230BC" w:rsidP="00C14DC6">
      <w:pPr>
        <w:pStyle w:val="SingleTxtG"/>
        <w:ind w:left="2268"/>
        <w:rPr>
          <w:b/>
          <w:noProof/>
          <w:lang w:val="fr-FR" w:eastAsia="ja-JP"/>
        </w:rPr>
      </w:pPr>
      <w:r w:rsidRPr="005F7606">
        <w:rPr>
          <w:b/>
          <w:noProof/>
          <w:lang w:val="fr-FR" w:eastAsia="ja-JP"/>
        </w:rPr>
        <w:t>b)</w:t>
      </w:r>
      <w:r w:rsidRPr="005F7606">
        <w:rPr>
          <w:b/>
          <w:noProof/>
          <w:lang w:val="fr-FR" w:eastAsia="ja-JP"/>
        </w:rPr>
        <w:tab/>
      </w:r>
      <w:r>
        <w:rPr>
          <w:b/>
          <w:noProof/>
          <w:lang w:val="fr-FR" w:eastAsia="ja-JP"/>
        </w:rPr>
        <w:t>1 heure de mise hors tension du projecteur</w:t>
      </w:r>
      <w:r w:rsidRPr="005F7606">
        <w:rPr>
          <w:b/>
          <w:noProof/>
          <w:lang w:val="fr-FR" w:eastAsia="ja-JP"/>
        </w:rPr>
        <w:t>.</w:t>
      </w:r>
    </w:p>
    <w:p w:rsidR="008230BC" w:rsidRPr="000F5164" w:rsidRDefault="008230BC" w:rsidP="00C14DC6">
      <w:pPr>
        <w:pStyle w:val="SingleTxtG"/>
        <w:ind w:left="2268"/>
        <w:rPr>
          <w:b/>
          <w:noProof/>
          <w:lang w:val="fr-FR" w:eastAsia="ja-JP"/>
        </w:rPr>
      </w:pPr>
      <w:r w:rsidRPr="005C1DEB">
        <w:rPr>
          <w:rFonts w:eastAsia="MS Mincho"/>
          <w:b/>
          <w:bCs/>
          <w:noProof/>
          <w:lang w:val="fr-FR" w:eastAsia="ja-JP"/>
        </w:rPr>
        <w:tab/>
      </w:r>
      <w:r w:rsidRPr="003B3EBF">
        <w:rPr>
          <w:b/>
          <w:bCs/>
          <w:noProof/>
          <w:lang w:val="fr-FR" w:eastAsia="ja-JP"/>
        </w:rPr>
        <w:t>Après avoir été soumis trois fois de suite à ce cycle</w:t>
      </w:r>
      <w:r w:rsidRPr="003B3EBF">
        <w:rPr>
          <w:b/>
          <w:noProof/>
          <w:lang w:val="fr-FR" w:eastAsia="ja-JP"/>
        </w:rPr>
        <w:t xml:space="preserve">, le </w:t>
      </w:r>
      <w:r w:rsidRPr="003B3EBF">
        <w:rPr>
          <w:b/>
          <w:bCs/>
          <w:noProof/>
          <w:lang w:val="fr-FR" w:eastAsia="ja-JP"/>
        </w:rPr>
        <w:t xml:space="preserve">projecteur </w:t>
      </w:r>
      <w:r w:rsidRPr="003B3EBF">
        <w:rPr>
          <w:b/>
          <w:noProof/>
          <w:lang w:val="fr-FR" w:eastAsia="ja-JP"/>
        </w:rPr>
        <w:t xml:space="preserve">est considéré comme acceptable si les valeurs absolues ∆r mesurées sur cet autre échantillon comme prévu au paragraphe </w:t>
      </w:r>
      <w:r w:rsidR="00A05DC1">
        <w:rPr>
          <w:b/>
          <w:bCs/>
          <w:noProof/>
          <w:lang w:val="fr-FR" w:eastAsia="ja-JP"/>
        </w:rPr>
        <w:t>2.1</w:t>
      </w:r>
      <w:r w:rsidRPr="003B3EBF">
        <w:rPr>
          <w:b/>
          <w:bCs/>
          <w:noProof/>
          <w:lang w:val="fr-FR" w:eastAsia="ja-JP"/>
        </w:rPr>
        <w:t xml:space="preserve"> ci-dessus </w:t>
      </w:r>
      <w:r w:rsidRPr="003B3EBF">
        <w:rPr>
          <w:b/>
          <w:noProof/>
          <w:lang w:eastAsia="ja-JP"/>
        </w:rPr>
        <w:t xml:space="preserve">satisfont aux prescriptions du </w:t>
      </w:r>
      <w:r w:rsidRPr="003B3EBF">
        <w:rPr>
          <w:b/>
          <w:bCs/>
          <w:noProof/>
          <w:lang w:val="fr-FR" w:eastAsia="ja-JP"/>
        </w:rPr>
        <w:t>paragraphe 2.2.1</w:t>
      </w:r>
      <w:r w:rsidR="00A05DC1">
        <w:rPr>
          <w:b/>
          <w:bCs/>
          <w:noProof/>
          <w:lang w:val="fr-FR" w:eastAsia="ja-JP"/>
        </w:rPr>
        <w:t xml:space="preserve"> </w:t>
      </w:r>
      <w:r w:rsidRPr="003B3EBF">
        <w:rPr>
          <w:b/>
          <w:bCs/>
          <w:noProof/>
          <w:lang w:val="fr-FR" w:eastAsia="ja-JP"/>
        </w:rPr>
        <w:t>ci-dessus</w:t>
      </w:r>
      <w:r w:rsidRPr="003B3EBF">
        <w:rPr>
          <w:b/>
          <w:noProof/>
          <w:lang w:val="fr-FR" w:eastAsia="ja-JP"/>
        </w:rPr>
        <w:t>. </w:t>
      </w:r>
      <w:r w:rsidRPr="00A741F3">
        <w:rPr>
          <w:noProof/>
          <w:lang w:val="fr-FR" w:eastAsia="ja-JP"/>
        </w:rPr>
        <w:t>»</w:t>
      </w:r>
      <w:r w:rsidR="001B2692" w:rsidRPr="00A741F3">
        <w:rPr>
          <w:noProof/>
          <w:lang w:val="fr-FR" w:eastAsia="ja-JP"/>
        </w:rPr>
        <w:t>.</w:t>
      </w:r>
    </w:p>
    <w:p w:rsidR="008230BC" w:rsidRPr="000F5164" w:rsidRDefault="00C14DC6" w:rsidP="00C14DC6">
      <w:pPr>
        <w:pStyle w:val="H1G"/>
        <w:rPr>
          <w:noProof/>
          <w:lang w:val="fr-FR"/>
        </w:rPr>
      </w:pPr>
      <w:r>
        <w:rPr>
          <w:noProof/>
          <w:lang w:val="fr-FR"/>
        </w:rPr>
        <w:tab/>
        <w:t>D.</w:t>
      </w:r>
      <w:r>
        <w:rPr>
          <w:noProof/>
          <w:lang w:val="fr-FR"/>
        </w:rPr>
        <w:tab/>
      </w:r>
      <w:r w:rsidR="008230BC" w:rsidRPr="00AF30F0">
        <w:rPr>
          <w:noProof/>
          <w:lang w:val="fr-FR"/>
        </w:rPr>
        <w:t>Complément 7 à la série 01 d’amendements au Règlement n</w:t>
      </w:r>
      <w:r w:rsidR="008230BC" w:rsidRPr="00AF30F0">
        <w:rPr>
          <w:noProof/>
          <w:vertAlign w:val="superscript"/>
          <w:lang w:val="fr-FR"/>
        </w:rPr>
        <w:t>o</w:t>
      </w:r>
      <w:r w:rsidR="008230BC" w:rsidRPr="00AF30F0">
        <w:rPr>
          <w:noProof/>
          <w:lang w:val="fr-FR"/>
        </w:rPr>
        <w:t> 113</w:t>
      </w:r>
      <w:r>
        <w:rPr>
          <w:noProof/>
          <w:lang w:val="fr-FR"/>
        </w:rPr>
        <w:br/>
      </w:r>
      <w:r w:rsidR="008230BC" w:rsidRPr="000F5164">
        <w:rPr>
          <w:noProof/>
          <w:lang w:val="fr-FR"/>
        </w:rPr>
        <w:t>(</w:t>
      </w:r>
      <w:r w:rsidR="008230BC" w:rsidRPr="005C1DEB">
        <w:rPr>
          <w:noProof/>
          <w:lang w:val="fr-FR"/>
        </w:rPr>
        <w:t>Projecteurs émettant un faisceau de croisement symétrique</w:t>
      </w:r>
      <w:r w:rsidR="008230BC" w:rsidRPr="000F5164">
        <w:rPr>
          <w:noProof/>
          <w:lang w:val="fr-FR"/>
        </w:rPr>
        <w:t>)</w:t>
      </w:r>
      <w:r>
        <w:rPr>
          <w:noProof/>
          <w:lang w:val="fr-FR"/>
        </w:rPr>
        <w:t> </w:t>
      </w:r>
      <w:r w:rsidR="008230BC" w:rsidRPr="000F5164">
        <w:rPr>
          <w:noProof/>
          <w:lang w:val="fr-FR"/>
        </w:rPr>
        <w:t>:</w:t>
      </w:r>
    </w:p>
    <w:p w:rsidR="008230BC" w:rsidRPr="000F5164" w:rsidRDefault="008230BC" w:rsidP="00C14DC6">
      <w:pPr>
        <w:pStyle w:val="SingleTxtG"/>
        <w:rPr>
          <w:noProof/>
          <w:lang w:val="fr-FR" w:eastAsia="ja-JP"/>
        </w:rPr>
      </w:pPr>
      <w:r w:rsidRPr="001D2CDD">
        <w:rPr>
          <w:i/>
          <w:noProof/>
          <w:lang w:val="fr-FR" w:eastAsia="ja-JP"/>
        </w:rPr>
        <w:t xml:space="preserve">Annexe </w:t>
      </w:r>
      <w:r w:rsidRPr="000F5164">
        <w:rPr>
          <w:i/>
          <w:noProof/>
          <w:lang w:val="fr-FR" w:eastAsia="ja-JP"/>
        </w:rPr>
        <w:t xml:space="preserve">4, </w:t>
      </w:r>
      <w:r w:rsidRPr="001D2CDD">
        <w:rPr>
          <w:i/>
          <w:noProof/>
          <w:lang w:val="fr-FR" w:eastAsia="ja-JP"/>
        </w:rPr>
        <w:t xml:space="preserve">paragraphe </w:t>
      </w:r>
      <w:r w:rsidRPr="000F5164">
        <w:rPr>
          <w:i/>
          <w:noProof/>
          <w:lang w:val="fr-FR" w:eastAsia="ja-JP"/>
        </w:rPr>
        <w:t>2.2</w:t>
      </w:r>
      <w:r w:rsidRPr="000F5164">
        <w:rPr>
          <w:noProof/>
          <w:lang w:val="fr-FR" w:eastAsia="ja-JP"/>
        </w:rPr>
        <w:t xml:space="preserve">, </w:t>
      </w:r>
      <w:r w:rsidRPr="001D2CDD">
        <w:rPr>
          <w:noProof/>
          <w:lang w:val="fr-FR" w:eastAsia="ja-JP"/>
        </w:rPr>
        <w:t>modifier comme suit</w:t>
      </w:r>
      <w:r w:rsidR="00A05DC1">
        <w:rPr>
          <w:noProof/>
          <w:lang w:val="fr-FR" w:eastAsia="ja-JP"/>
        </w:rPr>
        <w:t> </w:t>
      </w:r>
      <w:r w:rsidRPr="001D2CDD">
        <w:rPr>
          <w:noProof/>
          <w:lang w:val="fr-FR" w:eastAsia="ja-JP"/>
        </w:rPr>
        <w:t>:</w:t>
      </w:r>
    </w:p>
    <w:p w:rsidR="008230BC" w:rsidRPr="005C1DEB" w:rsidRDefault="00C14DC6" w:rsidP="00C14DC6">
      <w:pPr>
        <w:pStyle w:val="SingleTxtG"/>
        <w:ind w:left="2268" w:hanging="1134"/>
        <w:rPr>
          <w:noProof/>
          <w:lang w:val="fr-FR"/>
        </w:rPr>
      </w:pPr>
      <w:r>
        <w:rPr>
          <w:noProof/>
          <w:lang w:val="fr-FR"/>
        </w:rPr>
        <w:t>« 2.2</w:t>
      </w:r>
      <w:r w:rsidR="008230BC" w:rsidRPr="005C1DEB">
        <w:rPr>
          <w:noProof/>
          <w:lang w:val="fr-FR"/>
        </w:rPr>
        <w:tab/>
      </w:r>
      <w:r w:rsidR="00A05DC1">
        <w:rPr>
          <w:noProof/>
        </w:rPr>
        <w:t>Résultats de l’essai</w:t>
      </w:r>
    </w:p>
    <w:p w:rsidR="008230BC" w:rsidRPr="005C1DEB" w:rsidRDefault="00C14DC6" w:rsidP="00C14DC6">
      <w:pPr>
        <w:pStyle w:val="SingleTxtG"/>
        <w:ind w:left="2268" w:hanging="1134"/>
        <w:rPr>
          <w:noProof/>
          <w:lang w:val="fr-FR" w:eastAsia="ja-JP"/>
        </w:rPr>
      </w:pPr>
      <w:r>
        <w:rPr>
          <w:noProof/>
          <w:lang w:val="fr-FR"/>
        </w:rPr>
        <w:t>« 2.2.1</w:t>
      </w:r>
      <w:r w:rsidR="008230BC" w:rsidRPr="000F5164">
        <w:rPr>
          <w:noProof/>
          <w:lang w:val="fr-FR"/>
        </w:rPr>
        <w:tab/>
      </w:r>
      <w:r w:rsidR="008230BC" w:rsidRPr="005C1DEB">
        <w:rPr>
          <w:noProof/>
          <w:lang w:val="fr-FR" w:eastAsia="ja-JP"/>
        </w:rPr>
        <w:t xml:space="preserve">Le résultat exprimé en milliradians (mrad) est considéré comme acceptable pour un feu de croisement quand la valeur absolue </w:t>
      </w:r>
      <w:r w:rsidR="008230BC" w:rsidRPr="005C1DEB">
        <w:rPr>
          <w:noProof/>
          <w:lang w:val="en-US" w:eastAsia="ja-JP"/>
        </w:rPr>
        <w:t>Δ</w:t>
      </w:r>
      <w:r w:rsidR="008230BC" w:rsidRPr="009C2A65">
        <w:rPr>
          <w:noProof/>
          <w:lang w:eastAsia="ja-JP"/>
        </w:rPr>
        <w:t xml:space="preserve"> r</w:t>
      </w:r>
      <w:r w:rsidR="008230BC" w:rsidRPr="009C2A65">
        <w:rPr>
          <w:noProof/>
          <w:vertAlign w:val="subscript"/>
          <w:lang w:eastAsia="ja-JP"/>
        </w:rPr>
        <w:t>I</w:t>
      </w:r>
      <w:r w:rsidR="008230BC" w:rsidRPr="009C2A65">
        <w:rPr>
          <w:noProof/>
          <w:lang w:eastAsia="ja-JP"/>
        </w:rPr>
        <w:t xml:space="preserve"> = | r</w:t>
      </w:r>
      <w:r w:rsidR="008230BC" w:rsidRPr="009C2A65">
        <w:rPr>
          <w:noProof/>
          <w:vertAlign w:val="subscript"/>
          <w:lang w:eastAsia="ja-JP"/>
        </w:rPr>
        <w:t>3</w:t>
      </w:r>
      <w:r w:rsidR="008230BC" w:rsidRPr="009C2A65">
        <w:rPr>
          <w:noProof/>
          <w:lang w:eastAsia="ja-JP"/>
        </w:rPr>
        <w:t xml:space="preserve"> - r</w:t>
      </w:r>
      <w:r w:rsidR="008230BC" w:rsidRPr="009C2A65">
        <w:rPr>
          <w:noProof/>
          <w:vertAlign w:val="subscript"/>
          <w:lang w:eastAsia="ja-JP"/>
        </w:rPr>
        <w:t>60</w:t>
      </w:r>
      <w:r w:rsidR="008230BC" w:rsidRPr="009C2A65">
        <w:rPr>
          <w:noProof/>
          <w:lang w:eastAsia="ja-JP"/>
        </w:rPr>
        <w:t xml:space="preserve"> |</w:t>
      </w:r>
      <w:r w:rsidR="008230BC" w:rsidRPr="005C1DEB">
        <w:rPr>
          <w:noProof/>
          <w:lang w:val="fr-FR" w:eastAsia="ja-JP"/>
        </w:rPr>
        <w:t xml:space="preserve">enregistrée sur le projecteur n’est pas supérieure à 1,0 mrad (Δr1 ≤ 1,0 mrad) </w:t>
      </w:r>
      <w:r w:rsidR="00A741F3">
        <w:rPr>
          <w:b/>
          <w:noProof/>
          <w:lang w:val="fr-FR" w:eastAsia="ja-JP"/>
        </w:rPr>
        <w:t>vers le haut ni à 2,0 </w:t>
      </w:r>
      <w:r w:rsidR="008230BC" w:rsidRPr="005C1DEB">
        <w:rPr>
          <w:b/>
          <w:noProof/>
          <w:lang w:val="fr-FR" w:eastAsia="ja-JP"/>
        </w:rPr>
        <w:t xml:space="preserve">mrad </w:t>
      </w:r>
      <w:r w:rsidR="008230BC" w:rsidRPr="009C2A65">
        <w:rPr>
          <w:b/>
          <w:noProof/>
          <w:lang w:eastAsia="ja-JP"/>
        </w:rPr>
        <w:t>(</w:t>
      </w:r>
      <w:r w:rsidR="008230BC" w:rsidRPr="005C1DEB">
        <w:rPr>
          <w:b/>
          <w:noProof/>
          <w:lang w:val="en-US" w:eastAsia="ja-JP"/>
        </w:rPr>
        <w:t>Δ</w:t>
      </w:r>
      <w:r w:rsidR="008230BC" w:rsidRPr="009C2A65">
        <w:rPr>
          <w:b/>
          <w:noProof/>
          <w:lang w:eastAsia="ja-JP"/>
        </w:rPr>
        <w:t xml:space="preserve"> r</w:t>
      </w:r>
      <w:r w:rsidR="008230BC" w:rsidRPr="009C2A65">
        <w:rPr>
          <w:b/>
          <w:noProof/>
          <w:vertAlign w:val="subscript"/>
          <w:lang w:eastAsia="ja-JP"/>
        </w:rPr>
        <w:t>I</w:t>
      </w:r>
      <w:r w:rsidR="008230BC" w:rsidRPr="009C2A65">
        <w:rPr>
          <w:b/>
          <w:noProof/>
          <w:lang w:eastAsia="ja-JP"/>
        </w:rPr>
        <w:t xml:space="preserve"> </w:t>
      </w:r>
      <w:r w:rsidR="008230BC" w:rsidRPr="009C2A65">
        <w:rPr>
          <w:b/>
          <w:noProof/>
          <w:u w:val="single"/>
          <w:lang w:eastAsia="ja-JP"/>
        </w:rPr>
        <w:t>&lt;</w:t>
      </w:r>
      <w:r w:rsidR="008230BC" w:rsidRPr="009C2A65">
        <w:rPr>
          <w:b/>
          <w:noProof/>
          <w:lang w:eastAsia="ja-JP"/>
        </w:rPr>
        <w:t xml:space="preserve"> 2,0 mrad) </w:t>
      </w:r>
      <w:r w:rsidR="008230BC" w:rsidRPr="005C1DEB">
        <w:rPr>
          <w:b/>
          <w:noProof/>
          <w:lang w:val="fr-FR" w:eastAsia="ja-JP"/>
        </w:rPr>
        <w:t>vers le bas</w:t>
      </w:r>
      <w:r w:rsidR="008230BC" w:rsidRPr="00A741F3">
        <w:rPr>
          <w:noProof/>
          <w:lang w:val="fr-FR" w:eastAsia="ja-JP"/>
        </w:rPr>
        <w:t>.</w:t>
      </w:r>
    </w:p>
    <w:p w:rsidR="008230BC" w:rsidRDefault="00C14DC6" w:rsidP="00803436">
      <w:pPr>
        <w:pStyle w:val="SingleTxtG"/>
        <w:ind w:left="2268" w:hanging="1134"/>
        <w:rPr>
          <w:noProof/>
          <w:lang w:val="fr-FR" w:eastAsia="ja-JP"/>
        </w:rPr>
      </w:pPr>
      <w:r>
        <w:rPr>
          <w:noProof/>
          <w:lang w:val="fr-FR" w:eastAsia="ja-JP"/>
        </w:rPr>
        <w:t>2.2.2</w:t>
      </w:r>
      <w:r>
        <w:rPr>
          <w:noProof/>
          <w:lang w:val="fr-FR" w:eastAsia="ja-JP"/>
        </w:rPr>
        <w:tab/>
      </w:r>
      <w:r w:rsidR="008230BC" w:rsidRPr="000F5164">
        <w:rPr>
          <w:noProof/>
          <w:lang w:val="fr-FR" w:eastAsia="ja-JP"/>
        </w:rPr>
        <w:tab/>
      </w:r>
      <w:r w:rsidR="008230BC" w:rsidRPr="005C1DEB">
        <w:rPr>
          <w:noProof/>
          <w:lang w:val="fr-FR" w:eastAsia="ja-JP"/>
        </w:rPr>
        <w:t xml:space="preserve">Cependant, si cette valeur est </w:t>
      </w:r>
      <w:r w:rsidR="008230BC" w:rsidRPr="005C1DEB">
        <w:rPr>
          <w:strike/>
          <w:noProof/>
          <w:lang w:val="fr-FR" w:eastAsia="ja-JP"/>
        </w:rPr>
        <w:t>supérieure à 1,0 mrad mais inférieure ou égale à 1,5 mrad (1,0 mrad &lt; ∆rI ≤ 1,5 mrad)</w:t>
      </w:r>
      <w:r w:rsidR="00A05DC1">
        <w:rPr>
          <w:strike/>
          <w:noProof/>
          <w:lang w:val="fr-FR" w:eastAsia="ja-JP"/>
        </w:rPr>
        <w:t> </w:t>
      </w:r>
      <w:r w:rsidR="008230BC" w:rsidRPr="005C1DEB">
        <w:rPr>
          <w:noProof/>
          <w:lang w:val="fr-FR" w:eastAsia="ja-JP"/>
        </w:rPr>
        <w:t>: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5"/>
      </w:tblGrid>
      <w:tr w:rsidR="00803436" w:rsidRPr="00803436" w:rsidTr="00217DD6"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03436" w:rsidRPr="00803436" w:rsidRDefault="00803436" w:rsidP="0080343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5C1DEB">
              <w:rPr>
                <w:b/>
                <w:i/>
                <w:noProof/>
                <w:sz w:val="16"/>
                <w:szCs w:val="16"/>
                <w:lang w:val="fr-FR" w:eastAsia="ja-JP"/>
              </w:rPr>
              <w:t xml:space="preserve">Sens de déplacement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03436" w:rsidRPr="00803436" w:rsidRDefault="00803436" w:rsidP="0080343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803436" w:rsidRPr="00803436" w:rsidTr="00217DD6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03436" w:rsidRPr="00803436" w:rsidRDefault="00803436" w:rsidP="0080343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03436" w:rsidRPr="00803436" w:rsidRDefault="00803436" w:rsidP="0080343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803436" w:rsidRPr="00803436" w:rsidTr="00217DD6">
        <w:tc>
          <w:tcPr>
            <w:tcW w:w="2835" w:type="dxa"/>
            <w:shd w:val="clear" w:color="auto" w:fill="auto"/>
            <w:vAlign w:val="center"/>
          </w:tcPr>
          <w:p w:rsidR="00803436" w:rsidRPr="003B3EBF" w:rsidRDefault="00803436" w:rsidP="00803436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779"/>
                <w:tab w:val="left" w:pos="5931"/>
                <w:tab w:val="left" w:pos="7083"/>
                <w:tab w:val="left" w:pos="8235"/>
              </w:tabs>
              <w:kinsoku/>
              <w:overflowPunct/>
              <w:autoSpaceDE/>
              <w:autoSpaceDN/>
              <w:adjustRightInd/>
              <w:snapToGrid/>
              <w:spacing w:before="40" w:after="120"/>
              <w:ind w:right="1134"/>
              <w:rPr>
                <w:b/>
                <w:noProof/>
                <w:highlight w:val="lightGray"/>
                <w:lang w:val="fr-FR" w:eastAsia="ja-JP"/>
              </w:rPr>
            </w:pPr>
            <w:r w:rsidRPr="005C1DEB">
              <w:rPr>
                <w:b/>
                <w:noProof/>
                <w:lang w:val="fr-FR" w:eastAsia="ja-JP"/>
              </w:rPr>
              <w:t xml:space="preserve">Vers le haut </w:t>
            </w:r>
          </w:p>
        </w:tc>
        <w:tc>
          <w:tcPr>
            <w:tcW w:w="4536" w:type="dxa"/>
            <w:shd w:val="clear" w:color="auto" w:fill="auto"/>
          </w:tcPr>
          <w:p w:rsidR="00803436" w:rsidRPr="005C1DEB" w:rsidRDefault="00803436" w:rsidP="00217DD6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144"/>
                <w:tab w:val="left" w:pos="4779"/>
                <w:tab w:val="left" w:pos="5931"/>
                <w:tab w:val="left" w:pos="7083"/>
                <w:tab w:val="left" w:pos="8235"/>
              </w:tabs>
              <w:kinsoku/>
              <w:overflowPunct/>
              <w:autoSpaceDE/>
              <w:autoSpaceDN/>
              <w:adjustRightInd/>
              <w:snapToGrid/>
              <w:spacing w:before="40" w:after="120"/>
              <w:ind w:right="188"/>
              <w:rPr>
                <w:b/>
                <w:noProof/>
                <w:lang w:val="fr-FR" w:eastAsia="ja-JP"/>
              </w:rPr>
            </w:pPr>
            <w:r>
              <w:rPr>
                <w:b/>
                <w:noProof/>
                <w:lang w:val="fr-FR"/>
              </w:rPr>
              <w:t xml:space="preserve">Supérieure à 1,0 mrad mais inférieure </w:t>
            </w:r>
            <w:r w:rsidR="00217DD6">
              <w:rPr>
                <w:b/>
                <w:noProof/>
                <w:lang w:val="fr-FR"/>
              </w:rPr>
              <w:t>ou égale</w:t>
            </w:r>
            <w:r w:rsidR="00217DD6">
              <w:rPr>
                <w:b/>
                <w:noProof/>
                <w:lang w:val="fr-FR"/>
              </w:rPr>
              <w:br/>
            </w:r>
            <w:r w:rsidRPr="005C1DEB">
              <w:rPr>
                <w:b/>
                <w:noProof/>
                <w:lang w:val="fr-FR"/>
              </w:rPr>
              <w:t xml:space="preserve">à 1,5 mrad </w:t>
            </w:r>
            <w:r w:rsidRPr="009C2A65">
              <w:rPr>
                <w:b/>
                <w:noProof/>
              </w:rPr>
              <w:t xml:space="preserve">(1,0 mrad &lt; </w:t>
            </w:r>
            <w:r w:rsidRPr="005C1DEB">
              <w:rPr>
                <w:b/>
                <w:noProof/>
                <w:lang w:val="en-US"/>
              </w:rPr>
              <w:t>Δ</w:t>
            </w:r>
            <w:r w:rsidRPr="009C2A65">
              <w:rPr>
                <w:b/>
                <w:noProof/>
              </w:rPr>
              <w:t xml:space="preserve"> r</w:t>
            </w:r>
            <w:r w:rsidRPr="009C2A65">
              <w:rPr>
                <w:b/>
                <w:noProof/>
                <w:vertAlign w:val="subscript"/>
              </w:rPr>
              <w:t>I</w:t>
            </w:r>
            <w:r w:rsidRPr="009C2A65">
              <w:rPr>
                <w:b/>
                <w:noProof/>
              </w:rPr>
              <w:t xml:space="preserve"> </w:t>
            </w:r>
            <w:r w:rsidRPr="009C2A65">
              <w:rPr>
                <w:b/>
                <w:noProof/>
                <w:u w:val="single"/>
              </w:rPr>
              <w:t>&lt;</w:t>
            </w:r>
            <w:r w:rsidRPr="009C2A65">
              <w:rPr>
                <w:b/>
                <w:noProof/>
              </w:rPr>
              <w:t xml:space="preserve"> 1,5 mrad)</w:t>
            </w:r>
          </w:p>
        </w:tc>
      </w:tr>
      <w:tr w:rsidR="00803436" w:rsidRPr="00803436" w:rsidTr="00217DD6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3436" w:rsidRPr="003B3EBF" w:rsidRDefault="00803436" w:rsidP="00803436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779"/>
                <w:tab w:val="left" w:pos="5931"/>
                <w:tab w:val="left" w:pos="7083"/>
                <w:tab w:val="left" w:pos="8235"/>
              </w:tabs>
              <w:kinsoku/>
              <w:overflowPunct/>
              <w:autoSpaceDE/>
              <w:autoSpaceDN/>
              <w:adjustRightInd/>
              <w:snapToGrid/>
              <w:spacing w:before="40" w:after="120"/>
              <w:ind w:right="1134"/>
              <w:rPr>
                <w:b/>
                <w:noProof/>
                <w:highlight w:val="lightGray"/>
                <w:lang w:val="fr-FR" w:eastAsia="ja-JP"/>
              </w:rPr>
            </w:pPr>
            <w:r w:rsidRPr="005C1DEB">
              <w:rPr>
                <w:b/>
                <w:noProof/>
                <w:lang w:val="fr-FR" w:eastAsia="ja-JP"/>
              </w:rPr>
              <w:t xml:space="preserve">Vers le bas 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:rsidR="00803436" w:rsidRPr="005C1DEB" w:rsidRDefault="00803436" w:rsidP="00803436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144"/>
                <w:tab w:val="left" w:pos="4779"/>
                <w:tab w:val="left" w:pos="5931"/>
                <w:tab w:val="left" w:pos="7083"/>
                <w:tab w:val="left" w:pos="8235"/>
              </w:tabs>
              <w:kinsoku/>
              <w:overflowPunct/>
              <w:autoSpaceDE/>
              <w:autoSpaceDN/>
              <w:adjustRightInd/>
              <w:snapToGrid/>
              <w:spacing w:before="40" w:after="120"/>
              <w:ind w:right="188"/>
              <w:rPr>
                <w:b/>
                <w:noProof/>
                <w:lang w:val="fr-FR"/>
              </w:rPr>
            </w:pPr>
            <w:r w:rsidRPr="005C1DEB">
              <w:rPr>
                <w:b/>
                <w:noProof/>
                <w:lang w:val="fr-FR"/>
              </w:rPr>
              <w:t>Supérieure à 2,</w:t>
            </w:r>
            <w:r>
              <w:rPr>
                <w:b/>
                <w:noProof/>
                <w:lang w:val="fr-FR"/>
              </w:rPr>
              <w:t>0 mrad mais inférieure ou égale</w:t>
            </w:r>
            <w:r>
              <w:rPr>
                <w:b/>
                <w:noProof/>
                <w:lang w:val="fr-FR"/>
              </w:rPr>
              <w:br/>
            </w:r>
            <w:r w:rsidRPr="005C1DEB">
              <w:rPr>
                <w:b/>
                <w:noProof/>
                <w:lang w:val="fr-FR"/>
              </w:rPr>
              <w:t>à 3,0 mrad</w:t>
            </w:r>
            <w:r>
              <w:rPr>
                <w:b/>
                <w:noProof/>
                <w:lang w:val="fr-FR"/>
              </w:rPr>
              <w:t xml:space="preserve"> (</w:t>
            </w:r>
            <w:r w:rsidRPr="009C2A65">
              <w:rPr>
                <w:b/>
                <w:noProof/>
                <w:lang w:eastAsia="ja-JP"/>
              </w:rPr>
              <w:t xml:space="preserve">2,0 mrad &lt; </w:t>
            </w:r>
            <w:r w:rsidRPr="00820DF4">
              <w:rPr>
                <w:b/>
                <w:noProof/>
                <w:lang w:val="en-US" w:eastAsia="ja-JP"/>
              </w:rPr>
              <w:t>Δ</w:t>
            </w:r>
            <w:r w:rsidRPr="009C2A65">
              <w:rPr>
                <w:b/>
                <w:noProof/>
                <w:lang w:eastAsia="ja-JP"/>
              </w:rPr>
              <w:t xml:space="preserve"> r</w:t>
            </w:r>
            <w:r w:rsidRPr="009C2A65">
              <w:rPr>
                <w:b/>
                <w:noProof/>
                <w:vertAlign w:val="subscript"/>
                <w:lang w:eastAsia="ja-JP"/>
              </w:rPr>
              <w:t>I</w:t>
            </w:r>
            <w:r w:rsidRPr="009C2A65">
              <w:rPr>
                <w:b/>
                <w:noProof/>
                <w:lang w:eastAsia="ja-JP"/>
              </w:rPr>
              <w:t xml:space="preserve"> </w:t>
            </w:r>
            <w:r w:rsidRPr="009C2A65">
              <w:rPr>
                <w:b/>
                <w:noProof/>
                <w:u w:val="single"/>
                <w:lang w:eastAsia="ja-JP"/>
              </w:rPr>
              <w:t>&lt;</w:t>
            </w:r>
            <w:r w:rsidRPr="009C2A65">
              <w:rPr>
                <w:b/>
                <w:noProof/>
                <w:lang w:eastAsia="ja-JP"/>
              </w:rPr>
              <w:t xml:space="preserve"> 3,0 mrad)</w:t>
            </w:r>
          </w:p>
        </w:tc>
      </w:tr>
    </w:tbl>
    <w:p w:rsidR="008230BC" w:rsidRPr="00B92004" w:rsidRDefault="008230BC" w:rsidP="00803436">
      <w:pPr>
        <w:pStyle w:val="SingleTxtG"/>
        <w:spacing w:before="240"/>
        <w:ind w:left="2268"/>
        <w:rPr>
          <w:noProof/>
          <w:lang w:val="fr-FR" w:eastAsia="ja-JP"/>
        </w:rPr>
      </w:pPr>
      <w:r w:rsidRPr="00B92004">
        <w:rPr>
          <w:noProof/>
          <w:lang w:val="fr-FR" w:eastAsia="ja-JP"/>
        </w:rPr>
        <w:t xml:space="preserve">Un </w:t>
      </w:r>
      <w:r w:rsidRPr="00B92004">
        <w:rPr>
          <w:strike/>
          <w:noProof/>
          <w:lang w:val="fr-FR" w:eastAsia="ja-JP"/>
        </w:rPr>
        <w:t>second</w:t>
      </w:r>
      <w:r w:rsidRPr="00B92004">
        <w:rPr>
          <w:noProof/>
          <w:lang w:val="fr-FR" w:eastAsia="ja-JP"/>
        </w:rPr>
        <w:t xml:space="preserve"> </w:t>
      </w:r>
      <w:r w:rsidRPr="00B92004">
        <w:rPr>
          <w:b/>
          <w:noProof/>
          <w:lang w:val="fr-FR" w:eastAsia="ja-JP"/>
        </w:rPr>
        <w:t>autre échantillon de</w:t>
      </w:r>
      <w:r w:rsidRPr="00B92004">
        <w:rPr>
          <w:noProof/>
          <w:lang w:val="fr-FR" w:eastAsia="ja-JP"/>
        </w:rPr>
        <w:t xml:space="preserve"> projecteur </w:t>
      </w:r>
      <w:r w:rsidRPr="003B3EBF">
        <w:rPr>
          <w:b/>
          <w:noProof/>
          <w:lang w:val="fr-FR" w:eastAsia="ja-JP"/>
        </w:rPr>
        <w:t>monté sur un appareillage d’essai représentatif de son installation correcte sur le véhicule</w:t>
      </w:r>
      <w:r w:rsidRPr="003B3EBF">
        <w:rPr>
          <w:noProof/>
          <w:lang w:val="fr-FR" w:eastAsia="ja-JP"/>
        </w:rPr>
        <w:t xml:space="preserve"> </w:t>
      </w:r>
      <w:r w:rsidRPr="00B92004">
        <w:rPr>
          <w:noProof/>
          <w:lang w:val="fr-FR" w:eastAsia="ja-JP"/>
        </w:rPr>
        <w:t xml:space="preserve">est mis à l’essai comme prévu au paragraphe 2.1, après avoir été soumis trois fois de suite au cycle décrit ci-dessous, afin de stabiliser la position des parties mécaniques du projecteur </w:t>
      </w:r>
      <w:r w:rsidRPr="00B92004">
        <w:rPr>
          <w:strike/>
          <w:noProof/>
          <w:lang w:val="fr-FR" w:eastAsia="ja-JP"/>
        </w:rPr>
        <w:t>sur un support représentatif de son installation correcte sur le véhicule</w:t>
      </w:r>
      <w:r w:rsidR="00A05DC1">
        <w:rPr>
          <w:strike/>
          <w:noProof/>
          <w:lang w:val="fr-FR" w:eastAsia="ja-JP"/>
        </w:rPr>
        <w:t> </w:t>
      </w:r>
      <w:r w:rsidRPr="00B92004">
        <w:rPr>
          <w:noProof/>
          <w:lang w:val="fr-FR" w:eastAsia="ja-JP"/>
        </w:rPr>
        <w:t>:</w:t>
      </w:r>
    </w:p>
    <w:p w:rsidR="008230BC" w:rsidRPr="005C1DEB" w:rsidRDefault="008230BC" w:rsidP="00C14DC6">
      <w:pPr>
        <w:pStyle w:val="SingleTxtG"/>
        <w:ind w:left="2268"/>
        <w:rPr>
          <w:strike/>
          <w:noProof/>
          <w:lang w:val="fr-FR"/>
        </w:rPr>
      </w:pPr>
      <w:r w:rsidRPr="005C1DEB">
        <w:rPr>
          <w:strike/>
          <w:noProof/>
          <w:lang w:val="fr-FR"/>
        </w:rPr>
        <w:t>Allumage du feu de croisement pendant une heure (la tension d’alimentation étant réglée comme prévu au paragraphe 1.1.1.2)</w:t>
      </w:r>
      <w:r w:rsidR="00A05DC1">
        <w:rPr>
          <w:strike/>
          <w:noProof/>
          <w:lang w:val="fr-FR"/>
        </w:rPr>
        <w:t> </w:t>
      </w:r>
      <w:r w:rsidRPr="005C1DEB">
        <w:rPr>
          <w:strike/>
          <w:noProof/>
          <w:lang w:val="fr-FR"/>
        </w:rPr>
        <w:t xml:space="preserve">; </w:t>
      </w:r>
    </w:p>
    <w:p w:rsidR="008230BC" w:rsidRPr="005C1DEB" w:rsidRDefault="008230BC" w:rsidP="00C14DC6">
      <w:pPr>
        <w:pStyle w:val="SingleTxtG"/>
        <w:ind w:left="2268"/>
        <w:rPr>
          <w:strike/>
          <w:noProof/>
          <w:lang w:val="fr-FR" w:eastAsia="ja-JP"/>
        </w:rPr>
      </w:pPr>
      <w:r w:rsidRPr="005C1DEB">
        <w:rPr>
          <w:noProof/>
          <w:lang w:val="fr-FR" w:eastAsia="ja-JP"/>
        </w:rPr>
        <w:tab/>
      </w:r>
      <w:r w:rsidRPr="005C1DEB">
        <w:rPr>
          <w:strike/>
          <w:noProof/>
          <w:lang w:val="fr-FR" w:eastAsia="ja-JP"/>
        </w:rPr>
        <w:t>1 heure d’arrêt.</w:t>
      </w:r>
    </w:p>
    <w:p w:rsidR="008230BC" w:rsidRPr="005C1DEB" w:rsidRDefault="008230BC" w:rsidP="00C14DC6">
      <w:pPr>
        <w:pStyle w:val="SingleTxtG"/>
        <w:ind w:left="2268"/>
        <w:rPr>
          <w:strike/>
          <w:noProof/>
          <w:lang w:val="fr-FR" w:eastAsia="ja-JP"/>
        </w:rPr>
      </w:pPr>
      <w:r w:rsidRPr="000F5164">
        <w:rPr>
          <w:noProof/>
          <w:lang w:val="fr-FR" w:eastAsia="ja-JP"/>
        </w:rPr>
        <w:lastRenderedPageBreak/>
        <w:tab/>
      </w:r>
      <w:r w:rsidRPr="005C1DEB">
        <w:rPr>
          <w:strike/>
          <w:noProof/>
          <w:lang w:val="fr-FR" w:eastAsia="ja-JP"/>
        </w:rPr>
        <w:t xml:space="preserve">Le type de projecteur est considéré comme acceptable si la moyenne des valeurs absolues ∆rI mesurée sur le premier échantillon et ∆rII mesurée sur le second échantillon est inférieure ou égale à 1,0 mrad. </w:t>
      </w:r>
    </w:p>
    <w:p w:rsidR="008230BC" w:rsidRDefault="00C14DC6" w:rsidP="00C14DC6">
      <w:pPr>
        <w:pStyle w:val="SingleTxtG"/>
        <w:ind w:left="2268"/>
        <w:rPr>
          <w:b/>
          <w:noProof/>
          <w:lang w:val="fr-FR" w:eastAsia="ja-JP"/>
        </w:rPr>
      </w:pPr>
      <w:r>
        <w:rPr>
          <w:b/>
          <w:noProof/>
          <w:lang w:val="fr-FR" w:eastAsia="ja-JP"/>
        </w:rPr>
        <w:t>a)</w:t>
      </w:r>
      <w:r w:rsidR="008230BC">
        <w:rPr>
          <w:b/>
          <w:noProof/>
          <w:lang w:val="fr-FR" w:eastAsia="ja-JP"/>
        </w:rPr>
        <w:tab/>
      </w:r>
      <w:r w:rsidR="008230BC" w:rsidRPr="003B3EBF">
        <w:rPr>
          <w:b/>
          <w:noProof/>
          <w:lang w:val="fr-FR" w:eastAsia="ja-JP"/>
        </w:rPr>
        <w:t xml:space="preserve">1 heure de fonctionnement du </w:t>
      </w:r>
      <w:r w:rsidR="008230BC" w:rsidRPr="003B3EBF">
        <w:rPr>
          <w:b/>
          <w:noProof/>
          <w:lang w:eastAsia="ja-JP"/>
        </w:rPr>
        <w:t xml:space="preserve">projecteur </w:t>
      </w:r>
      <w:r w:rsidR="008230BC" w:rsidRPr="003B3EBF">
        <w:rPr>
          <w:b/>
          <w:noProof/>
          <w:lang w:val="fr-FR" w:eastAsia="ja-JP"/>
        </w:rPr>
        <w:t>(la tension étant réglée comme prévu au paragraphe 1.1.1.2</w:t>
      </w:r>
      <w:r w:rsidR="008230BC">
        <w:rPr>
          <w:b/>
          <w:noProof/>
          <w:lang w:val="fr-FR" w:eastAsia="ja-JP"/>
        </w:rPr>
        <w:t xml:space="preserve"> </w:t>
      </w:r>
      <w:r w:rsidR="008230BC" w:rsidRPr="003B3EBF">
        <w:rPr>
          <w:b/>
          <w:noProof/>
          <w:lang w:val="fr-FR" w:eastAsia="ja-JP"/>
        </w:rPr>
        <w:t>de la présente annexe)</w:t>
      </w:r>
      <w:r w:rsidR="00A05DC1">
        <w:rPr>
          <w:b/>
          <w:noProof/>
          <w:lang w:val="fr-FR" w:eastAsia="ja-JP"/>
        </w:rPr>
        <w:t> </w:t>
      </w:r>
      <w:r w:rsidR="008230BC" w:rsidRPr="003B3EBF">
        <w:rPr>
          <w:b/>
          <w:noProof/>
          <w:lang w:val="fr-FR" w:eastAsia="ja-JP"/>
        </w:rPr>
        <w:t>;</w:t>
      </w:r>
    </w:p>
    <w:p w:rsidR="008230BC" w:rsidRDefault="008230BC" w:rsidP="00C14DC6">
      <w:pPr>
        <w:pStyle w:val="SingleTxtG"/>
        <w:ind w:left="2268"/>
        <w:rPr>
          <w:b/>
          <w:noProof/>
          <w:lang w:val="fr-FR" w:eastAsia="ja-JP"/>
        </w:rPr>
      </w:pPr>
      <w:r w:rsidRPr="005F7606">
        <w:rPr>
          <w:b/>
          <w:noProof/>
          <w:lang w:val="fr-FR" w:eastAsia="ja-JP"/>
        </w:rPr>
        <w:t>b)</w:t>
      </w:r>
      <w:r w:rsidRPr="005F7606">
        <w:rPr>
          <w:b/>
          <w:noProof/>
          <w:lang w:val="fr-FR" w:eastAsia="ja-JP"/>
        </w:rPr>
        <w:tab/>
      </w:r>
      <w:r>
        <w:rPr>
          <w:b/>
          <w:noProof/>
          <w:lang w:val="fr-FR" w:eastAsia="ja-JP"/>
        </w:rPr>
        <w:t>1 heure de mise hors tension du projecteur</w:t>
      </w:r>
      <w:r w:rsidRPr="005F7606">
        <w:rPr>
          <w:b/>
          <w:noProof/>
          <w:lang w:val="fr-FR" w:eastAsia="ja-JP"/>
        </w:rPr>
        <w:t>.</w:t>
      </w:r>
    </w:p>
    <w:p w:rsidR="008230BC" w:rsidRPr="005C1DEB" w:rsidRDefault="008230BC" w:rsidP="00C14DC6">
      <w:pPr>
        <w:pStyle w:val="SingleTxtG"/>
        <w:ind w:left="2268"/>
        <w:rPr>
          <w:b/>
          <w:noProof/>
          <w:lang w:val="fr-FR" w:eastAsia="ja-JP"/>
        </w:rPr>
      </w:pPr>
      <w:r w:rsidRPr="003B3EBF">
        <w:rPr>
          <w:b/>
          <w:bCs/>
          <w:noProof/>
          <w:lang w:val="fr-FR" w:eastAsia="ja-JP"/>
        </w:rPr>
        <w:t>Après avoir été soumis trois fois de suite à ce cycle</w:t>
      </w:r>
      <w:r w:rsidRPr="003B3EBF">
        <w:rPr>
          <w:b/>
          <w:noProof/>
          <w:lang w:val="fr-FR" w:eastAsia="ja-JP"/>
        </w:rPr>
        <w:t xml:space="preserve">, le </w:t>
      </w:r>
      <w:r w:rsidRPr="003B3EBF">
        <w:rPr>
          <w:b/>
          <w:bCs/>
          <w:noProof/>
          <w:lang w:val="fr-FR" w:eastAsia="ja-JP"/>
        </w:rPr>
        <w:t xml:space="preserve">projecteur </w:t>
      </w:r>
      <w:r w:rsidRPr="003B3EBF">
        <w:rPr>
          <w:b/>
          <w:noProof/>
          <w:lang w:val="fr-FR" w:eastAsia="ja-JP"/>
        </w:rPr>
        <w:t xml:space="preserve">est considéré comme acceptable si les </w:t>
      </w:r>
      <w:r>
        <w:rPr>
          <w:b/>
          <w:noProof/>
          <w:lang w:val="fr-FR" w:eastAsia="ja-JP"/>
        </w:rPr>
        <w:t xml:space="preserve">valeurs absolues </w:t>
      </w:r>
      <w:r w:rsidRPr="003B3EBF">
        <w:rPr>
          <w:b/>
          <w:noProof/>
          <w:lang w:val="fr-FR" w:eastAsia="ja-JP"/>
        </w:rPr>
        <w:t xml:space="preserve">∆r mesurées sur cet autre échantillon comme prévu au paragraphe </w:t>
      </w:r>
      <w:r w:rsidRPr="003B3EBF">
        <w:rPr>
          <w:b/>
          <w:bCs/>
          <w:noProof/>
          <w:lang w:val="fr-FR" w:eastAsia="ja-JP"/>
        </w:rPr>
        <w:t xml:space="preserve">2.1 ci-dessus </w:t>
      </w:r>
      <w:r w:rsidRPr="003B3EBF">
        <w:rPr>
          <w:b/>
          <w:noProof/>
          <w:lang w:eastAsia="ja-JP"/>
        </w:rPr>
        <w:t xml:space="preserve">satisfont aux prescriptions du </w:t>
      </w:r>
      <w:r w:rsidRPr="003B3EBF">
        <w:rPr>
          <w:b/>
          <w:bCs/>
          <w:noProof/>
          <w:lang w:val="fr-FR" w:eastAsia="ja-JP"/>
        </w:rPr>
        <w:t>paragraphe 2.2.1. ci-dessus</w:t>
      </w:r>
      <w:r w:rsidRPr="00A741F3">
        <w:rPr>
          <w:b/>
          <w:noProof/>
          <w:lang w:val="fr-FR" w:eastAsia="ja-JP"/>
        </w:rPr>
        <w:t>.</w:t>
      </w:r>
      <w:r w:rsidRPr="00A741F3">
        <w:rPr>
          <w:noProof/>
          <w:lang w:val="fr-FR" w:eastAsia="ja-JP"/>
        </w:rPr>
        <w:t> »</w:t>
      </w:r>
      <w:r w:rsidR="00A741F3">
        <w:rPr>
          <w:noProof/>
          <w:lang w:val="fr-FR" w:eastAsia="ja-JP"/>
        </w:rPr>
        <w:t>.</w:t>
      </w:r>
    </w:p>
    <w:p w:rsidR="008230BC" w:rsidRPr="0029265F" w:rsidRDefault="008230BC" w:rsidP="00C14DC6">
      <w:pPr>
        <w:pStyle w:val="SingleTxtG"/>
        <w:rPr>
          <w:noProof/>
          <w:lang w:val="fr-FR" w:eastAsia="ja-JP"/>
        </w:rPr>
      </w:pPr>
      <w:r w:rsidRPr="00C14DC6">
        <w:rPr>
          <w:i/>
          <w:noProof/>
          <w:lang w:val="fr-FR" w:eastAsia="ja-JP"/>
        </w:rPr>
        <w:t xml:space="preserve">Annexe 5, paragraphe </w:t>
      </w:r>
      <w:r w:rsidR="00C14DC6" w:rsidRPr="00C14DC6">
        <w:rPr>
          <w:i/>
          <w:noProof/>
          <w:lang w:val="fr-FR" w:eastAsia="ja-JP"/>
        </w:rPr>
        <w:t>1.4</w:t>
      </w:r>
      <w:r w:rsidRPr="0029265F">
        <w:rPr>
          <w:noProof/>
          <w:lang w:val="fr-FR" w:eastAsia="ja-JP"/>
        </w:rPr>
        <w:t xml:space="preserve">, modifier comme </w:t>
      </w:r>
      <w:r w:rsidR="00C14DC6">
        <w:rPr>
          <w:noProof/>
          <w:lang w:val="fr-FR" w:eastAsia="ja-JP"/>
        </w:rPr>
        <w:t>suit </w:t>
      </w:r>
      <w:r w:rsidRPr="0029265F">
        <w:rPr>
          <w:noProof/>
          <w:lang w:val="fr-FR" w:eastAsia="ja-JP"/>
        </w:rPr>
        <w:t>:</w:t>
      </w:r>
    </w:p>
    <w:p w:rsidR="008230BC" w:rsidRPr="005C1DEB" w:rsidRDefault="00C14DC6" w:rsidP="00C14DC6">
      <w:pPr>
        <w:pStyle w:val="SingleTxtG"/>
        <w:ind w:left="2268" w:hanging="1134"/>
        <w:rPr>
          <w:noProof/>
          <w:lang w:val="fr-FR" w:eastAsia="ja-JP"/>
        </w:rPr>
      </w:pPr>
      <w:r>
        <w:rPr>
          <w:noProof/>
          <w:lang w:val="fr-FR" w:eastAsia="ja-JP"/>
        </w:rPr>
        <w:t>« 1.4</w:t>
      </w:r>
      <w:r w:rsidR="008230BC" w:rsidRPr="005C1DEB">
        <w:rPr>
          <w:noProof/>
          <w:lang w:val="fr-FR" w:eastAsia="ja-JP"/>
        </w:rPr>
        <w:tab/>
      </w:r>
      <w:r w:rsidR="008230BC" w:rsidRPr="005C1DEB">
        <w:rPr>
          <w:noProof/>
          <w:lang w:eastAsia="ja-JP"/>
        </w:rPr>
        <w:tab/>
        <w:t xml:space="preserve">Pour vérifier le déplacement de la position verticale de la ligne de coupure sous l’effet de la chaleur, la méthode ci-dessous est appliquée (pour des projecteurs des </w:t>
      </w:r>
      <w:r w:rsidR="00A05DC1">
        <w:rPr>
          <w:noProof/>
          <w:lang w:eastAsia="ja-JP"/>
        </w:rPr>
        <w:t>classes B, C, D et E seulement) </w:t>
      </w:r>
      <w:r w:rsidR="008230BC" w:rsidRPr="005C1DEB">
        <w:rPr>
          <w:noProof/>
          <w:lang w:eastAsia="ja-JP"/>
        </w:rPr>
        <w:t>:</w:t>
      </w:r>
    </w:p>
    <w:p w:rsidR="008230BC" w:rsidRPr="005C1DEB" w:rsidRDefault="008230BC" w:rsidP="00C14DC6">
      <w:pPr>
        <w:pStyle w:val="SingleTxtG"/>
        <w:ind w:left="2268"/>
        <w:rPr>
          <w:noProof/>
          <w:lang w:val="fr-FR" w:eastAsia="ja-JP"/>
        </w:rPr>
      </w:pPr>
      <w:r w:rsidRPr="005C1DEB">
        <w:rPr>
          <w:noProof/>
          <w:lang w:eastAsia="ja-JP"/>
        </w:rPr>
        <w:t xml:space="preserve">Un des projecteurs prélevés est soumis aux essais conformément à la méthode prévue au paragraphe 2.1 de l’annexe 4, après avoir été soumis trois fois de suite au cycle défini au paragraphe 2.2.2 de l’annexe 4. </w:t>
      </w:r>
    </w:p>
    <w:p w:rsidR="008230BC" w:rsidRPr="005C1DEB" w:rsidRDefault="008230BC" w:rsidP="00C14DC6">
      <w:pPr>
        <w:pStyle w:val="SingleTxtG"/>
        <w:ind w:left="2268"/>
        <w:rPr>
          <w:noProof/>
          <w:lang w:val="fr-FR" w:eastAsia="ja-JP"/>
        </w:rPr>
      </w:pPr>
      <w:r w:rsidRPr="005C1DEB">
        <w:rPr>
          <w:noProof/>
          <w:lang w:eastAsia="ja-JP"/>
        </w:rPr>
        <w:t>Le projecteur est considéré comme acceptable si ∆r ne dépasse pas 1,5</w:t>
      </w:r>
      <w:r w:rsidR="00A05DC1">
        <w:rPr>
          <w:noProof/>
          <w:lang w:eastAsia="ja-JP"/>
        </w:rPr>
        <w:t> </w:t>
      </w:r>
      <w:r w:rsidRPr="005C1DEB">
        <w:rPr>
          <w:noProof/>
          <w:lang w:eastAsia="ja-JP"/>
        </w:rPr>
        <w:t xml:space="preserve">mrad </w:t>
      </w:r>
      <w:r w:rsidR="001B2692">
        <w:rPr>
          <w:b/>
          <w:noProof/>
          <w:lang w:eastAsia="ja-JP"/>
        </w:rPr>
        <w:t>vers le haut et 2,5 </w:t>
      </w:r>
      <w:r w:rsidRPr="005C1DEB">
        <w:rPr>
          <w:b/>
          <w:noProof/>
          <w:lang w:eastAsia="ja-JP"/>
        </w:rPr>
        <w:t>mrad vers le bas.</w:t>
      </w:r>
    </w:p>
    <w:p w:rsidR="008230BC" w:rsidRPr="000F5164" w:rsidRDefault="00A05DC1" w:rsidP="00C14DC6">
      <w:pPr>
        <w:pStyle w:val="SingleTxtG"/>
        <w:ind w:left="2268"/>
        <w:rPr>
          <w:bCs/>
          <w:noProof/>
          <w:lang w:val="fr-FR" w:eastAsia="ja-JP"/>
        </w:rPr>
      </w:pPr>
      <w:r>
        <w:rPr>
          <w:bCs/>
          <w:noProof/>
          <w:lang w:eastAsia="ja-JP"/>
        </w:rPr>
        <w:t>Si cette valeur dépasse 1,5 </w:t>
      </w:r>
      <w:r w:rsidR="008230BC" w:rsidRPr="005C1DEB">
        <w:rPr>
          <w:bCs/>
          <w:noProof/>
          <w:lang w:eastAsia="ja-JP"/>
        </w:rPr>
        <w:t xml:space="preserve">mrad sans excéder 2 mrad </w:t>
      </w:r>
      <w:r w:rsidR="008230BC" w:rsidRPr="005C1DEB">
        <w:rPr>
          <w:b/>
          <w:bCs/>
          <w:noProof/>
          <w:lang w:eastAsia="ja-JP"/>
        </w:rPr>
        <w:t>vers le haut ou si elle dé</w:t>
      </w:r>
      <w:r w:rsidR="001B2692">
        <w:rPr>
          <w:b/>
          <w:bCs/>
          <w:noProof/>
          <w:lang w:eastAsia="ja-JP"/>
        </w:rPr>
        <w:t>passe 2,5 mrad sans excéder 3,0 </w:t>
      </w:r>
      <w:r w:rsidR="008230BC" w:rsidRPr="005C1DEB">
        <w:rPr>
          <w:b/>
          <w:bCs/>
          <w:noProof/>
          <w:lang w:eastAsia="ja-JP"/>
        </w:rPr>
        <w:t>mrad vers le bas</w:t>
      </w:r>
      <w:r w:rsidR="008230BC" w:rsidRPr="005C1DEB">
        <w:rPr>
          <w:bCs/>
          <w:noProof/>
          <w:lang w:eastAsia="ja-JP"/>
        </w:rPr>
        <w:t>, un second spécimen est soumis à l’essai, après quoi la moyenne des valeurs absolues enregistrées pour les deux spécimens ne doi</w:t>
      </w:r>
      <w:r w:rsidR="001B2692">
        <w:rPr>
          <w:bCs/>
          <w:noProof/>
          <w:lang w:eastAsia="ja-JP"/>
        </w:rPr>
        <w:t>t pas dépasser 1,5 </w:t>
      </w:r>
      <w:r w:rsidR="008230BC" w:rsidRPr="005C1DEB">
        <w:rPr>
          <w:bCs/>
          <w:noProof/>
          <w:lang w:eastAsia="ja-JP"/>
        </w:rPr>
        <w:t xml:space="preserve">mrad </w:t>
      </w:r>
      <w:r>
        <w:rPr>
          <w:b/>
          <w:bCs/>
          <w:noProof/>
          <w:lang w:eastAsia="ja-JP"/>
        </w:rPr>
        <w:t>vers le haut et 2,5 </w:t>
      </w:r>
      <w:r w:rsidR="008230BC" w:rsidRPr="005C1DEB">
        <w:rPr>
          <w:b/>
          <w:bCs/>
          <w:noProof/>
          <w:lang w:eastAsia="ja-JP"/>
        </w:rPr>
        <w:t>mrad vers le bas</w:t>
      </w:r>
      <w:r w:rsidR="008230BC" w:rsidRPr="005C1DEB">
        <w:rPr>
          <w:bCs/>
          <w:noProof/>
          <w:lang w:eastAsia="ja-JP"/>
        </w:rPr>
        <w:t>.</w:t>
      </w:r>
      <w:r>
        <w:rPr>
          <w:bCs/>
          <w:noProof/>
          <w:lang w:eastAsia="ja-JP"/>
        </w:rPr>
        <w:t> </w:t>
      </w:r>
      <w:r w:rsidR="008230BC" w:rsidRPr="005C1DEB">
        <w:rPr>
          <w:bCs/>
          <w:noProof/>
          <w:lang w:eastAsia="ja-JP"/>
        </w:rPr>
        <w:t>»</w:t>
      </w:r>
      <w:r>
        <w:rPr>
          <w:bCs/>
          <w:noProof/>
          <w:lang w:eastAsia="ja-JP"/>
        </w:rPr>
        <w:t>.</w:t>
      </w:r>
    </w:p>
    <w:p w:rsidR="008230BC" w:rsidRPr="000F5164" w:rsidRDefault="00C14DC6" w:rsidP="00C14DC6">
      <w:pPr>
        <w:pStyle w:val="H1G"/>
        <w:rPr>
          <w:noProof/>
          <w:lang w:val="fr-FR"/>
        </w:rPr>
      </w:pPr>
      <w:r>
        <w:rPr>
          <w:noProof/>
          <w:lang w:val="fr-FR"/>
        </w:rPr>
        <w:tab/>
        <w:t>E.</w:t>
      </w:r>
      <w:r>
        <w:rPr>
          <w:noProof/>
          <w:lang w:val="fr-FR"/>
        </w:rPr>
        <w:tab/>
      </w:r>
      <w:r w:rsidR="008230BC" w:rsidRPr="00B92004">
        <w:rPr>
          <w:noProof/>
          <w:lang w:val="fr-FR"/>
        </w:rPr>
        <w:t>Complément 8 à la série 01 d’amendements au Règlement n</w:t>
      </w:r>
      <w:r w:rsidR="008230BC" w:rsidRPr="00B92004">
        <w:rPr>
          <w:noProof/>
          <w:vertAlign w:val="superscript"/>
          <w:lang w:val="fr-FR"/>
        </w:rPr>
        <w:t>o</w:t>
      </w:r>
      <w:r>
        <w:rPr>
          <w:noProof/>
          <w:lang w:val="fr-FR"/>
        </w:rPr>
        <w:t> </w:t>
      </w:r>
      <w:r w:rsidR="008230BC" w:rsidRPr="00B92004">
        <w:rPr>
          <w:noProof/>
          <w:lang w:val="fr-FR"/>
        </w:rPr>
        <w:t>123</w:t>
      </w:r>
      <w:r>
        <w:rPr>
          <w:noProof/>
          <w:lang w:val="fr-FR"/>
        </w:rPr>
        <w:br/>
      </w:r>
      <w:r w:rsidR="008230BC" w:rsidRPr="000F5164">
        <w:rPr>
          <w:noProof/>
          <w:lang w:val="fr-FR"/>
        </w:rPr>
        <w:t>(</w:t>
      </w:r>
      <w:r w:rsidR="008230BC" w:rsidRPr="005C1DEB">
        <w:rPr>
          <w:noProof/>
        </w:rPr>
        <w:t>Systèmes d’éclairage avant actifs (AFS)</w:t>
      </w:r>
      <w:r w:rsidR="008230BC" w:rsidRPr="001D2CDD">
        <w:rPr>
          <w:noProof/>
        </w:rPr>
        <w:t>)</w:t>
      </w:r>
      <w:r w:rsidR="008230BC">
        <w:rPr>
          <w:noProof/>
        </w:rPr>
        <w:t> </w:t>
      </w:r>
      <w:r w:rsidR="008230BC" w:rsidRPr="000F5164">
        <w:rPr>
          <w:noProof/>
          <w:lang w:val="fr-FR"/>
        </w:rPr>
        <w:t>:</w:t>
      </w:r>
      <w:r w:rsidR="008230BC" w:rsidRPr="001D2CDD">
        <w:rPr>
          <w:noProof/>
          <w:lang w:val="fr-FR"/>
        </w:rPr>
        <w:t> </w:t>
      </w:r>
    </w:p>
    <w:p w:rsidR="008230BC" w:rsidRPr="000F5164" w:rsidRDefault="008230BC" w:rsidP="00C14DC6">
      <w:pPr>
        <w:pStyle w:val="SingleTxtG"/>
        <w:rPr>
          <w:noProof/>
          <w:lang w:val="fr-FR"/>
        </w:rPr>
      </w:pPr>
      <w:r w:rsidRPr="00B92004">
        <w:rPr>
          <w:i/>
          <w:iCs/>
          <w:noProof/>
          <w:lang w:val="fr-FR"/>
        </w:rPr>
        <w:t>Annexe 4, paragraphes 2.2.1. et 2.2.2,</w:t>
      </w:r>
      <w:r w:rsidRPr="00B92004">
        <w:rPr>
          <w:noProof/>
          <w:lang w:val="fr-FR"/>
        </w:rPr>
        <w:t xml:space="preserve"> modifier comme </w:t>
      </w:r>
      <w:r w:rsidR="00803436">
        <w:rPr>
          <w:noProof/>
          <w:lang w:val="fr-FR"/>
        </w:rPr>
        <w:t>suit </w:t>
      </w:r>
      <w:r w:rsidRPr="00B92004">
        <w:rPr>
          <w:noProof/>
          <w:lang w:val="fr-FR"/>
        </w:rPr>
        <w:t>:</w:t>
      </w:r>
    </w:p>
    <w:p w:rsidR="008230BC" w:rsidRPr="005C1DEB" w:rsidRDefault="00803436" w:rsidP="00C14DC6">
      <w:pPr>
        <w:pStyle w:val="SingleTxtG"/>
        <w:ind w:left="2268" w:hanging="1134"/>
        <w:rPr>
          <w:noProof/>
          <w:lang w:val="fr-FR" w:eastAsia="ja-JP"/>
        </w:rPr>
      </w:pPr>
      <w:r>
        <w:rPr>
          <w:noProof/>
          <w:lang w:val="fr-FR"/>
        </w:rPr>
        <w:t>« </w:t>
      </w:r>
      <w:r w:rsidR="001B2692">
        <w:rPr>
          <w:noProof/>
          <w:lang w:val="fr-FR"/>
        </w:rPr>
        <w:t>2.2.1</w:t>
      </w:r>
      <w:r w:rsidR="008230BC" w:rsidRPr="000F5164">
        <w:rPr>
          <w:noProof/>
          <w:lang w:val="fr-FR"/>
        </w:rPr>
        <w:tab/>
      </w:r>
      <w:r w:rsidR="008230BC" w:rsidRPr="005C1DEB">
        <w:rPr>
          <w:noProof/>
          <w:lang w:val="fr-FR" w:eastAsia="ja-JP"/>
        </w:rPr>
        <w:t xml:space="preserve">Le résultat exprimé en milliradians (mrad) est considéré comme acceptable pour un feu de croisement quand la valeur absolue </w:t>
      </w:r>
      <w:r w:rsidR="008230BC" w:rsidRPr="005C1DEB">
        <w:rPr>
          <w:noProof/>
          <w:lang w:val="en-GB" w:eastAsia="ja-JP"/>
        </w:rPr>
        <w:sym w:font="Symbol" w:char="F044"/>
      </w:r>
      <w:r w:rsidR="008230BC" w:rsidRPr="009C2A65">
        <w:rPr>
          <w:noProof/>
          <w:lang w:eastAsia="ja-JP"/>
        </w:rPr>
        <w:t xml:space="preserve"> r</w:t>
      </w:r>
      <w:r w:rsidR="008230BC" w:rsidRPr="009C2A65">
        <w:rPr>
          <w:noProof/>
          <w:vertAlign w:val="subscript"/>
          <w:lang w:eastAsia="ja-JP"/>
        </w:rPr>
        <w:t>1</w:t>
      </w:r>
      <w:r w:rsidR="008230BC" w:rsidRPr="009C2A65">
        <w:rPr>
          <w:noProof/>
          <w:lang w:eastAsia="ja-JP"/>
        </w:rPr>
        <w:t xml:space="preserve"> = </w:t>
      </w:r>
      <w:r w:rsidR="008230BC" w:rsidRPr="005C1DEB">
        <w:rPr>
          <w:noProof/>
          <w:lang w:val="en-GB" w:eastAsia="ja-JP"/>
        </w:rPr>
        <w:sym w:font="Symbol" w:char="F0BD"/>
      </w:r>
      <w:r w:rsidR="008230BC" w:rsidRPr="009C2A65">
        <w:rPr>
          <w:noProof/>
          <w:lang w:eastAsia="ja-JP"/>
        </w:rPr>
        <w:t xml:space="preserve"> r</w:t>
      </w:r>
      <w:r w:rsidR="008230BC" w:rsidRPr="009C2A65">
        <w:rPr>
          <w:noProof/>
          <w:vertAlign w:val="subscript"/>
          <w:lang w:eastAsia="ja-JP"/>
        </w:rPr>
        <w:t>3</w:t>
      </w:r>
      <w:r w:rsidR="008230BC" w:rsidRPr="009C2A65">
        <w:rPr>
          <w:noProof/>
          <w:lang w:eastAsia="ja-JP"/>
        </w:rPr>
        <w:t xml:space="preserve"> – r</w:t>
      </w:r>
      <w:r w:rsidR="008230BC" w:rsidRPr="009C2A65">
        <w:rPr>
          <w:noProof/>
          <w:vertAlign w:val="subscript"/>
          <w:lang w:eastAsia="ja-JP"/>
        </w:rPr>
        <w:t>60</w:t>
      </w:r>
      <w:r w:rsidR="008230BC" w:rsidRPr="009C2A65">
        <w:rPr>
          <w:noProof/>
          <w:lang w:eastAsia="ja-JP"/>
        </w:rPr>
        <w:t xml:space="preserve"> </w:t>
      </w:r>
      <w:r w:rsidR="008230BC" w:rsidRPr="005C1DEB">
        <w:rPr>
          <w:noProof/>
          <w:lang w:val="en-GB" w:eastAsia="ja-JP"/>
        </w:rPr>
        <w:sym w:font="Symbol" w:char="F0BD"/>
      </w:r>
      <w:r w:rsidR="008230BC" w:rsidRPr="009C2A65">
        <w:rPr>
          <w:noProof/>
          <w:lang w:eastAsia="ja-JP"/>
        </w:rPr>
        <w:t xml:space="preserve"> </w:t>
      </w:r>
      <w:r w:rsidR="008230BC" w:rsidRPr="005C1DEB">
        <w:rPr>
          <w:noProof/>
          <w:lang w:val="fr-FR" w:eastAsia="ja-JP"/>
        </w:rPr>
        <w:t>enregistrée sur le projecteur n’est pas s</w:t>
      </w:r>
      <w:r w:rsidR="001B2692">
        <w:rPr>
          <w:noProof/>
          <w:lang w:val="fr-FR" w:eastAsia="ja-JP"/>
        </w:rPr>
        <w:t>upérieure à 1,0 mrad (Δr1 ≤ 1,0 </w:t>
      </w:r>
      <w:r w:rsidR="008230BC" w:rsidRPr="005C1DEB">
        <w:rPr>
          <w:noProof/>
          <w:lang w:val="fr-FR" w:eastAsia="ja-JP"/>
        </w:rPr>
        <w:t>mrad) vers le haut n</w:t>
      </w:r>
      <w:r w:rsidR="001B2692">
        <w:rPr>
          <w:noProof/>
          <w:lang w:val="fr-FR" w:eastAsia="ja-JP"/>
        </w:rPr>
        <w:t>i à 2,0 </w:t>
      </w:r>
      <w:r w:rsidR="008230BC" w:rsidRPr="005C1DEB">
        <w:rPr>
          <w:noProof/>
          <w:lang w:val="fr-FR" w:eastAsia="ja-JP"/>
        </w:rPr>
        <w:t xml:space="preserve">mrad </w:t>
      </w:r>
      <w:r w:rsidR="008230BC" w:rsidRPr="009C2A65">
        <w:rPr>
          <w:noProof/>
          <w:lang w:eastAsia="ja-JP"/>
        </w:rPr>
        <w:t>(</w:t>
      </w:r>
      <w:r w:rsidR="008230BC" w:rsidRPr="005C1DEB">
        <w:rPr>
          <w:noProof/>
          <w:lang w:val="en-GB" w:eastAsia="ja-JP"/>
        </w:rPr>
        <w:sym w:font="Symbol" w:char="F044"/>
      </w:r>
      <w:r w:rsidR="008230BC" w:rsidRPr="009C2A65">
        <w:rPr>
          <w:noProof/>
          <w:lang w:eastAsia="ja-JP"/>
        </w:rPr>
        <w:t xml:space="preserve"> r</w:t>
      </w:r>
      <w:r w:rsidR="008230BC" w:rsidRPr="009C2A65">
        <w:rPr>
          <w:noProof/>
          <w:vertAlign w:val="subscript"/>
          <w:lang w:eastAsia="ja-JP"/>
        </w:rPr>
        <w:t>1</w:t>
      </w:r>
      <w:r w:rsidR="008230BC" w:rsidRPr="009C2A65">
        <w:rPr>
          <w:noProof/>
          <w:lang w:eastAsia="ja-JP"/>
        </w:rPr>
        <w:t xml:space="preserve"> </w:t>
      </w:r>
      <w:r w:rsidR="008230BC" w:rsidRPr="005C1DEB">
        <w:rPr>
          <w:noProof/>
          <w:lang w:val="en-GB" w:eastAsia="ja-JP"/>
        </w:rPr>
        <w:sym w:font="Symbol" w:char="F0A3"/>
      </w:r>
      <w:r w:rsidR="008230BC" w:rsidRPr="009C2A65">
        <w:rPr>
          <w:noProof/>
          <w:lang w:eastAsia="ja-JP"/>
        </w:rPr>
        <w:t xml:space="preserve"> 2,</w:t>
      </w:r>
      <w:r w:rsidR="001B2692" w:rsidRPr="009C2A65">
        <w:rPr>
          <w:noProof/>
          <w:lang w:eastAsia="ja-JP"/>
        </w:rPr>
        <w:t>0 </w:t>
      </w:r>
      <w:r w:rsidR="008230BC" w:rsidRPr="009C2A65">
        <w:rPr>
          <w:noProof/>
          <w:lang w:eastAsia="ja-JP"/>
        </w:rPr>
        <w:t xml:space="preserve">mrad) </w:t>
      </w:r>
      <w:r w:rsidR="008230BC" w:rsidRPr="005C1DEB">
        <w:rPr>
          <w:noProof/>
          <w:lang w:val="fr-FR" w:eastAsia="ja-JP"/>
        </w:rPr>
        <w:t>vers le bas.</w:t>
      </w:r>
    </w:p>
    <w:p w:rsidR="008230BC" w:rsidRDefault="001B2692" w:rsidP="00C14DC6">
      <w:pPr>
        <w:pStyle w:val="SingleTxtG"/>
        <w:ind w:left="2268" w:hanging="1134"/>
        <w:rPr>
          <w:noProof/>
          <w:lang w:val="fr-FR" w:eastAsia="ja-JP"/>
        </w:rPr>
      </w:pPr>
      <w:r>
        <w:rPr>
          <w:noProof/>
          <w:lang w:val="fr-FR" w:eastAsia="ja-JP"/>
        </w:rPr>
        <w:t>2.2.2</w:t>
      </w:r>
      <w:r w:rsidR="008230BC" w:rsidRPr="005C1DEB">
        <w:rPr>
          <w:noProof/>
          <w:lang w:val="fr-FR" w:eastAsia="ja-JP"/>
        </w:rPr>
        <w:tab/>
        <w:t>Cependant, si cette valeur est</w:t>
      </w:r>
      <w:r w:rsidR="00C14DC6">
        <w:rPr>
          <w:noProof/>
          <w:lang w:val="fr-FR" w:eastAsia="ja-JP"/>
        </w:rPr>
        <w:t> </w:t>
      </w:r>
      <w:r w:rsidR="008230BC" w:rsidRPr="005C1DEB">
        <w:rPr>
          <w:noProof/>
          <w:lang w:val="fr-FR" w:eastAsia="ja-JP"/>
        </w:rPr>
        <w:t>: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5"/>
      </w:tblGrid>
      <w:tr w:rsidR="00803436" w:rsidRPr="00803436" w:rsidTr="00217DD6"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436" w:rsidRPr="000F5164" w:rsidRDefault="00803436" w:rsidP="00217DD6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779"/>
                <w:tab w:val="left" w:pos="5931"/>
                <w:tab w:val="left" w:pos="7083"/>
                <w:tab w:val="left" w:pos="8235"/>
              </w:tabs>
              <w:kinsoku/>
              <w:overflowPunct/>
              <w:autoSpaceDE/>
              <w:autoSpaceDN/>
              <w:adjustRightInd/>
              <w:snapToGrid/>
              <w:spacing w:before="80" w:after="80" w:line="160" w:lineRule="exact"/>
              <w:ind w:right="1134"/>
              <w:rPr>
                <w:i/>
                <w:noProof/>
                <w:sz w:val="16"/>
                <w:szCs w:val="16"/>
                <w:highlight w:val="lightGray"/>
                <w:lang w:val="fr-FR" w:eastAsia="ja-JP"/>
              </w:rPr>
            </w:pPr>
            <w:r w:rsidRPr="005C1DEB">
              <w:rPr>
                <w:i/>
                <w:noProof/>
                <w:sz w:val="16"/>
                <w:szCs w:val="16"/>
                <w:lang w:val="fr-FR" w:eastAsia="ja-JP"/>
              </w:rPr>
              <w:t xml:space="preserve">Sens de déplacement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436" w:rsidRPr="005C1DEB" w:rsidRDefault="00803436" w:rsidP="00217DD6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779"/>
                <w:tab w:val="left" w:pos="5931"/>
                <w:tab w:val="left" w:pos="7083"/>
                <w:tab w:val="left" w:pos="8235"/>
              </w:tabs>
              <w:kinsoku/>
              <w:overflowPunct/>
              <w:autoSpaceDE/>
              <w:autoSpaceDN/>
              <w:adjustRightInd/>
              <w:snapToGrid/>
              <w:spacing w:before="80" w:after="80" w:line="160" w:lineRule="exact"/>
              <w:ind w:right="1134"/>
              <w:jc w:val="both"/>
              <w:rPr>
                <w:noProof/>
                <w:lang w:val="fr-FR" w:eastAsia="ja-JP"/>
              </w:rPr>
            </w:pPr>
          </w:p>
        </w:tc>
      </w:tr>
      <w:tr w:rsidR="00803436" w:rsidRPr="00803436" w:rsidTr="00217DD6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03436" w:rsidRPr="00803436" w:rsidRDefault="00803436" w:rsidP="0080343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03436" w:rsidRPr="00803436" w:rsidRDefault="00803436" w:rsidP="0080343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803436" w:rsidRPr="00803436" w:rsidTr="00217DD6">
        <w:tc>
          <w:tcPr>
            <w:tcW w:w="2835" w:type="dxa"/>
            <w:shd w:val="clear" w:color="auto" w:fill="auto"/>
            <w:vAlign w:val="center"/>
          </w:tcPr>
          <w:p w:rsidR="00803436" w:rsidRPr="000F5164" w:rsidRDefault="00803436" w:rsidP="00803436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779"/>
                <w:tab w:val="left" w:pos="5931"/>
                <w:tab w:val="left" w:pos="7083"/>
                <w:tab w:val="left" w:pos="8235"/>
              </w:tabs>
              <w:kinsoku/>
              <w:overflowPunct/>
              <w:autoSpaceDE/>
              <w:autoSpaceDN/>
              <w:adjustRightInd/>
              <w:snapToGrid/>
              <w:spacing w:before="40" w:after="120"/>
              <w:ind w:right="1134"/>
              <w:rPr>
                <w:noProof/>
                <w:highlight w:val="lightGray"/>
                <w:lang w:val="fr-FR" w:eastAsia="ja-JP"/>
              </w:rPr>
            </w:pPr>
            <w:r w:rsidRPr="005C1DEB">
              <w:rPr>
                <w:noProof/>
                <w:lang w:val="fr-FR" w:eastAsia="ja-JP"/>
              </w:rPr>
              <w:t xml:space="preserve">Vers le haut </w:t>
            </w:r>
          </w:p>
        </w:tc>
        <w:tc>
          <w:tcPr>
            <w:tcW w:w="4536" w:type="dxa"/>
            <w:shd w:val="clear" w:color="auto" w:fill="auto"/>
          </w:tcPr>
          <w:p w:rsidR="00803436" w:rsidRPr="005C1DEB" w:rsidRDefault="00803436" w:rsidP="00217DD6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144"/>
                <w:tab w:val="left" w:pos="4779"/>
                <w:tab w:val="left" w:pos="5931"/>
                <w:tab w:val="left" w:pos="7083"/>
                <w:tab w:val="left" w:pos="8235"/>
              </w:tabs>
              <w:kinsoku/>
              <w:overflowPunct/>
              <w:autoSpaceDE/>
              <w:autoSpaceDN/>
              <w:adjustRightInd/>
              <w:snapToGrid/>
              <w:spacing w:before="40" w:after="120"/>
              <w:ind w:right="188"/>
              <w:rPr>
                <w:noProof/>
                <w:lang w:val="fr-FR" w:eastAsia="ja-JP"/>
              </w:rPr>
            </w:pPr>
            <w:r w:rsidRPr="005C1DEB">
              <w:rPr>
                <w:noProof/>
                <w:lang w:val="fr-FR"/>
              </w:rPr>
              <w:t>Supérieure à 1,</w:t>
            </w:r>
            <w:r>
              <w:rPr>
                <w:noProof/>
                <w:lang w:val="fr-FR"/>
              </w:rPr>
              <w:t>0 mrad mais inférieure ou égale</w:t>
            </w:r>
            <w:r>
              <w:rPr>
                <w:noProof/>
                <w:lang w:val="fr-FR"/>
              </w:rPr>
              <w:br/>
            </w:r>
            <w:r w:rsidRPr="005C1DEB">
              <w:rPr>
                <w:noProof/>
                <w:lang w:val="fr-FR"/>
              </w:rPr>
              <w:t xml:space="preserve">à 1,5 mrad </w:t>
            </w:r>
            <w:r w:rsidRPr="009C2A65">
              <w:rPr>
                <w:noProof/>
              </w:rPr>
              <w:t>(1,0 mrad &lt; </w:t>
            </w:r>
            <w:r w:rsidRPr="005C1DEB">
              <w:rPr>
                <w:noProof/>
                <w:lang w:val="en-GB"/>
              </w:rPr>
              <w:t>Δ</w:t>
            </w:r>
            <w:r w:rsidRPr="009C2A65">
              <w:rPr>
                <w:noProof/>
              </w:rPr>
              <w:t>r</w:t>
            </w:r>
            <w:r w:rsidRPr="009C2A65">
              <w:rPr>
                <w:noProof/>
                <w:vertAlign w:val="subscript"/>
              </w:rPr>
              <w:t>I</w:t>
            </w:r>
            <w:r w:rsidRPr="009C2A65">
              <w:rPr>
                <w:noProof/>
              </w:rPr>
              <w:t xml:space="preserve"> </w:t>
            </w:r>
            <w:r w:rsidRPr="009C2A65">
              <w:rPr>
                <w:noProof/>
                <w:u w:val="single"/>
              </w:rPr>
              <w:t>&lt;</w:t>
            </w:r>
            <w:r w:rsidRPr="009C2A65">
              <w:rPr>
                <w:noProof/>
              </w:rPr>
              <w:t> 1,5 mrad)</w:t>
            </w:r>
            <w:r w:rsidRPr="005C1DEB">
              <w:rPr>
                <w:noProof/>
                <w:lang w:val="fr-FR"/>
              </w:rPr>
              <w:t xml:space="preserve"> </w:t>
            </w:r>
          </w:p>
        </w:tc>
      </w:tr>
      <w:tr w:rsidR="00803436" w:rsidRPr="00803436" w:rsidTr="00217DD6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3436" w:rsidRPr="000F5164" w:rsidRDefault="00803436" w:rsidP="00803436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779"/>
                <w:tab w:val="left" w:pos="5931"/>
                <w:tab w:val="left" w:pos="7083"/>
                <w:tab w:val="left" w:pos="8235"/>
              </w:tabs>
              <w:kinsoku/>
              <w:overflowPunct/>
              <w:autoSpaceDE/>
              <w:autoSpaceDN/>
              <w:adjustRightInd/>
              <w:snapToGrid/>
              <w:spacing w:before="40" w:after="120"/>
              <w:ind w:right="1134"/>
              <w:rPr>
                <w:noProof/>
                <w:highlight w:val="lightGray"/>
                <w:lang w:val="fr-FR" w:eastAsia="ja-JP"/>
              </w:rPr>
            </w:pPr>
            <w:r w:rsidRPr="005C1DEB">
              <w:rPr>
                <w:noProof/>
                <w:lang w:val="fr-FR" w:eastAsia="ja-JP"/>
              </w:rPr>
              <w:t xml:space="preserve">Vers le bas 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:rsidR="00803436" w:rsidRPr="005C1DEB" w:rsidRDefault="00803436" w:rsidP="00803436">
            <w:pPr>
              <w:widowControl w:val="0"/>
              <w:tabs>
                <w:tab w:val="left" w:pos="1851"/>
                <w:tab w:val="left" w:pos="2268"/>
                <w:tab w:val="left" w:pos="2475"/>
                <w:tab w:val="left" w:pos="3627"/>
                <w:tab w:val="left" w:pos="4144"/>
                <w:tab w:val="left" w:pos="4779"/>
                <w:tab w:val="left" w:pos="5931"/>
                <w:tab w:val="left" w:pos="7083"/>
                <w:tab w:val="left" w:pos="8235"/>
              </w:tabs>
              <w:kinsoku/>
              <w:overflowPunct/>
              <w:autoSpaceDE/>
              <w:autoSpaceDN/>
              <w:adjustRightInd/>
              <w:snapToGrid/>
              <w:spacing w:before="40" w:after="120"/>
              <w:ind w:right="188"/>
              <w:rPr>
                <w:noProof/>
                <w:lang w:val="fr-FR" w:eastAsia="ja-JP"/>
              </w:rPr>
            </w:pPr>
            <w:r w:rsidRPr="005C1DEB">
              <w:rPr>
                <w:noProof/>
                <w:lang w:val="fr-FR"/>
              </w:rPr>
              <w:t>Supérieure à 2,0 mrad</w:t>
            </w:r>
            <w:r w:rsidR="00217DD6">
              <w:rPr>
                <w:noProof/>
                <w:lang w:val="fr-FR"/>
              </w:rPr>
              <w:t xml:space="preserve"> mais inférieure ou égale</w:t>
            </w:r>
            <w:r w:rsidR="00217DD6">
              <w:rPr>
                <w:noProof/>
                <w:lang w:val="fr-FR"/>
              </w:rPr>
              <w:br/>
            </w:r>
            <w:r>
              <w:rPr>
                <w:noProof/>
                <w:lang w:val="fr-FR"/>
              </w:rPr>
              <w:t>à 3,0 </w:t>
            </w:r>
            <w:r w:rsidRPr="005C1DEB">
              <w:rPr>
                <w:noProof/>
                <w:lang w:val="fr-FR"/>
              </w:rPr>
              <w:t xml:space="preserve">mrad </w:t>
            </w:r>
            <w:r w:rsidRPr="009C2A65">
              <w:rPr>
                <w:noProof/>
              </w:rPr>
              <w:t>(2,0 mrad &lt; </w:t>
            </w:r>
            <w:r w:rsidRPr="005C1DEB">
              <w:rPr>
                <w:noProof/>
                <w:lang w:val="en-GB"/>
              </w:rPr>
              <w:t>Δ</w:t>
            </w:r>
            <w:r w:rsidRPr="009C2A65">
              <w:rPr>
                <w:noProof/>
              </w:rPr>
              <w:t>r</w:t>
            </w:r>
            <w:r w:rsidRPr="009C2A65">
              <w:rPr>
                <w:noProof/>
                <w:vertAlign w:val="subscript"/>
              </w:rPr>
              <w:t>I</w:t>
            </w:r>
            <w:r w:rsidRPr="009C2A65">
              <w:rPr>
                <w:noProof/>
              </w:rPr>
              <w:t xml:space="preserve"> </w:t>
            </w:r>
            <w:r w:rsidRPr="009C2A65">
              <w:rPr>
                <w:noProof/>
                <w:u w:val="single"/>
              </w:rPr>
              <w:t>&lt;</w:t>
            </w:r>
            <w:r w:rsidRPr="009C2A65">
              <w:rPr>
                <w:noProof/>
              </w:rPr>
              <w:t xml:space="preserve"> 3,0 mrad)</w:t>
            </w:r>
          </w:p>
        </w:tc>
      </w:tr>
    </w:tbl>
    <w:p w:rsidR="008230BC" w:rsidRPr="005C1DEB" w:rsidRDefault="008230BC" w:rsidP="00217DD6">
      <w:pPr>
        <w:pStyle w:val="SingleTxtG"/>
        <w:keepNext/>
        <w:keepLines/>
        <w:spacing w:before="240"/>
        <w:ind w:left="2268"/>
        <w:rPr>
          <w:strike/>
          <w:noProof/>
          <w:lang w:val="fr-FR"/>
        </w:rPr>
      </w:pPr>
      <w:r w:rsidRPr="005C1DEB">
        <w:rPr>
          <w:strike/>
          <w:noProof/>
          <w:lang w:val="fr-FR"/>
        </w:rPr>
        <w:lastRenderedPageBreak/>
        <w:t>Un autre échantillon de projecteur est soumis à l’essai comme prévu au paragraphe 2.1, après avoir subi trois fois de suite le cycle de fonctionnement décrit ci-dessous afin de stabiliser le positionnement des parties mécaniques du projecteur, placé sur un support représentatif de son installation correcte sur le véhicule</w:t>
      </w:r>
      <w:r w:rsidR="00C14DC6">
        <w:rPr>
          <w:strike/>
          <w:noProof/>
          <w:lang w:val="fr-FR"/>
        </w:rPr>
        <w:t> </w:t>
      </w:r>
      <w:r w:rsidRPr="005C1DEB">
        <w:rPr>
          <w:strike/>
          <w:noProof/>
          <w:lang w:val="fr-FR"/>
        </w:rPr>
        <w:t>:</w:t>
      </w:r>
    </w:p>
    <w:p w:rsidR="008230BC" w:rsidRPr="005C1DEB" w:rsidRDefault="008230BC" w:rsidP="00C14DC6">
      <w:pPr>
        <w:pStyle w:val="SingleTxtG"/>
        <w:ind w:left="2268"/>
        <w:rPr>
          <w:strike/>
          <w:noProof/>
          <w:lang w:val="fr-FR"/>
        </w:rPr>
      </w:pPr>
      <w:r w:rsidRPr="005C1DEB">
        <w:rPr>
          <w:strike/>
          <w:noProof/>
          <w:lang w:val="fr-FR"/>
        </w:rPr>
        <w:t>Allumage du feu de croisement pendant une heure (la tension d’alimentation étant réglée comme prévu au paragraphe 1.1.1.2)</w:t>
      </w:r>
      <w:r w:rsidR="00C14DC6">
        <w:rPr>
          <w:strike/>
          <w:noProof/>
          <w:lang w:val="fr-FR"/>
        </w:rPr>
        <w:t> </w:t>
      </w:r>
      <w:r w:rsidRPr="005C1DEB">
        <w:rPr>
          <w:strike/>
          <w:noProof/>
          <w:lang w:val="fr-FR"/>
        </w:rPr>
        <w:t xml:space="preserve">; </w:t>
      </w:r>
    </w:p>
    <w:p w:rsidR="008230BC" w:rsidRPr="005C1DEB" w:rsidRDefault="008230BC" w:rsidP="00C14DC6">
      <w:pPr>
        <w:pStyle w:val="SingleTxtG"/>
        <w:ind w:left="2268"/>
        <w:rPr>
          <w:strike/>
          <w:noProof/>
          <w:lang w:val="fr-FR" w:eastAsia="ja-JP"/>
        </w:rPr>
      </w:pPr>
      <w:r w:rsidRPr="005C1DEB">
        <w:rPr>
          <w:strike/>
          <w:noProof/>
          <w:lang w:val="fr-FR" w:eastAsia="ja-JP"/>
        </w:rPr>
        <w:t>À la fin de cette période d’une heure, le type de projecteur est considéré comme acceptable si la valeur absolue Δr mesurée sur l’échantillon satisfait aux prescriptions du paragraphe 2.2.1 ci-dessus.</w:t>
      </w:r>
      <w:r w:rsidR="00A741F3">
        <w:rPr>
          <w:strike/>
          <w:noProof/>
          <w:lang w:val="fr-FR" w:eastAsia="ja-JP"/>
        </w:rPr>
        <w:t> </w:t>
      </w:r>
      <w:r w:rsidRPr="005C1DEB">
        <w:rPr>
          <w:strike/>
          <w:noProof/>
          <w:lang w:val="fr-FR" w:eastAsia="ja-JP"/>
        </w:rPr>
        <w:t xml:space="preserve">». </w:t>
      </w:r>
    </w:p>
    <w:p w:rsidR="008230BC" w:rsidRPr="00D3659F" w:rsidRDefault="008230BC" w:rsidP="00C14DC6">
      <w:pPr>
        <w:pStyle w:val="SingleTxtG"/>
        <w:ind w:left="2268"/>
        <w:rPr>
          <w:b/>
          <w:noProof/>
          <w:lang w:eastAsia="ja-JP"/>
        </w:rPr>
      </w:pPr>
      <w:r w:rsidRPr="00D3659F">
        <w:rPr>
          <w:b/>
          <w:noProof/>
          <w:lang w:eastAsia="ja-JP"/>
        </w:rPr>
        <w:t xml:space="preserve">Un autre </w:t>
      </w:r>
      <w:r w:rsidRPr="00D3659F">
        <w:rPr>
          <w:b/>
          <w:noProof/>
          <w:lang w:val="fr-FR" w:eastAsia="ja-JP"/>
        </w:rPr>
        <w:t xml:space="preserve">échantillon </w:t>
      </w:r>
      <w:r w:rsidRPr="00D3659F">
        <w:rPr>
          <w:b/>
          <w:noProof/>
          <w:lang w:eastAsia="ja-JP"/>
        </w:rPr>
        <w:t xml:space="preserve">de projecteur </w:t>
      </w:r>
      <w:r w:rsidRPr="00D3659F">
        <w:rPr>
          <w:b/>
          <w:noProof/>
          <w:lang w:val="fr-FR" w:eastAsia="ja-JP"/>
        </w:rPr>
        <w:t xml:space="preserve">monté sur un appareillage d’essai représentatif de son installation correcte sur le véhicule </w:t>
      </w:r>
      <w:r w:rsidRPr="00D3659F">
        <w:rPr>
          <w:b/>
          <w:noProof/>
          <w:lang w:eastAsia="ja-JP"/>
        </w:rPr>
        <w:t xml:space="preserve">est mis à l’essai comme prévu au paragraphe 2.1 </w:t>
      </w:r>
      <w:r w:rsidRPr="00D3659F">
        <w:rPr>
          <w:b/>
          <w:noProof/>
          <w:lang w:val="fr-FR" w:eastAsia="ja-JP"/>
        </w:rPr>
        <w:t>ci-dessus,</w:t>
      </w:r>
      <w:r w:rsidRPr="00D3659F">
        <w:rPr>
          <w:b/>
          <w:noProof/>
          <w:lang w:eastAsia="ja-JP"/>
        </w:rPr>
        <w:t xml:space="preserve"> après avoir été soumis trois fois de suite au cycle décrit ci-dessous, afin de stabiliser la position des p</w:t>
      </w:r>
      <w:r w:rsidR="00C14DC6">
        <w:rPr>
          <w:b/>
          <w:noProof/>
          <w:lang w:eastAsia="ja-JP"/>
        </w:rPr>
        <w:t>arties mécaniques du projecteur </w:t>
      </w:r>
      <w:r w:rsidRPr="00D3659F">
        <w:rPr>
          <w:b/>
          <w:noProof/>
          <w:lang w:eastAsia="ja-JP"/>
        </w:rPr>
        <w:t>:</w:t>
      </w:r>
    </w:p>
    <w:p w:rsidR="008230BC" w:rsidRPr="00D3659F" w:rsidRDefault="00C14DC6" w:rsidP="00803436">
      <w:pPr>
        <w:pStyle w:val="SingleTxtG"/>
        <w:ind w:left="2268"/>
        <w:rPr>
          <w:b/>
          <w:noProof/>
          <w:lang w:val="fr-FR" w:eastAsia="ja-JP"/>
        </w:rPr>
      </w:pPr>
      <w:r>
        <w:rPr>
          <w:b/>
          <w:noProof/>
          <w:lang w:val="fr-FR" w:eastAsia="ja-JP"/>
        </w:rPr>
        <w:t>a)</w:t>
      </w:r>
      <w:r w:rsidR="008230BC">
        <w:rPr>
          <w:b/>
          <w:noProof/>
          <w:lang w:val="fr-FR" w:eastAsia="ja-JP"/>
        </w:rPr>
        <w:tab/>
      </w:r>
      <w:r>
        <w:rPr>
          <w:b/>
          <w:noProof/>
          <w:lang w:val="fr-FR" w:eastAsia="ja-JP"/>
        </w:rPr>
        <w:t>1 </w:t>
      </w:r>
      <w:r w:rsidR="008230BC" w:rsidRPr="00D3659F">
        <w:rPr>
          <w:b/>
          <w:noProof/>
          <w:lang w:val="fr-FR" w:eastAsia="ja-JP"/>
        </w:rPr>
        <w:t xml:space="preserve">heure de fonctionnement du </w:t>
      </w:r>
      <w:r w:rsidR="008230BC" w:rsidRPr="00D3659F">
        <w:rPr>
          <w:b/>
          <w:noProof/>
          <w:lang w:eastAsia="ja-JP"/>
        </w:rPr>
        <w:t xml:space="preserve">projecteur </w:t>
      </w:r>
      <w:r w:rsidR="008230BC" w:rsidRPr="00D3659F">
        <w:rPr>
          <w:b/>
          <w:noProof/>
          <w:lang w:val="fr-FR" w:eastAsia="ja-JP"/>
        </w:rPr>
        <w:t>(la tension étant réglée comme prévu au paragraphe 1.1.</w:t>
      </w:r>
      <w:r w:rsidR="008230BC">
        <w:rPr>
          <w:b/>
          <w:noProof/>
          <w:lang w:val="fr-FR" w:eastAsia="ja-JP"/>
        </w:rPr>
        <w:t>1.</w:t>
      </w:r>
      <w:r w:rsidR="008230BC" w:rsidRPr="00D3659F">
        <w:rPr>
          <w:b/>
          <w:noProof/>
          <w:lang w:val="fr-FR" w:eastAsia="ja-JP"/>
        </w:rPr>
        <w:t>2 de la présente annexe)</w:t>
      </w:r>
      <w:r w:rsidR="00A741F3">
        <w:rPr>
          <w:b/>
          <w:noProof/>
          <w:lang w:val="fr-FR" w:eastAsia="ja-JP"/>
        </w:rPr>
        <w:t> </w:t>
      </w:r>
      <w:r w:rsidR="008230BC" w:rsidRPr="00D3659F">
        <w:rPr>
          <w:b/>
          <w:noProof/>
          <w:lang w:val="fr-FR" w:eastAsia="ja-JP"/>
        </w:rPr>
        <w:t>;</w:t>
      </w:r>
    </w:p>
    <w:p w:rsidR="008230BC" w:rsidRPr="00D3659F" w:rsidRDefault="008230BC" w:rsidP="00803436">
      <w:pPr>
        <w:pStyle w:val="SingleTxtG"/>
        <w:ind w:left="2268"/>
        <w:rPr>
          <w:b/>
          <w:noProof/>
          <w:lang w:val="fr-FR" w:eastAsia="ja-JP"/>
        </w:rPr>
      </w:pPr>
      <w:r w:rsidRPr="00D3659F">
        <w:rPr>
          <w:b/>
          <w:noProof/>
          <w:lang w:val="fr-FR" w:eastAsia="ja-JP"/>
        </w:rPr>
        <w:t>b)</w:t>
      </w:r>
      <w:r w:rsidRPr="00D3659F">
        <w:rPr>
          <w:b/>
          <w:noProof/>
          <w:lang w:val="fr-FR" w:eastAsia="ja-JP"/>
        </w:rPr>
        <w:tab/>
      </w:r>
      <w:r w:rsidR="00C14DC6">
        <w:rPr>
          <w:b/>
          <w:noProof/>
          <w:lang w:val="fr-FR" w:eastAsia="ja-JP"/>
        </w:rPr>
        <w:t>1 </w:t>
      </w:r>
      <w:r w:rsidRPr="00D3659F">
        <w:rPr>
          <w:b/>
          <w:noProof/>
          <w:lang w:val="fr-FR" w:eastAsia="ja-JP"/>
        </w:rPr>
        <w:t>heure de mise hors tension du projecteur.</w:t>
      </w:r>
    </w:p>
    <w:p w:rsidR="008230BC" w:rsidRPr="000F5164" w:rsidRDefault="008230BC" w:rsidP="00C14DC6">
      <w:pPr>
        <w:pStyle w:val="SingleTxtG"/>
        <w:ind w:left="2268"/>
        <w:rPr>
          <w:rFonts w:eastAsia="MS Mincho"/>
          <w:b/>
          <w:noProof/>
          <w:szCs w:val="24"/>
          <w:lang w:val="fr-FR"/>
        </w:rPr>
      </w:pPr>
      <w:r w:rsidRPr="003B3EBF">
        <w:rPr>
          <w:rFonts w:eastAsia="MS Mincho"/>
          <w:b/>
          <w:bCs/>
          <w:noProof/>
          <w:lang w:val="fr-FR"/>
        </w:rPr>
        <w:t>Après avoir été soumis trois fois de suite à ce cycle</w:t>
      </w:r>
      <w:r w:rsidRPr="003B3EBF">
        <w:rPr>
          <w:rFonts w:eastAsia="MS Mincho"/>
          <w:b/>
          <w:noProof/>
          <w:lang w:val="fr-FR"/>
        </w:rPr>
        <w:t xml:space="preserve">, le </w:t>
      </w:r>
      <w:r w:rsidRPr="003B3EBF">
        <w:rPr>
          <w:rFonts w:eastAsia="MS Mincho"/>
          <w:b/>
          <w:bCs/>
          <w:noProof/>
          <w:lang w:val="fr-FR"/>
        </w:rPr>
        <w:t xml:space="preserve">projecteur </w:t>
      </w:r>
      <w:r w:rsidRPr="003B3EBF">
        <w:rPr>
          <w:rFonts w:eastAsia="MS Mincho"/>
          <w:b/>
          <w:noProof/>
          <w:lang w:val="fr-FR"/>
        </w:rPr>
        <w:t>est considéré comme acceptable si les valeurs absolues ∆r</w:t>
      </w:r>
      <w:r w:rsidR="00A60AEB">
        <w:rPr>
          <w:rFonts w:eastAsia="MS Mincho"/>
          <w:b/>
          <w:noProof/>
          <w:lang w:val="fr-FR"/>
        </w:rPr>
        <w:t xml:space="preserve"> </w:t>
      </w:r>
      <w:r w:rsidRPr="003B3EBF">
        <w:rPr>
          <w:rFonts w:eastAsia="MS Mincho"/>
          <w:b/>
          <w:noProof/>
          <w:lang w:val="fr-FR"/>
        </w:rPr>
        <w:t>mesurées sur cet autre échant</w:t>
      </w:r>
      <w:r w:rsidR="00C14DC6">
        <w:rPr>
          <w:rFonts w:eastAsia="MS Mincho"/>
          <w:b/>
          <w:noProof/>
          <w:lang w:val="fr-FR"/>
        </w:rPr>
        <w:t>illon comme prévu au paragraphe </w:t>
      </w:r>
      <w:r w:rsidR="00C14DC6">
        <w:rPr>
          <w:rFonts w:eastAsia="MS Mincho"/>
          <w:b/>
          <w:bCs/>
          <w:noProof/>
          <w:lang w:val="fr-FR"/>
        </w:rPr>
        <w:t>2.1</w:t>
      </w:r>
      <w:r w:rsidRPr="003B3EBF">
        <w:rPr>
          <w:rFonts w:eastAsia="MS Mincho"/>
          <w:b/>
          <w:bCs/>
          <w:noProof/>
          <w:lang w:val="fr-FR"/>
        </w:rPr>
        <w:t xml:space="preserve"> ci-dessus </w:t>
      </w:r>
      <w:r w:rsidRPr="003B3EBF">
        <w:rPr>
          <w:rFonts w:eastAsia="MS Mincho"/>
          <w:b/>
          <w:noProof/>
        </w:rPr>
        <w:t xml:space="preserve">satisfont aux prescriptions du </w:t>
      </w:r>
      <w:r w:rsidR="00C14DC6">
        <w:rPr>
          <w:rFonts w:eastAsia="MS Mincho"/>
          <w:b/>
          <w:bCs/>
          <w:noProof/>
          <w:lang w:val="fr-FR"/>
        </w:rPr>
        <w:t xml:space="preserve">paragraphe 2.2.1 </w:t>
      </w:r>
      <w:r w:rsidRPr="003B3EBF">
        <w:rPr>
          <w:rFonts w:eastAsia="MS Mincho"/>
          <w:b/>
          <w:bCs/>
          <w:noProof/>
          <w:lang w:val="fr-FR"/>
        </w:rPr>
        <w:t>ci-dessus</w:t>
      </w:r>
      <w:r w:rsidRPr="00A741F3">
        <w:rPr>
          <w:rFonts w:eastAsia="MS Mincho"/>
          <w:noProof/>
          <w:lang w:val="fr-FR"/>
        </w:rPr>
        <w:t>. »</w:t>
      </w:r>
      <w:r w:rsidR="00A741F3">
        <w:rPr>
          <w:rFonts w:eastAsia="MS Mincho"/>
          <w:noProof/>
          <w:lang w:val="fr-FR"/>
        </w:rPr>
        <w:t>.</w:t>
      </w:r>
    </w:p>
    <w:p w:rsidR="008230BC" w:rsidRPr="000F5164" w:rsidRDefault="008230BC" w:rsidP="00C14DC6">
      <w:pPr>
        <w:pStyle w:val="HChG"/>
        <w:rPr>
          <w:noProof/>
          <w:lang w:val="fr-FR"/>
        </w:rPr>
      </w:pPr>
      <w:r w:rsidRPr="000F5164">
        <w:rPr>
          <w:noProof/>
          <w:lang w:val="fr-FR"/>
        </w:rPr>
        <w:tab/>
      </w:r>
      <w:r w:rsidRPr="0029265F">
        <w:rPr>
          <w:noProof/>
          <w:lang w:val="fr-FR"/>
        </w:rPr>
        <w:t>II.</w:t>
      </w:r>
      <w:r w:rsidRPr="0029265F">
        <w:rPr>
          <w:noProof/>
          <w:lang w:val="fr-FR"/>
        </w:rPr>
        <w:tab/>
        <w:t>Justification</w:t>
      </w:r>
    </w:p>
    <w:p w:rsidR="00B23F2D" w:rsidRDefault="008230BC" w:rsidP="00C14DC6">
      <w:pPr>
        <w:pStyle w:val="SingleTxtG"/>
        <w:ind w:firstLine="567"/>
        <w:rPr>
          <w:noProof/>
          <w:lang w:val="fr-FR"/>
        </w:rPr>
      </w:pPr>
      <w:r>
        <w:rPr>
          <w:noProof/>
          <w:lang w:val="fr-FR"/>
        </w:rPr>
        <w:t>Cet</w:t>
      </w:r>
      <w:r w:rsidRPr="003D559E">
        <w:rPr>
          <w:noProof/>
          <w:lang w:val="fr-FR"/>
        </w:rPr>
        <w:t xml:space="preserve"> amend</w:t>
      </w:r>
      <w:r>
        <w:rPr>
          <w:noProof/>
          <w:lang w:val="fr-FR"/>
        </w:rPr>
        <w:t>e</w:t>
      </w:r>
      <w:r w:rsidRPr="003D559E">
        <w:rPr>
          <w:noProof/>
          <w:lang w:val="fr-FR"/>
        </w:rPr>
        <w:t>ment collecti</w:t>
      </w:r>
      <w:r>
        <w:rPr>
          <w:noProof/>
          <w:lang w:val="fr-FR"/>
        </w:rPr>
        <w:t xml:space="preserve">f relatif à </w:t>
      </w:r>
      <w:r w:rsidRPr="003D559E">
        <w:rPr>
          <w:noProof/>
          <w:lang w:val="fr-FR"/>
        </w:rPr>
        <w:t xml:space="preserve">la </w:t>
      </w:r>
      <w:r w:rsidRPr="005C1DEB">
        <w:rPr>
          <w:noProof/>
          <w:lang w:val="fr-FR"/>
        </w:rPr>
        <w:t>stabilité du comportement photométrique</w:t>
      </w:r>
      <w:r w:rsidRPr="003D559E">
        <w:rPr>
          <w:noProof/>
          <w:lang w:val="fr-FR"/>
        </w:rPr>
        <w:t xml:space="preserve"> durant l</w:t>
      </w:r>
      <w:r>
        <w:rPr>
          <w:noProof/>
          <w:lang w:val="fr-FR"/>
        </w:rPr>
        <w:t xml:space="preserve">es essais portant sur </w:t>
      </w:r>
      <w:r w:rsidRPr="003D559E">
        <w:rPr>
          <w:noProof/>
          <w:lang w:val="fr-FR"/>
        </w:rPr>
        <w:t xml:space="preserve">la chaleur, </w:t>
      </w:r>
      <w:r>
        <w:rPr>
          <w:noProof/>
          <w:lang w:val="fr-FR"/>
        </w:rPr>
        <w:t xml:space="preserve">s’agissant en </w:t>
      </w:r>
      <w:r w:rsidRPr="003D559E">
        <w:rPr>
          <w:noProof/>
          <w:lang w:val="fr-FR"/>
        </w:rPr>
        <w:t>particuli</w:t>
      </w:r>
      <w:r>
        <w:rPr>
          <w:noProof/>
          <w:lang w:val="fr-FR"/>
        </w:rPr>
        <w:t xml:space="preserve">er du </w:t>
      </w:r>
      <w:r w:rsidRPr="00CE62AE">
        <w:rPr>
          <w:noProof/>
        </w:rPr>
        <w:t xml:space="preserve">déplacement de la ligne de </w:t>
      </w:r>
      <w:r>
        <w:rPr>
          <w:noProof/>
        </w:rPr>
        <w:t xml:space="preserve">coupure, </w:t>
      </w:r>
      <w:r w:rsidRPr="00CE62AE">
        <w:rPr>
          <w:noProof/>
          <w:lang w:val="fr-FR"/>
        </w:rPr>
        <w:t>fourni</w:t>
      </w:r>
      <w:r>
        <w:rPr>
          <w:noProof/>
          <w:lang w:val="fr-FR"/>
        </w:rPr>
        <w:t>t</w:t>
      </w:r>
      <w:r w:rsidRPr="00CE62AE">
        <w:rPr>
          <w:noProof/>
          <w:lang w:val="fr-FR"/>
        </w:rPr>
        <w:t xml:space="preserve"> des éclaircissements concernant le cycle d’essai</w:t>
      </w:r>
      <w:r>
        <w:rPr>
          <w:noProof/>
          <w:lang w:val="fr-FR"/>
        </w:rPr>
        <w:t xml:space="preserve"> </w:t>
      </w:r>
      <w:r w:rsidRPr="003D559E">
        <w:rPr>
          <w:noProof/>
          <w:lang w:val="fr-FR"/>
        </w:rPr>
        <w:t xml:space="preserve">et </w:t>
      </w:r>
      <w:r>
        <w:rPr>
          <w:noProof/>
          <w:lang w:val="fr-FR"/>
        </w:rPr>
        <w:t xml:space="preserve">harmonise en outre </w:t>
      </w:r>
      <w:r w:rsidRPr="003D559E">
        <w:rPr>
          <w:noProof/>
          <w:lang w:val="fr-FR"/>
        </w:rPr>
        <w:t xml:space="preserve">les </w:t>
      </w:r>
      <w:r>
        <w:rPr>
          <w:noProof/>
          <w:lang w:val="fr-FR"/>
        </w:rPr>
        <w:t xml:space="preserve">prescriptions </w:t>
      </w:r>
      <w:r w:rsidRPr="003D559E">
        <w:rPr>
          <w:noProof/>
          <w:lang w:val="fr-FR"/>
        </w:rPr>
        <w:t xml:space="preserve">des </w:t>
      </w:r>
      <w:r>
        <w:rPr>
          <w:noProof/>
          <w:lang w:val="fr-FR"/>
        </w:rPr>
        <w:t>R</w:t>
      </w:r>
      <w:r w:rsidRPr="003D559E">
        <w:rPr>
          <w:noProof/>
          <w:lang w:val="fr-FR"/>
        </w:rPr>
        <w:t xml:space="preserve">èglements </w:t>
      </w:r>
      <w:r w:rsidR="00C14DC6">
        <w:rPr>
          <w:noProof/>
          <w:lang w:val="fr-FR"/>
        </w:rPr>
        <w:t>n</w:t>
      </w:r>
      <w:r w:rsidR="00C14DC6" w:rsidRPr="00C14DC6">
        <w:rPr>
          <w:noProof/>
          <w:vertAlign w:val="superscript"/>
          <w:lang w:val="fr-FR"/>
        </w:rPr>
        <w:t>os</w:t>
      </w:r>
      <w:r w:rsidR="00C14DC6">
        <w:rPr>
          <w:noProof/>
          <w:lang w:val="fr-FR"/>
        </w:rPr>
        <w:t> </w:t>
      </w:r>
      <w:r w:rsidRPr="003D559E">
        <w:rPr>
          <w:noProof/>
          <w:lang w:val="fr-FR"/>
        </w:rPr>
        <w:t xml:space="preserve">19, 98, 112, 113 et 123. </w:t>
      </w:r>
      <w:r>
        <w:rPr>
          <w:noProof/>
          <w:lang w:val="fr-FR"/>
        </w:rPr>
        <w:t xml:space="preserve">Outre qu’il </w:t>
      </w:r>
      <w:r w:rsidRPr="003D559E">
        <w:rPr>
          <w:noProof/>
          <w:lang w:val="fr-FR"/>
        </w:rPr>
        <w:t>résou</w:t>
      </w:r>
      <w:r>
        <w:rPr>
          <w:noProof/>
          <w:lang w:val="fr-FR"/>
        </w:rPr>
        <w:t xml:space="preserve">t </w:t>
      </w:r>
      <w:r w:rsidRPr="003D559E">
        <w:rPr>
          <w:noProof/>
          <w:lang w:val="fr-FR"/>
        </w:rPr>
        <w:t xml:space="preserve">les problèmes d’interprétation </w:t>
      </w:r>
      <w:r>
        <w:rPr>
          <w:noProof/>
          <w:lang w:val="fr-FR"/>
        </w:rPr>
        <w:t xml:space="preserve">liés au </w:t>
      </w:r>
      <w:r w:rsidRPr="003D559E">
        <w:rPr>
          <w:noProof/>
          <w:lang w:val="fr-FR"/>
        </w:rPr>
        <w:t>texte actuel, cet</w:t>
      </w:r>
      <w:r>
        <w:rPr>
          <w:noProof/>
          <w:lang w:val="fr-FR"/>
        </w:rPr>
        <w:t xml:space="preserve"> </w:t>
      </w:r>
      <w:r w:rsidRPr="00AD40C4">
        <w:rPr>
          <w:noProof/>
          <w:lang w:val="fr-FR"/>
        </w:rPr>
        <w:t>ame</w:t>
      </w:r>
    </w:p>
    <w:p w:rsidR="008230BC" w:rsidRDefault="008230BC" w:rsidP="00C14DC6">
      <w:pPr>
        <w:pStyle w:val="SingleTxtG"/>
        <w:ind w:firstLine="567"/>
        <w:rPr>
          <w:noProof/>
          <w:lang w:val="fr-FR"/>
        </w:rPr>
      </w:pPr>
      <w:r w:rsidRPr="00AD40C4">
        <w:rPr>
          <w:noProof/>
          <w:lang w:val="fr-FR"/>
        </w:rPr>
        <w:t xml:space="preserve">ndement collectif </w:t>
      </w:r>
      <w:r w:rsidRPr="003D559E">
        <w:rPr>
          <w:noProof/>
          <w:lang w:val="fr-FR"/>
        </w:rPr>
        <w:t xml:space="preserve">aidera le </w:t>
      </w:r>
      <w:r w:rsidRPr="005C1DEB">
        <w:rPr>
          <w:noProof/>
          <w:lang w:val="fr-FR"/>
        </w:rPr>
        <w:t>Groupe de travail informel chargé de la s</w:t>
      </w:r>
      <w:r w:rsidRPr="005C1DEB">
        <w:rPr>
          <w:noProof/>
        </w:rPr>
        <w:t>implification des Règlements relatifs à l’éclairage et à la signalisation lumineuse</w:t>
      </w:r>
      <w:r w:rsidRPr="003D559E">
        <w:rPr>
          <w:noProof/>
          <w:lang w:val="fr-FR"/>
        </w:rPr>
        <w:t xml:space="preserve"> </w:t>
      </w:r>
      <w:r>
        <w:rPr>
          <w:noProof/>
          <w:lang w:val="fr-FR"/>
        </w:rPr>
        <w:t xml:space="preserve">à rédiger </w:t>
      </w:r>
      <w:r w:rsidRPr="003D559E">
        <w:rPr>
          <w:noProof/>
          <w:lang w:val="fr-FR"/>
        </w:rPr>
        <w:t>l</w:t>
      </w:r>
      <w:r>
        <w:rPr>
          <w:noProof/>
          <w:lang w:val="fr-FR"/>
        </w:rPr>
        <w:t xml:space="preserve">es </w:t>
      </w:r>
      <w:r w:rsidRPr="003D559E">
        <w:rPr>
          <w:noProof/>
          <w:lang w:val="fr-FR"/>
        </w:rPr>
        <w:t>nouve</w:t>
      </w:r>
      <w:r>
        <w:rPr>
          <w:noProof/>
          <w:lang w:val="fr-FR"/>
        </w:rPr>
        <w:t xml:space="preserve">aux </w:t>
      </w:r>
      <w:r w:rsidRPr="00AD40C4">
        <w:rPr>
          <w:noProof/>
        </w:rPr>
        <w:t xml:space="preserve">Règlements </w:t>
      </w:r>
      <w:r>
        <w:rPr>
          <w:noProof/>
        </w:rPr>
        <w:t xml:space="preserve">simplifiés </w:t>
      </w:r>
      <w:r w:rsidRPr="003D559E">
        <w:rPr>
          <w:noProof/>
          <w:lang w:val="fr-FR"/>
        </w:rPr>
        <w:t xml:space="preserve">qui </w:t>
      </w:r>
      <w:r>
        <w:rPr>
          <w:noProof/>
          <w:lang w:val="fr-FR"/>
        </w:rPr>
        <w:t xml:space="preserve">sont </w:t>
      </w:r>
      <w:r w:rsidRPr="00AD40C4">
        <w:rPr>
          <w:noProof/>
          <w:lang w:val="fr-FR"/>
        </w:rPr>
        <w:t>élabor</w:t>
      </w:r>
      <w:r>
        <w:rPr>
          <w:noProof/>
          <w:lang w:val="fr-FR"/>
        </w:rPr>
        <w:t>és actuellement</w:t>
      </w:r>
      <w:r w:rsidRPr="003D559E">
        <w:rPr>
          <w:noProof/>
          <w:lang w:val="fr-FR"/>
        </w:rPr>
        <w:t>.</w:t>
      </w:r>
    </w:p>
    <w:p w:rsidR="00F9573C" w:rsidRPr="008230BC" w:rsidRDefault="008230BC" w:rsidP="008230B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8230BC" w:rsidSect="008230B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B8" w:rsidRDefault="009F75B8" w:rsidP="00F95C08">
      <w:pPr>
        <w:spacing w:line="240" w:lineRule="auto"/>
      </w:pPr>
    </w:p>
  </w:endnote>
  <w:endnote w:type="continuationSeparator" w:id="0">
    <w:p w:rsidR="009F75B8" w:rsidRPr="00AC3823" w:rsidRDefault="009F75B8" w:rsidP="00AC3823">
      <w:pPr>
        <w:pStyle w:val="Footer"/>
      </w:pPr>
    </w:p>
  </w:endnote>
  <w:endnote w:type="continuationNotice" w:id="1">
    <w:p w:rsidR="009F75B8" w:rsidRDefault="009F75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BC" w:rsidRPr="008230BC" w:rsidRDefault="008230BC" w:rsidP="008230BC">
    <w:pPr>
      <w:pStyle w:val="Footer"/>
      <w:tabs>
        <w:tab w:val="right" w:pos="9638"/>
      </w:tabs>
    </w:pPr>
    <w:r w:rsidRPr="008230BC">
      <w:rPr>
        <w:b/>
        <w:sz w:val="18"/>
      </w:rPr>
      <w:fldChar w:fldCharType="begin"/>
    </w:r>
    <w:r w:rsidRPr="008230BC">
      <w:rPr>
        <w:b/>
        <w:sz w:val="18"/>
      </w:rPr>
      <w:instrText xml:space="preserve"> PAGE  \* MERGEFORMAT </w:instrText>
    </w:r>
    <w:r w:rsidRPr="008230BC">
      <w:rPr>
        <w:b/>
        <w:sz w:val="18"/>
      </w:rPr>
      <w:fldChar w:fldCharType="separate"/>
    </w:r>
    <w:r w:rsidR="009C2A65">
      <w:rPr>
        <w:b/>
        <w:noProof/>
        <w:sz w:val="18"/>
      </w:rPr>
      <w:t>6</w:t>
    </w:r>
    <w:r w:rsidRPr="008230BC">
      <w:rPr>
        <w:b/>
        <w:sz w:val="18"/>
      </w:rPr>
      <w:fldChar w:fldCharType="end"/>
    </w:r>
    <w:r>
      <w:rPr>
        <w:b/>
        <w:sz w:val="18"/>
      </w:rPr>
      <w:tab/>
    </w:r>
    <w:r>
      <w:t>GE.16-13935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BC" w:rsidRPr="008230BC" w:rsidRDefault="008230BC" w:rsidP="008230BC">
    <w:pPr>
      <w:pStyle w:val="Footer"/>
      <w:tabs>
        <w:tab w:val="right" w:pos="9638"/>
      </w:tabs>
      <w:rPr>
        <w:b/>
        <w:sz w:val="18"/>
      </w:rPr>
    </w:pPr>
    <w:r>
      <w:t>GE.16-13935</w:t>
    </w:r>
    <w:r>
      <w:tab/>
    </w:r>
    <w:r w:rsidRPr="008230BC">
      <w:rPr>
        <w:b/>
        <w:sz w:val="18"/>
      </w:rPr>
      <w:fldChar w:fldCharType="begin"/>
    </w:r>
    <w:r w:rsidRPr="008230BC">
      <w:rPr>
        <w:b/>
        <w:sz w:val="18"/>
      </w:rPr>
      <w:instrText xml:space="preserve"> PAGE  \* MERGEFORMAT </w:instrText>
    </w:r>
    <w:r w:rsidRPr="008230BC">
      <w:rPr>
        <w:b/>
        <w:sz w:val="18"/>
      </w:rPr>
      <w:fldChar w:fldCharType="separate"/>
    </w:r>
    <w:r w:rsidR="009C2A65">
      <w:rPr>
        <w:b/>
        <w:noProof/>
        <w:sz w:val="18"/>
      </w:rPr>
      <w:t>5</w:t>
    </w:r>
    <w:r w:rsidRPr="008230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8230BC" w:rsidRDefault="008230BC" w:rsidP="008230B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F755DDB" wp14:editId="349E7466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16-13935  (F)    290816    060916</w:t>
    </w:r>
    <w:r>
      <w:rPr>
        <w:sz w:val="20"/>
      </w:rPr>
      <w:br/>
    </w:r>
    <w:r w:rsidRPr="008230BC">
      <w:rPr>
        <w:rFonts w:ascii="C39T30Lfz" w:hAnsi="C39T30Lfz"/>
        <w:sz w:val="56"/>
      </w:rPr>
      <w:t></w:t>
    </w:r>
    <w:r w:rsidRPr="008230BC">
      <w:rPr>
        <w:rFonts w:ascii="C39T30Lfz" w:hAnsi="C39T30Lfz"/>
        <w:sz w:val="56"/>
      </w:rPr>
      <w:t></w:t>
    </w:r>
    <w:r w:rsidRPr="008230BC">
      <w:rPr>
        <w:rFonts w:ascii="C39T30Lfz" w:hAnsi="C39T30Lfz"/>
        <w:sz w:val="56"/>
      </w:rPr>
      <w:t></w:t>
    </w:r>
    <w:r w:rsidRPr="008230BC">
      <w:rPr>
        <w:rFonts w:ascii="C39T30Lfz" w:hAnsi="C39T30Lfz"/>
        <w:sz w:val="56"/>
      </w:rPr>
      <w:t></w:t>
    </w:r>
    <w:r w:rsidRPr="008230BC">
      <w:rPr>
        <w:rFonts w:ascii="C39T30Lfz" w:hAnsi="C39T30Lfz"/>
        <w:sz w:val="56"/>
      </w:rPr>
      <w:t></w:t>
    </w:r>
    <w:r w:rsidRPr="008230BC">
      <w:rPr>
        <w:rFonts w:ascii="C39T30Lfz" w:hAnsi="C39T30Lfz"/>
        <w:sz w:val="56"/>
      </w:rPr>
      <w:t></w:t>
    </w:r>
    <w:r w:rsidRPr="008230BC">
      <w:rPr>
        <w:rFonts w:ascii="C39T30Lfz" w:hAnsi="C39T30Lfz"/>
        <w:sz w:val="56"/>
      </w:rPr>
      <w:t></w:t>
    </w:r>
    <w:r w:rsidRPr="008230BC">
      <w:rPr>
        <w:rFonts w:ascii="C39T30Lfz" w:hAnsi="C39T30Lfz"/>
        <w:sz w:val="56"/>
      </w:rPr>
      <w:t></w:t>
    </w:r>
    <w:r w:rsidRPr="008230BC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E/2016/3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6/3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B8" w:rsidRPr="00AC3823" w:rsidRDefault="009F75B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F75B8" w:rsidRPr="00AC3823" w:rsidRDefault="009F75B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F75B8" w:rsidRPr="00AC3823" w:rsidRDefault="009F75B8">
      <w:pPr>
        <w:spacing w:line="240" w:lineRule="auto"/>
        <w:rPr>
          <w:sz w:val="2"/>
          <w:szCs w:val="2"/>
        </w:rPr>
      </w:pPr>
    </w:p>
  </w:footnote>
  <w:footnote w:id="2">
    <w:p w:rsidR="00B64FAD" w:rsidRDefault="00B64FAD">
      <w:pPr>
        <w:pStyle w:val="FootnoteText"/>
      </w:pPr>
      <w:r>
        <w:tab/>
      </w:r>
      <w:r w:rsidRPr="00B64FAD">
        <w:rPr>
          <w:rStyle w:val="FootnoteReference"/>
          <w:vertAlign w:val="baseline"/>
        </w:rPr>
        <w:t>*</w:t>
      </w:r>
      <w:r>
        <w:tab/>
      </w:r>
      <w:r w:rsidRPr="00B64FAD">
        <w:rPr>
          <w:szCs w:val="18"/>
        </w:rPr>
        <w:t>Conformément au programme de travail du Comité des transports intérieurs pour la période 2014</w:t>
      </w:r>
      <w:r w:rsidR="00217DD6">
        <w:rPr>
          <w:szCs w:val="18"/>
        </w:rPr>
        <w:noBreakHyphen/>
      </w:r>
      <w:r w:rsidRPr="00B64FAD">
        <w:rPr>
          <w:szCs w:val="18"/>
        </w:rPr>
        <w:t>2018 (ECE/TRANS/240, par. 105, et ECE/TRANS/2014/26, activité 02.4), le Forum mondial a pour mission d’élaborer, d’harmoniser et de mettre à jour les Règlements en vue d’améliorer les caractéristiques fonctionnelles des véhicules. Le présent document est soumis en vertu de ce mandat</w:t>
      </w:r>
      <w:r w:rsidRPr="000F478F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BC" w:rsidRPr="008230BC" w:rsidRDefault="008230BC">
    <w:pPr>
      <w:pStyle w:val="Header"/>
    </w:pPr>
    <w:r>
      <w:t>ECE/TRANS/WP.29/GRE/2016/32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BC" w:rsidRPr="008230BC" w:rsidRDefault="008230BC" w:rsidP="008230BC">
    <w:pPr>
      <w:pStyle w:val="Header"/>
      <w:jc w:val="right"/>
    </w:pPr>
    <w:r>
      <w:t>ECE/TRANS/WP.29/GRE/2016/32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B8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B2692"/>
    <w:rsid w:val="001F525A"/>
    <w:rsid w:val="00217DD6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A62E6"/>
    <w:rsid w:val="007F20FA"/>
    <w:rsid w:val="00803436"/>
    <w:rsid w:val="0080684C"/>
    <w:rsid w:val="008230BC"/>
    <w:rsid w:val="00871C75"/>
    <w:rsid w:val="008776DC"/>
    <w:rsid w:val="009705C8"/>
    <w:rsid w:val="009C1CF4"/>
    <w:rsid w:val="009C2A65"/>
    <w:rsid w:val="009F6B74"/>
    <w:rsid w:val="009F75B8"/>
    <w:rsid w:val="00A05DC1"/>
    <w:rsid w:val="00A30353"/>
    <w:rsid w:val="00A60AEB"/>
    <w:rsid w:val="00A741F3"/>
    <w:rsid w:val="00AC3823"/>
    <w:rsid w:val="00AE323C"/>
    <w:rsid w:val="00AF0CB5"/>
    <w:rsid w:val="00B00181"/>
    <w:rsid w:val="00B00B0D"/>
    <w:rsid w:val="00B23F2D"/>
    <w:rsid w:val="00B64FAD"/>
    <w:rsid w:val="00B765F7"/>
    <w:rsid w:val="00BA0CA9"/>
    <w:rsid w:val="00C02897"/>
    <w:rsid w:val="00C14DC6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230BC"/>
    <w:pPr>
      <w:ind w:left="720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230BC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BBFD-6786-455D-B087-8B98CF8E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1917</Words>
  <Characters>10930</Characters>
  <Application>Microsoft Office Word</Application>
  <DocSecurity>4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ECE/TRANS/WP.29/GRE/2016/32</vt:lpstr>
      <vt:lpstr>ECE/TRANS/WP.29/GRE/2016/32</vt:lpstr>
    </vt:vector>
  </TitlesOfParts>
  <Company>DCM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ECE/TRANS/WP.29/GRE/2016/32</dc:title>
  <dc:subject>final</dc:subject>
  <dc:creator>Beaunee</dc:creator>
  <cp:lastModifiedBy>Benedicte Boudol</cp:lastModifiedBy>
  <cp:revision>2</cp:revision>
  <cp:lastPrinted>2016-09-06T09:31:00Z</cp:lastPrinted>
  <dcterms:created xsi:type="dcterms:W3CDTF">2016-09-06T12:56:00Z</dcterms:created>
  <dcterms:modified xsi:type="dcterms:W3CDTF">2016-09-06T12:56:00Z</dcterms:modified>
</cp:coreProperties>
</file>