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67DD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67DD2" w:rsidP="00667DD2">
            <w:pPr>
              <w:jc w:val="right"/>
            </w:pPr>
            <w:r w:rsidRPr="00667DD2">
              <w:rPr>
                <w:sz w:val="40"/>
              </w:rPr>
              <w:t>ECE</w:t>
            </w:r>
            <w:r>
              <w:t>/TRANS/WP.29/GRE/2016/22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67DD2" w:rsidP="00892A2F">
            <w:pPr>
              <w:spacing w:before="240"/>
            </w:pPr>
            <w:r>
              <w:t>Distr. générale</w:t>
            </w:r>
          </w:p>
          <w:p w:rsidR="00667DD2" w:rsidRDefault="00667DD2" w:rsidP="00667DD2">
            <w:pPr>
              <w:spacing w:line="240" w:lineRule="exact"/>
            </w:pPr>
            <w:r>
              <w:t>9 août 2016</w:t>
            </w:r>
          </w:p>
          <w:p w:rsidR="00667DD2" w:rsidRDefault="00667DD2" w:rsidP="00667DD2">
            <w:pPr>
              <w:spacing w:line="240" w:lineRule="exact"/>
            </w:pPr>
            <w:r>
              <w:t>Français</w:t>
            </w:r>
          </w:p>
          <w:p w:rsidR="00667DD2" w:rsidRPr="00DB58B5" w:rsidRDefault="00667DD2" w:rsidP="00667DD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33CD4" w:rsidRPr="00372862" w:rsidRDefault="00E33CD4" w:rsidP="00E33CD4">
      <w:pPr>
        <w:spacing w:before="120"/>
        <w:rPr>
          <w:b/>
          <w:sz w:val="24"/>
          <w:szCs w:val="24"/>
          <w:lang w:val="fr-FR"/>
        </w:rPr>
      </w:pPr>
      <w:r w:rsidRPr="00372862">
        <w:rPr>
          <w:b/>
          <w:sz w:val="24"/>
          <w:szCs w:val="24"/>
          <w:lang w:val="fr-FR"/>
        </w:rPr>
        <w:t xml:space="preserve">Forum mondial de l’harmonisation </w:t>
      </w:r>
      <w:r w:rsidRPr="00372862">
        <w:rPr>
          <w:b/>
          <w:sz w:val="24"/>
          <w:szCs w:val="24"/>
          <w:lang w:val="fr-FR"/>
        </w:rPr>
        <w:br/>
        <w:t>des Règlements concernant les véhicules</w:t>
      </w:r>
    </w:p>
    <w:p w:rsidR="00E33CD4" w:rsidRPr="00372862" w:rsidRDefault="00E33CD4" w:rsidP="00E33CD4">
      <w:pPr>
        <w:spacing w:before="120" w:after="120"/>
        <w:rPr>
          <w:b/>
          <w:bCs/>
          <w:lang w:val="fr-FR"/>
        </w:rPr>
      </w:pPr>
      <w:r w:rsidRPr="00372862">
        <w:rPr>
          <w:b/>
          <w:bCs/>
          <w:lang w:val="fr-FR"/>
        </w:rPr>
        <w:t>Groupe de travail de l’éclairage et de la signalisation lumineuse</w:t>
      </w:r>
    </w:p>
    <w:p w:rsidR="00E33CD4" w:rsidRPr="00372862" w:rsidRDefault="00E33CD4" w:rsidP="00E33CD4">
      <w:pPr>
        <w:rPr>
          <w:b/>
          <w:lang w:val="fr-FR"/>
        </w:rPr>
      </w:pPr>
      <w:r w:rsidRPr="00372862">
        <w:rPr>
          <w:b/>
          <w:lang w:val="fr-FR"/>
        </w:rPr>
        <w:t>Soixante-seizième session</w:t>
      </w:r>
    </w:p>
    <w:p w:rsidR="00E33CD4" w:rsidRPr="00372862" w:rsidRDefault="00E33CD4" w:rsidP="00E33CD4">
      <w:pPr>
        <w:rPr>
          <w:bCs/>
          <w:lang w:val="fr-FR"/>
        </w:rPr>
      </w:pPr>
      <w:r w:rsidRPr="00372862">
        <w:rPr>
          <w:lang w:val="fr-FR"/>
        </w:rPr>
        <w:t>Genève</w:t>
      </w:r>
      <w:r w:rsidRPr="00372862">
        <w:rPr>
          <w:bCs/>
          <w:lang w:val="fr-FR"/>
        </w:rPr>
        <w:t>, 25-28 octobre 2016</w:t>
      </w:r>
    </w:p>
    <w:p w:rsidR="00E33CD4" w:rsidRDefault="00E33CD4" w:rsidP="00E33CD4">
      <w:pPr>
        <w:ind w:right="1134"/>
        <w:rPr>
          <w:bCs/>
          <w:lang w:val="fr-FR"/>
        </w:rPr>
      </w:pPr>
      <w:r w:rsidRPr="00372862">
        <w:rPr>
          <w:bCs/>
          <w:lang w:val="fr-FR"/>
        </w:rPr>
        <w:t>Point 7 b) de l’ordre du jour provisoire</w:t>
      </w:r>
      <w:r>
        <w:rPr>
          <w:bCs/>
          <w:lang w:val="fr-FR"/>
        </w:rPr>
        <w:t xml:space="preserve"> </w:t>
      </w:r>
    </w:p>
    <w:p w:rsidR="00E33CD4" w:rsidRPr="00372862" w:rsidRDefault="00E33CD4" w:rsidP="00E33CD4">
      <w:pPr>
        <w:ind w:right="1134"/>
        <w:rPr>
          <w:b/>
          <w:bCs/>
          <w:lang w:val="fr-FR"/>
        </w:rPr>
      </w:pPr>
      <w:r w:rsidRPr="00372862">
        <w:rPr>
          <w:b/>
          <w:bCs/>
          <w:lang w:val="fr-FR"/>
        </w:rPr>
        <w:t>Autres Règlements</w:t>
      </w:r>
      <w:r>
        <w:rPr>
          <w:b/>
          <w:bCs/>
          <w:lang w:val="fr-FR"/>
        </w:rPr>
        <w:t> </w:t>
      </w:r>
      <w:r w:rsidRPr="00372862">
        <w:rPr>
          <w:b/>
          <w:bCs/>
          <w:lang w:val="fr-FR"/>
        </w:rPr>
        <w:t>: Règlement n</w:t>
      </w:r>
      <w:r w:rsidRPr="00372862">
        <w:rPr>
          <w:b/>
          <w:bCs/>
          <w:vertAlign w:val="superscript"/>
          <w:lang w:val="fr-FR"/>
        </w:rPr>
        <w:t>o</w:t>
      </w:r>
      <w:r w:rsidRPr="00372862">
        <w:rPr>
          <w:b/>
          <w:bCs/>
          <w:lang w:val="fr-FR"/>
        </w:rPr>
        <w:t xml:space="preserve"> 7 (Feux de position </w:t>
      </w:r>
      <w:r w:rsidRPr="00372862">
        <w:rPr>
          <w:b/>
          <w:bCs/>
          <w:lang w:val="fr-FR"/>
        </w:rPr>
        <w:br/>
        <w:t>avant et arrière, feux-stop et feux d’encombrement)</w:t>
      </w:r>
    </w:p>
    <w:p w:rsidR="00E33CD4" w:rsidRPr="00372862" w:rsidRDefault="00E33CD4" w:rsidP="00E33CD4">
      <w:pPr>
        <w:pStyle w:val="HChG"/>
        <w:rPr>
          <w:lang w:val="fr-FR"/>
        </w:rPr>
      </w:pPr>
      <w:r w:rsidRPr="00372862">
        <w:rPr>
          <w:lang w:val="fr-FR"/>
        </w:rPr>
        <w:tab/>
      </w:r>
      <w:r w:rsidRPr="00372862">
        <w:rPr>
          <w:lang w:val="fr-FR"/>
        </w:rPr>
        <w:tab/>
        <w:t>Proposition de complément 26 à la série 02 d’amendements au Règlement n</w:t>
      </w:r>
      <w:r w:rsidRPr="00372862">
        <w:rPr>
          <w:vertAlign w:val="superscript"/>
          <w:lang w:val="fr-FR"/>
        </w:rPr>
        <w:t>o</w:t>
      </w:r>
      <w:r w:rsidRPr="00372862">
        <w:rPr>
          <w:lang w:val="fr-FR"/>
        </w:rPr>
        <w:t> 7 (Feux de position avant et arrière, feux-stop et feux d’encombrement</w:t>
      </w:r>
      <w:r w:rsidR="00B063FB">
        <w:rPr>
          <w:lang w:val="fr-FR"/>
        </w:rPr>
        <w:t>)</w:t>
      </w:r>
    </w:p>
    <w:p w:rsidR="00E33CD4" w:rsidRPr="00E33CD4" w:rsidRDefault="00E33CD4" w:rsidP="00E33CD4">
      <w:pPr>
        <w:pStyle w:val="H1G"/>
        <w:ind w:firstLine="0"/>
        <w:rPr>
          <w:b w:val="0"/>
          <w:lang w:val="fr-FR"/>
        </w:rPr>
      </w:pPr>
      <w:r w:rsidRPr="00372862">
        <w:rPr>
          <w:lang w:val="fr-FR"/>
        </w:rPr>
        <w:t>Communication de l’expert du Groupe de travail « Bruxelles 1952 » (GTB)</w:t>
      </w:r>
      <w:r w:rsidRPr="00E33CD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33CD4" w:rsidRPr="00372862" w:rsidRDefault="00E33CD4" w:rsidP="00E33CD4">
      <w:pPr>
        <w:tabs>
          <w:tab w:val="left" w:pos="1418"/>
          <w:tab w:val="left" w:pos="8505"/>
        </w:tabs>
        <w:spacing w:after="120"/>
        <w:ind w:left="1134" w:right="1134" w:firstLine="567"/>
        <w:jc w:val="both"/>
        <w:rPr>
          <w:lang w:val="fr-FR"/>
        </w:rPr>
      </w:pPr>
      <w:r w:rsidRPr="00372862">
        <w:rPr>
          <w:rFonts w:eastAsia="Calibri"/>
          <w:lang w:val="fr-FR"/>
        </w:rPr>
        <w:t>Le texte ci-après, qui a été établi par l’expert du Groupe de travail «</w:t>
      </w:r>
      <w:r>
        <w:rPr>
          <w:rFonts w:eastAsia="Calibri"/>
          <w:lang w:val="fr-FR"/>
        </w:rPr>
        <w:t> </w:t>
      </w:r>
      <w:r w:rsidRPr="00372862">
        <w:rPr>
          <w:rFonts w:eastAsia="Calibri"/>
          <w:lang w:val="fr-FR"/>
        </w:rPr>
        <w:t>Bruxelles 1952</w:t>
      </w:r>
      <w:r>
        <w:rPr>
          <w:rFonts w:eastAsia="Calibri"/>
          <w:lang w:val="fr-FR"/>
        </w:rPr>
        <w:t> </w:t>
      </w:r>
      <w:r w:rsidRPr="00372862">
        <w:rPr>
          <w:rFonts w:eastAsia="Calibri"/>
          <w:lang w:val="fr-FR"/>
        </w:rPr>
        <w:t xml:space="preserve">» (GTB), vise à </w:t>
      </w:r>
      <w:r>
        <w:rPr>
          <w:rFonts w:eastAsia="Calibri"/>
          <w:lang w:val="fr-FR"/>
        </w:rPr>
        <w:t>harmoniser le texte du R</w:t>
      </w:r>
      <w:r w:rsidRPr="00372862">
        <w:rPr>
          <w:rFonts w:eastAsia="Calibri"/>
          <w:lang w:val="fr-FR"/>
        </w:rPr>
        <w:t>èglement avec la dernière définition de «</w:t>
      </w:r>
      <w:r>
        <w:rPr>
          <w:rFonts w:eastAsia="Calibri"/>
          <w:lang w:val="fr-FR"/>
        </w:rPr>
        <w:t> feu simple </w:t>
      </w:r>
      <w:r w:rsidRPr="00372862">
        <w:rPr>
          <w:rFonts w:eastAsia="Calibri"/>
          <w:lang w:val="fr-FR"/>
        </w:rPr>
        <w:t xml:space="preserve">». </w:t>
      </w:r>
      <w:r w:rsidRPr="00E750B2">
        <w:rPr>
          <w:rFonts w:eastAsia="Calibri"/>
          <w:lang w:val="fr-FR"/>
        </w:rPr>
        <w:t xml:space="preserve">Les modifications apportées au texte actuel du Règlement sont indiquées en </w:t>
      </w:r>
      <w:r w:rsidRPr="00E750B2">
        <w:rPr>
          <w:rFonts w:eastAsia="Calibri"/>
          <w:b/>
          <w:lang w:val="fr-FR"/>
        </w:rPr>
        <w:t xml:space="preserve">caractères gras pour les ajouts </w:t>
      </w:r>
      <w:r w:rsidRPr="00E750B2">
        <w:rPr>
          <w:rFonts w:eastAsia="Calibri"/>
          <w:lang w:val="fr-FR"/>
        </w:rPr>
        <w:t xml:space="preserve">ou </w:t>
      </w:r>
      <w:r w:rsidRPr="00E750B2">
        <w:rPr>
          <w:rFonts w:eastAsia="Calibri"/>
          <w:strike/>
          <w:lang w:val="fr-FR"/>
        </w:rPr>
        <w:t>biffés pour les suppressions</w:t>
      </w:r>
      <w:r w:rsidRPr="00E750B2">
        <w:rPr>
          <w:rFonts w:eastAsia="Calibri"/>
          <w:lang w:val="fr-FR"/>
        </w:rPr>
        <w:t>.</w:t>
      </w:r>
    </w:p>
    <w:p w:rsidR="00E33CD4" w:rsidRPr="00372862" w:rsidRDefault="00E33CD4" w:rsidP="00E33CD4">
      <w:pPr>
        <w:tabs>
          <w:tab w:val="left" w:pos="8505"/>
        </w:tabs>
        <w:ind w:left="1134" w:right="1134" w:firstLine="567"/>
        <w:jc w:val="both"/>
        <w:rPr>
          <w:lang w:val="fr-FR"/>
        </w:rPr>
      </w:pPr>
    </w:p>
    <w:p w:rsidR="00E33CD4" w:rsidRPr="00372862" w:rsidRDefault="00E33CD4" w:rsidP="00E33CD4">
      <w:pPr>
        <w:pStyle w:val="HChG"/>
        <w:jc w:val="both"/>
        <w:rPr>
          <w:lang w:val="fr-FR"/>
        </w:rPr>
      </w:pPr>
      <w:r w:rsidRPr="00372862">
        <w:rPr>
          <w:b w:val="0"/>
          <w:lang w:val="fr-FR"/>
        </w:rPr>
        <w:br w:type="page"/>
      </w:r>
      <w:r w:rsidRPr="00372862">
        <w:rPr>
          <w:lang w:val="fr-FR"/>
        </w:rPr>
        <w:lastRenderedPageBreak/>
        <w:tab/>
        <w:t>I.</w:t>
      </w:r>
      <w:r w:rsidRPr="00372862">
        <w:rPr>
          <w:b w:val="0"/>
          <w:lang w:val="fr-FR"/>
        </w:rPr>
        <w:tab/>
      </w:r>
      <w:r w:rsidRPr="00E750B2">
        <w:rPr>
          <w:lang w:val="fr-FR"/>
        </w:rPr>
        <w:t>Proposition</w:t>
      </w:r>
    </w:p>
    <w:p w:rsidR="00E33CD4" w:rsidRPr="00372862" w:rsidRDefault="00E33CD4" w:rsidP="00E33CD4">
      <w:pPr>
        <w:pStyle w:val="SingleTxtG"/>
        <w:tabs>
          <w:tab w:val="left" w:pos="8505"/>
        </w:tabs>
        <w:spacing w:line="240" w:lineRule="auto"/>
        <w:rPr>
          <w:lang w:val="fr-FR"/>
        </w:rPr>
      </w:pPr>
      <w:r w:rsidRPr="00372862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372862">
        <w:rPr>
          <w:i/>
          <w:iCs/>
          <w:lang w:val="fr-FR"/>
        </w:rPr>
        <w:t xml:space="preserve"> 6.1, table</w:t>
      </w:r>
      <w:r>
        <w:rPr>
          <w:i/>
          <w:iCs/>
          <w:lang w:val="fr-FR"/>
        </w:rPr>
        <w:t>au</w:t>
      </w:r>
      <w:r w:rsidRPr="00372862">
        <w:rPr>
          <w:i/>
          <w:iCs/>
          <w:lang w:val="fr-FR"/>
        </w:rPr>
        <w:t xml:space="preserve">, </w:t>
      </w:r>
      <w:r w:rsidRPr="00E950C9">
        <w:rPr>
          <w:i/>
          <w:iCs/>
          <w:lang w:val="fr-FR"/>
        </w:rPr>
        <w:t>ligne d’en-tête</w:t>
      </w:r>
      <w:r w:rsidRPr="00372862">
        <w:rPr>
          <w:i/>
          <w:iCs/>
          <w:lang w:val="fr-FR"/>
        </w:rPr>
        <w:t>,</w:t>
      </w:r>
      <w:r w:rsidRPr="00372862">
        <w:rPr>
          <w:lang w:val="fr-FR"/>
        </w:rPr>
        <w:t xml:space="preserve"> </w:t>
      </w:r>
      <w:r w:rsidRPr="00E950C9">
        <w:rPr>
          <w:lang w:val="fr-FR"/>
        </w:rPr>
        <w:t>modifier comme suit</w:t>
      </w:r>
      <w:r>
        <w:rPr>
          <w:lang w:val="fr-FR"/>
        </w:rPr>
        <w:t> </w:t>
      </w:r>
      <w:r w:rsidRPr="00372862">
        <w:rPr>
          <w:lang w:val="fr-FR"/>
        </w:rPr>
        <w:t>:</w:t>
      </w:r>
    </w:p>
    <w:p w:rsidR="00E33CD4" w:rsidRDefault="00E33CD4" w:rsidP="00E33CD4">
      <w:pPr>
        <w:pStyle w:val="SingleTxtG"/>
        <w:tabs>
          <w:tab w:val="left" w:pos="8505"/>
        </w:tabs>
        <w:spacing w:line="240" w:lineRule="auto"/>
        <w:ind w:left="2268" w:hanging="1134"/>
        <w:rPr>
          <w:lang w:val="fr-FR"/>
        </w:rPr>
      </w:pPr>
      <w:r>
        <w:rPr>
          <w:lang w:val="fr-FR"/>
        </w:rPr>
        <w:t>«</w:t>
      </w:r>
      <w:r w:rsidR="00B063FB">
        <w:rPr>
          <w:lang w:val="fr-FR"/>
        </w:rPr>
        <w:t> 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560"/>
        <w:gridCol w:w="1559"/>
        <w:gridCol w:w="1984"/>
      </w:tblGrid>
      <w:tr w:rsidR="00E33CD4" w:rsidRPr="00ED3F21" w:rsidTr="001039C7"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3A077E">
            <w:pPr>
              <w:keepNext/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3A077E">
            <w:pPr>
              <w:keepNext/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  <w:r w:rsidRPr="00AC18FE">
              <w:rPr>
                <w:i/>
                <w:sz w:val="16"/>
                <w:szCs w:val="16"/>
                <w:lang w:val="fr-FR"/>
              </w:rPr>
              <w:t>Intensité lumineuse minimale en cd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E33CD4">
            <w:pPr>
              <w:keepNext/>
              <w:spacing w:before="60" w:after="60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AC18FE">
              <w:rPr>
                <w:i/>
                <w:sz w:val="16"/>
                <w:szCs w:val="16"/>
                <w:lang w:val="fr-FR"/>
              </w:rPr>
              <w:t>Intensité lumineuse maximale, en cd,</w:t>
            </w:r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r w:rsidRPr="00AC18FE">
              <w:rPr>
                <w:i/>
                <w:sz w:val="16"/>
                <w:szCs w:val="16"/>
                <w:lang w:val="fr-FR"/>
              </w:rPr>
              <w:br/>
              <w:t>lorsque le feu est utilisé</w:t>
            </w:r>
          </w:p>
        </w:tc>
      </w:tr>
      <w:tr w:rsidR="00E33CD4" w:rsidRPr="00ED3F21" w:rsidTr="001039C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3A077E">
            <w:pPr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3A077E">
            <w:pPr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3A077E">
            <w:pPr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  <w:r w:rsidRPr="00AC18FE">
              <w:rPr>
                <w:i/>
                <w:sz w:val="16"/>
                <w:szCs w:val="16"/>
                <w:lang w:val="fr-FR"/>
              </w:rPr>
              <w:t>En feu simple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3CD4" w:rsidRPr="00AC18FE" w:rsidRDefault="00E33CD4" w:rsidP="00E33CD4">
            <w:pPr>
              <w:spacing w:before="60" w:after="60"/>
              <w:ind w:left="57" w:right="57"/>
              <w:jc w:val="right"/>
              <w:rPr>
                <w:i/>
                <w:sz w:val="16"/>
                <w:szCs w:val="16"/>
                <w:lang w:val="fr-FR"/>
              </w:rPr>
            </w:pPr>
            <w:r w:rsidRPr="00AC18FE">
              <w:rPr>
                <w:i/>
                <w:sz w:val="16"/>
                <w:szCs w:val="16"/>
                <w:lang w:val="fr-FR"/>
              </w:rPr>
              <w:t xml:space="preserve">En feu (simple) portant la mention </w:t>
            </w:r>
            <w:r>
              <w:rPr>
                <w:i/>
                <w:sz w:val="16"/>
                <w:szCs w:val="16"/>
                <w:lang w:val="fr-FR"/>
              </w:rPr>
              <w:t>“</w:t>
            </w:r>
            <w:r w:rsidRPr="00AC18FE">
              <w:rPr>
                <w:i/>
                <w:sz w:val="16"/>
                <w:szCs w:val="16"/>
                <w:lang w:val="fr-FR"/>
              </w:rPr>
              <w:t>D</w:t>
            </w:r>
            <w:r>
              <w:rPr>
                <w:i/>
                <w:sz w:val="16"/>
                <w:szCs w:val="16"/>
                <w:lang w:val="fr-FR"/>
              </w:rPr>
              <w:t>”</w:t>
            </w:r>
            <w:r w:rsidRPr="00AC18FE">
              <w:rPr>
                <w:i/>
                <w:sz w:val="16"/>
                <w:szCs w:val="16"/>
                <w:lang w:val="fr-FR"/>
              </w:rPr>
              <w:t xml:space="preserve"> (par. </w:t>
            </w:r>
            <w:r w:rsidRPr="00372862">
              <w:rPr>
                <w:bCs/>
                <w:i/>
                <w:strike/>
                <w:sz w:val="16"/>
                <w:szCs w:val="16"/>
                <w:lang w:val="fr-FR"/>
              </w:rPr>
              <w:t>4.2.2.6</w:t>
            </w:r>
            <w:r w:rsidRPr="00372862">
              <w:rPr>
                <w:bCs/>
                <w:i/>
                <w:sz w:val="16"/>
                <w:szCs w:val="16"/>
                <w:lang w:val="fr-FR"/>
              </w:rPr>
              <w:t xml:space="preserve">. </w:t>
            </w:r>
            <w:r w:rsidRPr="00372862">
              <w:rPr>
                <w:b/>
                <w:bCs/>
                <w:i/>
                <w:sz w:val="16"/>
                <w:szCs w:val="16"/>
                <w:lang w:val="fr-FR"/>
              </w:rPr>
              <w:t>4.2.2.8</w:t>
            </w:r>
            <w:r w:rsidRPr="00AC18FE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</w:tbl>
    <w:p w:rsidR="00E33CD4" w:rsidRPr="00372862" w:rsidRDefault="00E33CD4" w:rsidP="00E33CD4">
      <w:pPr>
        <w:pStyle w:val="SingleTxtG"/>
        <w:tabs>
          <w:tab w:val="left" w:pos="8505"/>
        </w:tabs>
        <w:spacing w:line="240" w:lineRule="auto"/>
        <w:ind w:left="2268" w:hanging="1134"/>
        <w:rPr>
          <w:bCs/>
          <w:lang w:val="fr-FR" w:eastAsia="zh-CN"/>
        </w:rPr>
      </w:pPr>
    </w:p>
    <w:p w:rsidR="00E33CD4" w:rsidRPr="00372862" w:rsidRDefault="00E33CD4" w:rsidP="00E33CD4">
      <w:pPr>
        <w:pStyle w:val="SingleTxtG"/>
        <w:spacing w:before="120"/>
        <w:ind w:left="2835" w:hanging="1701"/>
        <w:rPr>
          <w:lang w:val="fr-FR"/>
        </w:rPr>
      </w:pPr>
      <w:r>
        <w:rPr>
          <w:lang w:val="fr-FR"/>
        </w:rPr>
        <w:t>. ».</w:t>
      </w:r>
    </w:p>
    <w:p w:rsidR="00E33CD4" w:rsidRDefault="00E33CD4" w:rsidP="00E33CD4">
      <w:pPr>
        <w:tabs>
          <w:tab w:val="left" w:pos="8505"/>
        </w:tabs>
        <w:spacing w:after="120"/>
        <w:ind w:left="2268" w:right="1134" w:hanging="1134"/>
        <w:rPr>
          <w:lang w:val="fr-FR"/>
        </w:rPr>
      </w:pPr>
      <w:r w:rsidRPr="00372862">
        <w:rPr>
          <w:i/>
          <w:lang w:val="fr-FR"/>
        </w:rPr>
        <w:t>Paragraph</w:t>
      </w:r>
      <w:r>
        <w:rPr>
          <w:i/>
          <w:lang w:val="fr-FR"/>
        </w:rPr>
        <w:t>e</w:t>
      </w:r>
      <w:r w:rsidRPr="00372862">
        <w:rPr>
          <w:i/>
          <w:lang w:val="fr-FR"/>
        </w:rPr>
        <w:t xml:space="preserve"> 6.1.6,</w:t>
      </w:r>
      <w:r w:rsidRPr="00372862">
        <w:rPr>
          <w:lang w:val="fr-FR"/>
        </w:rPr>
        <w:t xml:space="preserve"> </w:t>
      </w:r>
      <w:r w:rsidRPr="00E950C9">
        <w:rPr>
          <w:lang w:val="fr-FR"/>
        </w:rPr>
        <w:t>modifier comme suit</w:t>
      </w:r>
      <w:r>
        <w:rPr>
          <w:lang w:val="fr-FR"/>
        </w:rPr>
        <w:t> </w:t>
      </w:r>
      <w:r w:rsidRPr="00372862">
        <w:rPr>
          <w:lang w:val="fr-FR"/>
        </w:rPr>
        <w:t>:</w:t>
      </w:r>
    </w:p>
    <w:p w:rsidR="00E33CD4" w:rsidRPr="00434795" w:rsidRDefault="00E33CD4" w:rsidP="00E33CD4">
      <w:pPr>
        <w:spacing w:after="120"/>
        <w:ind w:left="2268" w:right="1134" w:hanging="1134"/>
        <w:jc w:val="both"/>
        <w:rPr>
          <w:lang w:val="fr-FR"/>
        </w:rPr>
      </w:pPr>
      <w:r>
        <w:t>« </w:t>
      </w:r>
      <w:r w:rsidRPr="00434795">
        <w:t>6.1.6</w:t>
      </w:r>
      <w:r w:rsidRPr="00434795">
        <w:tab/>
      </w:r>
      <w:r w:rsidRPr="00434795">
        <w:rPr>
          <w:lang w:val="fr-FR"/>
        </w:rPr>
        <w:t xml:space="preserve">Lorsqu’un assemblage de deux feux indépendants, destinés à être homologués en tant que feux </w:t>
      </w:r>
      <w:r>
        <w:rPr>
          <w:b/>
          <w:lang w:val="fr-FR"/>
        </w:rPr>
        <w:t xml:space="preserve">marqués </w:t>
      </w:r>
      <w:r>
        <w:rPr>
          <w:lang w:val="fr-FR"/>
        </w:rPr>
        <w:t>“</w:t>
      </w:r>
      <w:r w:rsidRPr="00434795">
        <w:rPr>
          <w:lang w:val="fr-FR"/>
        </w:rPr>
        <w:t>D</w:t>
      </w:r>
      <w:r>
        <w:rPr>
          <w:lang w:val="fr-FR"/>
        </w:rPr>
        <w:t>”</w:t>
      </w:r>
      <w:r w:rsidRPr="00434795">
        <w:rPr>
          <w:lang w:val="fr-FR"/>
        </w:rPr>
        <w:t xml:space="preserve"> et ayant la même fonction, est censé n’être qu’un feu unique, il doit satisfaire aux prescriptions relatives</w:t>
      </w:r>
      <w:r>
        <w:rPr>
          <w:lang w:val="fr-FR"/>
        </w:rPr>
        <w:t> </w:t>
      </w:r>
      <w:r w:rsidRPr="00434795">
        <w:rPr>
          <w:lang w:val="fr-FR"/>
        </w:rPr>
        <w:t>:</w:t>
      </w:r>
    </w:p>
    <w:p w:rsidR="00E33CD4" w:rsidRPr="00434795" w:rsidRDefault="00E33CD4" w:rsidP="00E33CD4">
      <w:pPr>
        <w:spacing w:after="120"/>
        <w:ind w:left="2268" w:right="1134"/>
        <w:jc w:val="both"/>
        <w:rPr>
          <w:lang w:val="fr-FR"/>
        </w:rPr>
      </w:pPr>
      <w:r w:rsidRPr="00434795">
        <w:rPr>
          <w:lang w:val="fr-FR"/>
        </w:rPr>
        <w:t>a)</w:t>
      </w:r>
      <w:r w:rsidRPr="00434795">
        <w:rPr>
          <w:lang w:val="fr-FR"/>
        </w:rPr>
        <w:tab/>
        <w:t>À l’intensité maximale lorsque tous les feux sont allumés</w:t>
      </w:r>
      <w:r>
        <w:rPr>
          <w:lang w:val="fr-FR"/>
        </w:rPr>
        <w:t> </w:t>
      </w:r>
      <w:r w:rsidRPr="00434795">
        <w:rPr>
          <w:lang w:val="fr-FR"/>
        </w:rPr>
        <w:t>;</w:t>
      </w:r>
    </w:p>
    <w:p w:rsidR="00E33CD4" w:rsidRPr="00434795" w:rsidRDefault="00E33CD4" w:rsidP="00E33CD4">
      <w:pPr>
        <w:spacing w:after="120"/>
        <w:ind w:left="2268" w:right="1134"/>
        <w:jc w:val="both"/>
      </w:pPr>
      <w:r w:rsidRPr="00434795">
        <w:rPr>
          <w:lang w:val="fr-FR"/>
        </w:rPr>
        <w:t>b)</w:t>
      </w:r>
      <w:r w:rsidRPr="00434795">
        <w:rPr>
          <w:lang w:val="fr-FR"/>
        </w:rPr>
        <w:tab/>
        <w:t>À l’intensité minimale lorsque l’un des deux feux est défectueux</w:t>
      </w:r>
      <w:r w:rsidRPr="00434795">
        <w:t>.</w:t>
      </w:r>
      <w:r>
        <w:t> ».</w:t>
      </w:r>
    </w:p>
    <w:p w:rsidR="00E33CD4" w:rsidRPr="00372862" w:rsidRDefault="00E33CD4" w:rsidP="00E33CD4">
      <w:pPr>
        <w:pStyle w:val="HChG"/>
        <w:rPr>
          <w:lang w:val="fr-FR"/>
        </w:rPr>
      </w:pPr>
      <w:r w:rsidRPr="00372862">
        <w:rPr>
          <w:lang w:val="fr-FR"/>
        </w:rPr>
        <w:tab/>
        <w:t>II.</w:t>
      </w:r>
      <w:r w:rsidRPr="00372862">
        <w:rPr>
          <w:lang w:val="fr-FR"/>
        </w:rPr>
        <w:tab/>
        <w:t>Justification</w:t>
      </w:r>
    </w:p>
    <w:p w:rsidR="00F9573C" w:rsidRDefault="00E33CD4" w:rsidP="00E33CD4">
      <w:pPr>
        <w:pStyle w:val="SingleTxtG"/>
        <w:ind w:firstLine="567"/>
        <w:rPr>
          <w:lang w:val="fr-FR"/>
        </w:rPr>
      </w:pPr>
      <w:r>
        <w:rPr>
          <w:lang w:val="fr-FR"/>
        </w:rPr>
        <w:t>La présente</w:t>
      </w:r>
      <w:r w:rsidRPr="00434795">
        <w:rPr>
          <w:lang w:val="fr-FR"/>
        </w:rPr>
        <w:t xml:space="preserve"> proposition </w:t>
      </w:r>
      <w:r>
        <w:rPr>
          <w:lang w:val="fr-FR"/>
        </w:rPr>
        <w:t>harmonise le texte du paragraphe 6.1.6</w:t>
      </w:r>
      <w:r w:rsidRPr="00434795">
        <w:rPr>
          <w:lang w:val="fr-FR"/>
        </w:rPr>
        <w:t xml:space="preserve"> avec la définition de «</w:t>
      </w:r>
      <w:r>
        <w:rPr>
          <w:lang w:val="fr-FR"/>
        </w:rPr>
        <w:t> feu simple </w:t>
      </w:r>
      <w:r w:rsidRPr="00434795">
        <w:rPr>
          <w:lang w:val="fr-FR"/>
        </w:rPr>
        <w:t>» introduite par le docum</w:t>
      </w:r>
      <w:r>
        <w:rPr>
          <w:lang w:val="fr-FR"/>
        </w:rPr>
        <w:t>ent ECE/TRANS/WP.29/GRE/</w:t>
      </w:r>
      <w:r w:rsidRPr="00434795">
        <w:rPr>
          <w:lang w:val="fr-FR"/>
        </w:rPr>
        <w:t xml:space="preserve">2014/6. La </w:t>
      </w:r>
      <w:r>
        <w:rPr>
          <w:lang w:val="fr-FR"/>
        </w:rPr>
        <w:t>référence au paragraphe 4.2.2.6</w:t>
      </w:r>
      <w:r w:rsidRPr="00434795">
        <w:rPr>
          <w:lang w:val="fr-FR"/>
        </w:rPr>
        <w:t xml:space="preserve"> dans l</w:t>
      </w:r>
      <w:r w:rsidR="001039C7">
        <w:rPr>
          <w:lang w:val="fr-FR"/>
        </w:rPr>
        <w:t>’</w:t>
      </w:r>
      <w:r w:rsidRPr="00434795">
        <w:rPr>
          <w:lang w:val="fr-FR"/>
        </w:rPr>
        <w:t>en-tête du tab</w:t>
      </w:r>
      <w:r>
        <w:rPr>
          <w:lang w:val="fr-FR"/>
        </w:rPr>
        <w:t>leau figurant au paragraphe 6.1</w:t>
      </w:r>
      <w:r w:rsidRPr="00434795">
        <w:rPr>
          <w:lang w:val="fr-FR"/>
        </w:rPr>
        <w:t xml:space="preserve"> est également corrigée</w:t>
      </w:r>
      <w:r>
        <w:rPr>
          <w:lang w:val="fr-FR"/>
        </w:rPr>
        <w:t>.</w:t>
      </w:r>
    </w:p>
    <w:p w:rsidR="00E33CD4" w:rsidRPr="00E33CD4" w:rsidRDefault="00E33CD4" w:rsidP="00E33C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3CD4" w:rsidRPr="00E33CD4" w:rsidSect="00667DD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F" w:rsidRDefault="00B756BF" w:rsidP="00F95C08">
      <w:pPr>
        <w:spacing w:line="240" w:lineRule="auto"/>
      </w:pPr>
    </w:p>
  </w:endnote>
  <w:endnote w:type="continuationSeparator" w:id="0">
    <w:p w:rsidR="00B756BF" w:rsidRPr="00AC3823" w:rsidRDefault="00B756BF" w:rsidP="00AC3823">
      <w:pPr>
        <w:pStyle w:val="Footer"/>
      </w:pPr>
    </w:p>
  </w:endnote>
  <w:endnote w:type="continuationNotice" w:id="1">
    <w:p w:rsidR="00B756BF" w:rsidRDefault="00B756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2" w:rsidRPr="00667DD2" w:rsidRDefault="00667DD2" w:rsidP="00667DD2">
    <w:pPr>
      <w:pStyle w:val="Footer"/>
      <w:tabs>
        <w:tab w:val="right" w:pos="9638"/>
      </w:tabs>
    </w:pPr>
    <w:r w:rsidRPr="00667DD2">
      <w:rPr>
        <w:b/>
        <w:sz w:val="18"/>
      </w:rPr>
      <w:fldChar w:fldCharType="begin"/>
    </w:r>
    <w:r w:rsidRPr="00667DD2">
      <w:rPr>
        <w:b/>
        <w:sz w:val="18"/>
      </w:rPr>
      <w:instrText xml:space="preserve"> PAGE  \* MERGEFORMAT </w:instrText>
    </w:r>
    <w:r w:rsidRPr="00667DD2">
      <w:rPr>
        <w:b/>
        <w:sz w:val="18"/>
      </w:rPr>
      <w:fldChar w:fldCharType="separate"/>
    </w:r>
    <w:r w:rsidR="005C4F5F">
      <w:rPr>
        <w:b/>
        <w:noProof/>
        <w:sz w:val="18"/>
      </w:rPr>
      <w:t>2</w:t>
    </w:r>
    <w:r w:rsidRPr="00667DD2">
      <w:rPr>
        <w:b/>
        <w:sz w:val="18"/>
      </w:rPr>
      <w:fldChar w:fldCharType="end"/>
    </w:r>
    <w:r>
      <w:rPr>
        <w:b/>
        <w:sz w:val="18"/>
      </w:rPr>
      <w:tab/>
    </w:r>
    <w:r>
      <w:t>GE.16-13760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2" w:rsidRPr="00667DD2" w:rsidRDefault="00667DD2" w:rsidP="00667DD2">
    <w:pPr>
      <w:pStyle w:val="Footer"/>
      <w:tabs>
        <w:tab w:val="right" w:pos="9638"/>
      </w:tabs>
      <w:rPr>
        <w:b/>
        <w:sz w:val="18"/>
      </w:rPr>
    </w:pPr>
    <w:r>
      <w:t>GE.16-13760</w:t>
    </w:r>
    <w:r>
      <w:tab/>
    </w:r>
    <w:r w:rsidRPr="00667DD2">
      <w:rPr>
        <w:b/>
        <w:sz w:val="18"/>
      </w:rPr>
      <w:fldChar w:fldCharType="begin"/>
    </w:r>
    <w:r w:rsidRPr="00667DD2">
      <w:rPr>
        <w:b/>
        <w:sz w:val="18"/>
      </w:rPr>
      <w:instrText xml:space="preserve"> PAGE  \* MERGEFORMAT </w:instrText>
    </w:r>
    <w:r w:rsidRPr="00667DD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67D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67DD2" w:rsidRDefault="00667DD2" w:rsidP="00667DD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EEEEB66" wp14:editId="6EC98CA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16-13760  (F)    010916    060916</w:t>
    </w:r>
    <w:r>
      <w:rPr>
        <w:sz w:val="20"/>
      </w:rPr>
      <w:br/>
    </w:r>
    <w:r w:rsidRPr="00667DD2">
      <w:rPr>
        <w:rFonts w:ascii="C39T30Lfz" w:hAnsi="C39T30Lfz"/>
        <w:sz w:val="56"/>
      </w:rPr>
      <w:t></w:t>
    </w:r>
    <w:r w:rsidRPr="00667DD2">
      <w:rPr>
        <w:rFonts w:ascii="C39T30Lfz" w:hAnsi="C39T30Lfz"/>
        <w:sz w:val="56"/>
      </w:rPr>
      <w:t></w:t>
    </w:r>
    <w:r w:rsidRPr="00667DD2">
      <w:rPr>
        <w:rFonts w:ascii="C39T30Lfz" w:hAnsi="C39T30Lfz"/>
        <w:sz w:val="56"/>
      </w:rPr>
      <w:t></w:t>
    </w:r>
    <w:r w:rsidRPr="00667DD2">
      <w:rPr>
        <w:rFonts w:ascii="C39T30Lfz" w:hAnsi="C39T30Lfz"/>
        <w:sz w:val="56"/>
      </w:rPr>
      <w:t></w:t>
    </w:r>
    <w:r w:rsidRPr="00667DD2">
      <w:rPr>
        <w:rFonts w:ascii="C39T30Lfz" w:hAnsi="C39T30Lfz"/>
        <w:sz w:val="56"/>
      </w:rPr>
      <w:t></w:t>
    </w:r>
    <w:r w:rsidRPr="00667DD2">
      <w:rPr>
        <w:rFonts w:ascii="C39T30Lfz" w:hAnsi="C39T30Lfz"/>
        <w:sz w:val="56"/>
      </w:rPr>
      <w:t></w:t>
    </w:r>
    <w:r w:rsidRPr="00667DD2">
      <w:rPr>
        <w:rFonts w:ascii="C39T30Lfz" w:hAnsi="C39T30Lfz"/>
        <w:sz w:val="56"/>
      </w:rPr>
      <w:t></w:t>
    </w:r>
    <w:r w:rsidRPr="00667DD2">
      <w:rPr>
        <w:rFonts w:ascii="C39T30Lfz" w:hAnsi="C39T30Lfz"/>
        <w:sz w:val="56"/>
      </w:rPr>
      <w:t></w:t>
    </w:r>
    <w:r w:rsidRPr="00667DD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F" w:rsidRPr="00AC3823" w:rsidRDefault="00B756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56BF" w:rsidRPr="00AC3823" w:rsidRDefault="00B756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56BF" w:rsidRPr="00AC3823" w:rsidRDefault="00B756BF">
      <w:pPr>
        <w:spacing w:line="240" w:lineRule="auto"/>
        <w:rPr>
          <w:sz w:val="2"/>
          <w:szCs w:val="2"/>
        </w:rPr>
      </w:pPr>
    </w:p>
  </w:footnote>
  <w:footnote w:id="2">
    <w:p w:rsidR="00E33CD4" w:rsidRPr="00E33CD4" w:rsidRDefault="00E33CD4">
      <w:pPr>
        <w:pStyle w:val="FootnoteText"/>
      </w:pPr>
      <w:r>
        <w:rPr>
          <w:rStyle w:val="FootnoteReference"/>
        </w:rPr>
        <w:tab/>
      </w:r>
      <w:r w:rsidRPr="00E33CD4">
        <w:rPr>
          <w:rStyle w:val="FootnoteReference"/>
          <w:sz w:val="20"/>
          <w:vertAlign w:val="baseline"/>
        </w:rPr>
        <w:t>*</w:t>
      </w:r>
      <w:r w:rsidRPr="00E33CD4">
        <w:rPr>
          <w:rStyle w:val="FootnoteReference"/>
          <w:sz w:val="20"/>
          <w:vertAlign w:val="baseline"/>
        </w:rPr>
        <w:tab/>
      </w:r>
      <w:r w:rsidRPr="00E33CD4">
        <w:rPr>
          <w:szCs w:val="18"/>
          <w:lang w:val="fr-FR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2" w:rsidRPr="00667DD2" w:rsidRDefault="00667DD2">
    <w:pPr>
      <w:pStyle w:val="Header"/>
    </w:pPr>
    <w:r>
      <w:t>ECE/TRANS/WP.29/GRE/2016/22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2" w:rsidRPr="00667DD2" w:rsidRDefault="00667DD2" w:rsidP="00667DD2">
    <w:pPr>
      <w:pStyle w:val="Header"/>
      <w:jc w:val="right"/>
    </w:pPr>
    <w:r>
      <w:t>ECE/TRANS/WP.29/GRE/2016/22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F"/>
    <w:rsid w:val="00017F94"/>
    <w:rsid w:val="00023842"/>
    <w:rsid w:val="000334F9"/>
    <w:rsid w:val="0007796D"/>
    <w:rsid w:val="000B7790"/>
    <w:rsid w:val="001039C7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C4F5F"/>
    <w:rsid w:val="00667DD2"/>
    <w:rsid w:val="006F141E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63FB"/>
    <w:rsid w:val="00B756BF"/>
    <w:rsid w:val="00B765F7"/>
    <w:rsid w:val="00BA0CA9"/>
    <w:rsid w:val="00C02897"/>
    <w:rsid w:val="00D3439C"/>
    <w:rsid w:val="00DB1831"/>
    <w:rsid w:val="00DD3BFD"/>
    <w:rsid w:val="00DF6678"/>
    <w:rsid w:val="00E33CD4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33C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33CD4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rsid w:val="00E33CD4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33C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33CD4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rsid w:val="00E33CD4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ECE/TRANS/WP.29/GRE/2016/22</vt:lpstr>
      <vt:lpstr>ECE/TRANS/WP.29/GRE/2016/22</vt:lpstr>
    </vt:vector>
  </TitlesOfParts>
  <Company>DCM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ECE/TRANS/WP.29/GRE/2016/22</dc:title>
  <dc:creator>Vu Thi Kim Thao</dc:creator>
  <cp:lastModifiedBy>Benedicte Boudol</cp:lastModifiedBy>
  <cp:revision>2</cp:revision>
  <cp:lastPrinted>2014-05-14T10:59:00Z</cp:lastPrinted>
  <dcterms:created xsi:type="dcterms:W3CDTF">2016-09-06T14:11:00Z</dcterms:created>
  <dcterms:modified xsi:type="dcterms:W3CDTF">2016-09-06T14:11:00Z</dcterms:modified>
</cp:coreProperties>
</file>