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105E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105E0" w:rsidP="008105E0">
            <w:pPr>
              <w:jc w:val="right"/>
            </w:pPr>
            <w:r w:rsidRPr="008105E0">
              <w:rPr>
                <w:sz w:val="40"/>
              </w:rPr>
              <w:t>ECE</w:t>
            </w:r>
            <w:r>
              <w:t>/TRANS/WP.29/GRE/2016/21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105E0" w:rsidP="00892A2F">
            <w:pPr>
              <w:spacing w:before="240"/>
            </w:pPr>
            <w:r>
              <w:t>Distr. générale</w:t>
            </w:r>
          </w:p>
          <w:p w:rsidR="008105E0" w:rsidRDefault="008105E0" w:rsidP="008105E0">
            <w:pPr>
              <w:spacing w:line="240" w:lineRule="exact"/>
            </w:pPr>
            <w:r>
              <w:t>9 août 2016</w:t>
            </w:r>
          </w:p>
          <w:p w:rsidR="008105E0" w:rsidRDefault="008105E0" w:rsidP="008105E0">
            <w:pPr>
              <w:spacing w:line="240" w:lineRule="exact"/>
            </w:pPr>
            <w:r>
              <w:t>Français</w:t>
            </w:r>
          </w:p>
          <w:p w:rsidR="008105E0" w:rsidRPr="00DB58B5" w:rsidRDefault="008105E0" w:rsidP="008105E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929C5" w:rsidRPr="00A07764" w:rsidRDefault="00E929C5" w:rsidP="00E929C5">
      <w:pPr>
        <w:spacing w:before="120"/>
        <w:rPr>
          <w:b/>
          <w:sz w:val="24"/>
          <w:szCs w:val="24"/>
          <w:lang w:val="fr-FR"/>
        </w:rPr>
      </w:pPr>
      <w:r w:rsidRPr="00A07764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A07764">
        <w:rPr>
          <w:b/>
          <w:sz w:val="24"/>
          <w:szCs w:val="24"/>
          <w:lang w:val="fr-FR"/>
        </w:rPr>
        <w:t xml:space="preserve">harmonisation </w:t>
      </w:r>
      <w:r w:rsidRPr="00A07764">
        <w:rPr>
          <w:b/>
          <w:sz w:val="24"/>
          <w:szCs w:val="24"/>
          <w:lang w:val="fr-FR"/>
        </w:rPr>
        <w:br/>
        <w:t>des Règlements concernant les véhicules</w:t>
      </w:r>
    </w:p>
    <w:p w:rsidR="00E929C5" w:rsidRPr="00A07764" w:rsidRDefault="00E929C5" w:rsidP="00E929C5">
      <w:pPr>
        <w:spacing w:before="120" w:after="120"/>
        <w:rPr>
          <w:b/>
          <w:bCs/>
          <w:lang w:val="fr-FR"/>
        </w:rPr>
      </w:pPr>
      <w:r w:rsidRPr="00A07764">
        <w:rPr>
          <w:b/>
          <w:bCs/>
          <w:lang w:val="fr-FR"/>
        </w:rPr>
        <w:t>Groupe de travail de l</w:t>
      </w:r>
      <w:r>
        <w:rPr>
          <w:b/>
          <w:bCs/>
          <w:lang w:val="fr-FR"/>
        </w:rPr>
        <w:t>’</w:t>
      </w:r>
      <w:r w:rsidRPr="00A07764">
        <w:rPr>
          <w:b/>
          <w:bCs/>
          <w:lang w:val="fr-FR"/>
        </w:rPr>
        <w:t>éclairage et de la signalisation lumineuse</w:t>
      </w:r>
    </w:p>
    <w:p w:rsidR="00E929C5" w:rsidRPr="00A07764" w:rsidRDefault="00E929C5" w:rsidP="00E929C5">
      <w:pPr>
        <w:tabs>
          <w:tab w:val="left" w:pos="4052"/>
        </w:tabs>
        <w:rPr>
          <w:b/>
          <w:lang w:val="fr-FR"/>
        </w:rPr>
      </w:pPr>
      <w:r>
        <w:rPr>
          <w:b/>
          <w:lang w:val="fr-FR"/>
        </w:rPr>
        <w:t>Soixante-seizième session</w:t>
      </w:r>
    </w:p>
    <w:p w:rsidR="00E929C5" w:rsidRPr="00A07764" w:rsidRDefault="00E929C5" w:rsidP="00E929C5">
      <w:pPr>
        <w:rPr>
          <w:bCs/>
          <w:lang w:val="fr-FR"/>
        </w:rPr>
      </w:pPr>
      <w:r w:rsidRPr="00A07764">
        <w:rPr>
          <w:lang w:val="fr-FR"/>
        </w:rPr>
        <w:t>Genève</w:t>
      </w:r>
      <w:r w:rsidRPr="00A07764">
        <w:rPr>
          <w:bCs/>
          <w:lang w:val="fr-FR"/>
        </w:rPr>
        <w:t>, 25-28 octobre 2016</w:t>
      </w:r>
    </w:p>
    <w:p w:rsidR="00E929C5" w:rsidRDefault="00E929C5" w:rsidP="00E929C5">
      <w:pPr>
        <w:tabs>
          <w:tab w:val="left" w:pos="1134"/>
        </w:tabs>
        <w:ind w:right="1134"/>
        <w:rPr>
          <w:bCs/>
          <w:lang w:val="fr-FR"/>
        </w:rPr>
      </w:pPr>
      <w:r w:rsidRPr="00A07764">
        <w:rPr>
          <w:bCs/>
          <w:lang w:val="fr-FR"/>
        </w:rPr>
        <w:t>Point 7 a) de l</w:t>
      </w:r>
      <w:r>
        <w:rPr>
          <w:bCs/>
          <w:lang w:val="fr-FR"/>
        </w:rPr>
        <w:t>’</w:t>
      </w:r>
      <w:r w:rsidRPr="00A07764">
        <w:rPr>
          <w:bCs/>
          <w:lang w:val="fr-FR"/>
        </w:rPr>
        <w:t>ordre du jour provisoire</w:t>
      </w:r>
    </w:p>
    <w:p w:rsidR="00E929C5" w:rsidRPr="00A07764" w:rsidRDefault="00E929C5" w:rsidP="00E929C5">
      <w:pPr>
        <w:tabs>
          <w:tab w:val="left" w:pos="1134"/>
        </w:tabs>
        <w:ind w:right="1134"/>
        <w:rPr>
          <w:b/>
          <w:bCs/>
          <w:lang w:val="fr-FR"/>
        </w:rPr>
      </w:pPr>
      <w:r w:rsidRPr="00A07764">
        <w:rPr>
          <w:b/>
          <w:bCs/>
          <w:lang w:val="fr-FR"/>
        </w:rPr>
        <w:t>Autres Règlements</w:t>
      </w:r>
      <w:r>
        <w:rPr>
          <w:b/>
          <w:bCs/>
          <w:lang w:val="fr-FR"/>
        </w:rPr>
        <w:t> </w:t>
      </w:r>
      <w:r w:rsidRPr="00A07764">
        <w:rPr>
          <w:b/>
          <w:bCs/>
          <w:lang w:val="fr-FR"/>
        </w:rPr>
        <w:t>: Règlement n</w:t>
      </w:r>
      <w:r w:rsidRPr="00A07764">
        <w:rPr>
          <w:b/>
          <w:bCs/>
          <w:vertAlign w:val="superscript"/>
          <w:lang w:val="fr-FR"/>
        </w:rPr>
        <w:t>o</w:t>
      </w:r>
      <w:r w:rsidRPr="00A07764">
        <w:rPr>
          <w:b/>
          <w:bCs/>
          <w:lang w:val="fr-FR"/>
        </w:rPr>
        <w:t> 6 (Feux indicateurs de direction)</w:t>
      </w:r>
    </w:p>
    <w:p w:rsidR="00E929C5" w:rsidRPr="00A07764" w:rsidRDefault="00E929C5" w:rsidP="00E929C5">
      <w:pPr>
        <w:pStyle w:val="HChG"/>
        <w:rPr>
          <w:lang w:val="fr-FR"/>
        </w:rPr>
      </w:pPr>
      <w:r w:rsidRPr="00A07764">
        <w:rPr>
          <w:lang w:val="fr-FR"/>
        </w:rPr>
        <w:tab/>
      </w:r>
      <w:r w:rsidRPr="00A07764">
        <w:rPr>
          <w:lang w:val="fr-FR"/>
        </w:rPr>
        <w:tab/>
        <w:t>Proposition de complément 27 à la série 01 d</w:t>
      </w:r>
      <w:r>
        <w:rPr>
          <w:lang w:val="fr-FR"/>
        </w:rPr>
        <w:t>’</w:t>
      </w:r>
      <w:r w:rsidRPr="00A07764">
        <w:rPr>
          <w:lang w:val="fr-FR"/>
        </w:rPr>
        <w:t>amendements au Règlement n</w:t>
      </w:r>
      <w:r w:rsidRPr="00A07764">
        <w:rPr>
          <w:vertAlign w:val="superscript"/>
          <w:lang w:val="fr-FR"/>
        </w:rPr>
        <w:t>o</w:t>
      </w:r>
      <w:r w:rsidRPr="00A07764">
        <w:rPr>
          <w:lang w:val="fr-FR"/>
        </w:rPr>
        <w:t xml:space="preserve"> 6 (Feux indicateurs de direction) </w:t>
      </w:r>
    </w:p>
    <w:p w:rsidR="00E929C5" w:rsidRPr="00E929C5" w:rsidRDefault="00E929C5" w:rsidP="00E929C5">
      <w:pPr>
        <w:pStyle w:val="H1G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07764">
        <w:rPr>
          <w:lang w:val="fr-FR"/>
        </w:rPr>
        <w:t>Communication de l</w:t>
      </w:r>
      <w:r>
        <w:rPr>
          <w:lang w:val="fr-FR"/>
        </w:rPr>
        <w:t>’</w:t>
      </w:r>
      <w:r w:rsidRPr="00A07764">
        <w:rPr>
          <w:lang w:val="fr-FR"/>
        </w:rPr>
        <w:t>expert du Groupe de travail « Bruxelles 1952 » (GTB)</w:t>
      </w:r>
      <w:r w:rsidRPr="009D56F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929C5" w:rsidRPr="00977F71" w:rsidRDefault="00E929C5" w:rsidP="000E5BE1">
      <w:pPr>
        <w:tabs>
          <w:tab w:val="left" w:pos="1701"/>
          <w:tab w:val="left" w:pos="8505"/>
        </w:tabs>
        <w:spacing w:after="120"/>
        <w:ind w:left="1134" w:right="1134" w:firstLine="567"/>
        <w:jc w:val="both"/>
        <w:rPr>
          <w:lang w:val="fr-FR"/>
        </w:rPr>
      </w:pPr>
      <w:r w:rsidRPr="00A07764">
        <w:rPr>
          <w:rFonts w:eastAsia="Calibri"/>
          <w:lang w:val="fr-FR"/>
        </w:rPr>
        <w:t>Le texte ci-après, qui a été établi par l</w:t>
      </w:r>
      <w:r>
        <w:rPr>
          <w:rFonts w:eastAsia="Calibri"/>
          <w:lang w:val="fr-FR"/>
        </w:rPr>
        <w:t>’</w:t>
      </w:r>
      <w:r w:rsidRPr="00A07764">
        <w:rPr>
          <w:rFonts w:eastAsia="Calibri"/>
          <w:lang w:val="fr-FR"/>
        </w:rPr>
        <w:t>expert du Groupe de travail « Bruxelles 1952 » (GTB), vise à faire directe</w:t>
      </w:r>
      <w:r>
        <w:rPr>
          <w:rFonts w:eastAsia="Calibri"/>
          <w:lang w:val="fr-FR"/>
        </w:rPr>
        <w:t>ment</w:t>
      </w:r>
      <w:r w:rsidRPr="00A07764">
        <w:rPr>
          <w:rFonts w:eastAsia="Calibri"/>
          <w:lang w:val="fr-FR"/>
        </w:rPr>
        <w:t xml:space="preserve"> référence </w:t>
      </w:r>
      <w:r>
        <w:rPr>
          <w:rFonts w:eastAsia="Calibri"/>
          <w:lang w:val="fr-FR"/>
        </w:rPr>
        <w:t>au Règlement n</w:t>
      </w:r>
      <w:r w:rsidRPr="00A07764">
        <w:rPr>
          <w:rFonts w:eastAsia="Calibri"/>
          <w:vertAlign w:val="superscript"/>
          <w:lang w:val="fr-FR"/>
        </w:rPr>
        <w:t>o</w:t>
      </w:r>
      <w:r>
        <w:rPr>
          <w:rFonts w:eastAsia="Calibri"/>
          <w:lang w:val="fr-FR"/>
        </w:rPr>
        <w:t> </w:t>
      </w:r>
      <w:r w:rsidRPr="00A07764">
        <w:rPr>
          <w:rFonts w:eastAsia="Calibri"/>
          <w:lang w:val="fr-FR"/>
        </w:rPr>
        <w:t>48 concernant les catégories d</w:t>
      </w:r>
      <w:r>
        <w:rPr>
          <w:rFonts w:eastAsia="Calibri"/>
          <w:lang w:val="fr-FR"/>
        </w:rPr>
        <w:t>’</w:t>
      </w:r>
      <w:r w:rsidRPr="00A07764">
        <w:rPr>
          <w:rFonts w:eastAsia="Calibri"/>
          <w:lang w:val="fr-FR"/>
        </w:rPr>
        <w:t xml:space="preserve">indicateurs de direction et </w:t>
      </w:r>
      <w:r>
        <w:rPr>
          <w:rFonts w:eastAsia="Calibri"/>
          <w:lang w:val="fr-FR"/>
        </w:rPr>
        <w:t>à harmoniser</w:t>
      </w:r>
      <w:r w:rsidRPr="00A07764">
        <w:rPr>
          <w:rFonts w:eastAsia="Calibri"/>
          <w:lang w:val="fr-FR"/>
        </w:rPr>
        <w:t xml:space="preserve"> les valeurs maximales d</w:t>
      </w:r>
      <w:r>
        <w:rPr>
          <w:rFonts w:eastAsia="Calibri"/>
          <w:lang w:val="fr-FR"/>
        </w:rPr>
        <w:t>’</w:t>
      </w:r>
      <w:r w:rsidRPr="00A07764">
        <w:rPr>
          <w:rFonts w:eastAsia="Calibri"/>
          <w:lang w:val="fr-FR"/>
        </w:rPr>
        <w:t xml:space="preserve">intensité lumineuse pour les différentes catégories. Les modifications apportées au texte actuel du </w:t>
      </w:r>
      <w:r w:rsidRPr="00977F71">
        <w:rPr>
          <w:rFonts w:eastAsia="Calibri"/>
          <w:lang w:val="fr-FR"/>
        </w:rPr>
        <w:t>Règlement sont indiquées en caractères gras pour les ajouts ou biffés pour les suppressions.</w:t>
      </w:r>
    </w:p>
    <w:p w:rsidR="00E929C5" w:rsidRPr="00A07764" w:rsidRDefault="00E929C5" w:rsidP="00E929C5">
      <w:pPr>
        <w:pStyle w:val="HChG"/>
        <w:jc w:val="both"/>
        <w:rPr>
          <w:lang w:val="fr-FR"/>
        </w:rPr>
      </w:pPr>
      <w:r w:rsidRPr="00A07764">
        <w:rPr>
          <w:b w:val="0"/>
          <w:lang w:val="fr-FR"/>
        </w:rPr>
        <w:br w:type="page"/>
      </w:r>
      <w:r w:rsidRPr="00A07764">
        <w:rPr>
          <w:lang w:val="fr-FR"/>
        </w:rPr>
        <w:lastRenderedPageBreak/>
        <w:tab/>
        <w:t>I.</w:t>
      </w:r>
      <w:r w:rsidRPr="00A07764">
        <w:rPr>
          <w:b w:val="0"/>
          <w:lang w:val="fr-FR"/>
        </w:rPr>
        <w:tab/>
      </w:r>
      <w:r>
        <w:rPr>
          <w:lang w:val="fr-FR"/>
        </w:rPr>
        <w:t>Proposition</w:t>
      </w:r>
    </w:p>
    <w:p w:rsidR="00E929C5" w:rsidRPr="00A07764" w:rsidRDefault="00E929C5" w:rsidP="00E929C5">
      <w:pPr>
        <w:spacing w:after="120"/>
        <w:ind w:left="2268" w:right="1467" w:hanging="1134"/>
        <w:rPr>
          <w:lang w:val="fr-FR"/>
        </w:rPr>
      </w:pPr>
      <w:r w:rsidRPr="00A07764">
        <w:rPr>
          <w:i/>
          <w:lang w:val="fr-FR"/>
        </w:rPr>
        <w:t>Paragraph</w:t>
      </w:r>
      <w:r>
        <w:rPr>
          <w:i/>
          <w:lang w:val="fr-FR"/>
        </w:rPr>
        <w:t>e</w:t>
      </w:r>
      <w:r w:rsidRPr="00A07764">
        <w:rPr>
          <w:i/>
          <w:lang w:val="fr-FR"/>
        </w:rPr>
        <w:t xml:space="preserve"> 6.1, table</w:t>
      </w:r>
      <w:r>
        <w:rPr>
          <w:i/>
          <w:lang w:val="fr-FR"/>
        </w:rPr>
        <w:t>au</w:t>
      </w:r>
      <w:r w:rsidRPr="00A07764">
        <w:rPr>
          <w:i/>
          <w:lang w:val="fr-FR"/>
        </w:rPr>
        <w:t>,</w:t>
      </w:r>
      <w:r w:rsidRPr="00A07764">
        <w:rPr>
          <w:lang w:val="fr-FR"/>
        </w:rPr>
        <w:t xml:space="preserve"> </w:t>
      </w:r>
      <w:r>
        <w:rPr>
          <w:lang w:val="fr-FR"/>
        </w:rPr>
        <w:t>modifier comme suit</w:t>
      </w:r>
      <w:r w:rsidR="009D56F9">
        <w:rPr>
          <w:lang w:val="fr-FR"/>
        </w:rPr>
        <w:t> </w:t>
      </w:r>
      <w:r w:rsidRPr="00A07764">
        <w:rPr>
          <w:lang w:val="fr-FR"/>
        </w:rPr>
        <w:t>:</w:t>
      </w:r>
    </w:p>
    <w:p w:rsidR="00E929C5" w:rsidRDefault="00E929C5" w:rsidP="00E929C5">
      <w:pPr>
        <w:spacing w:before="120"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</w:t>
      </w:r>
      <w:r w:rsidR="009D56F9">
        <w:rPr>
          <w:lang w:val="fr-FR"/>
        </w:rPr>
        <w:t> </w:t>
      </w:r>
      <w:r>
        <w:rPr>
          <w:lang w:val="fr-FR"/>
        </w:rPr>
        <w:t>6.1</w:t>
      </w:r>
      <w:r w:rsidRPr="00A07764">
        <w:rPr>
          <w:lang w:val="fr-FR"/>
        </w:rPr>
        <w:tab/>
        <w:t>L</w:t>
      </w:r>
      <w:r>
        <w:rPr>
          <w:lang w:val="fr-FR"/>
        </w:rPr>
        <w:t>’</w:t>
      </w:r>
      <w:r w:rsidRPr="00A07764">
        <w:rPr>
          <w:lang w:val="fr-FR"/>
        </w:rPr>
        <w:t>intensité de la lumière émise par chacun des deux dispositifs fournis doit être, pour les indicateurs de directi</w:t>
      </w:r>
      <w:r>
        <w:rPr>
          <w:lang w:val="fr-FR"/>
        </w:rPr>
        <w:t>on des catégories 1, 1a, 1b, 2a et</w:t>
      </w:r>
      <w:r w:rsidRPr="00A07764">
        <w:rPr>
          <w:lang w:val="fr-FR"/>
        </w:rPr>
        <w:t xml:space="preserve"> 2b</w:t>
      </w:r>
      <w:r>
        <w:rPr>
          <w:lang w:val="fr-FR"/>
        </w:rPr>
        <w:t>,</w:t>
      </w:r>
      <w:r w:rsidRPr="00A07764">
        <w:rPr>
          <w:lang w:val="fr-FR"/>
        </w:rPr>
        <w:t xml:space="preserve"> dans l</w:t>
      </w:r>
      <w:r>
        <w:rPr>
          <w:lang w:val="fr-FR"/>
        </w:rPr>
        <w:t>’</w:t>
      </w:r>
      <w:r w:rsidRPr="00A07764">
        <w:rPr>
          <w:lang w:val="fr-FR"/>
        </w:rPr>
        <w:t>axe de référence, et pour les indicateurs de direction des catégories 5 et 6 dans la direction A selon l</w:t>
      </w:r>
      <w:r>
        <w:rPr>
          <w:lang w:val="fr-FR"/>
        </w:rPr>
        <w:t>’</w:t>
      </w:r>
      <w:r w:rsidRPr="00A07764">
        <w:rPr>
          <w:lang w:val="fr-FR"/>
        </w:rPr>
        <w:t>annexe 1, au moins égale au minimum et au plus égale au maximum défini ci-après</w:t>
      </w:r>
      <w:r>
        <w:rPr>
          <w:lang w:val="fr-FR"/>
        </w:rPr>
        <w:t> :</w:t>
      </w:r>
    </w:p>
    <w:tbl>
      <w:tblPr>
        <w:tblW w:w="7373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417"/>
        <w:gridCol w:w="1274"/>
        <w:gridCol w:w="2553"/>
      </w:tblGrid>
      <w:tr w:rsidR="00E929C5" w:rsidRPr="00A07764" w:rsidTr="007A6A9F">
        <w:trPr>
          <w:tblHeader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A07764">
              <w:rPr>
                <w:i/>
                <w:sz w:val="16"/>
                <w:szCs w:val="16"/>
                <w:lang w:val="fr-FR"/>
              </w:rPr>
              <w:br w:type="page"/>
            </w:r>
            <w:r w:rsidRPr="00A07764">
              <w:rPr>
                <w:i/>
                <w:sz w:val="16"/>
                <w:szCs w:val="16"/>
                <w:lang w:val="fr-FR"/>
              </w:rPr>
              <w:br w:type="page"/>
            </w:r>
            <w:r w:rsidRPr="00A07764">
              <w:rPr>
                <w:bCs/>
                <w:i/>
                <w:sz w:val="16"/>
                <w:szCs w:val="16"/>
                <w:lang w:val="fr-FR"/>
              </w:rPr>
              <w:t xml:space="preserve">Indicateur de direction </w:t>
            </w:r>
            <w:r w:rsidR="009D56F9">
              <w:rPr>
                <w:bCs/>
                <w:i/>
                <w:sz w:val="16"/>
                <w:szCs w:val="16"/>
                <w:lang w:val="fr-FR"/>
              </w:rPr>
              <w:br/>
            </w:r>
            <w:r w:rsidRPr="00A07764">
              <w:rPr>
                <w:bCs/>
                <w:i/>
                <w:sz w:val="16"/>
                <w:szCs w:val="16"/>
                <w:lang w:val="fr-FR"/>
              </w:rPr>
              <w:t>de la catégorie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A07764">
              <w:rPr>
                <w:bCs/>
                <w:i/>
                <w:sz w:val="16"/>
                <w:szCs w:val="16"/>
                <w:lang w:val="fr-FR"/>
              </w:rPr>
              <w:t>Intensité lumineuse minimale en cd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C5" w:rsidRPr="00A07764" w:rsidRDefault="00E929C5" w:rsidP="009D56F9">
            <w:pPr>
              <w:spacing w:before="40" w:after="4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A07764">
              <w:rPr>
                <w:bCs/>
                <w:i/>
                <w:sz w:val="16"/>
                <w:szCs w:val="16"/>
                <w:lang w:val="fr-FR"/>
              </w:rPr>
              <w:t xml:space="preserve">Intensité lumineuse maximale (en cd) </w:t>
            </w:r>
            <w:r w:rsidR="009D56F9">
              <w:rPr>
                <w:bCs/>
                <w:i/>
                <w:sz w:val="16"/>
                <w:szCs w:val="16"/>
                <w:lang w:val="fr-FR"/>
              </w:rPr>
              <w:br/>
            </w:r>
            <w:r w:rsidRPr="00A07764">
              <w:rPr>
                <w:bCs/>
                <w:i/>
                <w:sz w:val="16"/>
                <w:szCs w:val="16"/>
                <w:lang w:val="fr-FR"/>
              </w:rPr>
              <w:t>lorsque le feu est utilisé</w:t>
            </w:r>
          </w:p>
        </w:tc>
      </w:tr>
      <w:tr w:rsidR="00E929C5" w:rsidRPr="00A07764" w:rsidTr="007A6A9F">
        <w:trPr>
          <w:tblHeader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929C5" w:rsidRPr="00A07764" w:rsidRDefault="009D56F9" w:rsidP="007A6A9F">
            <w:pPr>
              <w:wordWrap w:val="0"/>
              <w:spacing w:before="40" w:after="40" w:line="200" w:lineRule="exact"/>
              <w:ind w:left="113" w:right="113"/>
              <w:jc w:val="right"/>
              <w:rPr>
                <w:bCs/>
                <w:i/>
                <w:strike/>
                <w:sz w:val="16"/>
                <w:szCs w:val="16"/>
                <w:u w:val="single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C</w:t>
            </w:r>
            <w:r w:rsidR="00E929C5" w:rsidRPr="00A07764">
              <w:rPr>
                <w:bCs/>
                <w:i/>
                <w:sz w:val="16"/>
                <w:szCs w:val="16"/>
                <w:lang w:val="fr-FR"/>
              </w:rPr>
              <w:t xml:space="preserve">omme </w:t>
            </w:r>
            <w:r w:rsidR="00E929C5">
              <w:rPr>
                <w:bCs/>
                <w:i/>
                <w:sz w:val="16"/>
                <w:szCs w:val="16"/>
                <w:lang w:val="fr-FR"/>
              </w:rPr>
              <w:br/>
            </w:r>
            <w:r w:rsidR="00E929C5" w:rsidRPr="00A07764">
              <w:rPr>
                <w:bCs/>
                <w:i/>
                <w:sz w:val="16"/>
                <w:szCs w:val="16"/>
                <w:lang w:val="fr-FR"/>
              </w:rPr>
              <w:t>feu simple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929C5" w:rsidRPr="00A07764" w:rsidRDefault="009D56F9" w:rsidP="00BE02A4">
            <w:pPr>
              <w:spacing w:before="40" w:after="40" w:line="22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C</w:t>
            </w:r>
            <w:r w:rsidR="00E929C5" w:rsidRPr="00A07764">
              <w:rPr>
                <w:bCs/>
                <w:i/>
                <w:sz w:val="16"/>
                <w:szCs w:val="16"/>
                <w:lang w:val="fr-FR"/>
              </w:rPr>
              <w:t xml:space="preserve">omme feu (simple) portant la </w:t>
            </w:r>
            <w:r w:rsidR="00E929C5">
              <w:rPr>
                <w:bCs/>
                <w:i/>
                <w:sz w:val="16"/>
                <w:szCs w:val="16"/>
                <w:lang w:val="fr-FR"/>
              </w:rPr>
              <w:t xml:space="preserve">marque </w:t>
            </w:r>
            <w:r w:rsidR="00BE02A4">
              <w:rPr>
                <w:bCs/>
                <w:i/>
                <w:sz w:val="16"/>
                <w:szCs w:val="16"/>
                <w:lang w:val="fr-FR"/>
              </w:rPr>
              <w:t>“</w:t>
            </w:r>
            <w:r w:rsidR="00E929C5">
              <w:rPr>
                <w:bCs/>
                <w:i/>
                <w:sz w:val="16"/>
                <w:szCs w:val="16"/>
                <w:lang w:val="fr-FR"/>
              </w:rPr>
              <w:t>D</w:t>
            </w:r>
            <w:r w:rsidR="00BE02A4">
              <w:rPr>
                <w:bCs/>
                <w:i/>
                <w:sz w:val="16"/>
                <w:szCs w:val="16"/>
                <w:lang w:val="fr-FR"/>
              </w:rPr>
              <w:t>”</w:t>
            </w:r>
            <w:r w:rsidR="00E929C5">
              <w:rPr>
                <w:bCs/>
                <w:i/>
                <w:sz w:val="16"/>
                <w:szCs w:val="16"/>
                <w:lang w:val="fr-FR"/>
              </w:rPr>
              <w:t xml:space="preserve"> (voir par. 4.2.2.3) </w:t>
            </w:r>
          </w:p>
        </w:tc>
      </w:tr>
      <w:tr w:rsidR="00E929C5" w:rsidRPr="00A07764" w:rsidTr="007A6A9F">
        <w:tc>
          <w:tcPr>
            <w:tcW w:w="2129" w:type="dxa"/>
            <w:tcBorders>
              <w:top w:val="single" w:sz="12" w:space="0" w:color="auto"/>
            </w:tcBorders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175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  <w:szCs w:val="18"/>
                <w:lang w:val="fr-FR"/>
              </w:rPr>
            </w:pPr>
            <w:r w:rsidRPr="00A07764">
              <w:rPr>
                <w:strike/>
                <w:sz w:val="18"/>
                <w:szCs w:val="18"/>
                <w:lang w:val="fr-FR"/>
              </w:rPr>
              <w:t>1000</w:t>
            </w:r>
            <w:r w:rsidRPr="00A07764">
              <w:rPr>
                <w:b/>
                <w:sz w:val="18"/>
                <w:szCs w:val="18"/>
                <w:lang w:val="fr-FR"/>
              </w:rPr>
              <w:t>1200</w:t>
            </w:r>
          </w:p>
        </w:tc>
        <w:tc>
          <w:tcPr>
            <w:tcW w:w="2553" w:type="dxa"/>
            <w:tcBorders>
              <w:top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trike/>
                <w:sz w:val="18"/>
                <w:szCs w:val="18"/>
                <w:lang w:val="fr-FR"/>
              </w:rPr>
            </w:pPr>
            <w:r w:rsidRPr="00A07764">
              <w:rPr>
                <w:bCs/>
                <w:strike/>
                <w:sz w:val="18"/>
                <w:szCs w:val="18"/>
                <w:lang w:val="fr-FR"/>
              </w:rPr>
              <w:t>500</w:t>
            </w:r>
            <w:r w:rsidRPr="00A07764">
              <w:rPr>
                <w:b/>
                <w:bCs/>
                <w:sz w:val="18"/>
                <w:szCs w:val="18"/>
                <w:lang w:val="fr-FR"/>
              </w:rPr>
              <w:t>600</w:t>
            </w:r>
          </w:p>
        </w:tc>
      </w:tr>
      <w:tr w:rsidR="00E929C5" w:rsidRPr="00A07764" w:rsidTr="007A6A9F">
        <w:tc>
          <w:tcPr>
            <w:tcW w:w="2129" w:type="dxa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1a</w:t>
            </w:r>
          </w:p>
        </w:tc>
        <w:tc>
          <w:tcPr>
            <w:tcW w:w="1417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274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sz w:val="18"/>
                <w:szCs w:val="18"/>
                <w:lang w:val="fr-FR"/>
              </w:rPr>
              <w:t>1200</w:t>
            </w:r>
          </w:p>
        </w:tc>
        <w:tc>
          <w:tcPr>
            <w:tcW w:w="2553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600</w:t>
            </w:r>
          </w:p>
        </w:tc>
      </w:tr>
      <w:tr w:rsidR="00E929C5" w:rsidRPr="00A07764" w:rsidTr="007A6A9F">
        <w:tc>
          <w:tcPr>
            <w:tcW w:w="2129" w:type="dxa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1b</w:t>
            </w:r>
          </w:p>
        </w:tc>
        <w:tc>
          <w:tcPr>
            <w:tcW w:w="1417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400</w:t>
            </w:r>
          </w:p>
        </w:tc>
        <w:tc>
          <w:tcPr>
            <w:tcW w:w="1274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sz w:val="18"/>
                <w:szCs w:val="18"/>
                <w:lang w:val="fr-FR"/>
              </w:rPr>
              <w:t>1200</w:t>
            </w:r>
          </w:p>
        </w:tc>
        <w:tc>
          <w:tcPr>
            <w:tcW w:w="2553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600</w:t>
            </w:r>
          </w:p>
        </w:tc>
      </w:tr>
      <w:tr w:rsidR="00E929C5" w:rsidRPr="00A07764" w:rsidTr="007A6A9F">
        <w:tc>
          <w:tcPr>
            <w:tcW w:w="2129" w:type="dxa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2a (intensité constante)</w:t>
            </w:r>
          </w:p>
        </w:tc>
        <w:tc>
          <w:tcPr>
            <w:tcW w:w="1417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50</w:t>
            </w:r>
          </w:p>
        </w:tc>
        <w:tc>
          <w:tcPr>
            <w:tcW w:w="1274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sz w:val="18"/>
                <w:szCs w:val="18"/>
                <w:lang w:val="fr-FR"/>
              </w:rPr>
              <w:t>500</w:t>
            </w:r>
          </w:p>
        </w:tc>
        <w:tc>
          <w:tcPr>
            <w:tcW w:w="2553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250</w:t>
            </w:r>
          </w:p>
        </w:tc>
      </w:tr>
      <w:tr w:rsidR="00E929C5" w:rsidRPr="00A07764" w:rsidTr="007A6A9F">
        <w:tc>
          <w:tcPr>
            <w:tcW w:w="2129" w:type="dxa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2b (intensité variable)</w:t>
            </w:r>
          </w:p>
        </w:tc>
        <w:tc>
          <w:tcPr>
            <w:tcW w:w="1417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50</w:t>
            </w:r>
          </w:p>
        </w:tc>
        <w:tc>
          <w:tcPr>
            <w:tcW w:w="1274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1000</w:t>
            </w:r>
          </w:p>
        </w:tc>
        <w:tc>
          <w:tcPr>
            <w:tcW w:w="2553" w:type="dxa"/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500</w:t>
            </w:r>
          </w:p>
        </w:tc>
      </w:tr>
      <w:tr w:rsidR="00E929C5" w:rsidRPr="00A07764" w:rsidTr="007A6A9F">
        <w:tc>
          <w:tcPr>
            <w:tcW w:w="2129" w:type="dxa"/>
            <w:tcBorders>
              <w:bottom w:val="single" w:sz="2" w:space="0" w:color="auto"/>
            </w:tcBorders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A07764">
              <w:rPr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2553" w:type="dxa"/>
            <w:tcBorders>
              <w:bottom w:val="single" w:sz="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140</w:t>
            </w:r>
          </w:p>
        </w:tc>
      </w:tr>
      <w:tr w:rsidR="00E929C5" w:rsidRPr="00A07764" w:rsidTr="007A6A9F">
        <w:tc>
          <w:tcPr>
            <w:tcW w:w="2129" w:type="dxa"/>
            <w:tcBorders>
              <w:bottom w:val="single" w:sz="12" w:space="0" w:color="auto"/>
            </w:tcBorders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50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A07764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vAlign w:val="bottom"/>
          </w:tcPr>
          <w:p w:rsidR="00E929C5" w:rsidRPr="00A07764" w:rsidRDefault="00E929C5" w:rsidP="007A6A9F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A07764">
              <w:rPr>
                <w:bCs/>
                <w:sz w:val="18"/>
                <w:szCs w:val="18"/>
                <w:lang w:val="fr-FR"/>
              </w:rPr>
              <w:t>140</w:t>
            </w:r>
          </w:p>
        </w:tc>
      </w:tr>
    </w:tbl>
    <w:p w:rsidR="00E929C5" w:rsidRPr="00A07764" w:rsidRDefault="00E929C5" w:rsidP="00E929C5">
      <w:pPr>
        <w:spacing w:before="120" w:after="120"/>
        <w:ind w:left="2268" w:right="1469" w:hanging="1134"/>
        <w:rPr>
          <w:lang w:val="fr-FR"/>
        </w:rPr>
      </w:pPr>
      <w:r>
        <w:rPr>
          <w:lang w:val="fr-FR"/>
        </w:rPr>
        <w:t>».</w:t>
      </w:r>
    </w:p>
    <w:p w:rsidR="00E929C5" w:rsidRPr="00A07764" w:rsidRDefault="00E929C5" w:rsidP="00E929C5">
      <w:pPr>
        <w:spacing w:before="120" w:after="120"/>
        <w:ind w:left="2268" w:right="1469" w:hanging="1134"/>
        <w:rPr>
          <w:lang w:val="fr-FR"/>
        </w:rPr>
      </w:pPr>
      <w:r w:rsidRPr="00A07764">
        <w:rPr>
          <w:i/>
          <w:lang w:val="fr-FR"/>
        </w:rPr>
        <w:t>Annex</w:t>
      </w:r>
      <w:r>
        <w:rPr>
          <w:i/>
          <w:lang w:val="fr-FR"/>
        </w:rPr>
        <w:t>e</w:t>
      </w:r>
      <w:r w:rsidRPr="00A07764">
        <w:rPr>
          <w:i/>
          <w:lang w:val="fr-FR"/>
        </w:rPr>
        <w:t xml:space="preserve"> 1,</w:t>
      </w:r>
      <w:r w:rsidRPr="00A07764">
        <w:rPr>
          <w:lang w:val="fr-FR"/>
        </w:rPr>
        <w:t xml:space="preserve"> modifier comme suit</w:t>
      </w:r>
      <w:r w:rsidR="009D56F9">
        <w:rPr>
          <w:lang w:val="fr-FR"/>
        </w:rPr>
        <w:t> </w:t>
      </w:r>
      <w:r w:rsidRPr="00A07764">
        <w:rPr>
          <w:lang w:val="fr-FR"/>
        </w:rPr>
        <w:t>:</w:t>
      </w:r>
    </w:p>
    <w:p w:rsidR="00E929C5" w:rsidRPr="00A07764" w:rsidRDefault="00E929C5" w:rsidP="00E929C5">
      <w:pPr>
        <w:pStyle w:val="HChG"/>
        <w:tabs>
          <w:tab w:val="left" w:pos="142"/>
        </w:tabs>
        <w:spacing w:before="0"/>
        <w:rPr>
          <w:b w:val="0"/>
          <w:sz w:val="20"/>
          <w:lang w:val="fr-FR"/>
        </w:rPr>
      </w:pPr>
      <w:r>
        <w:rPr>
          <w:lang w:val="fr-FR"/>
        </w:rPr>
        <w:tab/>
      </w:r>
      <w:r w:rsidRPr="00A07764">
        <w:rPr>
          <w:lang w:val="fr-FR"/>
        </w:rPr>
        <w:tab/>
      </w:r>
      <w:r w:rsidRPr="00A07764">
        <w:rPr>
          <w:lang w:val="fr-FR"/>
        </w:rPr>
        <w:tab/>
      </w:r>
      <w:r>
        <w:rPr>
          <w:b w:val="0"/>
          <w:sz w:val="20"/>
          <w:lang w:val="fr-FR"/>
        </w:rPr>
        <w:t>«</w:t>
      </w:r>
      <w:r w:rsidR="009D56F9">
        <w:rPr>
          <w:b w:val="0"/>
          <w:sz w:val="20"/>
          <w:lang w:val="fr-FR"/>
        </w:rPr>
        <w:t> </w:t>
      </w:r>
      <w:r w:rsidRPr="00D55E0A">
        <w:rPr>
          <w:b w:val="0"/>
          <w:sz w:val="20"/>
          <w:lang w:val="fr-FR"/>
        </w:rPr>
        <w:t>Catégories des indicateurs de direction</w:t>
      </w:r>
      <w:r w:rsidR="009D56F9">
        <w:rPr>
          <w:b w:val="0"/>
          <w:sz w:val="20"/>
          <w:lang w:val="fr-FR"/>
        </w:rPr>
        <w:t> </w:t>
      </w:r>
      <w:r w:rsidRPr="00D55E0A">
        <w:rPr>
          <w:b w:val="0"/>
          <w:sz w:val="20"/>
          <w:lang w:val="fr-FR"/>
        </w:rPr>
        <w:t>: angles minimaux exigés pour la répartition lumineuse spatiale des indicateurs de direction de ces catégories</w:t>
      </w:r>
      <w:r w:rsidRPr="00BE2D38">
        <w:rPr>
          <w:b w:val="0"/>
          <w:sz w:val="20"/>
          <w:vertAlign w:val="superscript"/>
          <w:lang w:val="fr-FR"/>
        </w:rPr>
        <w:t>1</w:t>
      </w:r>
    </w:p>
    <w:p w:rsidR="00E929C5" w:rsidRPr="00A07764" w:rsidRDefault="00E929C5" w:rsidP="00E929C5">
      <w:pPr>
        <w:pStyle w:val="para"/>
        <w:ind w:left="1134" w:firstLine="0"/>
        <w:rPr>
          <w:lang w:val="fr-FR"/>
        </w:rPr>
      </w:pPr>
      <w:r w:rsidRPr="00271B59">
        <w:rPr>
          <w:lang w:val="fr-FR"/>
        </w:rPr>
        <w:t xml:space="preserve">Dans tous les cas, les angles minimaux verticaux de répartition lumineuse spatiale des feux </w:t>
      </w:r>
      <w:r w:rsidRPr="00BE2D38">
        <w:rPr>
          <w:strike/>
          <w:lang w:val="fr-FR"/>
        </w:rPr>
        <w:t>des</w:t>
      </w:r>
      <w:r w:rsidRPr="00271B59">
        <w:rPr>
          <w:lang w:val="fr-FR"/>
        </w:rPr>
        <w:t xml:space="preserve"> indicateurs de direction sont de 15° au-dessus et de 15° au-dessous de l</w:t>
      </w:r>
      <w:r>
        <w:rPr>
          <w:lang w:val="fr-FR"/>
        </w:rPr>
        <w:t>’</w:t>
      </w:r>
      <w:r w:rsidRPr="00271B59">
        <w:rPr>
          <w:lang w:val="fr-FR"/>
        </w:rPr>
        <w:t>horizontale, sauf</w:t>
      </w:r>
      <w:r w:rsidR="009D56F9">
        <w:rPr>
          <w:lang w:val="fr-FR"/>
        </w:rPr>
        <w:t> </w:t>
      </w:r>
      <w:r w:rsidRPr="00A07764">
        <w:rPr>
          <w:lang w:val="fr-FR"/>
        </w:rPr>
        <w:t>:</w:t>
      </w:r>
    </w:p>
    <w:p w:rsidR="00E929C5" w:rsidRPr="00A07764" w:rsidRDefault="00E929C5" w:rsidP="00E929C5">
      <w:pPr>
        <w:pStyle w:val="para"/>
        <w:ind w:left="1701" w:hanging="567"/>
        <w:rPr>
          <w:lang w:val="fr-FR"/>
        </w:rPr>
      </w:pPr>
      <w:r w:rsidRPr="00A07764">
        <w:rPr>
          <w:lang w:val="fr-FR"/>
        </w:rPr>
        <w:t>a)</w:t>
      </w:r>
      <w:r w:rsidRPr="00A07764">
        <w:rPr>
          <w:lang w:val="fr-FR"/>
        </w:rPr>
        <w:tab/>
      </w:r>
      <w:r>
        <w:rPr>
          <w:lang w:val="fr-FR"/>
        </w:rPr>
        <w:t xml:space="preserve">Pour les feux </w:t>
      </w:r>
      <w:r w:rsidRPr="00431DC1">
        <w:rPr>
          <w:strike/>
          <w:lang w:val="fr-FR"/>
        </w:rPr>
        <w:t>d</w:t>
      </w:r>
      <w:r>
        <w:rPr>
          <w:strike/>
          <w:lang w:val="fr-FR"/>
        </w:rPr>
        <w:t>’</w:t>
      </w:r>
      <w:r w:rsidRPr="00271B59">
        <w:rPr>
          <w:lang w:val="fr-FR"/>
        </w:rPr>
        <w:t>indicateurs de direction dont la hauteur de montage est égale ou inférieure à 750 mm par rapport au sol, pour lesquels ils sont de 15° au-dessus et de 5° au-dessous de l</w:t>
      </w:r>
      <w:r>
        <w:rPr>
          <w:lang w:val="fr-FR"/>
        </w:rPr>
        <w:t>’</w:t>
      </w:r>
      <w:r w:rsidRPr="00271B59">
        <w:rPr>
          <w:lang w:val="fr-FR"/>
        </w:rPr>
        <w:t>horizontale</w:t>
      </w:r>
      <w:r w:rsidR="009D56F9">
        <w:rPr>
          <w:lang w:val="fr-FR"/>
        </w:rPr>
        <w:t> </w:t>
      </w:r>
      <w:r w:rsidRPr="00A07764">
        <w:rPr>
          <w:lang w:val="fr-FR"/>
        </w:rPr>
        <w:t>;</w:t>
      </w:r>
    </w:p>
    <w:p w:rsidR="00E929C5" w:rsidRPr="00A07764" w:rsidRDefault="00E929C5" w:rsidP="00E929C5">
      <w:pPr>
        <w:pStyle w:val="para"/>
        <w:ind w:left="1701" w:hanging="567"/>
        <w:rPr>
          <w:lang w:val="fr-FR"/>
        </w:rPr>
      </w:pPr>
      <w:r w:rsidRPr="00A07764">
        <w:rPr>
          <w:lang w:val="fr-FR"/>
        </w:rPr>
        <w:t>b)</w:t>
      </w:r>
      <w:r w:rsidRPr="00A07764">
        <w:rPr>
          <w:lang w:val="fr-FR"/>
        </w:rPr>
        <w:tab/>
      </w:r>
      <w:r>
        <w:rPr>
          <w:lang w:val="fr-FR"/>
        </w:rPr>
        <w:t>Pour l</w:t>
      </w:r>
      <w:r w:rsidRPr="00431DC1">
        <w:rPr>
          <w:lang w:val="fr-FR"/>
        </w:rPr>
        <w:t xml:space="preserve">es feux indicateurs de direction facultatifs </w:t>
      </w:r>
      <w:r>
        <w:rPr>
          <w:lang w:val="fr-FR"/>
        </w:rPr>
        <w:t xml:space="preserve">dont la </w:t>
      </w:r>
      <w:r w:rsidRPr="00431DC1">
        <w:rPr>
          <w:lang w:val="fr-FR"/>
        </w:rPr>
        <w:t xml:space="preserve">hauteur de montage </w:t>
      </w:r>
      <w:r>
        <w:rPr>
          <w:lang w:val="fr-FR"/>
        </w:rPr>
        <w:t xml:space="preserve">est supérieure à </w:t>
      </w:r>
      <w:r w:rsidRPr="00431DC1">
        <w:rPr>
          <w:lang w:val="fr-FR"/>
        </w:rPr>
        <w:t>2</w:t>
      </w:r>
      <w:r>
        <w:rPr>
          <w:lang w:val="fr-FR"/>
        </w:rPr>
        <w:t> </w:t>
      </w:r>
      <w:r w:rsidRPr="00431DC1">
        <w:rPr>
          <w:lang w:val="fr-FR"/>
        </w:rPr>
        <w:t xml:space="preserve">100 mm </w:t>
      </w:r>
      <w:r>
        <w:rPr>
          <w:lang w:val="fr-FR"/>
        </w:rPr>
        <w:t>par rapport a</w:t>
      </w:r>
      <w:r w:rsidRPr="00431DC1">
        <w:rPr>
          <w:lang w:val="fr-FR"/>
        </w:rPr>
        <w:t xml:space="preserve">u sol, pour lesquels ils sont </w:t>
      </w:r>
      <w:r>
        <w:rPr>
          <w:lang w:val="fr-FR"/>
        </w:rPr>
        <w:t xml:space="preserve">de </w:t>
      </w:r>
      <w:r w:rsidRPr="00431DC1">
        <w:rPr>
          <w:lang w:val="fr-FR"/>
        </w:rPr>
        <w:t xml:space="preserve">5° au-dessus et </w:t>
      </w:r>
      <w:r>
        <w:rPr>
          <w:lang w:val="fr-FR"/>
        </w:rPr>
        <w:t>de 15</w:t>
      </w:r>
      <w:r w:rsidRPr="00431DC1">
        <w:rPr>
          <w:lang w:val="fr-FR"/>
        </w:rPr>
        <w:t>° au-dessous de l</w:t>
      </w:r>
      <w:r>
        <w:rPr>
          <w:lang w:val="fr-FR"/>
        </w:rPr>
        <w:t>’</w:t>
      </w:r>
      <w:r w:rsidRPr="00431DC1">
        <w:rPr>
          <w:lang w:val="fr-FR"/>
        </w:rPr>
        <w:t>horizontale</w:t>
      </w:r>
      <w:r>
        <w:rPr>
          <w:lang w:val="fr-FR"/>
        </w:rPr>
        <w:t> ;</w:t>
      </w:r>
    </w:p>
    <w:p w:rsidR="00E929C5" w:rsidRPr="00A07764" w:rsidRDefault="00E929C5" w:rsidP="00E929C5">
      <w:pPr>
        <w:pStyle w:val="a"/>
        <w:ind w:left="1701"/>
        <w:rPr>
          <w:lang w:val="fr-FR"/>
        </w:rPr>
      </w:pPr>
      <w:r w:rsidRPr="00A07764">
        <w:rPr>
          <w:lang w:val="fr-FR"/>
        </w:rPr>
        <w:t>c)</w:t>
      </w:r>
      <w:r w:rsidRPr="00A07764">
        <w:rPr>
          <w:lang w:val="fr-FR"/>
        </w:rPr>
        <w:tab/>
      </w:r>
      <w:r w:rsidRPr="00271B59">
        <w:rPr>
          <w:lang w:val="fr-FR"/>
        </w:rPr>
        <w:t>Pour les feux d</w:t>
      </w:r>
      <w:r>
        <w:rPr>
          <w:lang w:val="fr-FR"/>
        </w:rPr>
        <w:t>’</w:t>
      </w:r>
      <w:r w:rsidRPr="00271B59">
        <w:rPr>
          <w:lang w:val="fr-FR"/>
        </w:rPr>
        <w:t>indicateurs de direction de la catégorie 6, pour lesquels ils sont de 30° au-dessus et de 5° au-dessous de l</w:t>
      </w:r>
      <w:r>
        <w:rPr>
          <w:lang w:val="fr-FR"/>
        </w:rPr>
        <w:t>’</w:t>
      </w:r>
      <w:r w:rsidRPr="00271B59">
        <w:rPr>
          <w:lang w:val="fr-FR"/>
        </w:rPr>
        <w:t>horizontale</w:t>
      </w:r>
      <w:r w:rsidRPr="00A07764">
        <w:rPr>
          <w:lang w:val="fr-FR"/>
        </w:rPr>
        <w:t>.</w:t>
      </w:r>
    </w:p>
    <w:p w:rsidR="00E929C5" w:rsidRPr="00A07764" w:rsidRDefault="00E929C5" w:rsidP="00E929C5">
      <w:pPr>
        <w:pStyle w:val="para"/>
        <w:rPr>
          <w:lang w:val="fr-FR"/>
        </w:rPr>
      </w:pPr>
      <w:r w:rsidRPr="003149E5">
        <w:rPr>
          <w:lang w:val="fr-FR"/>
        </w:rPr>
        <w:t>Angles de visibilité horizontaux minimaux</w:t>
      </w:r>
    </w:p>
    <w:p w:rsidR="00E929C5" w:rsidRPr="001F3C91" w:rsidRDefault="00E929C5" w:rsidP="00E929C5">
      <w:pPr>
        <w:pStyle w:val="para"/>
        <w:ind w:left="1134" w:firstLine="0"/>
        <w:rPr>
          <w:b/>
          <w:lang w:val="fr-FR"/>
        </w:rPr>
      </w:pPr>
      <w:r w:rsidRPr="003149E5">
        <w:rPr>
          <w:strike/>
          <w:lang w:val="fr-FR"/>
        </w:rPr>
        <w:t>Indicateurs de direction destinés à l</w:t>
      </w:r>
      <w:r>
        <w:rPr>
          <w:strike/>
          <w:lang w:val="fr-FR"/>
        </w:rPr>
        <w:t>’</w:t>
      </w:r>
      <w:r w:rsidRPr="003149E5">
        <w:rPr>
          <w:strike/>
          <w:lang w:val="fr-FR"/>
        </w:rPr>
        <w:t>avant du véhicule</w:t>
      </w:r>
      <w:r>
        <w:rPr>
          <w:b/>
          <w:lang w:val="fr-FR"/>
        </w:rPr>
        <w:t>Les f</w:t>
      </w:r>
      <w:r w:rsidRPr="001F3C91">
        <w:rPr>
          <w:b/>
          <w:lang w:val="fr-FR"/>
        </w:rPr>
        <w:t>eux indicateurs de direction des catégories 1, 1a ou 1b doivent être installés sur le véhicule conformément aux pr</w:t>
      </w:r>
      <w:r>
        <w:rPr>
          <w:b/>
          <w:lang w:val="fr-FR"/>
        </w:rPr>
        <w:t>escriptions du paragraphe 6.5.3 du Règlement n</w:t>
      </w:r>
      <w:r w:rsidRPr="001F3C91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1F3C91">
        <w:rPr>
          <w:b/>
          <w:lang w:val="fr-FR"/>
        </w:rPr>
        <w:t>48</w:t>
      </w:r>
      <w:r w:rsidR="009D56F9">
        <w:rPr>
          <w:b/>
          <w:lang w:val="fr-FR"/>
        </w:rPr>
        <w:t>.</w:t>
      </w:r>
    </w:p>
    <w:p w:rsidR="00E929C5" w:rsidRPr="00A07764" w:rsidRDefault="00E929C5" w:rsidP="00E929C5">
      <w:pPr>
        <w:pStyle w:val="SingleTxtG"/>
        <w:tabs>
          <w:tab w:val="left" w:pos="2835"/>
        </w:tabs>
        <w:ind w:left="2835" w:hanging="1701"/>
        <w:rPr>
          <w:strike/>
          <w:lang w:val="fr-FR"/>
        </w:rPr>
      </w:pPr>
      <w:r w:rsidRPr="003149E5">
        <w:rPr>
          <w:i/>
          <w:strike/>
          <w:lang w:val="fr-FR"/>
        </w:rPr>
        <w:t xml:space="preserve">Catégorie </w:t>
      </w:r>
      <w:r w:rsidRPr="00A07764">
        <w:rPr>
          <w:i/>
          <w:strike/>
          <w:lang w:val="fr-FR"/>
        </w:rPr>
        <w:t>1</w:t>
      </w:r>
      <w:r w:rsidRPr="00A07764">
        <w:rPr>
          <w:strike/>
          <w:lang w:val="fr-FR"/>
        </w:rPr>
        <w:t>:</w:t>
      </w:r>
      <w:r w:rsidRPr="00A07764">
        <w:rPr>
          <w:lang w:val="fr-FR"/>
        </w:rPr>
        <w:t xml:space="preserve"> </w:t>
      </w:r>
      <w:r w:rsidRPr="00A07764">
        <w:rPr>
          <w:lang w:val="fr-FR"/>
        </w:rPr>
        <w:tab/>
      </w:r>
      <w:r w:rsidRPr="003149E5">
        <w:rPr>
          <w:strike/>
          <w:lang w:val="fr-FR"/>
        </w:rPr>
        <w:t>Pour utilisation à 40 mm au moins des feux de croisement et/ou</w:t>
      </w:r>
      <w:r>
        <w:rPr>
          <w:strike/>
          <w:lang w:val="fr-FR"/>
        </w:rPr>
        <w:t xml:space="preserve"> </w:t>
      </w:r>
      <w:r w:rsidRPr="003149E5">
        <w:rPr>
          <w:strike/>
          <w:lang w:val="fr-FR"/>
        </w:rPr>
        <w:t>des feux de brouillard avant</w:t>
      </w:r>
      <w:r w:rsidRPr="00A07764">
        <w:rPr>
          <w:strike/>
          <w:lang w:val="fr-FR"/>
        </w:rPr>
        <w:t>;</w:t>
      </w:r>
    </w:p>
    <w:p w:rsidR="00E929C5" w:rsidRPr="00A07764" w:rsidRDefault="00E929C5" w:rsidP="00E929C5">
      <w:pPr>
        <w:pStyle w:val="SingleTxtG"/>
        <w:tabs>
          <w:tab w:val="left" w:pos="2835"/>
        </w:tabs>
        <w:ind w:left="2835" w:hanging="1701"/>
        <w:rPr>
          <w:strike/>
          <w:lang w:val="fr-FR"/>
        </w:rPr>
      </w:pPr>
      <w:r w:rsidRPr="003149E5">
        <w:rPr>
          <w:i/>
          <w:strike/>
          <w:lang w:val="fr-FR"/>
        </w:rPr>
        <w:t xml:space="preserve">Catégorie </w:t>
      </w:r>
      <w:r w:rsidRPr="00A07764">
        <w:rPr>
          <w:i/>
          <w:strike/>
          <w:lang w:val="fr-FR"/>
        </w:rPr>
        <w:t>1a</w:t>
      </w:r>
      <w:r w:rsidRPr="00A07764">
        <w:rPr>
          <w:strike/>
          <w:lang w:val="fr-FR"/>
        </w:rPr>
        <w:t>:</w:t>
      </w:r>
      <w:r w:rsidRPr="00A07764">
        <w:rPr>
          <w:lang w:val="fr-FR"/>
        </w:rPr>
        <w:tab/>
      </w:r>
      <w:r w:rsidRPr="003149E5">
        <w:rPr>
          <w:strike/>
          <w:lang w:val="fr-FR"/>
        </w:rPr>
        <w:t>Pour utilisation à plus de 20 mm et à moins de 40 mm des feux</w:t>
      </w:r>
      <w:r>
        <w:rPr>
          <w:strike/>
          <w:lang w:val="fr-FR"/>
        </w:rPr>
        <w:t xml:space="preserve"> </w:t>
      </w:r>
      <w:r w:rsidRPr="003149E5">
        <w:rPr>
          <w:strike/>
          <w:lang w:val="fr-FR"/>
        </w:rPr>
        <w:t>de croisement et/ou des feux de brouillard avant</w:t>
      </w:r>
      <w:r w:rsidRPr="00A07764">
        <w:rPr>
          <w:strike/>
          <w:lang w:val="fr-FR"/>
        </w:rPr>
        <w:t>;</w:t>
      </w:r>
    </w:p>
    <w:p w:rsidR="00E929C5" w:rsidRPr="00A07764" w:rsidRDefault="00E929C5" w:rsidP="00E929C5">
      <w:pPr>
        <w:pStyle w:val="SingleTxtG"/>
        <w:tabs>
          <w:tab w:val="left" w:pos="2835"/>
        </w:tabs>
        <w:spacing w:after="0"/>
        <w:ind w:left="2835" w:hanging="1701"/>
        <w:rPr>
          <w:strike/>
          <w:lang w:val="fr-FR"/>
        </w:rPr>
      </w:pPr>
      <w:r w:rsidRPr="003149E5">
        <w:rPr>
          <w:i/>
          <w:iCs/>
          <w:strike/>
          <w:lang w:val="fr-FR"/>
        </w:rPr>
        <w:lastRenderedPageBreak/>
        <w:t xml:space="preserve">Catégorie </w:t>
      </w:r>
      <w:r w:rsidRPr="00A07764">
        <w:rPr>
          <w:i/>
          <w:iCs/>
          <w:strike/>
          <w:lang w:val="fr-FR"/>
        </w:rPr>
        <w:t>1b</w:t>
      </w:r>
      <w:r w:rsidRPr="00A07764">
        <w:rPr>
          <w:strike/>
          <w:lang w:val="fr-FR"/>
        </w:rPr>
        <w:t>:</w:t>
      </w:r>
      <w:r w:rsidRPr="00A07764">
        <w:rPr>
          <w:lang w:val="fr-FR"/>
        </w:rPr>
        <w:t xml:space="preserve"> </w:t>
      </w:r>
      <w:r w:rsidRPr="00A07764">
        <w:rPr>
          <w:lang w:val="fr-FR"/>
        </w:rPr>
        <w:tab/>
      </w:r>
      <w:r w:rsidRPr="00A07764">
        <w:rPr>
          <w:strike/>
          <w:lang w:val="fr-FR"/>
        </w:rPr>
        <w:tab/>
      </w:r>
      <w:r w:rsidRPr="00AF23FC">
        <w:rPr>
          <w:strike/>
          <w:lang w:val="fr-FR"/>
        </w:rPr>
        <w:t>Pour utilisation à moins de ou égale à 20 mm des feux de croisement</w:t>
      </w:r>
      <w:r>
        <w:rPr>
          <w:strike/>
          <w:lang w:val="fr-FR"/>
        </w:rPr>
        <w:t xml:space="preserve"> </w:t>
      </w:r>
      <w:r w:rsidRPr="00AF23FC">
        <w:rPr>
          <w:strike/>
          <w:lang w:val="fr-FR"/>
        </w:rPr>
        <w:t>et/ou des feux de brouillard avant</w:t>
      </w:r>
      <w:r w:rsidRPr="00A07764">
        <w:rPr>
          <w:strike/>
          <w:lang w:val="fr-FR"/>
        </w:rPr>
        <w:t>.</w:t>
      </w:r>
    </w:p>
    <w:p w:rsidR="00E929C5" w:rsidRPr="00A07764" w:rsidRDefault="00E929C5" w:rsidP="00E929C5">
      <w:pPr>
        <w:pStyle w:val="SingleTxtG"/>
        <w:tabs>
          <w:tab w:val="left" w:pos="2835"/>
        </w:tabs>
        <w:rPr>
          <w:iCs/>
          <w:lang w:val="fr-FR"/>
        </w:rPr>
      </w:pPr>
      <w:r w:rsidRPr="00A07764">
        <w:rPr>
          <w:iCs/>
          <w:lang w:val="fr-FR"/>
        </w:rPr>
        <w:t xml:space="preserve">… </w:t>
      </w:r>
    </w:p>
    <w:p w:rsidR="00E929C5" w:rsidRPr="009D56F9" w:rsidRDefault="00E929C5" w:rsidP="00E929C5">
      <w:pPr>
        <w:pStyle w:val="SingleTxtG"/>
        <w:tabs>
          <w:tab w:val="left" w:pos="2835"/>
        </w:tabs>
        <w:rPr>
          <w:lang w:val="fr-FR"/>
        </w:rPr>
      </w:pPr>
      <w:r w:rsidRPr="009D56F9">
        <w:rPr>
          <w:iCs/>
          <w:lang w:val="fr-FR"/>
        </w:rPr>
        <w:t>(</w:t>
      </w:r>
      <w:r w:rsidRPr="009D56F9">
        <w:rPr>
          <w:i/>
          <w:iCs/>
          <w:lang w:val="fr-FR"/>
        </w:rPr>
        <w:t>Le reste du texte demeure inchangé</w:t>
      </w:r>
      <w:r w:rsidRPr="009D56F9">
        <w:rPr>
          <w:iCs/>
          <w:lang w:val="fr-FR"/>
        </w:rPr>
        <w:t>).</w:t>
      </w:r>
      <w:r w:rsidR="009D56F9" w:rsidRPr="009D56F9">
        <w:rPr>
          <w:iCs/>
          <w:lang w:val="fr-FR"/>
        </w:rPr>
        <w:t> </w:t>
      </w:r>
      <w:r w:rsidRPr="009D56F9">
        <w:rPr>
          <w:iCs/>
          <w:lang w:val="fr-FR"/>
        </w:rPr>
        <w:t>».</w:t>
      </w:r>
    </w:p>
    <w:p w:rsidR="00E929C5" w:rsidRPr="00A07764" w:rsidRDefault="00E929C5" w:rsidP="00E929C5">
      <w:pPr>
        <w:pStyle w:val="HChG"/>
        <w:rPr>
          <w:lang w:val="fr-FR"/>
        </w:rPr>
      </w:pPr>
      <w:r w:rsidRPr="00A07764">
        <w:rPr>
          <w:lang w:val="fr-FR"/>
        </w:rPr>
        <w:tab/>
        <w:t>II.</w:t>
      </w:r>
      <w:r w:rsidRPr="00A07764">
        <w:rPr>
          <w:lang w:val="fr-FR"/>
        </w:rPr>
        <w:tab/>
        <w:t>Justification</w:t>
      </w:r>
    </w:p>
    <w:p w:rsidR="009D56F9" w:rsidRDefault="00E929C5" w:rsidP="00E929C5">
      <w:pPr>
        <w:spacing w:before="120"/>
        <w:ind w:left="1134" w:right="1134"/>
        <w:jc w:val="both"/>
        <w:rPr>
          <w:lang w:val="fr-FR"/>
        </w:rPr>
      </w:pPr>
      <w:r w:rsidRPr="00A07764">
        <w:rPr>
          <w:lang w:val="fr-FR"/>
        </w:rPr>
        <w:t>1.</w:t>
      </w:r>
      <w:r w:rsidRPr="00A07764">
        <w:rPr>
          <w:lang w:val="fr-FR"/>
        </w:rPr>
        <w:tab/>
      </w:r>
      <w:r>
        <w:rPr>
          <w:lang w:val="fr-FR"/>
        </w:rPr>
        <w:t>Au paragraphe 6.5.3 du Règlement n</w:t>
      </w:r>
      <w:r w:rsidRPr="00261B6B">
        <w:rPr>
          <w:vertAlign w:val="superscript"/>
          <w:lang w:val="fr-FR"/>
        </w:rPr>
        <w:t>o</w:t>
      </w:r>
      <w:r>
        <w:rPr>
          <w:lang w:val="fr-FR"/>
        </w:rPr>
        <w:t> 48 est prévu l’emploi de</w:t>
      </w:r>
      <w:r w:rsidRPr="00261B6B">
        <w:rPr>
          <w:lang w:val="fr-FR"/>
        </w:rPr>
        <w:t xml:space="preserve"> certaines catégories d</w:t>
      </w:r>
      <w:r>
        <w:rPr>
          <w:lang w:val="fr-FR"/>
        </w:rPr>
        <w:t>’</w:t>
      </w:r>
      <w:r w:rsidRPr="00261B6B">
        <w:rPr>
          <w:lang w:val="fr-FR"/>
        </w:rPr>
        <w:t xml:space="preserve">indicateurs de direction avant par rapport à leur distance du feu de croisement ou </w:t>
      </w:r>
      <w:r>
        <w:rPr>
          <w:lang w:val="fr-FR"/>
        </w:rPr>
        <w:t>du feu</w:t>
      </w:r>
      <w:r w:rsidRPr="00261B6B">
        <w:rPr>
          <w:lang w:val="fr-FR"/>
        </w:rPr>
        <w:t xml:space="preserve"> de brouillard avant. Toutefois, le texte est </w:t>
      </w:r>
      <w:r>
        <w:rPr>
          <w:lang w:val="fr-FR"/>
        </w:rPr>
        <w:t>libellé</w:t>
      </w:r>
      <w:r w:rsidRPr="00261B6B">
        <w:rPr>
          <w:lang w:val="fr-FR"/>
        </w:rPr>
        <w:t xml:space="preserve"> </w:t>
      </w:r>
      <w:r>
        <w:rPr>
          <w:lang w:val="fr-FR"/>
        </w:rPr>
        <w:t>de manière à autoriser</w:t>
      </w:r>
      <w:r w:rsidRPr="00E9236F">
        <w:rPr>
          <w:lang w:val="fr-FR"/>
        </w:rPr>
        <w:t xml:space="preserve"> </w:t>
      </w:r>
      <w:r>
        <w:rPr>
          <w:lang w:val="fr-FR"/>
        </w:rPr>
        <w:t>d’utiliser indifféremm</w:t>
      </w:r>
      <w:r w:rsidRPr="00261B6B">
        <w:rPr>
          <w:lang w:val="fr-FR"/>
        </w:rPr>
        <w:t>ent les catégories 1a et 1b à toute distance</w:t>
      </w:r>
      <w:r>
        <w:rPr>
          <w:lang w:val="fr-FR"/>
        </w:rPr>
        <w:t xml:space="preserve"> supérieure au minimum prescrit</w:t>
      </w:r>
      <w:r w:rsidRPr="00261B6B">
        <w:rPr>
          <w:lang w:val="fr-FR"/>
        </w:rPr>
        <w:t xml:space="preserve"> pour chacun</w:t>
      </w:r>
      <w:r>
        <w:rPr>
          <w:lang w:val="fr-FR"/>
        </w:rPr>
        <w:t>e d’elles</w:t>
      </w:r>
      <w:r w:rsidRPr="00261B6B">
        <w:rPr>
          <w:lang w:val="fr-FR"/>
        </w:rPr>
        <w:t xml:space="preserve">. Au contraire, le texte actuel </w:t>
      </w:r>
      <w:r>
        <w:rPr>
          <w:lang w:val="fr-FR"/>
        </w:rPr>
        <w:t>de l’</w:t>
      </w:r>
      <w:r w:rsidRPr="00261B6B">
        <w:rPr>
          <w:lang w:val="fr-FR"/>
        </w:rPr>
        <w:t>annexe 1</w:t>
      </w:r>
      <w:r>
        <w:rPr>
          <w:lang w:val="fr-FR"/>
        </w:rPr>
        <w:t xml:space="preserve"> du Règlement n</w:t>
      </w:r>
      <w:r w:rsidRPr="00E9236F">
        <w:rPr>
          <w:vertAlign w:val="superscript"/>
          <w:lang w:val="fr-FR"/>
        </w:rPr>
        <w:t>o</w:t>
      </w:r>
      <w:r>
        <w:rPr>
          <w:lang w:val="fr-FR"/>
        </w:rPr>
        <w:t> 6</w:t>
      </w:r>
      <w:r w:rsidRPr="00261B6B">
        <w:rPr>
          <w:lang w:val="fr-FR"/>
        </w:rPr>
        <w:t xml:space="preserve"> </w:t>
      </w:r>
      <w:r w:rsidRPr="00537449">
        <w:rPr>
          <w:lang w:val="fr-FR"/>
        </w:rPr>
        <w:t>est libellé de manière à autoriser d</w:t>
      </w:r>
      <w:r>
        <w:rPr>
          <w:lang w:val="fr-FR"/>
        </w:rPr>
        <w:t>’</w:t>
      </w:r>
      <w:r w:rsidRPr="00537449">
        <w:rPr>
          <w:lang w:val="fr-FR"/>
        </w:rPr>
        <w:t xml:space="preserve">utiliser </w:t>
      </w:r>
      <w:r>
        <w:rPr>
          <w:lang w:val="fr-FR"/>
        </w:rPr>
        <w:t>chaque</w:t>
      </w:r>
      <w:r w:rsidRPr="00261B6B">
        <w:rPr>
          <w:lang w:val="fr-FR"/>
        </w:rPr>
        <w:t xml:space="preserve"> catégorie </w:t>
      </w:r>
      <w:r>
        <w:rPr>
          <w:lang w:val="fr-FR"/>
        </w:rPr>
        <w:t>particulière</w:t>
      </w:r>
      <w:r w:rsidRPr="00261B6B">
        <w:rPr>
          <w:lang w:val="fr-FR"/>
        </w:rPr>
        <w:t xml:space="preserve"> uniquement dans la gamme de distance</w:t>
      </w:r>
      <w:r>
        <w:rPr>
          <w:lang w:val="fr-FR"/>
        </w:rPr>
        <w:t>s</w:t>
      </w:r>
      <w:r w:rsidRPr="00261B6B">
        <w:rPr>
          <w:lang w:val="fr-FR"/>
        </w:rPr>
        <w:t xml:space="preserve"> prescrite</w:t>
      </w:r>
      <w:r>
        <w:rPr>
          <w:lang w:val="fr-FR"/>
        </w:rPr>
        <w:t xml:space="preserve">. </w:t>
      </w:r>
    </w:p>
    <w:p w:rsidR="009D56F9" w:rsidRDefault="00E929C5" w:rsidP="009D56F9">
      <w:pPr>
        <w:spacing w:before="120"/>
        <w:ind w:left="1134" w:right="1134"/>
        <w:jc w:val="both"/>
        <w:rPr>
          <w:lang w:val="fr-FR"/>
        </w:rPr>
      </w:pPr>
      <w:r w:rsidRPr="00A07764">
        <w:rPr>
          <w:lang w:val="fr-FR"/>
        </w:rPr>
        <w:t>2.</w:t>
      </w:r>
      <w:r w:rsidRPr="00A07764">
        <w:rPr>
          <w:lang w:val="fr-FR"/>
        </w:rPr>
        <w:tab/>
      </w:r>
      <w:r w:rsidRPr="00537449">
        <w:rPr>
          <w:lang w:val="fr-FR"/>
        </w:rPr>
        <w:t xml:space="preserve">La modification proposée supprime les </w:t>
      </w:r>
      <w:r>
        <w:rPr>
          <w:lang w:val="fr-FR"/>
        </w:rPr>
        <w:t>prescriptions</w:t>
      </w:r>
      <w:r w:rsidRPr="00537449">
        <w:rPr>
          <w:lang w:val="fr-FR"/>
        </w:rPr>
        <w:t xml:space="preserve"> </w:t>
      </w:r>
      <w:r>
        <w:rPr>
          <w:lang w:val="fr-FR"/>
        </w:rPr>
        <w:t>particulières au Règlement n</w:t>
      </w:r>
      <w:r w:rsidRPr="0053744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37449">
        <w:rPr>
          <w:lang w:val="fr-FR"/>
        </w:rPr>
        <w:t xml:space="preserve">6 et </w:t>
      </w:r>
      <w:r>
        <w:rPr>
          <w:lang w:val="fr-FR"/>
        </w:rPr>
        <w:t>fait</w:t>
      </w:r>
      <w:r w:rsidRPr="00537449">
        <w:rPr>
          <w:lang w:val="fr-FR"/>
        </w:rPr>
        <w:t xml:space="preserve"> direct</w:t>
      </w:r>
      <w:r>
        <w:rPr>
          <w:lang w:val="fr-FR"/>
        </w:rPr>
        <w:t xml:space="preserve">ement </w:t>
      </w:r>
      <w:r w:rsidRPr="00537449">
        <w:rPr>
          <w:lang w:val="fr-FR"/>
        </w:rPr>
        <w:t xml:space="preserve">référence aux prescriptions du </w:t>
      </w:r>
      <w:r>
        <w:rPr>
          <w:lang w:val="fr-FR"/>
        </w:rPr>
        <w:t>Règlement n</w:t>
      </w:r>
      <w:r w:rsidRPr="0053744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37449">
        <w:rPr>
          <w:lang w:val="fr-FR"/>
        </w:rPr>
        <w:t>48</w:t>
      </w:r>
      <w:r>
        <w:rPr>
          <w:lang w:val="fr-FR"/>
        </w:rPr>
        <w:t>.</w:t>
      </w:r>
    </w:p>
    <w:p w:rsidR="00F9573C" w:rsidRDefault="00E929C5" w:rsidP="009D56F9">
      <w:pPr>
        <w:spacing w:before="120"/>
        <w:ind w:left="1134" w:right="1134"/>
        <w:jc w:val="both"/>
        <w:rPr>
          <w:lang w:val="fr-FR"/>
        </w:rPr>
      </w:pPr>
      <w:r w:rsidRPr="00A07764">
        <w:rPr>
          <w:lang w:val="fr-FR"/>
        </w:rPr>
        <w:t>3.</w:t>
      </w:r>
      <w:r w:rsidRPr="00A07764">
        <w:rPr>
          <w:lang w:val="fr-FR"/>
        </w:rPr>
        <w:tab/>
      </w:r>
      <w:r>
        <w:rPr>
          <w:lang w:val="fr-FR"/>
        </w:rPr>
        <w:t xml:space="preserve">La </w:t>
      </w:r>
      <w:r w:rsidRPr="00F878CD">
        <w:rPr>
          <w:lang w:val="fr-FR"/>
        </w:rPr>
        <w:t xml:space="preserve">modification </w:t>
      </w:r>
      <w:r>
        <w:rPr>
          <w:lang w:val="fr-FR"/>
        </w:rPr>
        <w:t>sus</w:t>
      </w:r>
      <w:r w:rsidRPr="00F878CD">
        <w:rPr>
          <w:lang w:val="fr-FR"/>
        </w:rPr>
        <w:t xml:space="preserve">mentionnée </w:t>
      </w:r>
      <w:r>
        <w:rPr>
          <w:lang w:val="fr-FR"/>
        </w:rPr>
        <w:t>rend inutile de définir</w:t>
      </w:r>
      <w:r w:rsidRPr="00F878CD">
        <w:rPr>
          <w:lang w:val="fr-FR"/>
        </w:rPr>
        <w:t xml:space="preserve"> une valeur maximale plus faible pour la catégorie 1 </w:t>
      </w:r>
      <w:r>
        <w:rPr>
          <w:lang w:val="fr-FR"/>
        </w:rPr>
        <w:t>d’</w:t>
      </w:r>
      <w:r w:rsidRPr="00F878CD">
        <w:rPr>
          <w:lang w:val="fr-FR"/>
        </w:rPr>
        <w:t>indicateur</w:t>
      </w:r>
      <w:r>
        <w:rPr>
          <w:lang w:val="fr-FR"/>
        </w:rPr>
        <w:t>s</w:t>
      </w:r>
      <w:r w:rsidRPr="00F878CD">
        <w:rPr>
          <w:lang w:val="fr-FR"/>
        </w:rPr>
        <w:t xml:space="preserve"> de direction que </w:t>
      </w:r>
      <w:r>
        <w:rPr>
          <w:lang w:val="fr-FR"/>
        </w:rPr>
        <w:t>pour l</w:t>
      </w:r>
      <w:r w:rsidRPr="00F878CD">
        <w:rPr>
          <w:lang w:val="fr-FR"/>
        </w:rPr>
        <w:t xml:space="preserve">es autres catégories. Par conséquent, il est proposé </w:t>
      </w:r>
      <w:r>
        <w:rPr>
          <w:lang w:val="fr-FR"/>
        </w:rPr>
        <w:t>d’harmoniser</w:t>
      </w:r>
      <w:r w:rsidRPr="00F878CD">
        <w:rPr>
          <w:lang w:val="fr-FR"/>
        </w:rPr>
        <w:t xml:space="preserve"> la valeur d</w:t>
      </w:r>
      <w:r>
        <w:rPr>
          <w:lang w:val="fr-FR"/>
        </w:rPr>
        <w:t>e l’</w:t>
      </w:r>
      <w:r w:rsidRPr="00F878CD">
        <w:rPr>
          <w:lang w:val="fr-FR"/>
        </w:rPr>
        <w:t xml:space="preserve">intensité lumineuse maximale de </w:t>
      </w:r>
      <w:r>
        <w:rPr>
          <w:lang w:val="fr-FR"/>
        </w:rPr>
        <w:t>la catégorie 1 avec</w:t>
      </w:r>
      <w:r w:rsidRPr="00F878CD">
        <w:rPr>
          <w:lang w:val="fr-FR"/>
        </w:rPr>
        <w:t xml:space="preserve"> celle des catégories 1a et 1b</w:t>
      </w:r>
      <w:r>
        <w:rPr>
          <w:lang w:val="fr-FR"/>
        </w:rPr>
        <w:t xml:space="preserve">. </w:t>
      </w:r>
    </w:p>
    <w:p w:rsidR="009D56F9" w:rsidRPr="009D56F9" w:rsidRDefault="009D56F9" w:rsidP="009D56F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D56F9" w:rsidRPr="009D56F9" w:rsidSect="008105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3" w:rsidRDefault="00DF2723" w:rsidP="00F95C08">
      <w:pPr>
        <w:spacing w:line="240" w:lineRule="auto"/>
      </w:pPr>
    </w:p>
  </w:endnote>
  <w:endnote w:type="continuationSeparator" w:id="0">
    <w:p w:rsidR="00DF2723" w:rsidRPr="00AC3823" w:rsidRDefault="00DF2723" w:rsidP="00AC3823">
      <w:pPr>
        <w:pStyle w:val="Footer"/>
      </w:pPr>
    </w:p>
  </w:endnote>
  <w:endnote w:type="continuationNotice" w:id="1">
    <w:p w:rsidR="00DF2723" w:rsidRDefault="00DF27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E0" w:rsidRPr="008105E0" w:rsidRDefault="008105E0" w:rsidP="008105E0">
    <w:pPr>
      <w:pStyle w:val="Footer"/>
      <w:tabs>
        <w:tab w:val="right" w:pos="9638"/>
      </w:tabs>
    </w:pPr>
    <w:r w:rsidRPr="008105E0">
      <w:rPr>
        <w:b/>
        <w:sz w:val="18"/>
      </w:rPr>
      <w:fldChar w:fldCharType="begin"/>
    </w:r>
    <w:r w:rsidRPr="008105E0">
      <w:rPr>
        <w:b/>
        <w:sz w:val="18"/>
      </w:rPr>
      <w:instrText xml:space="preserve"> PAGE  \* MERGEFORMAT </w:instrText>
    </w:r>
    <w:r w:rsidRPr="008105E0">
      <w:rPr>
        <w:b/>
        <w:sz w:val="18"/>
      </w:rPr>
      <w:fldChar w:fldCharType="separate"/>
    </w:r>
    <w:r w:rsidR="00F31429">
      <w:rPr>
        <w:b/>
        <w:noProof/>
        <w:sz w:val="18"/>
      </w:rPr>
      <w:t>2</w:t>
    </w:r>
    <w:r w:rsidRPr="008105E0">
      <w:rPr>
        <w:b/>
        <w:sz w:val="18"/>
      </w:rPr>
      <w:fldChar w:fldCharType="end"/>
    </w:r>
    <w:r>
      <w:rPr>
        <w:b/>
        <w:sz w:val="18"/>
      </w:rPr>
      <w:tab/>
    </w:r>
    <w:r>
      <w:t>GE.16-13758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E0" w:rsidRPr="008105E0" w:rsidRDefault="008105E0" w:rsidP="008105E0">
    <w:pPr>
      <w:pStyle w:val="Footer"/>
      <w:tabs>
        <w:tab w:val="right" w:pos="9638"/>
      </w:tabs>
      <w:rPr>
        <w:b/>
        <w:sz w:val="18"/>
      </w:rPr>
    </w:pPr>
    <w:r>
      <w:t>GE.16-13758</w:t>
    </w:r>
    <w:r>
      <w:tab/>
    </w:r>
    <w:r w:rsidRPr="008105E0">
      <w:rPr>
        <w:b/>
        <w:sz w:val="18"/>
      </w:rPr>
      <w:fldChar w:fldCharType="begin"/>
    </w:r>
    <w:r w:rsidRPr="008105E0">
      <w:rPr>
        <w:b/>
        <w:sz w:val="18"/>
      </w:rPr>
      <w:instrText xml:space="preserve"> PAGE  \* MERGEFORMAT </w:instrText>
    </w:r>
    <w:r w:rsidRPr="008105E0">
      <w:rPr>
        <w:b/>
        <w:sz w:val="18"/>
      </w:rPr>
      <w:fldChar w:fldCharType="separate"/>
    </w:r>
    <w:r w:rsidR="00F31429">
      <w:rPr>
        <w:b/>
        <w:noProof/>
        <w:sz w:val="18"/>
      </w:rPr>
      <w:t>3</w:t>
    </w:r>
    <w:r w:rsidRPr="008105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105E0" w:rsidRDefault="008105E0" w:rsidP="008105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64C91F8" wp14:editId="428893C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16-13758  (F)    010916    060916</w:t>
    </w:r>
    <w:r>
      <w:rPr>
        <w:sz w:val="20"/>
      </w:rPr>
      <w:br/>
    </w:r>
    <w:r w:rsidRPr="008105E0">
      <w:rPr>
        <w:rFonts w:ascii="C39T30Lfz" w:hAnsi="C39T30Lfz"/>
        <w:sz w:val="56"/>
      </w:rPr>
      <w:t></w:t>
    </w:r>
    <w:r w:rsidRPr="008105E0">
      <w:rPr>
        <w:rFonts w:ascii="C39T30Lfz" w:hAnsi="C39T30Lfz"/>
        <w:sz w:val="56"/>
      </w:rPr>
      <w:t></w:t>
    </w:r>
    <w:r w:rsidRPr="008105E0">
      <w:rPr>
        <w:rFonts w:ascii="C39T30Lfz" w:hAnsi="C39T30Lfz"/>
        <w:sz w:val="56"/>
      </w:rPr>
      <w:t></w:t>
    </w:r>
    <w:r w:rsidRPr="008105E0">
      <w:rPr>
        <w:rFonts w:ascii="C39T30Lfz" w:hAnsi="C39T30Lfz"/>
        <w:sz w:val="56"/>
      </w:rPr>
      <w:t></w:t>
    </w:r>
    <w:r w:rsidRPr="008105E0">
      <w:rPr>
        <w:rFonts w:ascii="C39T30Lfz" w:hAnsi="C39T30Lfz"/>
        <w:sz w:val="56"/>
      </w:rPr>
      <w:t></w:t>
    </w:r>
    <w:r w:rsidRPr="008105E0">
      <w:rPr>
        <w:rFonts w:ascii="C39T30Lfz" w:hAnsi="C39T30Lfz"/>
        <w:sz w:val="56"/>
      </w:rPr>
      <w:t></w:t>
    </w:r>
    <w:r w:rsidRPr="008105E0">
      <w:rPr>
        <w:rFonts w:ascii="C39T30Lfz" w:hAnsi="C39T30Lfz"/>
        <w:sz w:val="56"/>
      </w:rPr>
      <w:t></w:t>
    </w:r>
    <w:r w:rsidRPr="008105E0">
      <w:rPr>
        <w:rFonts w:ascii="C39T30Lfz" w:hAnsi="C39T30Lfz"/>
        <w:sz w:val="56"/>
      </w:rPr>
      <w:t></w:t>
    </w:r>
    <w:r w:rsidRPr="008105E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3" w:rsidRPr="00AC3823" w:rsidRDefault="00DF27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2723" w:rsidRPr="00AC3823" w:rsidRDefault="00DF27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2723" w:rsidRPr="00AC3823" w:rsidRDefault="00DF2723">
      <w:pPr>
        <w:spacing w:line="240" w:lineRule="auto"/>
        <w:rPr>
          <w:sz w:val="2"/>
          <w:szCs w:val="2"/>
        </w:rPr>
      </w:pPr>
    </w:p>
  </w:footnote>
  <w:footnote w:id="2">
    <w:p w:rsidR="00E929C5" w:rsidRPr="00E929C5" w:rsidRDefault="00E929C5">
      <w:pPr>
        <w:pStyle w:val="FootnoteText"/>
      </w:pPr>
      <w:r>
        <w:rPr>
          <w:rStyle w:val="FootnoteReference"/>
        </w:rPr>
        <w:tab/>
      </w:r>
      <w:r w:rsidRPr="00E929C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929C5">
        <w:rPr>
          <w:szCs w:val="18"/>
          <w:lang w:val="fr-FR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E0" w:rsidRPr="008105E0" w:rsidRDefault="008105E0">
    <w:pPr>
      <w:pStyle w:val="Header"/>
    </w:pPr>
    <w:r>
      <w:t>ECE/TRANS/WP.29/GRE/2016/21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E0" w:rsidRPr="008105E0" w:rsidRDefault="008105E0" w:rsidP="008105E0">
    <w:pPr>
      <w:pStyle w:val="Header"/>
      <w:jc w:val="right"/>
    </w:pPr>
    <w:r>
      <w:t>ECE/TRANS/WP.29/GRE/2016/21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3"/>
    <w:rsid w:val="00017F94"/>
    <w:rsid w:val="00023842"/>
    <w:rsid w:val="000334F9"/>
    <w:rsid w:val="0007796D"/>
    <w:rsid w:val="000B7790"/>
    <w:rsid w:val="000E5BE1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03D5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05E0"/>
    <w:rsid w:val="0081589B"/>
    <w:rsid w:val="00823EFF"/>
    <w:rsid w:val="00871C75"/>
    <w:rsid w:val="008776DC"/>
    <w:rsid w:val="009705C8"/>
    <w:rsid w:val="00977F71"/>
    <w:rsid w:val="009C1CF4"/>
    <w:rsid w:val="009D56F9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E02A4"/>
    <w:rsid w:val="00C02897"/>
    <w:rsid w:val="00D3439C"/>
    <w:rsid w:val="00DB1831"/>
    <w:rsid w:val="00DD3BFD"/>
    <w:rsid w:val="00DF2723"/>
    <w:rsid w:val="00DF6678"/>
    <w:rsid w:val="00E85C74"/>
    <w:rsid w:val="00E929C5"/>
    <w:rsid w:val="00EA6547"/>
    <w:rsid w:val="00EF2E22"/>
    <w:rsid w:val="00F31429"/>
    <w:rsid w:val="00F35BAF"/>
    <w:rsid w:val="00F660DF"/>
    <w:rsid w:val="00F80BC1"/>
    <w:rsid w:val="00F94664"/>
    <w:rsid w:val="00F9573C"/>
    <w:rsid w:val="00F95C08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929C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E929C5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HChGChar">
    <w:name w:val="_ H _Ch_G Char"/>
    <w:link w:val="HChG"/>
    <w:rsid w:val="00E929C5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locked/>
    <w:rsid w:val="00E929C5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rsid w:val="00E929C5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a">
    <w:name w:val="a)"/>
    <w:basedOn w:val="SingleTxtG"/>
    <w:rsid w:val="00E929C5"/>
    <w:pPr>
      <w:kinsoku/>
      <w:overflowPunct/>
      <w:autoSpaceDE/>
      <w:autoSpaceDN/>
      <w:adjustRightInd/>
      <w:snapToGrid/>
      <w:ind w:left="2835" w:hanging="567"/>
    </w:pPr>
    <w:rPr>
      <w:rFonts w:eastAsia="MS Minch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-E Fußnotenzeichen,BVI fnr,Footnote symbol,Footnote,Footnote Reference Superscript,SUPERS,(Footnote Reference)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929C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E929C5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HChGChar">
    <w:name w:val="_ H _Ch_G Char"/>
    <w:link w:val="HChG"/>
    <w:rsid w:val="00E929C5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locked/>
    <w:rsid w:val="00E929C5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rsid w:val="00E929C5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a">
    <w:name w:val="a)"/>
    <w:basedOn w:val="SingleTxtG"/>
    <w:rsid w:val="00E929C5"/>
    <w:pPr>
      <w:kinsoku/>
      <w:overflowPunct/>
      <w:autoSpaceDE/>
      <w:autoSpaceDN/>
      <w:adjustRightInd/>
      <w:snapToGrid/>
      <w:ind w:left="2835" w:hanging="567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ECE/TRANS/WP.29/GRE/2016/21</vt:lpstr>
      <vt:lpstr>ECE/TRANS/WP.29/GRE/2016/21</vt:lpstr>
    </vt:vector>
  </TitlesOfParts>
  <Company>DCM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ECE/TRANS/WP.29/GRE/2016/21</dc:title>
  <dc:creator>Vu Thi Kim Thao</dc:creator>
  <cp:lastModifiedBy>Benedicte Boudol</cp:lastModifiedBy>
  <cp:revision>2</cp:revision>
  <cp:lastPrinted>2014-05-14T10:59:00Z</cp:lastPrinted>
  <dcterms:created xsi:type="dcterms:W3CDTF">2016-09-07T07:03:00Z</dcterms:created>
  <dcterms:modified xsi:type="dcterms:W3CDTF">2016-09-07T07:03:00Z</dcterms:modified>
</cp:coreProperties>
</file>