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63" w:rsidRPr="007F1BE4" w:rsidRDefault="00862763" w:rsidP="00862763">
      <w:pPr>
        <w:spacing w:line="240" w:lineRule="auto"/>
        <w:rPr>
          <w:sz w:val="2"/>
          <w:lang w:val="fr-CH"/>
        </w:rPr>
        <w:sectPr w:rsidR="00862763" w:rsidRPr="007F1BE4" w:rsidSect="0086276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862763" w:rsidRPr="007F1BE4" w:rsidRDefault="00862763" w:rsidP="007F1BE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1BE4">
        <w:rPr>
          <w:lang w:val="fr-CH"/>
        </w:rPr>
        <w:lastRenderedPageBreak/>
        <w:t>Commission économique pour l’Europe</w:t>
      </w:r>
    </w:p>
    <w:p w:rsidR="007F1BE4" w:rsidRPr="007F1BE4" w:rsidRDefault="007F1BE4" w:rsidP="007F1BE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862763" w:rsidRPr="007F1BE4" w:rsidRDefault="00862763" w:rsidP="007F1BE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7F1BE4">
        <w:rPr>
          <w:b w:val="0"/>
          <w:bCs/>
          <w:lang w:val="fr-CH"/>
        </w:rPr>
        <w:t>Comité des transports intérieurs</w:t>
      </w:r>
    </w:p>
    <w:p w:rsidR="007F1BE4" w:rsidRPr="007F1BE4" w:rsidRDefault="007F1BE4" w:rsidP="007F1BE4">
      <w:pPr>
        <w:spacing w:line="120" w:lineRule="exact"/>
        <w:rPr>
          <w:rFonts w:eastAsia="Times New Roman"/>
          <w:b/>
          <w:sz w:val="10"/>
          <w:szCs w:val="24"/>
          <w:lang w:val="fr-CH"/>
        </w:rPr>
      </w:pPr>
    </w:p>
    <w:p w:rsidR="007F1BE4" w:rsidRPr="007F1BE4" w:rsidRDefault="007F1BE4" w:rsidP="007F1BE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1BE4">
        <w:rPr>
          <w:lang w:val="fr-CH"/>
        </w:rPr>
        <w:t xml:space="preserve">Forum mondial de l’harmonisation </w:t>
      </w:r>
      <w:r>
        <w:rPr>
          <w:lang w:val="fr-CH"/>
        </w:rPr>
        <w:br/>
      </w:r>
      <w:r w:rsidRPr="007F1BE4">
        <w:rPr>
          <w:lang w:val="fr-CH"/>
        </w:rPr>
        <w:t xml:space="preserve">des Règlements concernant les véhicules </w:t>
      </w:r>
    </w:p>
    <w:p w:rsidR="007F1BE4" w:rsidRPr="007F1BE4" w:rsidRDefault="007F1BE4" w:rsidP="007F1BE4">
      <w:pPr>
        <w:spacing w:line="120" w:lineRule="exact"/>
        <w:rPr>
          <w:rFonts w:eastAsia="Times New Roman"/>
          <w:b/>
          <w:bCs/>
          <w:sz w:val="10"/>
          <w:szCs w:val="24"/>
          <w:lang w:val="fr-CH"/>
        </w:rPr>
      </w:pPr>
    </w:p>
    <w:p w:rsidR="007F1BE4" w:rsidRPr="007F1BE4" w:rsidRDefault="007F1BE4" w:rsidP="007F1B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1BE4">
        <w:rPr>
          <w:lang w:val="fr-CH"/>
        </w:rPr>
        <w:t xml:space="preserve">Groupe de travail de l’éclairage </w:t>
      </w:r>
      <w:r>
        <w:rPr>
          <w:lang w:val="fr-CH"/>
        </w:rPr>
        <w:br/>
      </w:r>
      <w:r w:rsidRPr="007F1BE4">
        <w:rPr>
          <w:lang w:val="fr-CH"/>
        </w:rPr>
        <w:t>et de la signalisation lumineuse</w:t>
      </w:r>
    </w:p>
    <w:p w:rsidR="002E7617" w:rsidRPr="002E7617" w:rsidRDefault="002E7617" w:rsidP="002E761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7F1BE4" w:rsidRPr="007F1BE4" w:rsidRDefault="007F1BE4" w:rsidP="007F1B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1BE4">
        <w:rPr>
          <w:lang w:val="fr-CH"/>
        </w:rPr>
        <w:t>Soixante-quinzième session</w:t>
      </w:r>
    </w:p>
    <w:p w:rsidR="007F1BE4" w:rsidRPr="007F1BE4" w:rsidRDefault="007F1BE4" w:rsidP="007F1BE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1BE4">
        <w:rPr>
          <w:lang w:val="fr-CH"/>
        </w:rPr>
        <w:t>Genève, 5</w:t>
      </w:r>
      <w:r>
        <w:rPr>
          <w:lang w:val="fr-CH"/>
        </w:rPr>
        <w:t>-</w:t>
      </w:r>
      <w:r w:rsidRPr="007F1BE4">
        <w:rPr>
          <w:lang w:val="fr-CH"/>
        </w:rPr>
        <w:t>8 avril 2016</w:t>
      </w:r>
    </w:p>
    <w:p w:rsidR="007F1BE4" w:rsidRDefault="007F1BE4" w:rsidP="007F1BE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1BE4">
        <w:rPr>
          <w:lang w:val="fr-CH"/>
        </w:rPr>
        <w:t>Point 7 a) et b) de l’ordre du jour provisoire</w:t>
      </w:r>
    </w:p>
    <w:p w:rsidR="007F1BE4" w:rsidRPr="007F1BE4" w:rsidRDefault="007F1BE4" w:rsidP="007F1B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1BE4">
        <w:rPr>
          <w:lang w:val="fr-CH"/>
        </w:rPr>
        <w:t>Autres règlements</w:t>
      </w:r>
      <w:r>
        <w:rPr>
          <w:lang w:val="fr-CH"/>
        </w:rPr>
        <w:t> </w:t>
      </w:r>
      <w:r w:rsidRPr="007F1BE4">
        <w:rPr>
          <w:lang w:val="fr-CH"/>
        </w:rPr>
        <w:t xml:space="preserve">: </w:t>
      </w:r>
    </w:p>
    <w:p w:rsidR="007F1BE4" w:rsidRPr="007F1BE4" w:rsidRDefault="007F1BE4" w:rsidP="007F1B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7F1BE4" w:rsidRPr="007F1BE4" w:rsidRDefault="007F1BE4" w:rsidP="007F1B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1BE4">
        <w:rPr>
          <w:lang w:val="fr-CH"/>
        </w:rPr>
        <w:t>R</w:t>
      </w:r>
      <w:r>
        <w:rPr>
          <w:lang w:val="fr-CH"/>
        </w:rPr>
        <w:t>èglement n</w:t>
      </w:r>
      <w:r w:rsidRPr="007F1BE4">
        <w:rPr>
          <w:vertAlign w:val="superscript"/>
          <w:lang w:val="fr-CH"/>
        </w:rPr>
        <w:t>o</w:t>
      </w:r>
      <w:r>
        <w:rPr>
          <w:lang w:val="fr-CH"/>
        </w:rPr>
        <w:t> </w:t>
      </w:r>
      <w:r w:rsidRPr="007F1BE4">
        <w:rPr>
          <w:lang w:val="fr-CH"/>
        </w:rPr>
        <w:t xml:space="preserve">6 (Indicateurs de direction) </w:t>
      </w:r>
    </w:p>
    <w:p w:rsidR="007F1BE4" w:rsidRPr="007F1BE4" w:rsidRDefault="007F1BE4" w:rsidP="007F1B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7F1BE4" w:rsidRDefault="007F1BE4" w:rsidP="007F1B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Règlement n</w:t>
      </w:r>
      <w:r w:rsidRPr="007F1BE4">
        <w:rPr>
          <w:vertAlign w:val="superscript"/>
          <w:lang w:val="fr-CH"/>
        </w:rPr>
        <w:t>o</w:t>
      </w:r>
      <w:r>
        <w:rPr>
          <w:lang w:val="fr-CH"/>
        </w:rPr>
        <w:t> </w:t>
      </w:r>
      <w:r w:rsidRPr="007F1BE4">
        <w:rPr>
          <w:lang w:val="fr-CH"/>
        </w:rPr>
        <w:t xml:space="preserve">7 (Feux de position avant et arrière, </w:t>
      </w:r>
      <w:r>
        <w:rPr>
          <w:lang w:val="fr-CH"/>
        </w:rPr>
        <w:br/>
      </w:r>
      <w:r w:rsidRPr="007F1BE4">
        <w:rPr>
          <w:lang w:val="fr-CH"/>
        </w:rPr>
        <w:t>feux-stop et feux d’encombrement)</w:t>
      </w:r>
    </w:p>
    <w:p w:rsidR="007F1BE4" w:rsidRPr="007F1BE4" w:rsidRDefault="007F1BE4" w:rsidP="007F1BE4">
      <w:pPr>
        <w:spacing w:line="120" w:lineRule="exact"/>
        <w:rPr>
          <w:sz w:val="10"/>
          <w:lang w:val="fr-CH"/>
        </w:rPr>
      </w:pPr>
    </w:p>
    <w:p w:rsidR="007F1BE4" w:rsidRPr="007F1BE4" w:rsidRDefault="007F1BE4" w:rsidP="007F1BE4">
      <w:pPr>
        <w:spacing w:line="120" w:lineRule="exact"/>
        <w:rPr>
          <w:sz w:val="10"/>
          <w:lang w:val="fr-CH"/>
        </w:rPr>
      </w:pPr>
    </w:p>
    <w:p w:rsidR="007F1BE4" w:rsidRPr="007F1BE4" w:rsidRDefault="007F1BE4" w:rsidP="007F1BE4">
      <w:pPr>
        <w:spacing w:line="120" w:lineRule="exact"/>
        <w:rPr>
          <w:sz w:val="10"/>
          <w:lang w:val="fr-CH"/>
        </w:rPr>
      </w:pPr>
    </w:p>
    <w:p w:rsidR="007F1BE4" w:rsidRPr="007F1BE4" w:rsidRDefault="007F1BE4" w:rsidP="007F1B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F1BE4">
        <w:rPr>
          <w:lang w:val="fr-CH"/>
        </w:rPr>
        <w:tab/>
      </w:r>
      <w:r w:rsidRPr="007F1BE4">
        <w:rPr>
          <w:lang w:val="fr-CH"/>
        </w:rPr>
        <w:tab/>
        <w:t xml:space="preserve">Proposition de complément 26 à la série 01 d’amendements </w:t>
      </w:r>
      <w:r>
        <w:rPr>
          <w:lang w:val="fr-CH"/>
        </w:rPr>
        <w:br/>
      </w:r>
      <w:r w:rsidRPr="007F1BE4">
        <w:rPr>
          <w:lang w:val="fr-CH"/>
        </w:rPr>
        <w:t>au Règlement n</w:t>
      </w:r>
      <w:r w:rsidRPr="007F1BE4">
        <w:rPr>
          <w:vertAlign w:val="superscript"/>
          <w:lang w:val="fr-CH"/>
        </w:rPr>
        <w:t>o</w:t>
      </w:r>
      <w:r>
        <w:rPr>
          <w:lang w:val="fr-CH"/>
        </w:rPr>
        <w:t> </w:t>
      </w:r>
      <w:r w:rsidRPr="007F1BE4">
        <w:rPr>
          <w:lang w:val="fr-CH"/>
        </w:rPr>
        <w:t xml:space="preserve">6 (Indicateurs de direction) </w:t>
      </w:r>
      <w:r>
        <w:rPr>
          <w:lang w:val="fr-CH"/>
        </w:rPr>
        <w:br/>
      </w:r>
      <w:r w:rsidRPr="007F1BE4">
        <w:rPr>
          <w:lang w:val="fr-CH"/>
        </w:rPr>
        <w:t xml:space="preserve">et </w:t>
      </w:r>
      <w:r>
        <w:rPr>
          <w:lang w:val="fr-CH"/>
        </w:rPr>
        <w:t>de complément </w:t>
      </w:r>
      <w:r w:rsidRPr="007F1BE4">
        <w:rPr>
          <w:lang w:val="fr-CH"/>
        </w:rPr>
        <w:t xml:space="preserve">24 à la série 02 d’amendements </w:t>
      </w:r>
      <w:r>
        <w:rPr>
          <w:lang w:val="fr-CH"/>
        </w:rPr>
        <w:br/>
      </w:r>
      <w:r w:rsidRPr="007F1BE4">
        <w:rPr>
          <w:lang w:val="fr-CH"/>
        </w:rPr>
        <w:t>au Règlement n</w:t>
      </w:r>
      <w:r w:rsidRPr="007F1BE4">
        <w:rPr>
          <w:vertAlign w:val="superscript"/>
          <w:lang w:val="fr-CH"/>
        </w:rPr>
        <w:t>o</w:t>
      </w:r>
      <w:r>
        <w:rPr>
          <w:lang w:val="fr-CH"/>
        </w:rPr>
        <w:t> </w:t>
      </w:r>
      <w:r w:rsidRPr="007F1BE4">
        <w:rPr>
          <w:lang w:val="fr-CH"/>
        </w:rPr>
        <w:t xml:space="preserve">7 (Feux de position avant et arrière, </w:t>
      </w:r>
      <w:r>
        <w:rPr>
          <w:lang w:val="fr-CH"/>
        </w:rPr>
        <w:br/>
      </w:r>
      <w:r w:rsidRPr="007F1BE4">
        <w:rPr>
          <w:lang w:val="fr-CH"/>
        </w:rPr>
        <w:t>feux-stop et feux d’encombrement)</w:t>
      </w:r>
    </w:p>
    <w:p w:rsidR="007F1BE4" w:rsidRPr="007F1BE4" w:rsidRDefault="007F1BE4" w:rsidP="007F1BE4">
      <w:pPr>
        <w:pStyle w:val="SingleTxt"/>
        <w:spacing w:after="0" w:line="120" w:lineRule="exact"/>
        <w:rPr>
          <w:sz w:val="10"/>
          <w:lang w:val="fr-CH"/>
        </w:rPr>
      </w:pPr>
    </w:p>
    <w:p w:rsidR="007F1BE4" w:rsidRPr="007F1BE4" w:rsidRDefault="007F1BE4" w:rsidP="007F1BE4">
      <w:pPr>
        <w:pStyle w:val="SingleTxt"/>
        <w:spacing w:after="0" w:line="120" w:lineRule="exact"/>
        <w:rPr>
          <w:sz w:val="10"/>
          <w:lang w:val="fr-CH"/>
        </w:rPr>
      </w:pPr>
    </w:p>
    <w:p w:rsidR="007F1BE4" w:rsidRPr="007F1BE4" w:rsidRDefault="007F1BE4" w:rsidP="007F1B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8"/>
          <w:lang w:val="fr-CH"/>
        </w:rPr>
      </w:pPr>
      <w:r>
        <w:rPr>
          <w:lang w:val="fr-CH"/>
        </w:rPr>
        <w:tab/>
      </w:r>
      <w:r>
        <w:rPr>
          <w:lang w:val="fr-CH"/>
        </w:rPr>
        <w:tab/>
      </w:r>
      <w:r w:rsidRPr="007F1BE4">
        <w:rPr>
          <w:lang w:val="fr-CH"/>
        </w:rPr>
        <w:t>Communication de l’expert du Gro</w:t>
      </w:r>
      <w:r>
        <w:rPr>
          <w:lang w:val="fr-CH"/>
        </w:rPr>
        <w:t>upe de travail « Bruxelles 1952 </w:t>
      </w:r>
      <w:r w:rsidRPr="007F1BE4">
        <w:rPr>
          <w:lang w:val="fr-CH"/>
        </w:rPr>
        <w:t>» (GTB)</w:t>
      </w:r>
      <w:r w:rsidRPr="007F1BE4">
        <w:rPr>
          <w:rStyle w:val="FootnoteReference"/>
          <w:b w:val="0"/>
          <w:bCs/>
          <w:sz w:val="20"/>
          <w:szCs w:val="20"/>
          <w:vertAlign w:val="baseline"/>
          <w:lang w:val="fr-CH"/>
        </w:rPr>
        <w:footnoteReference w:customMarkFollows="1" w:id="1"/>
        <w:t>*</w:t>
      </w:r>
    </w:p>
    <w:p w:rsidR="007F1BE4" w:rsidRPr="007F1BE4" w:rsidRDefault="007F1BE4" w:rsidP="007F1BE4">
      <w:pPr>
        <w:pStyle w:val="SingleTxt"/>
        <w:spacing w:after="0" w:line="120" w:lineRule="exact"/>
        <w:rPr>
          <w:sz w:val="10"/>
          <w:lang w:val="fr-CH"/>
        </w:rPr>
      </w:pPr>
    </w:p>
    <w:p w:rsidR="007F1BE4" w:rsidRPr="007F1BE4" w:rsidRDefault="007F1BE4" w:rsidP="007F1BE4">
      <w:pPr>
        <w:pStyle w:val="SingleTxt"/>
        <w:spacing w:after="0" w:line="120" w:lineRule="exact"/>
        <w:rPr>
          <w:sz w:val="10"/>
          <w:lang w:val="fr-CH"/>
        </w:rPr>
      </w:pPr>
    </w:p>
    <w:p w:rsidR="007F1BE4" w:rsidRDefault="007F1BE4" w:rsidP="007F1BE4">
      <w:pPr>
        <w:pStyle w:val="SingleTxt"/>
        <w:rPr>
          <w:lang w:val="fr-CH"/>
        </w:rPr>
      </w:pPr>
      <w:r>
        <w:rPr>
          <w:lang w:val="fr-CH"/>
        </w:rPr>
        <w:tab/>
      </w:r>
      <w:r w:rsidRPr="007F1BE4">
        <w:rPr>
          <w:lang w:val="fr-CH"/>
        </w:rPr>
        <w:t xml:space="preserve">Le texte reproduit ci-après, établi par l’expert du GTB, vise à aligner les prescriptions du </w:t>
      </w:r>
      <w:r>
        <w:rPr>
          <w:lang w:val="fr-CH"/>
        </w:rPr>
        <w:t>paragraphe </w:t>
      </w:r>
      <w:r w:rsidRPr="007F1BE4">
        <w:rPr>
          <w:lang w:val="fr-CH"/>
        </w:rPr>
        <w:t xml:space="preserve">6.1 avec la définition du </w:t>
      </w:r>
      <w:r>
        <w:rPr>
          <w:lang w:val="fr-CH"/>
        </w:rPr>
        <w:t>« </w:t>
      </w:r>
      <w:r w:rsidRPr="007F1BE4">
        <w:rPr>
          <w:lang w:val="fr-CH"/>
        </w:rPr>
        <w:t>feu simple</w:t>
      </w:r>
      <w:r>
        <w:rPr>
          <w:lang w:val="fr-CH"/>
        </w:rPr>
        <w:t> »</w:t>
      </w:r>
      <w:r w:rsidRPr="007F1BE4">
        <w:rPr>
          <w:lang w:val="fr-CH"/>
        </w:rPr>
        <w:t>. Les modifications qu’il est proposé d’apporter au texte actuel du Règlement sont signalées en caractères gras pour les parties de texte nouvelles ou biffés pour les parties supprimées.</w:t>
      </w:r>
    </w:p>
    <w:p w:rsidR="007F1BE4" w:rsidRDefault="007F1BE4">
      <w:pPr>
        <w:spacing w:line="240" w:lineRule="auto"/>
        <w:rPr>
          <w:lang w:val="fr-CH"/>
        </w:rPr>
      </w:pPr>
      <w:r>
        <w:rPr>
          <w:lang w:val="fr-CH"/>
        </w:rPr>
        <w:br w:type="page"/>
      </w:r>
    </w:p>
    <w:p w:rsidR="007F1BE4" w:rsidRDefault="007F1BE4" w:rsidP="007F1B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I.</w:t>
      </w:r>
      <w:r>
        <w:rPr>
          <w:lang w:val="fr-CH"/>
        </w:rPr>
        <w:tab/>
      </w:r>
      <w:r w:rsidRPr="007F1BE4">
        <w:rPr>
          <w:lang w:val="fr-CH"/>
        </w:rPr>
        <w:t>Proposition</w:t>
      </w:r>
    </w:p>
    <w:p w:rsidR="007F1BE4" w:rsidRPr="007F1BE4" w:rsidRDefault="007F1BE4" w:rsidP="007F1BE4">
      <w:pPr>
        <w:pStyle w:val="SingleTxt"/>
        <w:spacing w:after="0" w:line="120" w:lineRule="exact"/>
        <w:rPr>
          <w:sz w:val="10"/>
          <w:lang w:val="fr-CH"/>
        </w:rPr>
      </w:pPr>
    </w:p>
    <w:p w:rsidR="007F1BE4" w:rsidRPr="007F1BE4" w:rsidRDefault="007F1BE4" w:rsidP="007F1BE4">
      <w:pPr>
        <w:pStyle w:val="SingleTxt"/>
        <w:spacing w:after="0" w:line="120" w:lineRule="exact"/>
        <w:rPr>
          <w:sz w:val="10"/>
          <w:lang w:val="fr-CH"/>
        </w:rPr>
      </w:pPr>
    </w:p>
    <w:p w:rsidR="007F1BE4" w:rsidRDefault="007F1BE4" w:rsidP="007F1B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7F1BE4">
        <w:rPr>
          <w:lang w:val="fr-CH"/>
        </w:rPr>
        <w:t>A.</w:t>
      </w:r>
      <w:r w:rsidRPr="007F1BE4">
        <w:rPr>
          <w:lang w:val="fr-CH"/>
        </w:rPr>
        <w:tab/>
        <w:t xml:space="preserve">Proposition de complément 26 à la série 01 d’amendements </w:t>
      </w:r>
      <w:r>
        <w:rPr>
          <w:lang w:val="fr-CH"/>
        </w:rPr>
        <w:br/>
      </w:r>
      <w:r w:rsidRPr="007F1BE4">
        <w:rPr>
          <w:lang w:val="fr-CH"/>
        </w:rPr>
        <w:t>au Règlement n</w:t>
      </w:r>
      <w:r w:rsidRPr="007F1BE4">
        <w:rPr>
          <w:vertAlign w:val="superscript"/>
          <w:lang w:val="fr-CH"/>
        </w:rPr>
        <w:t>o</w:t>
      </w:r>
      <w:r>
        <w:rPr>
          <w:lang w:val="fr-CH"/>
        </w:rPr>
        <w:t> </w:t>
      </w:r>
      <w:r w:rsidRPr="007F1BE4">
        <w:rPr>
          <w:lang w:val="fr-CH"/>
        </w:rPr>
        <w:t xml:space="preserve">6 (Indicateurs de direction) </w:t>
      </w:r>
    </w:p>
    <w:p w:rsidR="007F1BE4" w:rsidRPr="007F1BE4" w:rsidRDefault="007F1BE4" w:rsidP="007F1BE4">
      <w:pPr>
        <w:pStyle w:val="SingleTxt"/>
        <w:spacing w:after="0" w:line="120" w:lineRule="exact"/>
        <w:rPr>
          <w:sz w:val="10"/>
          <w:lang w:val="fr-CH"/>
        </w:rPr>
      </w:pPr>
    </w:p>
    <w:p w:rsidR="007F1BE4" w:rsidRPr="007F1BE4" w:rsidRDefault="007F1BE4" w:rsidP="007F1BE4">
      <w:pPr>
        <w:pStyle w:val="SingleTxt"/>
        <w:spacing w:after="0" w:line="120" w:lineRule="exact"/>
        <w:rPr>
          <w:sz w:val="10"/>
          <w:lang w:val="fr-CH"/>
        </w:rPr>
      </w:pPr>
    </w:p>
    <w:p w:rsidR="007F1BE4" w:rsidRPr="007F1BE4" w:rsidRDefault="007F1BE4" w:rsidP="007F1BE4">
      <w:pPr>
        <w:pStyle w:val="SingleTxt"/>
        <w:rPr>
          <w:rFonts w:ascii="Arial" w:hAnsi="Arial"/>
          <w:bCs/>
          <w:lang w:val="fr-CH" w:eastAsia="ja-JP"/>
        </w:rPr>
      </w:pPr>
      <w:r w:rsidRPr="007F1BE4">
        <w:rPr>
          <w:i/>
          <w:lang w:val="fr-CH" w:eastAsia="ja-JP"/>
        </w:rPr>
        <w:t>Paragraphe 6.1</w:t>
      </w:r>
      <w:r w:rsidRPr="007F1BE4">
        <w:rPr>
          <w:lang w:val="fr-CH" w:eastAsia="ja-JP"/>
        </w:rPr>
        <w:t>, modifier comme suit</w:t>
      </w:r>
      <w:r>
        <w:rPr>
          <w:lang w:val="fr-CH" w:eastAsia="ja-JP"/>
        </w:rPr>
        <w:t> </w:t>
      </w:r>
      <w:r w:rsidRPr="007F1BE4">
        <w:rPr>
          <w:lang w:val="fr-CH" w:eastAsia="ja-JP"/>
        </w:rPr>
        <w:t>:</w:t>
      </w:r>
    </w:p>
    <w:p w:rsidR="007F1BE4" w:rsidRDefault="007F1BE4" w:rsidP="007F1BE4">
      <w:pPr>
        <w:pStyle w:val="SingleTxt"/>
        <w:ind w:left="2218" w:hanging="951"/>
        <w:rPr>
          <w:lang w:val="fr-CH" w:eastAsia="ja-JP"/>
        </w:rPr>
      </w:pPr>
      <w:r>
        <w:rPr>
          <w:lang w:val="fr-CH"/>
        </w:rPr>
        <w:t>« </w:t>
      </w:r>
      <w:r w:rsidRPr="007F1BE4">
        <w:rPr>
          <w:lang w:val="fr-CH"/>
        </w:rPr>
        <w:t>6.1</w:t>
      </w:r>
      <w:r>
        <w:rPr>
          <w:lang w:val="fr-CH"/>
        </w:rPr>
        <w:tab/>
      </w:r>
      <w:r w:rsidRPr="007F1BE4">
        <w:rPr>
          <w:lang w:val="fr-CH" w:eastAsia="ja-JP"/>
        </w:rPr>
        <w:tab/>
        <w:t>L’intensité de la lumière émise par chacun des deux dispositifs fournis doit être, pour les indicate</w:t>
      </w:r>
      <w:r>
        <w:rPr>
          <w:lang w:val="fr-CH" w:eastAsia="ja-JP"/>
        </w:rPr>
        <w:t>urs de direction des catégories </w:t>
      </w:r>
      <w:r w:rsidRPr="007F1BE4">
        <w:rPr>
          <w:lang w:val="fr-CH" w:eastAsia="ja-JP"/>
        </w:rPr>
        <w:t>1, 1a, 1b, 2a, 2b dans l’axe de référence et pour les indicate</w:t>
      </w:r>
      <w:r>
        <w:rPr>
          <w:lang w:val="fr-CH" w:eastAsia="ja-JP"/>
        </w:rPr>
        <w:t>urs de direction des catégories </w:t>
      </w:r>
      <w:r w:rsidRPr="007F1BE4">
        <w:rPr>
          <w:lang w:val="fr-CH" w:eastAsia="ja-JP"/>
        </w:rPr>
        <w:t>5 et 6 dans la direction A selon l’annexe 1, au moins égale au minimum et au plus égale au maximum défini ci-après</w:t>
      </w:r>
      <w:r>
        <w:rPr>
          <w:lang w:val="fr-CH" w:eastAsia="ja-JP"/>
        </w:rPr>
        <w:t> </w:t>
      </w:r>
      <w:r w:rsidRPr="007F1BE4">
        <w:rPr>
          <w:lang w:val="fr-CH" w:eastAsia="ja-JP"/>
        </w:rPr>
        <w:t>:</w:t>
      </w:r>
    </w:p>
    <w:p w:rsidR="007F1BE4" w:rsidRPr="007F1BE4" w:rsidRDefault="007F1BE4" w:rsidP="007F1BE4">
      <w:pPr>
        <w:pStyle w:val="SingleTxt"/>
        <w:spacing w:after="0" w:line="120" w:lineRule="exact"/>
        <w:ind w:left="2218" w:hanging="951"/>
        <w:rPr>
          <w:sz w:val="10"/>
          <w:lang w:val="fr-CH" w:eastAsia="ja-JP"/>
        </w:rPr>
      </w:pPr>
    </w:p>
    <w:tbl>
      <w:tblPr>
        <w:tblW w:w="7558" w:type="dxa"/>
        <w:tblInd w:w="1267" w:type="dxa"/>
        <w:tblLayout w:type="fixed"/>
        <w:tblCellMar>
          <w:left w:w="0" w:type="dxa"/>
          <w:right w:w="0" w:type="dxa"/>
        </w:tblCellMar>
        <w:tblLook w:val="0000" w:firstRow="0" w:lastRow="0" w:firstColumn="0" w:lastColumn="0" w:noHBand="0" w:noVBand="0"/>
      </w:tblPr>
      <w:tblGrid>
        <w:gridCol w:w="2788"/>
        <w:gridCol w:w="1440"/>
        <w:gridCol w:w="1440"/>
        <w:gridCol w:w="1890"/>
      </w:tblGrid>
      <w:tr w:rsidR="00085CAA" w:rsidRPr="007F1BE4" w:rsidTr="00085CAA">
        <w:trPr>
          <w:tblHeader/>
        </w:trPr>
        <w:tc>
          <w:tcPr>
            <w:tcW w:w="2788" w:type="dxa"/>
            <w:vMerge w:val="restart"/>
            <w:tcBorders>
              <w:top w:val="single" w:sz="4" w:space="0" w:color="auto"/>
              <w:left w:val="single" w:sz="4" w:space="0" w:color="auto"/>
              <w:right w:val="single" w:sz="4" w:space="0" w:color="auto"/>
            </w:tcBorders>
            <w:shd w:val="clear" w:color="auto" w:fill="auto"/>
            <w:vAlign w:val="bottom"/>
          </w:tcPr>
          <w:p w:rsidR="00085CAA" w:rsidRPr="007F1BE4" w:rsidRDefault="00085CAA" w:rsidP="000D1CF4">
            <w:pPr>
              <w:suppressAutoHyphens/>
              <w:spacing w:before="80" w:after="80" w:line="160" w:lineRule="exact"/>
              <w:ind w:left="43" w:right="43"/>
              <w:rPr>
                <w:rFonts w:eastAsia="Times New Roman"/>
                <w:bCs/>
                <w:i/>
                <w:sz w:val="14"/>
                <w:lang w:val="fr-CH"/>
              </w:rPr>
            </w:pPr>
            <w:r w:rsidRPr="007F1BE4">
              <w:rPr>
                <w:rFonts w:eastAsia="Times New Roman"/>
                <w:bCs/>
                <w:i/>
                <w:sz w:val="14"/>
                <w:lang w:val="fr-CH"/>
              </w:rPr>
              <w:br w:type="page"/>
            </w:r>
            <w:r w:rsidRPr="007F1BE4">
              <w:rPr>
                <w:rFonts w:eastAsia="Times New Roman"/>
                <w:bCs/>
                <w:i/>
                <w:sz w:val="14"/>
                <w:lang w:val="fr-CH"/>
              </w:rPr>
              <w:br w:type="page"/>
              <w:t>Indicateur de direction de la catégorie</w:t>
            </w:r>
          </w:p>
        </w:tc>
        <w:tc>
          <w:tcPr>
            <w:tcW w:w="1440" w:type="dxa"/>
            <w:vMerge w:val="restart"/>
            <w:tcBorders>
              <w:top w:val="single" w:sz="4" w:space="0" w:color="auto"/>
              <w:left w:val="single" w:sz="4" w:space="0" w:color="auto"/>
              <w:right w:val="single" w:sz="4" w:space="0" w:color="auto"/>
            </w:tcBorders>
            <w:shd w:val="clear" w:color="auto" w:fill="auto"/>
            <w:vAlign w:val="bottom"/>
          </w:tcPr>
          <w:p w:rsidR="00085CAA" w:rsidRPr="007F1BE4" w:rsidRDefault="00085CAA" w:rsidP="000D1CF4">
            <w:pPr>
              <w:suppressAutoHyphens/>
              <w:spacing w:before="80" w:after="80" w:line="160" w:lineRule="exact"/>
              <w:ind w:left="43" w:right="43"/>
              <w:jc w:val="right"/>
              <w:rPr>
                <w:rFonts w:eastAsia="Times New Roman"/>
                <w:bCs/>
                <w:i/>
                <w:sz w:val="14"/>
                <w:lang w:val="fr-CH"/>
              </w:rPr>
            </w:pPr>
            <w:r w:rsidRPr="007F1BE4">
              <w:rPr>
                <w:rFonts w:eastAsia="Times New Roman"/>
                <w:bCs/>
                <w:i/>
                <w:sz w:val="14"/>
                <w:lang w:val="fr-CH"/>
              </w:rPr>
              <w:t>Intensité lumineuse minimale en cd</w:t>
            </w:r>
          </w:p>
        </w:tc>
        <w:tc>
          <w:tcPr>
            <w:tcW w:w="3330" w:type="dxa"/>
            <w:gridSpan w:val="2"/>
            <w:tcBorders>
              <w:top w:val="single" w:sz="4" w:space="0" w:color="auto"/>
              <w:left w:val="single" w:sz="4" w:space="0" w:color="auto"/>
              <w:right w:val="single" w:sz="4" w:space="0" w:color="auto"/>
            </w:tcBorders>
            <w:shd w:val="clear" w:color="auto" w:fill="auto"/>
            <w:vAlign w:val="bottom"/>
          </w:tcPr>
          <w:p w:rsidR="00085CAA" w:rsidRPr="007F1BE4" w:rsidRDefault="00085CAA" w:rsidP="000D1CF4">
            <w:pPr>
              <w:suppressAutoHyphens/>
              <w:spacing w:before="80" w:after="80" w:line="160" w:lineRule="exact"/>
              <w:ind w:left="43" w:right="43"/>
              <w:jc w:val="center"/>
              <w:rPr>
                <w:rFonts w:eastAsia="Times New Roman"/>
                <w:bCs/>
                <w:i/>
                <w:sz w:val="14"/>
                <w:lang w:val="fr-CH"/>
              </w:rPr>
            </w:pPr>
            <w:r w:rsidRPr="007F1BE4">
              <w:rPr>
                <w:rFonts w:eastAsia="Times New Roman"/>
                <w:bCs/>
                <w:i/>
                <w:sz w:val="14"/>
                <w:lang w:val="fr-CH"/>
              </w:rPr>
              <w:t xml:space="preserve">Intensité lumineuse maximale (en cd) </w:t>
            </w:r>
            <w:r>
              <w:rPr>
                <w:rFonts w:eastAsia="Times New Roman"/>
                <w:bCs/>
                <w:i/>
                <w:sz w:val="14"/>
                <w:lang w:val="fr-CH"/>
              </w:rPr>
              <w:br/>
            </w:r>
            <w:r w:rsidRPr="007F1BE4">
              <w:rPr>
                <w:rFonts w:eastAsia="Times New Roman"/>
                <w:bCs/>
                <w:i/>
                <w:sz w:val="14"/>
                <w:lang w:val="fr-CH"/>
              </w:rPr>
              <w:t>lorsque le feu est utilisé</w:t>
            </w:r>
          </w:p>
        </w:tc>
      </w:tr>
      <w:tr w:rsidR="00085CAA" w:rsidRPr="007F1BE4" w:rsidTr="00085CAA">
        <w:trPr>
          <w:tblHeader/>
        </w:trPr>
        <w:tc>
          <w:tcPr>
            <w:tcW w:w="2788" w:type="dxa"/>
            <w:vMerge/>
            <w:tcBorders>
              <w:left w:val="single" w:sz="4" w:space="0" w:color="auto"/>
              <w:bottom w:val="single" w:sz="12" w:space="0" w:color="auto"/>
              <w:right w:val="single" w:sz="4" w:space="0" w:color="auto"/>
            </w:tcBorders>
            <w:shd w:val="clear" w:color="auto" w:fill="auto"/>
            <w:vAlign w:val="bottom"/>
          </w:tcPr>
          <w:p w:rsidR="00085CAA" w:rsidRPr="007F1BE4" w:rsidRDefault="00085CAA" w:rsidP="000D1CF4">
            <w:pPr>
              <w:suppressAutoHyphens/>
              <w:spacing w:before="80" w:after="80" w:line="160" w:lineRule="exact"/>
              <w:ind w:left="43" w:right="43"/>
              <w:rPr>
                <w:rFonts w:eastAsia="Times New Roman"/>
                <w:bCs/>
                <w:i/>
                <w:sz w:val="14"/>
                <w:lang w:val="fr-CH"/>
              </w:rPr>
            </w:pPr>
          </w:p>
        </w:tc>
        <w:tc>
          <w:tcPr>
            <w:tcW w:w="1440" w:type="dxa"/>
            <w:vMerge/>
            <w:tcBorders>
              <w:left w:val="single" w:sz="4" w:space="0" w:color="auto"/>
              <w:bottom w:val="single" w:sz="12" w:space="0" w:color="auto"/>
              <w:right w:val="single" w:sz="4" w:space="0" w:color="auto"/>
            </w:tcBorders>
            <w:shd w:val="clear" w:color="auto" w:fill="auto"/>
            <w:vAlign w:val="bottom"/>
          </w:tcPr>
          <w:p w:rsidR="00085CAA" w:rsidRPr="007F1BE4" w:rsidRDefault="00085CAA" w:rsidP="000D1CF4">
            <w:pPr>
              <w:suppressAutoHyphens/>
              <w:spacing w:before="80" w:after="80" w:line="160" w:lineRule="exact"/>
              <w:ind w:left="43" w:right="43"/>
              <w:jc w:val="right"/>
              <w:rPr>
                <w:rFonts w:eastAsia="Times New Roman"/>
                <w:bCs/>
                <w:i/>
                <w:sz w:val="14"/>
                <w:lang w:val="fr-CH"/>
              </w:rPr>
            </w:pPr>
          </w:p>
        </w:tc>
        <w:tc>
          <w:tcPr>
            <w:tcW w:w="1440" w:type="dxa"/>
            <w:tcBorders>
              <w:top w:val="single" w:sz="4" w:space="0" w:color="auto"/>
              <w:left w:val="single" w:sz="4" w:space="0" w:color="auto"/>
              <w:bottom w:val="single" w:sz="12" w:space="0" w:color="auto"/>
              <w:right w:val="single" w:sz="4" w:space="0" w:color="auto"/>
            </w:tcBorders>
            <w:shd w:val="clear" w:color="auto" w:fill="auto"/>
            <w:vAlign w:val="bottom"/>
          </w:tcPr>
          <w:p w:rsidR="00085CAA" w:rsidRPr="007F1BE4" w:rsidRDefault="00085CAA" w:rsidP="000D1CF4">
            <w:pPr>
              <w:suppressAutoHyphens/>
              <w:spacing w:before="80" w:after="80" w:line="160" w:lineRule="exact"/>
              <w:ind w:left="43" w:right="43"/>
              <w:jc w:val="right"/>
              <w:rPr>
                <w:rFonts w:eastAsia="Times New Roman"/>
                <w:bCs/>
                <w:i/>
                <w:sz w:val="14"/>
                <w:u w:val="single"/>
                <w:lang w:val="fr-CH"/>
              </w:rPr>
            </w:pPr>
            <w:r w:rsidRPr="007F1BE4">
              <w:rPr>
                <w:rFonts w:eastAsia="Times New Roman"/>
                <w:bCs/>
                <w:i/>
                <w:strike/>
                <w:sz w:val="14"/>
                <w:lang w:val="fr-CH" w:eastAsia="ja-JP"/>
              </w:rPr>
              <w:t xml:space="preserve">Comme feu simple </w:t>
            </w:r>
            <w:r w:rsidRPr="007F1BE4">
              <w:rPr>
                <w:rFonts w:eastAsia="Times New Roman"/>
                <w:bCs/>
                <w:i/>
                <w:strike/>
                <w:sz w:val="14"/>
                <w:lang w:val="fr-CH" w:eastAsia="ja-JP"/>
              </w:rPr>
              <w:br/>
            </w:r>
            <w:r w:rsidRPr="007F1BE4">
              <w:rPr>
                <w:rFonts w:eastAsia="Times New Roman"/>
                <w:b/>
                <w:bCs/>
                <w:i/>
                <w:sz w:val="14"/>
                <w:lang w:val="fr-CH" w:eastAsia="ja-JP"/>
              </w:rPr>
              <w:t xml:space="preserve">Comme un feu </w:t>
            </w:r>
            <w:r w:rsidRPr="007F1BE4">
              <w:rPr>
                <w:rFonts w:eastAsia="Times New Roman"/>
                <w:b/>
                <w:bCs/>
                <w:i/>
                <w:sz w:val="14"/>
                <w:lang w:val="fr-CH" w:eastAsia="ja-JP"/>
              </w:rPr>
              <w:br/>
              <w:t>simple</w:t>
            </w:r>
          </w:p>
        </w:tc>
        <w:tc>
          <w:tcPr>
            <w:tcW w:w="1890" w:type="dxa"/>
            <w:tcBorders>
              <w:top w:val="single" w:sz="4" w:space="0" w:color="auto"/>
              <w:left w:val="single" w:sz="4" w:space="0" w:color="auto"/>
              <w:bottom w:val="single" w:sz="12" w:space="0" w:color="auto"/>
              <w:right w:val="single" w:sz="4" w:space="0" w:color="auto"/>
            </w:tcBorders>
            <w:shd w:val="clear" w:color="auto" w:fill="auto"/>
            <w:vAlign w:val="bottom"/>
          </w:tcPr>
          <w:p w:rsidR="00085CAA" w:rsidRPr="007F1BE4" w:rsidRDefault="00085CAA" w:rsidP="000D1CF4">
            <w:pPr>
              <w:suppressAutoHyphens/>
              <w:spacing w:before="80" w:after="80" w:line="160" w:lineRule="exact"/>
              <w:ind w:left="43" w:right="43"/>
              <w:jc w:val="right"/>
              <w:rPr>
                <w:rFonts w:eastAsia="Times New Roman"/>
                <w:bCs/>
                <w:i/>
                <w:sz w:val="14"/>
                <w:lang w:val="fr-CH"/>
              </w:rPr>
            </w:pPr>
            <w:r w:rsidRPr="007F1BE4">
              <w:rPr>
                <w:rFonts w:eastAsia="Times New Roman"/>
                <w:bCs/>
                <w:i/>
                <w:strike/>
                <w:sz w:val="14"/>
                <w:lang w:val="fr-CH"/>
              </w:rPr>
              <w:t xml:space="preserve">Comme feu (simple) portant </w:t>
            </w:r>
            <w:r>
              <w:rPr>
                <w:rFonts w:eastAsia="Times New Roman"/>
                <w:bCs/>
                <w:i/>
                <w:strike/>
                <w:sz w:val="14"/>
                <w:lang w:val="fr-CH"/>
              </w:rPr>
              <w:br/>
            </w:r>
            <w:r w:rsidRPr="007F1BE4">
              <w:rPr>
                <w:rFonts w:eastAsia="Times New Roman"/>
                <w:bCs/>
                <w:i/>
                <w:strike/>
                <w:sz w:val="14"/>
                <w:lang w:val="fr-CH"/>
              </w:rPr>
              <w:t>la marque «</w:t>
            </w:r>
            <w:r>
              <w:rPr>
                <w:rFonts w:eastAsia="Times New Roman"/>
                <w:bCs/>
                <w:i/>
                <w:strike/>
                <w:sz w:val="14"/>
                <w:lang w:val="fr-CH"/>
              </w:rPr>
              <w:t> </w:t>
            </w:r>
            <w:r w:rsidRPr="007F1BE4">
              <w:rPr>
                <w:rFonts w:eastAsia="Times New Roman"/>
                <w:bCs/>
                <w:i/>
                <w:strike/>
                <w:sz w:val="14"/>
                <w:lang w:val="fr-CH"/>
              </w:rPr>
              <w:t>D</w:t>
            </w:r>
            <w:r>
              <w:rPr>
                <w:rFonts w:eastAsia="Times New Roman"/>
                <w:bCs/>
                <w:i/>
                <w:strike/>
                <w:sz w:val="14"/>
                <w:lang w:val="fr-CH"/>
              </w:rPr>
              <w:t> </w:t>
            </w:r>
            <w:r w:rsidRPr="007F1BE4">
              <w:rPr>
                <w:rFonts w:eastAsia="Times New Roman"/>
                <w:bCs/>
                <w:i/>
                <w:strike/>
                <w:sz w:val="14"/>
                <w:lang w:val="fr-CH"/>
              </w:rPr>
              <w:t xml:space="preserve">» </w:t>
            </w:r>
            <w:r>
              <w:rPr>
                <w:rFonts w:eastAsia="Times New Roman"/>
                <w:bCs/>
                <w:i/>
                <w:strike/>
                <w:sz w:val="14"/>
                <w:lang w:val="fr-CH"/>
              </w:rPr>
              <w:br/>
            </w:r>
            <w:r w:rsidRPr="007F1BE4">
              <w:rPr>
                <w:rFonts w:eastAsia="Times New Roman"/>
                <w:b/>
                <w:bCs/>
                <w:i/>
                <w:sz w:val="14"/>
                <w:lang w:val="fr-CH"/>
              </w:rPr>
              <w:t xml:space="preserve">Comme un feu portant </w:t>
            </w:r>
            <w:r>
              <w:rPr>
                <w:rFonts w:eastAsia="Times New Roman"/>
                <w:b/>
                <w:bCs/>
                <w:i/>
                <w:sz w:val="14"/>
                <w:lang w:val="fr-CH"/>
              </w:rPr>
              <w:br/>
            </w:r>
            <w:r w:rsidRPr="007F1BE4">
              <w:rPr>
                <w:rFonts w:eastAsia="Times New Roman"/>
                <w:b/>
                <w:bCs/>
                <w:i/>
                <w:sz w:val="14"/>
                <w:lang w:val="fr-CH"/>
              </w:rPr>
              <w:t>la marque «</w:t>
            </w:r>
            <w:r>
              <w:rPr>
                <w:rFonts w:eastAsia="Times New Roman"/>
                <w:b/>
                <w:bCs/>
                <w:i/>
                <w:sz w:val="14"/>
                <w:lang w:val="fr-CH"/>
              </w:rPr>
              <w:t> </w:t>
            </w:r>
            <w:r w:rsidRPr="007F1BE4">
              <w:rPr>
                <w:rFonts w:eastAsia="Times New Roman"/>
                <w:b/>
                <w:bCs/>
                <w:i/>
                <w:sz w:val="14"/>
                <w:lang w:val="fr-CH"/>
              </w:rPr>
              <w:t>D</w:t>
            </w:r>
            <w:r>
              <w:rPr>
                <w:rFonts w:eastAsia="Times New Roman"/>
                <w:b/>
                <w:bCs/>
                <w:i/>
                <w:sz w:val="14"/>
                <w:lang w:val="fr-CH"/>
              </w:rPr>
              <w:t> </w:t>
            </w:r>
            <w:r w:rsidRPr="007F1BE4">
              <w:rPr>
                <w:rFonts w:eastAsia="Times New Roman"/>
                <w:b/>
                <w:bCs/>
                <w:i/>
                <w:sz w:val="14"/>
                <w:lang w:val="fr-CH"/>
              </w:rPr>
              <w:t xml:space="preserve">» </w:t>
            </w:r>
            <w:r>
              <w:rPr>
                <w:rFonts w:eastAsia="Times New Roman"/>
                <w:b/>
                <w:bCs/>
                <w:i/>
                <w:sz w:val="14"/>
                <w:lang w:val="fr-CH"/>
              </w:rPr>
              <w:br/>
            </w:r>
            <w:r w:rsidRPr="007F1BE4">
              <w:rPr>
                <w:rFonts w:eastAsia="Times New Roman"/>
                <w:bCs/>
                <w:i/>
                <w:sz w:val="14"/>
                <w:lang w:val="fr-CH"/>
              </w:rPr>
              <w:t>(voir par. 4.2.2.3)</w:t>
            </w:r>
          </w:p>
        </w:tc>
      </w:tr>
      <w:tr w:rsidR="007F1BE4" w:rsidRPr="007F1BE4" w:rsidTr="00085CAA">
        <w:trPr>
          <w:trHeight w:hRule="exact" w:val="115"/>
          <w:tblHeader/>
        </w:trPr>
        <w:tc>
          <w:tcPr>
            <w:tcW w:w="2788" w:type="dxa"/>
            <w:tcBorders>
              <w:top w:val="single" w:sz="12" w:space="0" w:color="auto"/>
              <w:left w:val="single" w:sz="4" w:space="0" w:color="auto"/>
              <w:right w:val="single" w:sz="4" w:space="0" w:color="auto"/>
            </w:tcBorders>
            <w:shd w:val="clear" w:color="auto" w:fill="auto"/>
            <w:vAlign w:val="bottom"/>
          </w:tcPr>
          <w:p w:rsidR="007F1BE4" w:rsidRPr="007F1BE4" w:rsidRDefault="007F1BE4" w:rsidP="000D1CF4">
            <w:pPr>
              <w:suppressAutoHyphens/>
              <w:spacing w:before="40" w:after="40" w:line="210" w:lineRule="exact"/>
              <w:ind w:left="43" w:right="43"/>
              <w:rPr>
                <w:rFonts w:eastAsia="Times New Roman"/>
                <w:bCs/>
                <w:sz w:val="17"/>
                <w:lang w:val="fr-CH"/>
              </w:rPr>
            </w:pPr>
          </w:p>
        </w:tc>
        <w:tc>
          <w:tcPr>
            <w:tcW w:w="1440" w:type="dxa"/>
            <w:tcBorders>
              <w:top w:val="single" w:sz="12" w:space="0" w:color="auto"/>
              <w:left w:val="single" w:sz="4" w:space="0" w:color="auto"/>
              <w:right w:val="single" w:sz="4" w:space="0" w:color="auto"/>
            </w:tcBorders>
            <w:shd w:val="clear" w:color="auto" w:fill="auto"/>
            <w:vAlign w:val="bottom"/>
          </w:tcPr>
          <w:p w:rsidR="007F1BE4" w:rsidRPr="007F1BE4" w:rsidRDefault="007F1BE4" w:rsidP="000D1CF4">
            <w:pPr>
              <w:suppressAutoHyphens/>
              <w:spacing w:before="40" w:after="40" w:line="210" w:lineRule="exact"/>
              <w:ind w:left="43" w:right="43"/>
              <w:jc w:val="right"/>
              <w:rPr>
                <w:rFonts w:eastAsia="Times New Roman"/>
                <w:bCs/>
                <w:sz w:val="17"/>
                <w:lang w:val="fr-CH"/>
              </w:rPr>
            </w:pPr>
          </w:p>
        </w:tc>
        <w:tc>
          <w:tcPr>
            <w:tcW w:w="1440" w:type="dxa"/>
            <w:tcBorders>
              <w:top w:val="single" w:sz="12" w:space="0" w:color="auto"/>
              <w:left w:val="single" w:sz="4" w:space="0" w:color="auto"/>
              <w:right w:val="single" w:sz="4" w:space="0" w:color="auto"/>
            </w:tcBorders>
            <w:shd w:val="clear" w:color="auto" w:fill="auto"/>
            <w:vAlign w:val="bottom"/>
          </w:tcPr>
          <w:p w:rsidR="007F1BE4" w:rsidRPr="007F1BE4" w:rsidRDefault="007F1BE4" w:rsidP="000D1CF4">
            <w:pPr>
              <w:suppressAutoHyphens/>
              <w:spacing w:before="40" w:after="40" w:line="210" w:lineRule="exact"/>
              <w:ind w:left="43" w:right="43"/>
              <w:jc w:val="right"/>
              <w:rPr>
                <w:rFonts w:eastAsia="Times New Roman"/>
                <w:sz w:val="17"/>
                <w:lang w:val="fr-CH"/>
              </w:rPr>
            </w:pPr>
          </w:p>
        </w:tc>
        <w:tc>
          <w:tcPr>
            <w:tcW w:w="1890" w:type="dxa"/>
            <w:tcBorders>
              <w:top w:val="single" w:sz="12" w:space="0" w:color="auto"/>
              <w:left w:val="single" w:sz="4" w:space="0" w:color="auto"/>
              <w:right w:val="single" w:sz="4" w:space="0" w:color="auto"/>
            </w:tcBorders>
            <w:shd w:val="clear" w:color="auto" w:fill="auto"/>
            <w:vAlign w:val="bottom"/>
          </w:tcPr>
          <w:p w:rsidR="007F1BE4" w:rsidRPr="007F1BE4" w:rsidRDefault="007F1BE4" w:rsidP="000D1CF4">
            <w:pPr>
              <w:suppressAutoHyphens/>
              <w:spacing w:before="40" w:after="40" w:line="210" w:lineRule="exact"/>
              <w:ind w:left="43" w:right="43"/>
              <w:jc w:val="right"/>
              <w:rPr>
                <w:rFonts w:eastAsia="Times New Roman"/>
                <w:bCs/>
                <w:sz w:val="17"/>
                <w:lang w:val="fr-CH"/>
              </w:rPr>
            </w:pPr>
          </w:p>
        </w:tc>
      </w:tr>
      <w:tr w:rsidR="007F1BE4" w:rsidRPr="007F1BE4" w:rsidTr="00085CAA">
        <w:tc>
          <w:tcPr>
            <w:tcW w:w="2788"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rPr>
                <w:rFonts w:eastAsia="Times New Roman"/>
                <w:bCs/>
                <w:sz w:val="17"/>
                <w:lang w:val="fr-CH"/>
              </w:rPr>
            </w:pPr>
            <w:r w:rsidRPr="007F1BE4">
              <w:rPr>
                <w:rFonts w:eastAsia="Times New Roman"/>
                <w:bCs/>
                <w:sz w:val="17"/>
                <w:lang w:val="fr-CH"/>
              </w:rPr>
              <w:t>1</w:t>
            </w:r>
          </w:p>
        </w:tc>
        <w:tc>
          <w:tcPr>
            <w:tcW w:w="144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175</w:t>
            </w:r>
          </w:p>
        </w:tc>
        <w:tc>
          <w:tcPr>
            <w:tcW w:w="144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sz w:val="17"/>
                <w:lang w:val="fr-CH"/>
              </w:rPr>
            </w:pPr>
            <w:r w:rsidRPr="007F1BE4">
              <w:rPr>
                <w:rFonts w:eastAsia="Times New Roman"/>
                <w:sz w:val="17"/>
                <w:lang w:val="fr-CH"/>
              </w:rPr>
              <w:t>1</w:t>
            </w:r>
            <w:r w:rsidR="00085CAA">
              <w:rPr>
                <w:rFonts w:eastAsia="Times New Roman"/>
                <w:sz w:val="17"/>
                <w:lang w:val="fr-CH"/>
              </w:rPr>
              <w:t xml:space="preserve"> </w:t>
            </w:r>
            <w:r w:rsidRPr="007F1BE4">
              <w:rPr>
                <w:rFonts w:eastAsia="Times New Roman"/>
                <w:sz w:val="17"/>
                <w:lang w:val="fr-CH"/>
              </w:rPr>
              <w:t>000</w:t>
            </w:r>
          </w:p>
        </w:tc>
        <w:tc>
          <w:tcPr>
            <w:tcW w:w="189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500</w:t>
            </w:r>
          </w:p>
        </w:tc>
      </w:tr>
      <w:tr w:rsidR="00085CAA" w:rsidRPr="007F1BE4" w:rsidTr="00085CAA">
        <w:tc>
          <w:tcPr>
            <w:tcW w:w="2788"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rPr>
                <w:rFonts w:eastAsia="Times New Roman"/>
                <w:bCs/>
                <w:sz w:val="17"/>
                <w:lang w:val="fr-CH"/>
              </w:rPr>
            </w:pPr>
            <w:r w:rsidRPr="007F1BE4">
              <w:rPr>
                <w:rFonts w:eastAsia="Times New Roman"/>
                <w:bCs/>
                <w:sz w:val="17"/>
                <w:lang w:val="fr-CH"/>
              </w:rPr>
              <w:t>1a</w:t>
            </w:r>
          </w:p>
        </w:tc>
        <w:tc>
          <w:tcPr>
            <w:tcW w:w="144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250</w:t>
            </w:r>
          </w:p>
        </w:tc>
        <w:tc>
          <w:tcPr>
            <w:tcW w:w="144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sz w:val="17"/>
                <w:lang w:val="fr-CH"/>
              </w:rPr>
            </w:pPr>
            <w:r w:rsidRPr="007F1BE4">
              <w:rPr>
                <w:rFonts w:eastAsia="Times New Roman"/>
                <w:sz w:val="17"/>
                <w:lang w:val="fr-CH"/>
              </w:rPr>
              <w:t>1</w:t>
            </w:r>
            <w:r w:rsidR="00085CAA">
              <w:rPr>
                <w:rFonts w:eastAsia="Times New Roman"/>
                <w:sz w:val="17"/>
                <w:lang w:val="fr-CH"/>
              </w:rPr>
              <w:t xml:space="preserve"> </w:t>
            </w:r>
            <w:r w:rsidRPr="007F1BE4">
              <w:rPr>
                <w:rFonts w:eastAsia="Times New Roman"/>
                <w:sz w:val="17"/>
                <w:lang w:val="fr-CH"/>
              </w:rPr>
              <w:t>200</w:t>
            </w:r>
          </w:p>
        </w:tc>
        <w:tc>
          <w:tcPr>
            <w:tcW w:w="189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600</w:t>
            </w:r>
          </w:p>
        </w:tc>
      </w:tr>
      <w:tr w:rsidR="00085CAA" w:rsidRPr="007F1BE4" w:rsidTr="00085CAA">
        <w:tc>
          <w:tcPr>
            <w:tcW w:w="2788"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rPr>
                <w:rFonts w:eastAsia="Times New Roman"/>
                <w:bCs/>
                <w:sz w:val="17"/>
                <w:lang w:val="fr-CH"/>
              </w:rPr>
            </w:pPr>
            <w:r w:rsidRPr="007F1BE4">
              <w:rPr>
                <w:rFonts w:eastAsia="Times New Roman"/>
                <w:bCs/>
                <w:sz w:val="17"/>
                <w:lang w:val="fr-CH"/>
              </w:rPr>
              <w:t>1b</w:t>
            </w:r>
          </w:p>
        </w:tc>
        <w:tc>
          <w:tcPr>
            <w:tcW w:w="144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400</w:t>
            </w:r>
          </w:p>
        </w:tc>
        <w:tc>
          <w:tcPr>
            <w:tcW w:w="144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sz w:val="17"/>
                <w:lang w:val="fr-CH"/>
              </w:rPr>
            </w:pPr>
            <w:r w:rsidRPr="007F1BE4">
              <w:rPr>
                <w:rFonts w:eastAsia="Times New Roman"/>
                <w:sz w:val="17"/>
                <w:lang w:val="fr-CH"/>
              </w:rPr>
              <w:t>1</w:t>
            </w:r>
            <w:r w:rsidR="00085CAA">
              <w:rPr>
                <w:rFonts w:eastAsia="Times New Roman"/>
                <w:sz w:val="17"/>
                <w:lang w:val="fr-CH"/>
              </w:rPr>
              <w:t xml:space="preserve"> </w:t>
            </w:r>
            <w:r w:rsidRPr="007F1BE4">
              <w:rPr>
                <w:rFonts w:eastAsia="Times New Roman"/>
                <w:sz w:val="17"/>
                <w:lang w:val="fr-CH"/>
              </w:rPr>
              <w:t>200</w:t>
            </w:r>
          </w:p>
        </w:tc>
        <w:tc>
          <w:tcPr>
            <w:tcW w:w="189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600</w:t>
            </w:r>
          </w:p>
        </w:tc>
      </w:tr>
      <w:tr w:rsidR="00085CAA" w:rsidRPr="007F1BE4" w:rsidTr="00085CAA">
        <w:tc>
          <w:tcPr>
            <w:tcW w:w="2788"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rPr>
                <w:rFonts w:eastAsia="Times New Roman"/>
                <w:bCs/>
                <w:sz w:val="17"/>
                <w:lang w:val="fr-CH"/>
              </w:rPr>
            </w:pPr>
            <w:r w:rsidRPr="007F1BE4">
              <w:rPr>
                <w:rFonts w:eastAsia="Times New Roman"/>
                <w:bCs/>
                <w:sz w:val="17"/>
                <w:lang w:val="fr-CH"/>
              </w:rPr>
              <w:t>2a (intensité constante)</w:t>
            </w:r>
          </w:p>
        </w:tc>
        <w:tc>
          <w:tcPr>
            <w:tcW w:w="144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50</w:t>
            </w:r>
          </w:p>
        </w:tc>
        <w:tc>
          <w:tcPr>
            <w:tcW w:w="144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sz w:val="17"/>
                <w:lang w:val="fr-CH"/>
              </w:rPr>
            </w:pPr>
            <w:r w:rsidRPr="007F1BE4">
              <w:rPr>
                <w:rFonts w:eastAsia="Times New Roman"/>
                <w:sz w:val="17"/>
                <w:lang w:val="fr-CH"/>
              </w:rPr>
              <w:t>500</w:t>
            </w:r>
          </w:p>
        </w:tc>
        <w:tc>
          <w:tcPr>
            <w:tcW w:w="189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250</w:t>
            </w:r>
          </w:p>
        </w:tc>
      </w:tr>
      <w:tr w:rsidR="00085CAA" w:rsidRPr="007F1BE4" w:rsidTr="00085CAA">
        <w:tc>
          <w:tcPr>
            <w:tcW w:w="2788"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rPr>
                <w:rFonts w:eastAsia="Times New Roman"/>
                <w:bCs/>
                <w:sz w:val="17"/>
                <w:lang w:val="fr-CH"/>
              </w:rPr>
            </w:pPr>
            <w:r w:rsidRPr="007F1BE4">
              <w:rPr>
                <w:rFonts w:eastAsia="Times New Roman"/>
                <w:bCs/>
                <w:sz w:val="17"/>
                <w:lang w:val="fr-CH"/>
              </w:rPr>
              <w:t>2b (intensité variable)</w:t>
            </w:r>
          </w:p>
        </w:tc>
        <w:tc>
          <w:tcPr>
            <w:tcW w:w="144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50</w:t>
            </w:r>
          </w:p>
        </w:tc>
        <w:tc>
          <w:tcPr>
            <w:tcW w:w="144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sz w:val="17"/>
                <w:lang w:val="fr-CH"/>
              </w:rPr>
            </w:pPr>
            <w:r w:rsidRPr="007F1BE4">
              <w:rPr>
                <w:rFonts w:eastAsia="Times New Roman"/>
                <w:bCs/>
                <w:sz w:val="17"/>
                <w:lang w:val="fr-CH"/>
              </w:rPr>
              <w:t>1</w:t>
            </w:r>
            <w:r w:rsidR="00085CAA">
              <w:rPr>
                <w:rFonts w:eastAsia="Times New Roman"/>
                <w:bCs/>
                <w:sz w:val="17"/>
                <w:lang w:val="fr-CH"/>
              </w:rPr>
              <w:t xml:space="preserve"> </w:t>
            </w:r>
            <w:r w:rsidRPr="007F1BE4">
              <w:rPr>
                <w:rFonts w:eastAsia="Times New Roman"/>
                <w:bCs/>
                <w:sz w:val="17"/>
                <w:lang w:val="fr-CH"/>
              </w:rPr>
              <w:t>000</w:t>
            </w:r>
          </w:p>
        </w:tc>
        <w:tc>
          <w:tcPr>
            <w:tcW w:w="189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500</w:t>
            </w:r>
          </w:p>
        </w:tc>
      </w:tr>
      <w:tr w:rsidR="007F1BE4" w:rsidRPr="007F1BE4" w:rsidTr="00085CAA">
        <w:tc>
          <w:tcPr>
            <w:tcW w:w="2788"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rPr>
                <w:rFonts w:eastAsia="Times New Roman"/>
                <w:bCs/>
                <w:sz w:val="17"/>
                <w:lang w:val="fr-CH"/>
              </w:rPr>
            </w:pPr>
            <w:r w:rsidRPr="007F1BE4">
              <w:rPr>
                <w:rFonts w:eastAsia="Times New Roman"/>
                <w:bCs/>
                <w:sz w:val="17"/>
                <w:lang w:val="fr-CH"/>
              </w:rPr>
              <w:t>5</w:t>
            </w:r>
          </w:p>
        </w:tc>
        <w:tc>
          <w:tcPr>
            <w:tcW w:w="144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0</w:t>
            </w:r>
            <w:r w:rsidR="00085CAA">
              <w:rPr>
                <w:rFonts w:eastAsia="Times New Roman"/>
                <w:bCs/>
                <w:sz w:val="17"/>
                <w:lang w:val="fr-CH"/>
              </w:rPr>
              <w:t>,</w:t>
            </w:r>
            <w:r w:rsidRPr="007F1BE4">
              <w:rPr>
                <w:rFonts w:eastAsia="Times New Roman"/>
                <w:bCs/>
                <w:sz w:val="17"/>
                <w:lang w:val="fr-CH"/>
              </w:rPr>
              <w:t>6</w:t>
            </w:r>
          </w:p>
        </w:tc>
        <w:tc>
          <w:tcPr>
            <w:tcW w:w="144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sz w:val="17"/>
                <w:lang w:val="fr-CH"/>
              </w:rPr>
            </w:pPr>
            <w:r w:rsidRPr="007F1BE4">
              <w:rPr>
                <w:rFonts w:eastAsia="Times New Roman"/>
                <w:sz w:val="17"/>
                <w:lang w:val="fr-CH"/>
              </w:rPr>
              <w:t>280</w:t>
            </w:r>
          </w:p>
        </w:tc>
        <w:tc>
          <w:tcPr>
            <w:tcW w:w="1890" w:type="dxa"/>
            <w:tcBorders>
              <w:left w:val="single" w:sz="4"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140</w:t>
            </w:r>
          </w:p>
        </w:tc>
      </w:tr>
      <w:tr w:rsidR="007F1BE4" w:rsidRPr="007F1BE4" w:rsidTr="00085CAA">
        <w:tc>
          <w:tcPr>
            <w:tcW w:w="2788" w:type="dxa"/>
            <w:tcBorders>
              <w:left w:val="single" w:sz="4" w:space="0" w:color="auto"/>
              <w:bottom w:val="single" w:sz="12"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rPr>
                <w:rFonts w:eastAsia="Times New Roman"/>
                <w:bCs/>
                <w:sz w:val="17"/>
                <w:lang w:val="fr-CH"/>
              </w:rPr>
            </w:pPr>
            <w:r w:rsidRPr="007F1BE4">
              <w:rPr>
                <w:rFonts w:eastAsia="Times New Roman"/>
                <w:bCs/>
                <w:sz w:val="17"/>
                <w:lang w:val="fr-CH"/>
              </w:rPr>
              <w:t>6</w:t>
            </w:r>
          </w:p>
        </w:tc>
        <w:tc>
          <w:tcPr>
            <w:tcW w:w="1440" w:type="dxa"/>
            <w:tcBorders>
              <w:left w:val="single" w:sz="4" w:space="0" w:color="auto"/>
              <w:bottom w:val="single" w:sz="12"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50</w:t>
            </w:r>
          </w:p>
        </w:tc>
        <w:tc>
          <w:tcPr>
            <w:tcW w:w="1440" w:type="dxa"/>
            <w:tcBorders>
              <w:left w:val="single" w:sz="4" w:space="0" w:color="auto"/>
              <w:bottom w:val="single" w:sz="12"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sz w:val="17"/>
                <w:lang w:val="fr-CH"/>
              </w:rPr>
            </w:pPr>
            <w:r w:rsidRPr="007F1BE4">
              <w:rPr>
                <w:rFonts w:eastAsia="Times New Roman"/>
                <w:sz w:val="17"/>
                <w:lang w:val="fr-CH"/>
              </w:rPr>
              <w:t>280</w:t>
            </w:r>
          </w:p>
        </w:tc>
        <w:tc>
          <w:tcPr>
            <w:tcW w:w="1890" w:type="dxa"/>
            <w:tcBorders>
              <w:left w:val="single" w:sz="4" w:space="0" w:color="auto"/>
              <w:bottom w:val="single" w:sz="12" w:space="0" w:color="auto"/>
              <w:right w:val="single" w:sz="4" w:space="0" w:color="auto"/>
            </w:tcBorders>
            <w:shd w:val="clear" w:color="auto" w:fill="auto"/>
            <w:vAlign w:val="bottom"/>
          </w:tcPr>
          <w:p w:rsidR="007F1BE4" w:rsidRPr="007F1BE4" w:rsidRDefault="007F1BE4" w:rsidP="000D1CF4">
            <w:pPr>
              <w:tabs>
                <w:tab w:val="left" w:pos="288"/>
                <w:tab w:val="left" w:pos="576"/>
                <w:tab w:val="left" w:pos="864"/>
                <w:tab w:val="left" w:pos="1152"/>
              </w:tabs>
              <w:suppressAutoHyphens/>
              <w:spacing w:before="40" w:after="40" w:line="210" w:lineRule="exact"/>
              <w:ind w:left="43" w:right="43"/>
              <w:jc w:val="right"/>
              <w:rPr>
                <w:rFonts w:eastAsia="Times New Roman"/>
                <w:bCs/>
                <w:sz w:val="17"/>
                <w:lang w:val="fr-CH"/>
              </w:rPr>
            </w:pPr>
            <w:r w:rsidRPr="007F1BE4">
              <w:rPr>
                <w:rFonts w:eastAsia="Times New Roman"/>
                <w:bCs/>
                <w:sz w:val="17"/>
                <w:lang w:val="fr-CH"/>
              </w:rPr>
              <w:t>140</w:t>
            </w:r>
          </w:p>
        </w:tc>
      </w:tr>
    </w:tbl>
    <w:p w:rsidR="007F1BE4" w:rsidRDefault="007F1BE4" w:rsidP="00085CAA">
      <w:pPr>
        <w:pStyle w:val="SingleTxt"/>
        <w:jc w:val="right"/>
        <w:rPr>
          <w:lang w:val="fr-CH" w:eastAsia="ja-JP"/>
        </w:rPr>
      </w:pPr>
      <w:r>
        <w:rPr>
          <w:lang w:val="fr-CH" w:eastAsia="ja-JP"/>
        </w:rPr>
        <w:t>».</w:t>
      </w:r>
    </w:p>
    <w:p w:rsidR="007F1BE4" w:rsidRPr="007F1BE4" w:rsidRDefault="007F1BE4" w:rsidP="007F1BE4">
      <w:pPr>
        <w:pStyle w:val="SingleTxt"/>
        <w:spacing w:after="0" w:line="120" w:lineRule="exact"/>
        <w:rPr>
          <w:sz w:val="10"/>
          <w:lang w:val="fr-CH" w:eastAsia="ja-JP"/>
        </w:rPr>
      </w:pPr>
    </w:p>
    <w:p w:rsidR="007F1BE4" w:rsidRDefault="007F1BE4" w:rsidP="007F1BE4">
      <w:pPr>
        <w:pStyle w:val="SingleTxt"/>
        <w:spacing w:after="0" w:line="120" w:lineRule="exact"/>
        <w:rPr>
          <w:sz w:val="10"/>
          <w:lang w:val="fr-CH" w:eastAsia="ja-JP"/>
        </w:rPr>
      </w:pPr>
    </w:p>
    <w:p w:rsidR="007F1BE4" w:rsidRPr="007F1BE4" w:rsidRDefault="007F1BE4" w:rsidP="007F1BE4">
      <w:pPr>
        <w:pStyle w:val="SingleTxt"/>
        <w:spacing w:after="0" w:line="120" w:lineRule="exact"/>
        <w:rPr>
          <w:sz w:val="10"/>
          <w:lang w:val="fr-CH" w:eastAsia="ja-JP"/>
        </w:rPr>
      </w:pPr>
    </w:p>
    <w:p w:rsidR="007F1BE4" w:rsidRDefault="007F1BE4" w:rsidP="007F1B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7F1BE4">
        <w:rPr>
          <w:lang w:val="fr-CH"/>
        </w:rPr>
        <w:t>B.</w:t>
      </w:r>
      <w:r w:rsidRPr="007F1BE4">
        <w:rPr>
          <w:lang w:val="fr-CH"/>
        </w:rPr>
        <w:tab/>
        <w:t xml:space="preserve">Proposition de complément 24 à la série 02 d’amendements </w:t>
      </w:r>
      <w:r>
        <w:rPr>
          <w:lang w:val="fr-CH"/>
        </w:rPr>
        <w:br/>
      </w:r>
      <w:r w:rsidRPr="007F1BE4">
        <w:rPr>
          <w:lang w:val="fr-CH"/>
        </w:rPr>
        <w:t>au Règlement n</w:t>
      </w:r>
      <w:r w:rsidRPr="007F1BE4">
        <w:rPr>
          <w:vertAlign w:val="superscript"/>
          <w:lang w:val="fr-CH"/>
        </w:rPr>
        <w:t>o</w:t>
      </w:r>
      <w:r>
        <w:rPr>
          <w:lang w:val="fr-CH"/>
        </w:rPr>
        <w:t> </w:t>
      </w:r>
      <w:r w:rsidRPr="007F1BE4">
        <w:rPr>
          <w:lang w:val="fr-CH"/>
        </w:rPr>
        <w:t xml:space="preserve">7 (Feux de position avant et arrière, feux-stop </w:t>
      </w:r>
      <w:r>
        <w:rPr>
          <w:lang w:val="fr-CH"/>
        </w:rPr>
        <w:br/>
      </w:r>
      <w:r w:rsidRPr="007F1BE4">
        <w:rPr>
          <w:lang w:val="fr-CH"/>
        </w:rPr>
        <w:t>et feux d’encombrement)</w:t>
      </w:r>
    </w:p>
    <w:p w:rsidR="007F1BE4" w:rsidRPr="007F1BE4" w:rsidRDefault="007F1BE4" w:rsidP="007F1BE4">
      <w:pPr>
        <w:pStyle w:val="SingleTxt"/>
        <w:spacing w:after="0" w:line="120" w:lineRule="exact"/>
        <w:rPr>
          <w:sz w:val="10"/>
          <w:lang w:val="fr-CH"/>
        </w:rPr>
      </w:pPr>
    </w:p>
    <w:p w:rsidR="007F1BE4" w:rsidRPr="007F1BE4" w:rsidRDefault="007F1BE4" w:rsidP="007F1BE4">
      <w:pPr>
        <w:pStyle w:val="SingleTxt"/>
        <w:spacing w:after="0" w:line="120" w:lineRule="exact"/>
        <w:rPr>
          <w:sz w:val="10"/>
          <w:lang w:val="fr-CH"/>
        </w:rPr>
      </w:pPr>
    </w:p>
    <w:p w:rsidR="007F1BE4" w:rsidRPr="007F1BE4" w:rsidRDefault="007F1BE4" w:rsidP="007F1BE4">
      <w:pPr>
        <w:pStyle w:val="SingleTxt"/>
        <w:rPr>
          <w:lang w:val="fr-CH"/>
        </w:rPr>
      </w:pPr>
      <w:r w:rsidRPr="007F1BE4">
        <w:rPr>
          <w:i/>
          <w:iCs/>
          <w:lang w:val="fr-CH"/>
        </w:rPr>
        <w:t xml:space="preserve">Paragraphe </w:t>
      </w:r>
      <w:r w:rsidRPr="007F1BE4">
        <w:rPr>
          <w:i/>
          <w:iCs/>
          <w:lang w:val="fr-CH" w:eastAsia="zh-CN"/>
        </w:rPr>
        <w:t>6</w:t>
      </w:r>
      <w:r w:rsidRPr="007F1BE4">
        <w:rPr>
          <w:i/>
          <w:iCs/>
          <w:lang w:val="fr-CH"/>
        </w:rPr>
        <w:t>.1</w:t>
      </w:r>
      <w:r w:rsidRPr="007F1BE4">
        <w:rPr>
          <w:lang w:val="fr-CH"/>
        </w:rPr>
        <w:t>, modifier comme suit</w:t>
      </w:r>
      <w:r>
        <w:rPr>
          <w:lang w:val="fr-CH"/>
        </w:rPr>
        <w:t> </w:t>
      </w:r>
      <w:r w:rsidRPr="007F1BE4">
        <w:rPr>
          <w:lang w:val="fr-CH"/>
        </w:rPr>
        <w:t>:</w:t>
      </w:r>
    </w:p>
    <w:p w:rsidR="007F1BE4" w:rsidRPr="007F1BE4" w:rsidRDefault="007F1BE4" w:rsidP="007F1BE4">
      <w:pPr>
        <w:pStyle w:val="SingleTxt"/>
        <w:ind w:left="2218" w:hanging="951"/>
        <w:rPr>
          <w:lang w:val="fr-CH"/>
        </w:rPr>
      </w:pPr>
      <w:r>
        <w:rPr>
          <w:lang w:val="fr-CH"/>
        </w:rPr>
        <w:t>« </w:t>
      </w:r>
      <w:r w:rsidRPr="007F1BE4">
        <w:rPr>
          <w:lang w:val="fr-CH"/>
        </w:rPr>
        <w:t>6.1</w:t>
      </w:r>
      <w:r>
        <w:rPr>
          <w:lang w:val="fr-CH"/>
        </w:rPr>
        <w:tab/>
      </w:r>
      <w:r w:rsidRPr="007F1BE4">
        <w:rPr>
          <w:lang w:val="fr-CH"/>
        </w:rPr>
        <w:tab/>
        <w:t>La lumière émise par chacun des deux dispositifs fournis doit l’être dans l’axe de référence et son intensité ne doit pas être inférieure ni supérieure respectivement aux valeurs minimales et maximales fixées ci-après</w:t>
      </w:r>
      <w:r>
        <w:rPr>
          <w:lang w:val="fr-CH"/>
        </w:rPr>
        <w:t> </w:t>
      </w:r>
      <w:r w:rsidRPr="007F1BE4">
        <w:rPr>
          <w:lang w:val="fr-CH"/>
        </w:rPr>
        <w:t>:</w:t>
      </w:r>
    </w:p>
    <w:p w:rsidR="007F1BE4" w:rsidRPr="007F1BE4" w:rsidRDefault="007F1BE4" w:rsidP="007F1BE4">
      <w:pPr>
        <w:pStyle w:val="SingleTxt"/>
        <w:spacing w:after="0" w:line="120" w:lineRule="exact"/>
        <w:rPr>
          <w:sz w:val="10"/>
          <w:lang w:val="fr-CH"/>
        </w:rPr>
      </w:pPr>
    </w:p>
    <w:tbl>
      <w:tblPr>
        <w:tblW w:w="7558" w:type="dxa"/>
        <w:tblInd w:w="126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88"/>
        <w:gridCol w:w="1440"/>
        <w:gridCol w:w="1440"/>
        <w:gridCol w:w="1890"/>
      </w:tblGrid>
      <w:tr w:rsidR="007F1BE4" w:rsidRPr="00085CAA" w:rsidTr="00085CAA">
        <w:trPr>
          <w:tblHeader/>
        </w:trPr>
        <w:tc>
          <w:tcPr>
            <w:tcW w:w="2788" w:type="dxa"/>
            <w:tcBorders>
              <w:top w:val="single" w:sz="4" w:space="0" w:color="auto"/>
              <w:left w:val="single" w:sz="4" w:space="0" w:color="auto"/>
              <w:bottom w:val="nil"/>
              <w:right w:val="single" w:sz="4" w:space="0" w:color="auto"/>
            </w:tcBorders>
            <w:shd w:val="clear" w:color="auto" w:fill="auto"/>
            <w:vAlign w:val="bottom"/>
          </w:tcPr>
          <w:p w:rsidR="007F1BE4" w:rsidRPr="00085CAA" w:rsidRDefault="007F1BE4" w:rsidP="000D1CF4">
            <w:pPr>
              <w:suppressAutoHyphens/>
              <w:spacing w:before="80" w:after="80" w:line="160" w:lineRule="exact"/>
              <w:ind w:left="45" w:right="43"/>
              <w:rPr>
                <w:rFonts w:eastAsia="Times New Roman"/>
                <w:bCs/>
                <w:i/>
                <w:sz w:val="14"/>
                <w:lang w:val="fr-CH"/>
              </w:rPr>
            </w:pPr>
          </w:p>
        </w:tc>
        <w:tc>
          <w:tcPr>
            <w:tcW w:w="1440" w:type="dxa"/>
            <w:tcBorders>
              <w:top w:val="single" w:sz="4" w:space="0" w:color="auto"/>
              <w:left w:val="single" w:sz="4" w:space="0" w:color="auto"/>
              <w:bottom w:val="nil"/>
              <w:right w:val="single" w:sz="4" w:space="0" w:color="auto"/>
            </w:tcBorders>
            <w:shd w:val="clear" w:color="auto" w:fill="auto"/>
            <w:vAlign w:val="bottom"/>
          </w:tcPr>
          <w:p w:rsidR="007F1BE4" w:rsidRPr="00085CAA" w:rsidRDefault="007F1BE4" w:rsidP="000D1CF4">
            <w:pPr>
              <w:suppressAutoHyphens/>
              <w:spacing w:before="80" w:after="80" w:line="160" w:lineRule="exact"/>
              <w:ind w:left="45" w:right="43"/>
              <w:rPr>
                <w:rFonts w:eastAsia="Times New Roman"/>
                <w:bCs/>
                <w:i/>
                <w:sz w:val="14"/>
                <w:lang w:val="fr-CH"/>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1BE4" w:rsidRPr="00085CAA" w:rsidRDefault="007F1BE4" w:rsidP="000D1CF4">
            <w:pPr>
              <w:suppressAutoHyphens/>
              <w:spacing w:before="80" w:after="80" w:line="160" w:lineRule="exact"/>
              <w:ind w:left="45" w:right="43"/>
              <w:jc w:val="center"/>
              <w:rPr>
                <w:rFonts w:eastAsia="Times New Roman"/>
                <w:bCs/>
                <w:i/>
                <w:sz w:val="14"/>
                <w:lang w:val="fr-CH"/>
              </w:rPr>
            </w:pPr>
            <w:r w:rsidRPr="00085CAA">
              <w:rPr>
                <w:rFonts w:eastAsia="Times New Roman"/>
                <w:bCs/>
                <w:i/>
                <w:sz w:val="14"/>
                <w:lang w:val="fr-CH"/>
              </w:rPr>
              <w:t xml:space="preserve">Intensité lumineuse maximale (en cd) </w:t>
            </w:r>
            <w:r w:rsidR="00085CAA">
              <w:rPr>
                <w:rFonts w:eastAsia="Times New Roman"/>
                <w:bCs/>
                <w:i/>
                <w:sz w:val="14"/>
                <w:lang w:val="fr-CH"/>
              </w:rPr>
              <w:br/>
            </w:r>
            <w:r w:rsidRPr="00085CAA">
              <w:rPr>
                <w:rFonts w:eastAsia="Times New Roman"/>
                <w:bCs/>
                <w:i/>
                <w:sz w:val="14"/>
                <w:lang w:val="fr-CH"/>
              </w:rPr>
              <w:t>lorsque le feu est utilisé</w:t>
            </w:r>
          </w:p>
        </w:tc>
      </w:tr>
      <w:tr w:rsidR="00085CAA" w:rsidRPr="00085CAA" w:rsidTr="00085CAA">
        <w:tblPrEx>
          <w:tblBorders>
            <w:top w:val="none" w:sz="0" w:space="0" w:color="auto"/>
            <w:bottom w:val="none" w:sz="0" w:space="0" w:color="auto"/>
          </w:tblBorders>
        </w:tblPrEx>
        <w:trPr>
          <w:tblHeader/>
        </w:trPr>
        <w:tc>
          <w:tcPr>
            <w:tcW w:w="2783" w:type="dxa"/>
            <w:tcBorders>
              <w:left w:val="single" w:sz="4" w:space="0" w:color="auto"/>
              <w:bottom w:val="single" w:sz="12" w:space="0" w:color="auto"/>
              <w:right w:val="single" w:sz="4" w:space="0" w:color="auto"/>
            </w:tcBorders>
            <w:shd w:val="clear" w:color="auto" w:fill="auto"/>
            <w:vAlign w:val="bottom"/>
          </w:tcPr>
          <w:p w:rsidR="007F1BE4" w:rsidRPr="00085CAA" w:rsidRDefault="007F1BE4" w:rsidP="000D1CF4">
            <w:pPr>
              <w:suppressAutoHyphens/>
              <w:spacing w:before="80" w:after="80" w:line="160" w:lineRule="exact"/>
              <w:ind w:left="45" w:right="43"/>
              <w:rPr>
                <w:rFonts w:eastAsia="Times New Roman"/>
                <w:i/>
                <w:sz w:val="14"/>
                <w:lang w:val="fr-CH"/>
              </w:rPr>
            </w:pPr>
          </w:p>
        </w:tc>
        <w:tc>
          <w:tcPr>
            <w:tcW w:w="1440" w:type="dxa"/>
            <w:tcBorders>
              <w:left w:val="single" w:sz="4" w:space="0" w:color="auto"/>
              <w:bottom w:val="single" w:sz="12" w:space="0" w:color="auto"/>
              <w:right w:val="single" w:sz="4" w:space="0" w:color="auto"/>
            </w:tcBorders>
            <w:shd w:val="clear" w:color="auto" w:fill="auto"/>
            <w:vAlign w:val="bottom"/>
          </w:tcPr>
          <w:p w:rsidR="007F1BE4" w:rsidRPr="00085CAA" w:rsidRDefault="00085CAA" w:rsidP="000D1CF4">
            <w:pPr>
              <w:suppressAutoHyphens/>
              <w:spacing w:before="80" w:after="80" w:line="160" w:lineRule="exact"/>
              <w:ind w:left="45" w:right="43"/>
              <w:jc w:val="right"/>
              <w:rPr>
                <w:rFonts w:eastAsia="Times New Roman"/>
                <w:i/>
                <w:sz w:val="14"/>
                <w:lang w:val="fr-CH"/>
              </w:rPr>
            </w:pPr>
            <w:r w:rsidRPr="00085CAA">
              <w:rPr>
                <w:rFonts w:eastAsia="Times New Roman"/>
                <w:bCs/>
                <w:i/>
                <w:sz w:val="14"/>
                <w:lang w:val="fr-CH"/>
              </w:rPr>
              <w:t>Intensité lumineuse minimale en cd</w:t>
            </w:r>
          </w:p>
        </w:tc>
        <w:tc>
          <w:tcPr>
            <w:tcW w:w="1440" w:type="dxa"/>
            <w:tcBorders>
              <w:top w:val="single" w:sz="4" w:space="0" w:color="auto"/>
              <w:left w:val="single" w:sz="4" w:space="0" w:color="auto"/>
              <w:bottom w:val="single" w:sz="12" w:space="0" w:color="auto"/>
              <w:right w:val="single" w:sz="4" w:space="0" w:color="auto"/>
            </w:tcBorders>
            <w:shd w:val="clear" w:color="auto" w:fill="auto"/>
            <w:vAlign w:val="bottom"/>
          </w:tcPr>
          <w:p w:rsidR="007F1BE4" w:rsidRPr="00085CAA" w:rsidRDefault="007F1BE4" w:rsidP="000D1CF4">
            <w:pPr>
              <w:suppressAutoHyphens/>
              <w:spacing w:before="80" w:after="80" w:line="160" w:lineRule="exact"/>
              <w:ind w:left="45" w:right="43"/>
              <w:jc w:val="right"/>
              <w:rPr>
                <w:rFonts w:eastAsia="Times New Roman"/>
                <w:i/>
                <w:sz w:val="14"/>
                <w:lang w:val="fr-CH"/>
              </w:rPr>
            </w:pPr>
            <w:r w:rsidRPr="00085CAA">
              <w:rPr>
                <w:rFonts w:eastAsia="Times New Roman"/>
                <w:bCs/>
                <w:i/>
                <w:strike/>
                <w:sz w:val="14"/>
                <w:lang w:val="fr-CH" w:eastAsia="ja-JP"/>
              </w:rPr>
              <w:t xml:space="preserve">Comme feu simple </w:t>
            </w:r>
            <w:r w:rsidR="00085CAA">
              <w:rPr>
                <w:rFonts w:eastAsia="Times New Roman"/>
                <w:bCs/>
                <w:i/>
                <w:strike/>
                <w:sz w:val="14"/>
                <w:lang w:val="fr-CH" w:eastAsia="ja-JP"/>
              </w:rPr>
              <w:br/>
            </w:r>
            <w:r w:rsidRPr="00085CAA">
              <w:rPr>
                <w:rFonts w:eastAsia="Times New Roman"/>
                <w:b/>
                <w:bCs/>
                <w:i/>
                <w:sz w:val="14"/>
                <w:lang w:val="fr-CH" w:eastAsia="ja-JP"/>
              </w:rPr>
              <w:t xml:space="preserve">Comme un feu </w:t>
            </w:r>
            <w:r w:rsidR="00085CAA">
              <w:rPr>
                <w:rFonts w:eastAsia="Times New Roman"/>
                <w:b/>
                <w:bCs/>
                <w:i/>
                <w:sz w:val="14"/>
                <w:lang w:val="fr-CH" w:eastAsia="ja-JP"/>
              </w:rPr>
              <w:br/>
            </w:r>
            <w:r w:rsidRPr="00085CAA">
              <w:rPr>
                <w:rFonts w:eastAsia="Times New Roman"/>
                <w:b/>
                <w:bCs/>
                <w:i/>
                <w:sz w:val="14"/>
                <w:lang w:val="fr-CH" w:eastAsia="ja-JP"/>
              </w:rPr>
              <w:t>simple</w:t>
            </w:r>
          </w:p>
        </w:tc>
        <w:tc>
          <w:tcPr>
            <w:tcW w:w="1890" w:type="dxa"/>
            <w:tcBorders>
              <w:top w:val="single" w:sz="4" w:space="0" w:color="auto"/>
              <w:left w:val="single" w:sz="4" w:space="0" w:color="auto"/>
              <w:bottom w:val="single" w:sz="12" w:space="0" w:color="auto"/>
              <w:right w:val="single" w:sz="4" w:space="0" w:color="auto"/>
            </w:tcBorders>
            <w:shd w:val="clear" w:color="auto" w:fill="auto"/>
            <w:vAlign w:val="bottom"/>
          </w:tcPr>
          <w:p w:rsidR="007F1BE4" w:rsidRPr="00085CAA" w:rsidRDefault="007F1BE4" w:rsidP="000D1CF4">
            <w:pPr>
              <w:suppressAutoHyphens/>
              <w:spacing w:before="80" w:after="80" w:line="160" w:lineRule="exact"/>
              <w:ind w:left="45" w:right="43"/>
              <w:jc w:val="right"/>
              <w:rPr>
                <w:rFonts w:eastAsia="Times New Roman"/>
                <w:i/>
                <w:strike/>
                <w:sz w:val="14"/>
                <w:lang w:val="fr-CH"/>
              </w:rPr>
            </w:pPr>
            <w:r w:rsidRPr="00085CAA">
              <w:rPr>
                <w:rFonts w:eastAsia="Times New Roman"/>
                <w:bCs/>
                <w:i/>
                <w:strike/>
                <w:sz w:val="14"/>
                <w:lang w:val="fr-CH"/>
              </w:rPr>
              <w:t>Comme feu (simple) portant la marque «</w:t>
            </w:r>
            <w:r w:rsidR="00085CAA">
              <w:rPr>
                <w:rFonts w:eastAsia="Times New Roman"/>
                <w:bCs/>
                <w:i/>
                <w:strike/>
                <w:sz w:val="14"/>
                <w:lang w:val="fr-CH"/>
              </w:rPr>
              <w:t> </w:t>
            </w:r>
            <w:r w:rsidRPr="00085CAA">
              <w:rPr>
                <w:rFonts w:eastAsia="Times New Roman"/>
                <w:bCs/>
                <w:i/>
                <w:strike/>
                <w:sz w:val="14"/>
                <w:lang w:val="fr-CH"/>
              </w:rPr>
              <w:t>D</w:t>
            </w:r>
            <w:r w:rsidR="00085CAA">
              <w:rPr>
                <w:rFonts w:eastAsia="Times New Roman"/>
                <w:bCs/>
                <w:i/>
                <w:strike/>
                <w:sz w:val="14"/>
                <w:lang w:val="fr-CH"/>
              </w:rPr>
              <w:t> </w:t>
            </w:r>
            <w:r w:rsidRPr="00085CAA">
              <w:rPr>
                <w:rFonts w:eastAsia="Times New Roman"/>
                <w:bCs/>
                <w:i/>
                <w:strike/>
                <w:sz w:val="14"/>
                <w:lang w:val="fr-CH"/>
              </w:rPr>
              <w:t>» (voir par.4.2.2.6</w:t>
            </w:r>
            <w:r w:rsidR="002E7617">
              <w:rPr>
                <w:rFonts w:eastAsia="Times New Roman"/>
                <w:bCs/>
                <w:i/>
                <w:strike/>
                <w:sz w:val="14"/>
                <w:lang w:val="fr-CH"/>
              </w:rPr>
              <w:t>)</w:t>
            </w:r>
            <w:r w:rsidRPr="00085CAA">
              <w:rPr>
                <w:rFonts w:eastAsia="Times New Roman"/>
                <w:bCs/>
                <w:i/>
                <w:strike/>
                <w:sz w:val="14"/>
                <w:lang w:val="fr-CH"/>
              </w:rPr>
              <w:t xml:space="preserve"> </w:t>
            </w:r>
            <w:r w:rsidR="00085CAA">
              <w:rPr>
                <w:rFonts w:eastAsia="Times New Roman"/>
                <w:bCs/>
                <w:i/>
                <w:strike/>
                <w:sz w:val="14"/>
                <w:lang w:val="fr-CH"/>
              </w:rPr>
              <w:br/>
            </w:r>
            <w:r w:rsidRPr="00085CAA">
              <w:rPr>
                <w:rFonts w:eastAsia="Times New Roman"/>
                <w:b/>
                <w:bCs/>
                <w:i/>
                <w:sz w:val="14"/>
                <w:lang w:val="fr-CH"/>
              </w:rPr>
              <w:t>Comme un feu portant la marque «</w:t>
            </w:r>
            <w:r w:rsidR="00085CAA">
              <w:rPr>
                <w:rFonts w:eastAsia="Times New Roman"/>
                <w:b/>
                <w:bCs/>
                <w:i/>
                <w:sz w:val="14"/>
                <w:lang w:val="fr-CH"/>
              </w:rPr>
              <w:t> </w:t>
            </w:r>
            <w:r w:rsidRPr="00085CAA">
              <w:rPr>
                <w:rFonts w:eastAsia="Times New Roman"/>
                <w:b/>
                <w:bCs/>
                <w:i/>
                <w:sz w:val="14"/>
                <w:lang w:val="fr-CH"/>
              </w:rPr>
              <w:t>D</w:t>
            </w:r>
            <w:r w:rsidR="00085CAA">
              <w:t> </w:t>
            </w:r>
            <w:r w:rsidRPr="00085CAA">
              <w:rPr>
                <w:rFonts w:eastAsia="Times New Roman"/>
                <w:b/>
                <w:bCs/>
                <w:i/>
                <w:sz w:val="14"/>
                <w:lang w:val="fr-CH"/>
              </w:rPr>
              <w:t xml:space="preserve">» </w:t>
            </w:r>
            <w:r w:rsidR="00085CAA">
              <w:rPr>
                <w:rFonts w:eastAsia="Times New Roman"/>
                <w:b/>
                <w:bCs/>
                <w:i/>
                <w:sz w:val="14"/>
                <w:lang w:val="fr-CH"/>
              </w:rPr>
              <w:br/>
            </w:r>
            <w:r w:rsidRPr="00085CAA">
              <w:rPr>
                <w:rFonts w:eastAsia="Times New Roman"/>
                <w:b/>
                <w:bCs/>
                <w:i/>
                <w:sz w:val="14"/>
                <w:lang w:val="fr-CH"/>
              </w:rPr>
              <w:t>(voir par. 4.2.2.6)</w:t>
            </w:r>
          </w:p>
        </w:tc>
      </w:tr>
      <w:tr w:rsidR="00085CAA" w:rsidRPr="00085CAA" w:rsidTr="00085CAA">
        <w:tblPrEx>
          <w:tblBorders>
            <w:top w:val="none" w:sz="0" w:space="0" w:color="auto"/>
            <w:bottom w:val="none" w:sz="0" w:space="0" w:color="auto"/>
          </w:tblBorders>
        </w:tblPrEx>
        <w:trPr>
          <w:trHeight w:hRule="exact" w:val="115"/>
          <w:tblHeader/>
        </w:trPr>
        <w:tc>
          <w:tcPr>
            <w:tcW w:w="2783" w:type="dxa"/>
            <w:tcBorders>
              <w:top w:val="single" w:sz="12" w:space="0" w:color="auto"/>
              <w:left w:val="single" w:sz="4" w:space="0" w:color="auto"/>
              <w:right w:val="single" w:sz="4" w:space="0" w:color="auto"/>
            </w:tcBorders>
            <w:shd w:val="clear" w:color="auto" w:fill="auto"/>
            <w:vAlign w:val="bottom"/>
          </w:tcPr>
          <w:p w:rsidR="00085CAA" w:rsidRPr="00085CAA" w:rsidRDefault="00085CAA" w:rsidP="000D1CF4">
            <w:pPr>
              <w:tabs>
                <w:tab w:val="left" w:pos="856"/>
              </w:tabs>
              <w:suppressAutoHyphens/>
              <w:spacing w:before="40" w:after="40" w:line="210" w:lineRule="exact"/>
              <w:ind w:left="45" w:right="43" w:hanging="709"/>
              <w:rPr>
                <w:rFonts w:eastAsia="Times New Roman"/>
                <w:sz w:val="17"/>
                <w:lang w:val="fr-CH"/>
              </w:rPr>
            </w:pPr>
          </w:p>
        </w:tc>
        <w:tc>
          <w:tcPr>
            <w:tcW w:w="1440" w:type="dxa"/>
            <w:tcBorders>
              <w:top w:val="single" w:sz="12" w:space="0" w:color="auto"/>
              <w:left w:val="single" w:sz="4" w:space="0" w:color="auto"/>
              <w:right w:val="single" w:sz="4" w:space="0" w:color="auto"/>
            </w:tcBorders>
            <w:shd w:val="clear" w:color="auto" w:fill="auto"/>
            <w:vAlign w:val="bottom"/>
          </w:tcPr>
          <w:p w:rsidR="00085CAA" w:rsidRPr="00085CAA" w:rsidRDefault="00085CAA" w:rsidP="000D1CF4">
            <w:pPr>
              <w:suppressAutoHyphens/>
              <w:spacing w:before="40" w:after="40" w:line="210" w:lineRule="exact"/>
              <w:ind w:left="45" w:right="43"/>
              <w:jc w:val="right"/>
              <w:rPr>
                <w:rFonts w:eastAsia="Times New Roman"/>
                <w:sz w:val="17"/>
                <w:lang w:val="fr-CH"/>
              </w:rPr>
            </w:pPr>
          </w:p>
        </w:tc>
        <w:tc>
          <w:tcPr>
            <w:tcW w:w="1440" w:type="dxa"/>
            <w:tcBorders>
              <w:top w:val="single" w:sz="12" w:space="0" w:color="auto"/>
              <w:left w:val="single" w:sz="4" w:space="0" w:color="auto"/>
              <w:right w:val="single" w:sz="4" w:space="0" w:color="auto"/>
            </w:tcBorders>
            <w:shd w:val="clear" w:color="auto" w:fill="auto"/>
            <w:vAlign w:val="bottom"/>
          </w:tcPr>
          <w:p w:rsidR="00085CAA" w:rsidRPr="00085CAA" w:rsidRDefault="00085CAA" w:rsidP="000D1CF4">
            <w:pPr>
              <w:suppressAutoHyphens/>
              <w:spacing w:before="40" w:after="40" w:line="210" w:lineRule="exact"/>
              <w:ind w:left="45" w:right="43"/>
              <w:jc w:val="right"/>
              <w:rPr>
                <w:rFonts w:eastAsia="Times New Roman"/>
                <w:sz w:val="17"/>
                <w:lang w:val="fr-CH"/>
              </w:rPr>
            </w:pPr>
          </w:p>
        </w:tc>
        <w:tc>
          <w:tcPr>
            <w:tcW w:w="1890" w:type="dxa"/>
            <w:tcBorders>
              <w:top w:val="single" w:sz="12" w:space="0" w:color="auto"/>
              <w:left w:val="single" w:sz="4" w:space="0" w:color="auto"/>
              <w:right w:val="single" w:sz="4" w:space="0" w:color="auto"/>
            </w:tcBorders>
            <w:shd w:val="clear" w:color="auto" w:fill="auto"/>
            <w:vAlign w:val="bottom"/>
          </w:tcPr>
          <w:p w:rsidR="00085CAA" w:rsidRPr="00085CAA" w:rsidRDefault="00085CAA" w:rsidP="000D1CF4">
            <w:pPr>
              <w:suppressAutoHyphens/>
              <w:spacing w:before="40" w:after="40" w:line="210" w:lineRule="exact"/>
              <w:ind w:left="45" w:right="43"/>
              <w:jc w:val="right"/>
              <w:rPr>
                <w:rFonts w:eastAsia="Times New Roman"/>
                <w:sz w:val="17"/>
                <w:lang w:val="fr-CH"/>
              </w:rPr>
            </w:pPr>
          </w:p>
        </w:tc>
      </w:tr>
      <w:tr w:rsidR="00085CAA" w:rsidRPr="00085CAA" w:rsidTr="00085CAA">
        <w:tblPrEx>
          <w:tblBorders>
            <w:top w:val="none" w:sz="0" w:space="0" w:color="auto"/>
            <w:bottom w:val="none" w:sz="0" w:space="0" w:color="auto"/>
          </w:tblBorders>
        </w:tblPrEx>
        <w:tc>
          <w:tcPr>
            <w:tcW w:w="2783"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864" w:right="43" w:hanging="821"/>
              <w:rPr>
                <w:rFonts w:eastAsia="Times New Roman"/>
                <w:sz w:val="17"/>
                <w:lang w:val="fr-CH"/>
              </w:rPr>
            </w:pPr>
            <w:r w:rsidRPr="00085CAA">
              <w:rPr>
                <w:rFonts w:eastAsia="Times New Roman"/>
                <w:sz w:val="17"/>
                <w:lang w:val="fr-CH"/>
              </w:rPr>
              <w:t>6.1.1</w:t>
            </w:r>
            <w:r w:rsidR="00085CAA">
              <w:rPr>
                <w:rFonts w:eastAsia="Times New Roman"/>
                <w:sz w:val="17"/>
                <w:lang w:val="fr-CH"/>
              </w:rPr>
              <w:tab/>
            </w:r>
            <w:r w:rsidRPr="00085CAA">
              <w:rPr>
                <w:rFonts w:eastAsia="Times New Roman"/>
                <w:sz w:val="17"/>
                <w:lang w:val="fr-CH"/>
              </w:rPr>
              <w:tab/>
              <w:t>Feux de position avant et feux d’encombrement avant A ou AM</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4</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trike/>
                <w:sz w:val="17"/>
                <w:lang w:val="fr-CH"/>
              </w:rPr>
            </w:pPr>
            <w:r w:rsidRPr="00085CAA">
              <w:rPr>
                <w:rFonts w:eastAsia="Times New Roman"/>
                <w:sz w:val="17"/>
                <w:lang w:val="fr-CH"/>
              </w:rPr>
              <w:t>140</w:t>
            </w:r>
          </w:p>
        </w:tc>
        <w:tc>
          <w:tcPr>
            <w:tcW w:w="189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70</w:t>
            </w:r>
          </w:p>
        </w:tc>
      </w:tr>
      <w:tr w:rsidR="00085CAA" w:rsidRPr="00085CAA" w:rsidTr="00085CAA">
        <w:tblPrEx>
          <w:tblBorders>
            <w:top w:val="none" w:sz="0" w:space="0" w:color="auto"/>
            <w:bottom w:val="none" w:sz="0" w:space="0" w:color="auto"/>
          </w:tblBorders>
        </w:tblPrEx>
        <w:tc>
          <w:tcPr>
            <w:tcW w:w="2783"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864" w:right="43" w:hanging="821"/>
              <w:rPr>
                <w:rFonts w:eastAsia="Times New Roman"/>
                <w:sz w:val="17"/>
                <w:lang w:val="fr-CH" w:eastAsia="zh-CN"/>
              </w:rPr>
            </w:pPr>
            <w:bookmarkStart w:id="1" w:name="_Hlk325374013"/>
            <w:r w:rsidRPr="00085CAA">
              <w:rPr>
                <w:rFonts w:eastAsia="Times New Roman"/>
                <w:sz w:val="17"/>
                <w:lang w:val="fr-CH"/>
              </w:rPr>
              <w:t>6.1.2</w:t>
            </w:r>
            <w:r w:rsidR="00085CAA">
              <w:rPr>
                <w:rFonts w:eastAsia="Times New Roman"/>
                <w:sz w:val="17"/>
                <w:lang w:val="fr-CH"/>
              </w:rPr>
              <w:tab/>
            </w:r>
            <w:r w:rsidRPr="00085CAA">
              <w:rPr>
                <w:rFonts w:eastAsia="Times New Roman"/>
                <w:sz w:val="17"/>
                <w:lang w:val="fr-CH"/>
              </w:rPr>
              <w:tab/>
              <w:t xml:space="preserve">Feux de position avant incorporés dans un projecteur ou un feu de brouillard avant </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4</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140</w:t>
            </w:r>
          </w:p>
        </w:tc>
        <w:tc>
          <w:tcPr>
            <w:tcW w:w="189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w:t>
            </w:r>
          </w:p>
        </w:tc>
      </w:tr>
      <w:bookmarkEnd w:id="1"/>
      <w:tr w:rsidR="00085CAA" w:rsidRPr="00085CAA" w:rsidTr="00085CAA">
        <w:tblPrEx>
          <w:tblBorders>
            <w:top w:val="none" w:sz="0" w:space="0" w:color="auto"/>
            <w:bottom w:val="none" w:sz="0" w:space="0" w:color="auto"/>
          </w:tblBorders>
        </w:tblPrEx>
        <w:tc>
          <w:tcPr>
            <w:tcW w:w="2783"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864" w:right="43" w:hanging="821"/>
              <w:rPr>
                <w:rFonts w:eastAsia="Times New Roman"/>
                <w:sz w:val="17"/>
                <w:lang w:val="fr-CH"/>
              </w:rPr>
            </w:pPr>
            <w:r w:rsidRPr="00085CAA">
              <w:rPr>
                <w:rFonts w:eastAsia="Times New Roman"/>
                <w:sz w:val="17"/>
                <w:lang w:val="fr-CH"/>
              </w:rPr>
              <w:lastRenderedPageBreak/>
              <w:t>6.1.3</w:t>
            </w:r>
            <w:r w:rsidR="00085CAA">
              <w:rPr>
                <w:rFonts w:eastAsia="Times New Roman"/>
                <w:sz w:val="17"/>
                <w:lang w:val="fr-CH"/>
              </w:rPr>
              <w:tab/>
            </w:r>
            <w:r w:rsidRPr="00085CAA">
              <w:rPr>
                <w:rFonts w:eastAsia="Times New Roman"/>
                <w:sz w:val="17"/>
                <w:lang w:val="fr-CH"/>
              </w:rPr>
              <w:tab/>
              <w:t xml:space="preserve">Feux de position arrière et feu d’encombrement arrière </w:t>
            </w:r>
          </w:p>
          <w:p w:rsidR="007F1BE4" w:rsidRPr="00085CAA" w:rsidRDefault="007F1BE4" w:rsidP="000D1CF4">
            <w:pPr>
              <w:tabs>
                <w:tab w:val="left" w:pos="288"/>
                <w:tab w:val="left" w:pos="576"/>
                <w:tab w:val="left" w:pos="864"/>
                <w:tab w:val="left" w:pos="1152"/>
              </w:tabs>
              <w:suppressAutoHyphens/>
              <w:spacing w:before="40" w:after="40" w:line="210" w:lineRule="exact"/>
              <w:ind w:left="864" w:right="43" w:hanging="821"/>
              <w:rPr>
                <w:rFonts w:eastAsia="Times New Roman"/>
                <w:sz w:val="17"/>
                <w:lang w:val="fr-CH"/>
              </w:rPr>
            </w:pPr>
            <w:r w:rsidRPr="00085CAA">
              <w:rPr>
                <w:rFonts w:eastAsia="Times New Roman"/>
                <w:sz w:val="17"/>
                <w:lang w:val="fr-CH"/>
              </w:rPr>
              <w:t>6.1.3.1</w:t>
            </w:r>
            <w:r w:rsidRPr="00085CAA">
              <w:rPr>
                <w:rFonts w:eastAsia="Times New Roman"/>
                <w:sz w:val="17"/>
                <w:lang w:val="fr-CH"/>
              </w:rPr>
              <w:tab/>
            </w:r>
            <w:r w:rsidR="00085CAA">
              <w:rPr>
                <w:rFonts w:eastAsia="Times New Roman"/>
                <w:sz w:val="17"/>
                <w:lang w:val="fr-CH"/>
              </w:rPr>
              <w:tab/>
            </w:r>
            <w:r w:rsidRPr="00085CAA">
              <w:rPr>
                <w:rFonts w:eastAsia="Times New Roman"/>
                <w:sz w:val="17"/>
                <w:lang w:val="fr-CH"/>
              </w:rPr>
              <w:t>R, R1 ou RM1 (intensité constante)</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4</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17</w:t>
            </w:r>
          </w:p>
        </w:tc>
        <w:tc>
          <w:tcPr>
            <w:tcW w:w="189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8</w:t>
            </w:r>
            <w:r w:rsidR="00085CAA">
              <w:rPr>
                <w:rFonts w:eastAsia="Times New Roman"/>
                <w:sz w:val="17"/>
                <w:lang w:val="fr-CH"/>
              </w:rPr>
              <w:t>,</w:t>
            </w:r>
            <w:r w:rsidRPr="00085CAA">
              <w:rPr>
                <w:rFonts w:eastAsia="Times New Roman"/>
                <w:sz w:val="17"/>
                <w:lang w:val="fr-CH"/>
              </w:rPr>
              <w:t>5</w:t>
            </w:r>
          </w:p>
        </w:tc>
      </w:tr>
      <w:tr w:rsidR="00085CAA" w:rsidRPr="00085CAA" w:rsidTr="00085CAA">
        <w:tblPrEx>
          <w:tblBorders>
            <w:top w:val="none" w:sz="0" w:space="0" w:color="auto"/>
            <w:bottom w:val="none" w:sz="0" w:space="0" w:color="auto"/>
          </w:tblBorders>
        </w:tblPrEx>
        <w:trPr>
          <w:trHeight w:val="312"/>
        </w:trPr>
        <w:tc>
          <w:tcPr>
            <w:tcW w:w="2783"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864" w:right="43" w:hanging="821"/>
              <w:rPr>
                <w:rFonts w:eastAsia="Times New Roman"/>
                <w:sz w:val="17"/>
                <w:lang w:val="fr-CH"/>
              </w:rPr>
            </w:pPr>
            <w:bookmarkStart w:id="2" w:name="_Hlk325374690"/>
            <w:r w:rsidRPr="00085CAA">
              <w:rPr>
                <w:rFonts w:eastAsia="Times New Roman"/>
                <w:sz w:val="17"/>
                <w:lang w:val="fr-CH"/>
              </w:rPr>
              <w:t>6.1.3.</w:t>
            </w:r>
            <w:r w:rsidRPr="00085CAA">
              <w:rPr>
                <w:rFonts w:eastAsia="Times New Roman"/>
                <w:sz w:val="17"/>
                <w:lang w:val="fr-CH" w:eastAsia="zh-CN"/>
              </w:rPr>
              <w:t>2</w:t>
            </w:r>
            <w:r w:rsidR="00085CAA">
              <w:rPr>
                <w:rFonts w:eastAsia="Times New Roman"/>
                <w:sz w:val="17"/>
                <w:lang w:val="fr-CH" w:eastAsia="zh-CN"/>
              </w:rPr>
              <w:tab/>
            </w:r>
            <w:r w:rsidRPr="00085CAA">
              <w:rPr>
                <w:rFonts w:eastAsia="Times New Roman"/>
                <w:sz w:val="17"/>
                <w:lang w:val="fr-CH"/>
              </w:rPr>
              <w:tab/>
              <w:t>R2 ou RM2 (intensité variable)</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4</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trike/>
                <w:sz w:val="17"/>
                <w:lang w:val="fr-CH"/>
              </w:rPr>
            </w:pPr>
            <w:r w:rsidRPr="00085CAA">
              <w:rPr>
                <w:rFonts w:eastAsia="Times New Roman"/>
                <w:sz w:val="17"/>
                <w:lang w:val="fr-CH"/>
              </w:rPr>
              <w:t>42</w:t>
            </w:r>
          </w:p>
        </w:tc>
        <w:tc>
          <w:tcPr>
            <w:tcW w:w="189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21</w:t>
            </w:r>
          </w:p>
        </w:tc>
      </w:tr>
      <w:bookmarkEnd w:id="2"/>
      <w:tr w:rsidR="00085CAA" w:rsidRPr="00085CAA" w:rsidTr="00085CAA">
        <w:tblPrEx>
          <w:tblBorders>
            <w:top w:val="none" w:sz="0" w:space="0" w:color="auto"/>
            <w:bottom w:val="none" w:sz="0" w:space="0" w:color="auto"/>
          </w:tblBorders>
        </w:tblPrEx>
        <w:tc>
          <w:tcPr>
            <w:tcW w:w="2783"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864" w:right="43" w:hanging="821"/>
              <w:rPr>
                <w:rFonts w:eastAsia="Times New Roman"/>
                <w:sz w:val="17"/>
                <w:lang w:val="fr-CH"/>
              </w:rPr>
            </w:pPr>
            <w:r w:rsidRPr="00085CAA">
              <w:rPr>
                <w:rFonts w:eastAsia="Times New Roman"/>
                <w:sz w:val="17"/>
                <w:lang w:val="fr-CH"/>
              </w:rPr>
              <w:t>6.1.4</w:t>
            </w:r>
            <w:r w:rsidR="00085CAA">
              <w:rPr>
                <w:rFonts w:eastAsia="Times New Roman"/>
                <w:sz w:val="17"/>
                <w:lang w:val="fr-CH"/>
              </w:rPr>
              <w:tab/>
            </w:r>
            <w:r w:rsidRPr="00085CAA">
              <w:rPr>
                <w:rFonts w:eastAsia="Times New Roman"/>
                <w:sz w:val="17"/>
                <w:lang w:val="fr-CH"/>
              </w:rPr>
              <w:tab/>
              <w:t xml:space="preserve">Feux-stop </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trike/>
                <w:sz w:val="17"/>
                <w:lang w:val="fr-CH"/>
              </w:rPr>
            </w:pPr>
          </w:p>
        </w:tc>
        <w:tc>
          <w:tcPr>
            <w:tcW w:w="189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p>
        </w:tc>
      </w:tr>
      <w:tr w:rsidR="00085CAA" w:rsidRPr="00085CAA" w:rsidTr="00085CAA">
        <w:tblPrEx>
          <w:tblBorders>
            <w:top w:val="none" w:sz="0" w:space="0" w:color="auto"/>
            <w:bottom w:val="none" w:sz="0" w:space="0" w:color="auto"/>
          </w:tblBorders>
        </w:tblPrEx>
        <w:tc>
          <w:tcPr>
            <w:tcW w:w="2783"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864" w:right="43" w:hanging="821"/>
              <w:rPr>
                <w:rFonts w:eastAsia="Times New Roman"/>
                <w:sz w:val="17"/>
                <w:lang w:val="fr-CH"/>
              </w:rPr>
            </w:pPr>
            <w:r w:rsidRPr="00085CAA">
              <w:rPr>
                <w:rFonts w:eastAsia="Times New Roman"/>
                <w:sz w:val="17"/>
                <w:lang w:val="fr-CH"/>
              </w:rPr>
              <w:t>6.1.4.1</w:t>
            </w:r>
            <w:r w:rsidRPr="00085CAA">
              <w:rPr>
                <w:rFonts w:eastAsia="Times New Roman"/>
                <w:sz w:val="17"/>
                <w:lang w:val="fr-CH"/>
              </w:rPr>
              <w:tab/>
            </w:r>
            <w:r w:rsidR="00085CAA">
              <w:rPr>
                <w:rFonts w:eastAsia="Times New Roman"/>
                <w:sz w:val="17"/>
                <w:lang w:val="fr-CH"/>
              </w:rPr>
              <w:tab/>
            </w:r>
            <w:r w:rsidRPr="00085CAA">
              <w:rPr>
                <w:rFonts w:eastAsia="Times New Roman"/>
                <w:sz w:val="17"/>
                <w:lang w:val="fr-CH"/>
              </w:rPr>
              <w:t>S1 (intensité constante)</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60</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trike/>
                <w:sz w:val="17"/>
                <w:lang w:val="fr-CH"/>
              </w:rPr>
            </w:pPr>
            <w:r w:rsidRPr="00085CAA">
              <w:rPr>
                <w:rFonts w:eastAsia="Times New Roman"/>
                <w:sz w:val="17"/>
                <w:lang w:val="fr-CH"/>
              </w:rPr>
              <w:t>260</w:t>
            </w:r>
          </w:p>
        </w:tc>
        <w:tc>
          <w:tcPr>
            <w:tcW w:w="189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130</w:t>
            </w:r>
          </w:p>
        </w:tc>
      </w:tr>
      <w:tr w:rsidR="00085CAA" w:rsidRPr="00085CAA" w:rsidTr="00085CAA">
        <w:tblPrEx>
          <w:tblBorders>
            <w:top w:val="none" w:sz="0" w:space="0" w:color="auto"/>
            <w:bottom w:val="none" w:sz="0" w:space="0" w:color="auto"/>
          </w:tblBorders>
        </w:tblPrEx>
        <w:tc>
          <w:tcPr>
            <w:tcW w:w="2783"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864" w:right="43" w:hanging="821"/>
              <w:rPr>
                <w:rFonts w:eastAsia="Times New Roman"/>
                <w:sz w:val="17"/>
                <w:lang w:val="fr-CH"/>
              </w:rPr>
            </w:pPr>
            <w:r w:rsidRPr="00085CAA">
              <w:rPr>
                <w:rFonts w:eastAsia="Times New Roman"/>
                <w:sz w:val="17"/>
                <w:lang w:val="fr-CH"/>
              </w:rPr>
              <w:t>6.1.4.2</w:t>
            </w:r>
            <w:r w:rsidRPr="00085CAA">
              <w:rPr>
                <w:rFonts w:eastAsia="Times New Roman"/>
                <w:sz w:val="17"/>
                <w:lang w:val="fr-CH"/>
              </w:rPr>
              <w:tab/>
            </w:r>
            <w:r w:rsidR="00085CAA">
              <w:rPr>
                <w:rFonts w:eastAsia="Times New Roman"/>
                <w:sz w:val="17"/>
                <w:lang w:val="fr-CH"/>
              </w:rPr>
              <w:tab/>
            </w:r>
            <w:r w:rsidRPr="00085CAA">
              <w:rPr>
                <w:rFonts w:eastAsia="Times New Roman"/>
                <w:sz w:val="17"/>
                <w:lang w:val="fr-CH"/>
              </w:rPr>
              <w:t>S2 (intensité variable)</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 xml:space="preserve">60 </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730</w:t>
            </w:r>
          </w:p>
        </w:tc>
        <w:tc>
          <w:tcPr>
            <w:tcW w:w="189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365</w:t>
            </w:r>
          </w:p>
        </w:tc>
      </w:tr>
      <w:tr w:rsidR="00085CAA" w:rsidRPr="00085CAA" w:rsidTr="00085CAA">
        <w:tblPrEx>
          <w:tblBorders>
            <w:top w:val="none" w:sz="0" w:space="0" w:color="auto"/>
            <w:bottom w:val="none" w:sz="0" w:space="0" w:color="auto"/>
          </w:tblBorders>
        </w:tblPrEx>
        <w:tc>
          <w:tcPr>
            <w:tcW w:w="2783"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864" w:right="43" w:hanging="821"/>
              <w:rPr>
                <w:rFonts w:eastAsia="Times New Roman"/>
                <w:sz w:val="17"/>
                <w:lang w:val="fr-CH"/>
              </w:rPr>
            </w:pPr>
            <w:r w:rsidRPr="00085CAA">
              <w:rPr>
                <w:rFonts w:eastAsia="Times New Roman"/>
                <w:sz w:val="17"/>
                <w:lang w:val="fr-CH"/>
              </w:rPr>
              <w:t>6.1.4.3</w:t>
            </w:r>
            <w:r w:rsidRPr="00085CAA">
              <w:rPr>
                <w:rFonts w:eastAsia="Times New Roman"/>
                <w:sz w:val="17"/>
                <w:lang w:val="fr-CH"/>
              </w:rPr>
              <w:tab/>
            </w:r>
            <w:r w:rsidR="00085CAA">
              <w:rPr>
                <w:rFonts w:eastAsia="Times New Roman"/>
                <w:sz w:val="17"/>
                <w:lang w:val="fr-CH"/>
              </w:rPr>
              <w:tab/>
            </w:r>
            <w:r w:rsidRPr="00085CAA">
              <w:rPr>
                <w:rFonts w:eastAsia="Times New Roman"/>
                <w:sz w:val="17"/>
                <w:lang w:val="fr-CH"/>
              </w:rPr>
              <w:t>S3 (intensité constante)</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25</w:t>
            </w:r>
          </w:p>
        </w:tc>
        <w:tc>
          <w:tcPr>
            <w:tcW w:w="144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110</w:t>
            </w:r>
          </w:p>
        </w:tc>
        <w:tc>
          <w:tcPr>
            <w:tcW w:w="1890" w:type="dxa"/>
            <w:tcBorders>
              <w:left w:val="single" w:sz="4"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55</w:t>
            </w:r>
          </w:p>
        </w:tc>
      </w:tr>
      <w:tr w:rsidR="00085CAA" w:rsidRPr="00085CAA" w:rsidTr="00085CAA">
        <w:tblPrEx>
          <w:tblBorders>
            <w:top w:val="none" w:sz="0" w:space="0" w:color="auto"/>
            <w:bottom w:val="none" w:sz="0" w:space="0" w:color="auto"/>
          </w:tblBorders>
        </w:tblPrEx>
        <w:tc>
          <w:tcPr>
            <w:tcW w:w="2783" w:type="dxa"/>
            <w:tcBorders>
              <w:left w:val="single" w:sz="4" w:space="0" w:color="auto"/>
              <w:bottom w:val="single" w:sz="12"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864" w:right="43" w:hanging="821"/>
              <w:rPr>
                <w:rFonts w:eastAsia="Times New Roman"/>
                <w:sz w:val="17"/>
                <w:lang w:val="fr-CH"/>
              </w:rPr>
            </w:pPr>
            <w:r w:rsidRPr="00085CAA">
              <w:rPr>
                <w:rFonts w:eastAsia="Times New Roman"/>
                <w:sz w:val="17"/>
                <w:lang w:val="fr-CH"/>
              </w:rPr>
              <w:t>6.1.4.4</w:t>
            </w:r>
            <w:r w:rsidRPr="00085CAA">
              <w:rPr>
                <w:rFonts w:eastAsia="Times New Roman"/>
                <w:sz w:val="17"/>
                <w:lang w:val="fr-CH"/>
              </w:rPr>
              <w:tab/>
            </w:r>
            <w:r w:rsidR="00085CAA">
              <w:rPr>
                <w:rFonts w:eastAsia="Times New Roman"/>
                <w:sz w:val="17"/>
                <w:lang w:val="fr-CH"/>
              </w:rPr>
              <w:tab/>
            </w:r>
            <w:r w:rsidRPr="00085CAA">
              <w:rPr>
                <w:rFonts w:eastAsia="Times New Roman"/>
                <w:sz w:val="17"/>
                <w:lang w:val="fr-CH"/>
              </w:rPr>
              <w:t>S4 (intensité variable)</w:t>
            </w:r>
          </w:p>
        </w:tc>
        <w:tc>
          <w:tcPr>
            <w:tcW w:w="1440" w:type="dxa"/>
            <w:tcBorders>
              <w:left w:val="single" w:sz="4" w:space="0" w:color="auto"/>
              <w:bottom w:val="single" w:sz="12"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25</w:t>
            </w:r>
          </w:p>
        </w:tc>
        <w:tc>
          <w:tcPr>
            <w:tcW w:w="1440" w:type="dxa"/>
            <w:tcBorders>
              <w:left w:val="single" w:sz="4" w:space="0" w:color="auto"/>
              <w:bottom w:val="single" w:sz="12"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160</w:t>
            </w:r>
          </w:p>
        </w:tc>
        <w:tc>
          <w:tcPr>
            <w:tcW w:w="1890" w:type="dxa"/>
            <w:tcBorders>
              <w:left w:val="single" w:sz="4" w:space="0" w:color="auto"/>
              <w:bottom w:val="single" w:sz="12" w:space="0" w:color="auto"/>
              <w:right w:val="single" w:sz="4" w:space="0" w:color="auto"/>
            </w:tcBorders>
            <w:shd w:val="clear" w:color="auto" w:fill="auto"/>
            <w:vAlign w:val="bottom"/>
          </w:tcPr>
          <w:p w:rsidR="007F1BE4" w:rsidRPr="00085CAA" w:rsidRDefault="007F1BE4" w:rsidP="000D1CF4">
            <w:pPr>
              <w:tabs>
                <w:tab w:val="left" w:pos="288"/>
                <w:tab w:val="left" w:pos="576"/>
                <w:tab w:val="left" w:pos="864"/>
                <w:tab w:val="left" w:pos="1152"/>
              </w:tabs>
              <w:suppressAutoHyphens/>
              <w:spacing w:before="40" w:after="40" w:line="210" w:lineRule="exact"/>
              <w:ind w:left="45" w:right="43"/>
              <w:jc w:val="right"/>
              <w:rPr>
                <w:rFonts w:eastAsia="Times New Roman"/>
                <w:sz w:val="17"/>
                <w:lang w:val="fr-CH"/>
              </w:rPr>
            </w:pPr>
            <w:r w:rsidRPr="00085CAA">
              <w:rPr>
                <w:rFonts w:eastAsia="Times New Roman"/>
                <w:sz w:val="17"/>
                <w:lang w:val="fr-CH"/>
              </w:rPr>
              <w:t>80</w:t>
            </w:r>
          </w:p>
        </w:tc>
      </w:tr>
    </w:tbl>
    <w:p w:rsidR="007F1BE4" w:rsidRPr="007F1BE4" w:rsidRDefault="00085CAA" w:rsidP="00085CAA">
      <w:pPr>
        <w:pStyle w:val="SingleTxt"/>
        <w:jc w:val="right"/>
        <w:rPr>
          <w:lang w:val="fr-CH"/>
        </w:rPr>
      </w:pPr>
      <w:r>
        <w:rPr>
          <w:lang w:val="fr-CH"/>
        </w:rPr>
        <w:t>».</w:t>
      </w:r>
    </w:p>
    <w:p w:rsidR="007F1BE4" w:rsidRPr="007F1BE4" w:rsidRDefault="007F1BE4" w:rsidP="007F1BE4">
      <w:pPr>
        <w:spacing w:line="120" w:lineRule="exact"/>
        <w:ind w:left="1134" w:right="1134"/>
        <w:rPr>
          <w:rFonts w:eastAsia="Times New Roman"/>
          <w:sz w:val="10"/>
          <w:lang w:val="fr-CH"/>
        </w:rPr>
      </w:pPr>
    </w:p>
    <w:p w:rsidR="007F1BE4" w:rsidRPr="007F1BE4" w:rsidRDefault="007F1BE4" w:rsidP="007F1BE4">
      <w:pPr>
        <w:spacing w:line="120" w:lineRule="exact"/>
        <w:ind w:left="1134" w:right="1134"/>
        <w:rPr>
          <w:rFonts w:eastAsia="Times New Roman"/>
          <w:sz w:val="10"/>
          <w:lang w:val="fr-CH"/>
        </w:rPr>
      </w:pPr>
    </w:p>
    <w:p w:rsidR="007F1BE4" w:rsidRPr="007F1BE4" w:rsidRDefault="007F1BE4" w:rsidP="007F1BE4">
      <w:pPr>
        <w:spacing w:line="120" w:lineRule="exact"/>
        <w:ind w:left="1134" w:right="1134"/>
        <w:rPr>
          <w:rFonts w:eastAsia="Times New Roman"/>
          <w:sz w:val="10"/>
          <w:lang w:val="fr-CH"/>
        </w:rPr>
      </w:pPr>
    </w:p>
    <w:p w:rsidR="007F1BE4" w:rsidRPr="007F1BE4" w:rsidRDefault="007F1BE4" w:rsidP="007F1BE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1BE4">
        <w:rPr>
          <w:lang w:val="fr-CH"/>
        </w:rPr>
        <w:tab/>
        <w:t>II.</w:t>
      </w:r>
      <w:r w:rsidRPr="007F1BE4">
        <w:rPr>
          <w:lang w:val="fr-CH"/>
        </w:rPr>
        <w:tab/>
        <w:t>Justification</w:t>
      </w:r>
    </w:p>
    <w:p w:rsidR="007F1BE4" w:rsidRPr="007F1BE4" w:rsidRDefault="007F1BE4" w:rsidP="007F1BE4">
      <w:pPr>
        <w:pStyle w:val="SingleTxt"/>
        <w:spacing w:after="0" w:line="120" w:lineRule="exact"/>
        <w:rPr>
          <w:sz w:val="10"/>
          <w:lang w:val="fr-CH"/>
        </w:rPr>
      </w:pPr>
    </w:p>
    <w:p w:rsidR="007F1BE4" w:rsidRPr="007F1BE4" w:rsidRDefault="007F1BE4" w:rsidP="007F1BE4">
      <w:pPr>
        <w:pStyle w:val="SingleTxt"/>
        <w:spacing w:after="0" w:line="120" w:lineRule="exact"/>
        <w:rPr>
          <w:sz w:val="10"/>
          <w:lang w:val="fr-CH"/>
        </w:rPr>
      </w:pPr>
    </w:p>
    <w:p w:rsidR="00862763" w:rsidRPr="00085CAA" w:rsidRDefault="00085CAA" w:rsidP="00A54F5E">
      <w:pPr>
        <w:pStyle w:val="SingleTxt"/>
        <w:rPr>
          <w:lang w:val="fr-CH"/>
        </w:rPr>
      </w:pPr>
      <w:r>
        <w:rPr>
          <w:lang w:val="fr-CH"/>
        </w:rPr>
        <w:tab/>
      </w:r>
      <w:r w:rsidR="007F1BE4" w:rsidRPr="00085CAA">
        <w:rPr>
          <w:lang w:val="fr-CH"/>
        </w:rPr>
        <w:t xml:space="preserve">Le texte de la ligne d’en-tête des tableaux a été </w:t>
      </w:r>
      <w:r>
        <w:rPr>
          <w:lang w:val="fr-CH"/>
        </w:rPr>
        <w:t>aligné sur la définition et les</w:t>
      </w:r>
      <w:r w:rsidR="00A54F5E">
        <w:rPr>
          <w:lang w:val="fr-CH"/>
        </w:rPr>
        <w:t> </w:t>
      </w:r>
      <w:r w:rsidR="007F1BE4" w:rsidRPr="00085CAA">
        <w:rPr>
          <w:lang w:val="fr-CH"/>
        </w:rPr>
        <w:t>prescriptions du Règlement n</w:t>
      </w:r>
      <w:r w:rsidR="00A54F5E" w:rsidRPr="00A54F5E">
        <w:rPr>
          <w:vertAlign w:val="superscript"/>
          <w:lang w:val="fr-CH"/>
        </w:rPr>
        <w:t>o</w:t>
      </w:r>
      <w:r w:rsidR="00A54F5E">
        <w:rPr>
          <w:lang w:val="fr-CH"/>
        </w:rPr>
        <w:t> </w:t>
      </w:r>
      <w:r w:rsidR="007F1BE4" w:rsidRPr="00085CAA">
        <w:rPr>
          <w:lang w:val="fr-CH"/>
        </w:rPr>
        <w:t xml:space="preserve">48 concernant l’installation de </w:t>
      </w:r>
      <w:r w:rsidRPr="00085CAA">
        <w:rPr>
          <w:lang w:val="fr-CH"/>
        </w:rPr>
        <w:t>« </w:t>
      </w:r>
      <w:r w:rsidR="007F1BE4" w:rsidRPr="00085CAA">
        <w:rPr>
          <w:lang w:val="fr-CH"/>
        </w:rPr>
        <w:t>feux simples</w:t>
      </w:r>
      <w:r w:rsidRPr="00085CAA">
        <w:rPr>
          <w:lang w:val="fr-CH"/>
        </w:rPr>
        <w:t> »</w:t>
      </w:r>
      <w:r w:rsidR="00A54F5E">
        <w:rPr>
          <w:lang w:val="fr-CH"/>
        </w:rPr>
        <w:t>, des </w:t>
      </w:r>
      <w:r w:rsidRPr="00085CAA">
        <w:rPr>
          <w:lang w:val="fr-CH"/>
        </w:rPr>
        <w:t>« </w:t>
      </w:r>
      <w:r w:rsidR="007F1BE4" w:rsidRPr="00085CAA">
        <w:rPr>
          <w:lang w:val="fr-CH"/>
        </w:rPr>
        <w:t>feux marqués D</w:t>
      </w:r>
      <w:r w:rsidRPr="00085CAA">
        <w:rPr>
          <w:lang w:val="fr-CH"/>
        </w:rPr>
        <w:t> »</w:t>
      </w:r>
      <w:r w:rsidR="007F1BE4" w:rsidRPr="00085CAA">
        <w:rPr>
          <w:lang w:val="fr-CH"/>
        </w:rPr>
        <w:t xml:space="preserve"> et des </w:t>
      </w:r>
      <w:r w:rsidRPr="00085CAA">
        <w:rPr>
          <w:lang w:val="fr-CH"/>
        </w:rPr>
        <w:t>« </w:t>
      </w:r>
      <w:r w:rsidR="007F1BE4" w:rsidRPr="00085CAA">
        <w:rPr>
          <w:lang w:val="fr-CH"/>
        </w:rPr>
        <w:t>feux indépendants</w:t>
      </w:r>
      <w:r w:rsidRPr="00085CAA">
        <w:rPr>
          <w:lang w:val="fr-CH"/>
        </w:rPr>
        <w:t> »</w:t>
      </w:r>
      <w:r w:rsidR="007F1BE4" w:rsidRPr="00085CAA">
        <w:rPr>
          <w:lang w:val="fr-CH"/>
        </w:rPr>
        <w:t>, p</w:t>
      </w:r>
      <w:r w:rsidR="00A54F5E">
        <w:rPr>
          <w:lang w:val="fr-CH"/>
        </w:rPr>
        <w:t>our éviter toute interprétation </w:t>
      </w:r>
      <w:r w:rsidR="007F1BE4" w:rsidRPr="00085CAA">
        <w:rPr>
          <w:lang w:val="fr-CH"/>
        </w:rPr>
        <w:t>erronée.</w:t>
      </w:r>
    </w:p>
    <w:p w:rsidR="00085CAA" w:rsidRPr="00085CAA" w:rsidRDefault="00085CAA" w:rsidP="00085CAA">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85CAA" w:rsidRPr="00085CAA" w:rsidSect="00862763">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C1" w:rsidRDefault="005657C1" w:rsidP="00F3330B">
      <w:pPr>
        <w:spacing w:line="240" w:lineRule="auto"/>
      </w:pPr>
      <w:r>
        <w:separator/>
      </w:r>
    </w:p>
  </w:endnote>
  <w:endnote w:type="continuationSeparator" w:id="0">
    <w:p w:rsidR="005657C1" w:rsidRDefault="005657C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862763" w:rsidTr="00862763">
      <w:trPr>
        <w:jc w:val="center"/>
      </w:trPr>
      <w:tc>
        <w:tcPr>
          <w:tcW w:w="5088" w:type="dxa"/>
          <w:shd w:val="clear" w:color="auto" w:fill="auto"/>
        </w:tcPr>
        <w:p w:rsidR="00862763" w:rsidRPr="00862763" w:rsidRDefault="00862763" w:rsidP="0086276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098C">
            <w:rPr>
              <w:b w:val="0"/>
              <w:w w:val="103"/>
              <w:sz w:val="14"/>
            </w:rPr>
            <w:t>GE.16-00586</w:t>
          </w:r>
          <w:r>
            <w:rPr>
              <w:b w:val="0"/>
              <w:w w:val="103"/>
              <w:sz w:val="14"/>
            </w:rPr>
            <w:fldChar w:fldCharType="end"/>
          </w:r>
        </w:p>
      </w:tc>
      <w:tc>
        <w:tcPr>
          <w:tcW w:w="5089" w:type="dxa"/>
          <w:shd w:val="clear" w:color="auto" w:fill="auto"/>
        </w:tcPr>
        <w:p w:rsidR="00862763" w:rsidRPr="00862763" w:rsidRDefault="00862763" w:rsidP="00862763">
          <w:pPr>
            <w:pStyle w:val="Footer"/>
            <w:rPr>
              <w:w w:val="103"/>
            </w:rPr>
          </w:pPr>
          <w:r>
            <w:rPr>
              <w:w w:val="103"/>
            </w:rPr>
            <w:fldChar w:fldCharType="begin"/>
          </w:r>
          <w:r>
            <w:rPr>
              <w:w w:val="103"/>
            </w:rPr>
            <w:instrText xml:space="preserve"> PAGE  \* Arabic  \* MERGEFORMAT </w:instrText>
          </w:r>
          <w:r>
            <w:rPr>
              <w:w w:val="103"/>
            </w:rPr>
            <w:fldChar w:fldCharType="separate"/>
          </w:r>
          <w:r w:rsidR="009D12E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D12E7">
            <w:rPr>
              <w:noProof/>
              <w:w w:val="103"/>
            </w:rPr>
            <w:t>2</w:t>
          </w:r>
          <w:r>
            <w:rPr>
              <w:w w:val="103"/>
            </w:rPr>
            <w:fldChar w:fldCharType="end"/>
          </w:r>
        </w:p>
      </w:tc>
    </w:tr>
  </w:tbl>
  <w:p w:rsidR="00862763" w:rsidRPr="00862763" w:rsidRDefault="00862763" w:rsidP="00862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862763" w:rsidTr="00862763">
      <w:trPr>
        <w:jc w:val="center"/>
      </w:trPr>
      <w:tc>
        <w:tcPr>
          <w:tcW w:w="5088" w:type="dxa"/>
          <w:shd w:val="clear" w:color="auto" w:fill="auto"/>
        </w:tcPr>
        <w:p w:rsidR="00862763" w:rsidRPr="00862763" w:rsidRDefault="00862763" w:rsidP="0086276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D12E7">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D12E7">
            <w:rPr>
              <w:noProof/>
              <w:w w:val="103"/>
            </w:rPr>
            <w:t>3</w:t>
          </w:r>
          <w:r>
            <w:rPr>
              <w:w w:val="103"/>
            </w:rPr>
            <w:fldChar w:fldCharType="end"/>
          </w:r>
        </w:p>
      </w:tc>
      <w:tc>
        <w:tcPr>
          <w:tcW w:w="5089" w:type="dxa"/>
          <w:shd w:val="clear" w:color="auto" w:fill="auto"/>
        </w:tcPr>
        <w:p w:rsidR="00862763" w:rsidRPr="00862763" w:rsidRDefault="00862763" w:rsidP="0086276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098C">
            <w:rPr>
              <w:b w:val="0"/>
              <w:w w:val="103"/>
              <w:sz w:val="14"/>
            </w:rPr>
            <w:t>GE.16-00586</w:t>
          </w:r>
          <w:r>
            <w:rPr>
              <w:b w:val="0"/>
              <w:w w:val="103"/>
              <w:sz w:val="14"/>
            </w:rPr>
            <w:fldChar w:fldCharType="end"/>
          </w:r>
        </w:p>
      </w:tc>
    </w:tr>
  </w:tbl>
  <w:p w:rsidR="00862763" w:rsidRPr="00862763" w:rsidRDefault="00862763" w:rsidP="00862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63" w:rsidRDefault="00862763">
    <w:pPr>
      <w:pStyle w:val="Footer"/>
    </w:pPr>
    <w:r>
      <w:rPr>
        <w:noProof/>
        <w:lang w:val="en-GB" w:eastAsia="en-GB"/>
      </w:rPr>
      <w:drawing>
        <wp:anchor distT="0" distB="0" distL="114300" distR="114300" simplePos="0" relativeHeight="251658240" behindDoc="0" locked="0" layoutInCell="1" allowOverlap="1" wp14:anchorId="092103B7" wp14:editId="5298338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1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862763" w:rsidTr="00862763">
      <w:tc>
        <w:tcPr>
          <w:tcW w:w="3859" w:type="dxa"/>
        </w:tcPr>
        <w:p w:rsidR="00862763" w:rsidRDefault="00862763" w:rsidP="0086276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A098C">
            <w:rPr>
              <w:b w:val="0"/>
              <w:sz w:val="20"/>
            </w:rPr>
            <w:t>GE.16-00586 (F)</w:t>
          </w:r>
          <w:r>
            <w:rPr>
              <w:b w:val="0"/>
              <w:sz w:val="20"/>
            </w:rPr>
            <w:fldChar w:fldCharType="end"/>
          </w:r>
          <w:r w:rsidR="007F1BE4">
            <w:rPr>
              <w:b w:val="0"/>
              <w:sz w:val="20"/>
            </w:rPr>
            <w:t xml:space="preserve">    12</w:t>
          </w:r>
          <w:r>
            <w:rPr>
              <w:b w:val="0"/>
              <w:sz w:val="20"/>
            </w:rPr>
            <w:t>0216    230216</w:t>
          </w:r>
        </w:p>
        <w:p w:rsidR="00862763" w:rsidRPr="00862763" w:rsidRDefault="00862763" w:rsidP="0086276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A098C">
            <w:rPr>
              <w:rFonts w:ascii="Barcode 3 of 9 by request" w:hAnsi="Barcode 3 of 9 by request"/>
              <w:b w:val="0"/>
              <w:spacing w:val="0"/>
              <w:w w:val="100"/>
              <w:sz w:val="24"/>
            </w:rPr>
            <w:t>*1600586*</w:t>
          </w:r>
          <w:r>
            <w:rPr>
              <w:rFonts w:ascii="Barcode 3 of 9 by request" w:hAnsi="Barcode 3 of 9 by request"/>
              <w:b w:val="0"/>
              <w:spacing w:val="0"/>
              <w:w w:val="100"/>
              <w:sz w:val="24"/>
            </w:rPr>
            <w:fldChar w:fldCharType="end"/>
          </w:r>
        </w:p>
      </w:tc>
      <w:tc>
        <w:tcPr>
          <w:tcW w:w="5089" w:type="dxa"/>
        </w:tcPr>
        <w:p w:rsidR="00862763" w:rsidRDefault="00862763" w:rsidP="00862763">
          <w:pPr>
            <w:pStyle w:val="Footer"/>
            <w:spacing w:line="240" w:lineRule="atLeast"/>
            <w:jc w:val="right"/>
            <w:rPr>
              <w:b w:val="0"/>
              <w:sz w:val="20"/>
            </w:rPr>
          </w:pPr>
          <w:r>
            <w:rPr>
              <w:b w:val="0"/>
              <w:noProof/>
              <w:sz w:val="20"/>
              <w:lang w:val="en-GB" w:eastAsia="en-GB"/>
            </w:rPr>
            <w:drawing>
              <wp:inline distT="0" distB="0" distL="0" distR="0" wp14:anchorId="33FD039F" wp14:editId="0C80A98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62763" w:rsidRPr="00862763" w:rsidRDefault="00862763" w:rsidP="0086276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C1" w:rsidRPr="007F1BE4" w:rsidRDefault="007F1BE4" w:rsidP="007F1BE4">
      <w:pPr>
        <w:pStyle w:val="Footer"/>
        <w:spacing w:after="80"/>
        <w:ind w:left="792"/>
        <w:rPr>
          <w:sz w:val="16"/>
        </w:rPr>
      </w:pPr>
      <w:r w:rsidRPr="007F1BE4">
        <w:rPr>
          <w:sz w:val="16"/>
        </w:rPr>
        <w:t>__________________</w:t>
      </w:r>
    </w:p>
  </w:footnote>
  <w:footnote w:type="continuationSeparator" w:id="0">
    <w:p w:rsidR="005657C1" w:rsidRPr="007F1BE4" w:rsidRDefault="007F1BE4" w:rsidP="007F1BE4">
      <w:pPr>
        <w:pStyle w:val="Footer"/>
        <w:spacing w:after="80"/>
        <w:ind w:left="792"/>
        <w:rPr>
          <w:sz w:val="16"/>
        </w:rPr>
      </w:pPr>
      <w:r w:rsidRPr="007F1BE4">
        <w:rPr>
          <w:sz w:val="16"/>
        </w:rPr>
        <w:t>__________________</w:t>
      </w:r>
    </w:p>
  </w:footnote>
  <w:footnote w:id="1">
    <w:p w:rsidR="007F1BE4" w:rsidRPr="007F1BE4" w:rsidRDefault="007F1BE4" w:rsidP="007F1BE4">
      <w:pPr>
        <w:pStyle w:val="FootnoteText"/>
        <w:tabs>
          <w:tab w:val="right" w:pos="1195"/>
          <w:tab w:val="left" w:pos="1267"/>
          <w:tab w:val="left" w:pos="1742"/>
          <w:tab w:val="left" w:pos="2218"/>
          <w:tab w:val="left" w:pos="2693"/>
        </w:tabs>
        <w:ind w:left="1267" w:right="1260" w:hanging="432"/>
        <w:rPr>
          <w:spacing w:val="2"/>
          <w:szCs w:val="17"/>
          <w:lang w:val="fr-CH"/>
        </w:rPr>
      </w:pPr>
      <w:r w:rsidRPr="007F1BE4">
        <w:rPr>
          <w:rStyle w:val="FootnoteReference"/>
          <w:vertAlign w:val="baseline"/>
          <w:lang w:val="fr-CH"/>
        </w:rPr>
        <w:tab/>
      </w:r>
      <w:r w:rsidRPr="007F1BE4">
        <w:rPr>
          <w:rStyle w:val="FootnoteReference"/>
          <w:spacing w:val="2"/>
          <w:szCs w:val="17"/>
          <w:vertAlign w:val="baseline"/>
          <w:lang w:val="fr-CH"/>
        </w:rPr>
        <w:t>*</w:t>
      </w:r>
      <w:r w:rsidRPr="007F1BE4">
        <w:rPr>
          <w:spacing w:val="2"/>
          <w:szCs w:val="17"/>
          <w:lang w:val="fr-CH"/>
        </w:rPr>
        <w:tab/>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862763" w:rsidTr="00862763">
      <w:trPr>
        <w:trHeight w:hRule="exact" w:val="864"/>
        <w:jc w:val="center"/>
      </w:trPr>
      <w:tc>
        <w:tcPr>
          <w:tcW w:w="4882" w:type="dxa"/>
          <w:shd w:val="clear" w:color="auto" w:fill="auto"/>
          <w:vAlign w:val="bottom"/>
        </w:tcPr>
        <w:p w:rsidR="00862763" w:rsidRPr="00862763" w:rsidRDefault="00862763" w:rsidP="0086276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098C">
            <w:rPr>
              <w:b/>
              <w:color w:val="000000"/>
            </w:rPr>
            <w:t>ECE/TRANS/WP.29/GRE/2016/11</w:t>
          </w:r>
          <w:r>
            <w:rPr>
              <w:b/>
              <w:color w:val="000000"/>
            </w:rPr>
            <w:fldChar w:fldCharType="end"/>
          </w:r>
        </w:p>
      </w:tc>
      <w:tc>
        <w:tcPr>
          <w:tcW w:w="5089" w:type="dxa"/>
          <w:shd w:val="clear" w:color="auto" w:fill="auto"/>
          <w:vAlign w:val="bottom"/>
        </w:tcPr>
        <w:p w:rsidR="00862763" w:rsidRDefault="00862763" w:rsidP="00862763">
          <w:pPr>
            <w:pStyle w:val="Header"/>
          </w:pPr>
        </w:p>
      </w:tc>
    </w:tr>
  </w:tbl>
  <w:p w:rsidR="00862763" w:rsidRPr="00862763" w:rsidRDefault="00862763" w:rsidP="0086276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862763" w:rsidTr="00862763">
      <w:trPr>
        <w:trHeight w:hRule="exact" w:val="864"/>
        <w:jc w:val="center"/>
      </w:trPr>
      <w:tc>
        <w:tcPr>
          <w:tcW w:w="4882" w:type="dxa"/>
          <w:shd w:val="clear" w:color="auto" w:fill="auto"/>
          <w:vAlign w:val="bottom"/>
        </w:tcPr>
        <w:p w:rsidR="00862763" w:rsidRDefault="00862763" w:rsidP="00862763">
          <w:pPr>
            <w:pStyle w:val="Header"/>
          </w:pPr>
        </w:p>
      </w:tc>
      <w:tc>
        <w:tcPr>
          <w:tcW w:w="5089" w:type="dxa"/>
          <w:shd w:val="clear" w:color="auto" w:fill="auto"/>
          <w:vAlign w:val="bottom"/>
        </w:tcPr>
        <w:p w:rsidR="00862763" w:rsidRPr="00862763" w:rsidRDefault="00862763" w:rsidP="0086276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098C">
            <w:rPr>
              <w:b/>
              <w:color w:val="000000"/>
            </w:rPr>
            <w:t>ECE/TRANS/WP.29/GRE/2016/11</w:t>
          </w:r>
          <w:r>
            <w:rPr>
              <w:b/>
              <w:color w:val="000000"/>
            </w:rPr>
            <w:fldChar w:fldCharType="end"/>
          </w:r>
        </w:p>
      </w:tc>
    </w:tr>
  </w:tbl>
  <w:p w:rsidR="00862763" w:rsidRPr="00862763" w:rsidRDefault="00862763" w:rsidP="0086276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62763" w:rsidTr="00862763">
      <w:trPr>
        <w:trHeight w:hRule="exact" w:val="864"/>
      </w:trPr>
      <w:tc>
        <w:tcPr>
          <w:tcW w:w="1267" w:type="dxa"/>
          <w:tcBorders>
            <w:bottom w:val="single" w:sz="4" w:space="0" w:color="auto"/>
          </w:tcBorders>
          <w:shd w:val="clear" w:color="auto" w:fill="auto"/>
          <w:vAlign w:val="bottom"/>
        </w:tcPr>
        <w:p w:rsidR="00862763" w:rsidRDefault="00862763" w:rsidP="00862763">
          <w:pPr>
            <w:pStyle w:val="Header"/>
            <w:spacing w:after="120"/>
          </w:pPr>
        </w:p>
      </w:tc>
      <w:tc>
        <w:tcPr>
          <w:tcW w:w="2059" w:type="dxa"/>
          <w:tcBorders>
            <w:bottom w:val="single" w:sz="4" w:space="0" w:color="auto"/>
          </w:tcBorders>
          <w:shd w:val="clear" w:color="auto" w:fill="auto"/>
          <w:vAlign w:val="bottom"/>
        </w:tcPr>
        <w:p w:rsidR="00862763" w:rsidRPr="00862763" w:rsidRDefault="00862763" w:rsidP="0086276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62763" w:rsidRDefault="00862763" w:rsidP="00862763">
          <w:pPr>
            <w:pStyle w:val="Header"/>
            <w:spacing w:after="120"/>
          </w:pPr>
        </w:p>
      </w:tc>
      <w:tc>
        <w:tcPr>
          <w:tcW w:w="6653" w:type="dxa"/>
          <w:gridSpan w:val="4"/>
          <w:tcBorders>
            <w:bottom w:val="single" w:sz="4" w:space="0" w:color="auto"/>
          </w:tcBorders>
          <w:shd w:val="clear" w:color="auto" w:fill="auto"/>
          <w:vAlign w:val="bottom"/>
        </w:tcPr>
        <w:p w:rsidR="00862763" w:rsidRPr="00862763" w:rsidRDefault="00862763" w:rsidP="00862763">
          <w:pPr>
            <w:spacing w:after="80" w:line="240" w:lineRule="auto"/>
            <w:jc w:val="right"/>
            <w:rPr>
              <w:position w:val="-4"/>
            </w:rPr>
          </w:pPr>
          <w:r>
            <w:rPr>
              <w:position w:val="-4"/>
              <w:sz w:val="40"/>
            </w:rPr>
            <w:t>ECE</w:t>
          </w:r>
          <w:r>
            <w:rPr>
              <w:position w:val="-4"/>
            </w:rPr>
            <w:t>/TRANS/WP.29/GRE/2016/11</w:t>
          </w:r>
        </w:p>
      </w:tc>
    </w:tr>
    <w:tr w:rsidR="00862763" w:rsidRPr="00862763" w:rsidTr="00862763">
      <w:trPr>
        <w:gridAfter w:val="1"/>
        <w:wAfter w:w="18" w:type="dxa"/>
        <w:trHeight w:hRule="exact" w:val="2880"/>
      </w:trPr>
      <w:tc>
        <w:tcPr>
          <w:tcW w:w="1267" w:type="dxa"/>
          <w:tcBorders>
            <w:top w:val="single" w:sz="4" w:space="0" w:color="auto"/>
            <w:bottom w:val="single" w:sz="12" w:space="0" w:color="auto"/>
          </w:tcBorders>
          <w:shd w:val="clear" w:color="auto" w:fill="auto"/>
        </w:tcPr>
        <w:p w:rsidR="00862763" w:rsidRPr="00862763" w:rsidRDefault="00862763" w:rsidP="00862763">
          <w:pPr>
            <w:pStyle w:val="Header"/>
            <w:spacing w:before="120" w:line="240" w:lineRule="auto"/>
            <w:ind w:left="-72"/>
            <w:jc w:val="center"/>
          </w:pPr>
          <w:r>
            <w:t xml:space="preserve">  </w:t>
          </w:r>
          <w:r>
            <w:rPr>
              <w:noProof/>
              <w:lang w:val="en-GB" w:eastAsia="en-GB"/>
            </w:rPr>
            <w:drawing>
              <wp:inline distT="0" distB="0" distL="0" distR="0" wp14:anchorId="0AD0AE7E" wp14:editId="02C2E03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62763" w:rsidRPr="00862763" w:rsidRDefault="00862763" w:rsidP="0086276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862763" w:rsidRPr="00862763" w:rsidRDefault="00862763" w:rsidP="00862763">
          <w:pPr>
            <w:pStyle w:val="Header"/>
            <w:spacing w:before="109"/>
          </w:pPr>
        </w:p>
      </w:tc>
      <w:tc>
        <w:tcPr>
          <w:tcW w:w="3280" w:type="dxa"/>
          <w:tcBorders>
            <w:top w:val="single" w:sz="4" w:space="0" w:color="auto"/>
            <w:bottom w:val="single" w:sz="12" w:space="0" w:color="auto"/>
          </w:tcBorders>
          <w:shd w:val="clear" w:color="auto" w:fill="auto"/>
        </w:tcPr>
        <w:p w:rsidR="00862763" w:rsidRDefault="00862763" w:rsidP="00862763">
          <w:pPr>
            <w:pStyle w:val="Distribution"/>
            <w:rPr>
              <w:color w:val="000000"/>
            </w:rPr>
          </w:pPr>
          <w:r>
            <w:rPr>
              <w:color w:val="000000"/>
            </w:rPr>
            <w:t>Distr. générale</w:t>
          </w:r>
        </w:p>
        <w:p w:rsidR="00862763" w:rsidRDefault="00862763" w:rsidP="00862763">
          <w:pPr>
            <w:pStyle w:val="Publication"/>
            <w:rPr>
              <w:color w:val="000000"/>
            </w:rPr>
          </w:pPr>
          <w:r>
            <w:rPr>
              <w:color w:val="000000"/>
            </w:rPr>
            <w:t>18 janvier 2016</w:t>
          </w:r>
        </w:p>
        <w:p w:rsidR="00862763" w:rsidRDefault="00862763" w:rsidP="00862763">
          <w:pPr>
            <w:rPr>
              <w:lang w:val="en-US"/>
            </w:rPr>
          </w:pPr>
          <w:r>
            <w:rPr>
              <w:lang w:val="en-US"/>
            </w:rPr>
            <w:t>Français</w:t>
          </w:r>
        </w:p>
        <w:p w:rsidR="00862763" w:rsidRPr="00862763" w:rsidRDefault="00862763" w:rsidP="00862763">
          <w:pPr>
            <w:pStyle w:val="Original"/>
            <w:rPr>
              <w:color w:val="000000"/>
            </w:rPr>
          </w:pPr>
          <w:r>
            <w:rPr>
              <w:color w:val="000000"/>
            </w:rPr>
            <w:t>Original : anglais</w:t>
          </w:r>
        </w:p>
      </w:tc>
    </w:tr>
  </w:tbl>
  <w:p w:rsidR="00862763" w:rsidRPr="00862763" w:rsidRDefault="00862763" w:rsidP="0086276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D237A"/>
    <w:multiLevelType w:val="singleLevel"/>
    <w:tmpl w:val="9B161CF6"/>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SortMethod w:val="0003"/>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586*"/>
    <w:docVar w:name="CreationDt" w:val="2/23/2016 11:45 AM"/>
    <w:docVar w:name="DocCategory" w:val="Doc"/>
    <w:docVar w:name="DocType" w:val="Final"/>
    <w:docVar w:name="DutyStation" w:val="Geneva"/>
    <w:docVar w:name="FooterJN" w:val="GE.16-00586"/>
    <w:docVar w:name="jobn" w:val="GE.16-00586 (F)"/>
    <w:docVar w:name="jobnDT" w:val="GE.16-00586 (F)   230216"/>
    <w:docVar w:name="jobnDTDT" w:val="GE.16-00586 (F)   230216   230216"/>
    <w:docVar w:name="JobNo" w:val="GE.1600586F"/>
    <w:docVar w:name="JobNo2" w:val="GE.1600653F"/>
    <w:docVar w:name="LocalDrive" w:val="0"/>
    <w:docVar w:name="OandT" w:val="N.Morin"/>
    <w:docVar w:name="PaperSize" w:val="A4"/>
    <w:docVar w:name="sss1" w:val="ECE/TRANS/WP.29/GRE/2016/11"/>
    <w:docVar w:name="sss2" w:val="-"/>
    <w:docVar w:name="Symbol1" w:val="ECE/TRANS/WP.29/GRE/2016/11"/>
    <w:docVar w:name="Symbol2" w:val="-"/>
  </w:docVars>
  <w:rsids>
    <w:rsidRoot w:val="005657C1"/>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5CAA"/>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1CF4"/>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17"/>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447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098C"/>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2FE1"/>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57C1"/>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1BE4"/>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763"/>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12E7"/>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4F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5BF5"/>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0B5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62763"/>
    <w:rPr>
      <w:sz w:val="16"/>
      <w:szCs w:val="16"/>
    </w:rPr>
  </w:style>
  <w:style w:type="paragraph" w:styleId="CommentText">
    <w:name w:val="annotation text"/>
    <w:basedOn w:val="Normal"/>
    <w:link w:val="CommentTextChar"/>
    <w:uiPriority w:val="99"/>
    <w:semiHidden/>
    <w:unhideWhenUsed/>
    <w:rsid w:val="00862763"/>
    <w:pPr>
      <w:spacing w:line="240" w:lineRule="auto"/>
    </w:pPr>
    <w:rPr>
      <w:szCs w:val="20"/>
    </w:rPr>
  </w:style>
  <w:style w:type="character" w:customStyle="1" w:styleId="CommentTextChar">
    <w:name w:val="Comment Text Char"/>
    <w:basedOn w:val="DefaultParagraphFont"/>
    <w:link w:val="CommentText"/>
    <w:uiPriority w:val="99"/>
    <w:semiHidden/>
    <w:rsid w:val="0086276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62763"/>
    <w:rPr>
      <w:b/>
      <w:bCs/>
    </w:rPr>
  </w:style>
  <w:style w:type="character" w:customStyle="1" w:styleId="CommentSubjectChar">
    <w:name w:val="Comment Subject Char"/>
    <w:basedOn w:val="CommentTextChar"/>
    <w:link w:val="CommentSubject"/>
    <w:uiPriority w:val="99"/>
    <w:semiHidden/>
    <w:rsid w:val="00862763"/>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62763"/>
    <w:rPr>
      <w:sz w:val="16"/>
      <w:szCs w:val="16"/>
    </w:rPr>
  </w:style>
  <w:style w:type="paragraph" w:styleId="CommentText">
    <w:name w:val="annotation text"/>
    <w:basedOn w:val="Normal"/>
    <w:link w:val="CommentTextChar"/>
    <w:uiPriority w:val="99"/>
    <w:semiHidden/>
    <w:unhideWhenUsed/>
    <w:rsid w:val="00862763"/>
    <w:pPr>
      <w:spacing w:line="240" w:lineRule="auto"/>
    </w:pPr>
    <w:rPr>
      <w:szCs w:val="20"/>
    </w:rPr>
  </w:style>
  <w:style w:type="character" w:customStyle="1" w:styleId="CommentTextChar">
    <w:name w:val="Comment Text Char"/>
    <w:basedOn w:val="DefaultParagraphFont"/>
    <w:link w:val="CommentText"/>
    <w:uiPriority w:val="99"/>
    <w:semiHidden/>
    <w:rsid w:val="0086276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62763"/>
    <w:rPr>
      <w:b/>
      <w:bCs/>
    </w:rPr>
  </w:style>
  <w:style w:type="character" w:customStyle="1" w:styleId="CommentSubjectChar">
    <w:name w:val="Comment Subject Char"/>
    <w:basedOn w:val="CommentTextChar"/>
    <w:link w:val="CommentSubject"/>
    <w:uiPriority w:val="99"/>
    <w:semiHidden/>
    <w:rsid w:val="00862763"/>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4682-F734-4FDA-8D70-30FB6DAF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2</cp:revision>
  <cp:lastPrinted>2016-02-23T11:30:00Z</cp:lastPrinted>
  <dcterms:created xsi:type="dcterms:W3CDTF">2016-02-24T10:47:00Z</dcterms:created>
  <dcterms:modified xsi:type="dcterms:W3CDTF">2016-02-24T10:47:00Z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1600586F</vt:lpwstr>
  </property>
  <property fmtid="{D5CDD505-2E9C-101B-9397-08002B2CF9AE}" pid="3" name="ODSRefJobNo">
    <vt:lpwstr>1600653F</vt:lpwstr>
  </property>
  <property fmtid="{D5CDD505-2E9C-101B-9397-08002B2CF9AE}" pid="4" name="Symbol1">
    <vt:lpwstr>ECE/TRANS/WP.29/GRE/2016/11</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janvier 2016</vt:lpwstr>
  </property>
  <property fmtid="{D5CDD505-2E9C-101B-9397-08002B2CF9AE}" pid="12" name="Original">
    <vt:lpwstr>anglais</vt:lpwstr>
  </property>
  <property fmtid="{D5CDD505-2E9C-101B-9397-08002B2CF9AE}" pid="13" name="Release Date">
    <vt:lpwstr>230216</vt:lpwstr>
  </property>
</Properties>
</file>