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A1A9A" w:rsidRPr="008A1A9A" w:rsidTr="00732AD2">
        <w:trPr>
          <w:cantSplit/>
          <w:trHeight w:hRule="exact" w:val="851"/>
        </w:trPr>
        <w:tc>
          <w:tcPr>
            <w:tcW w:w="1276" w:type="dxa"/>
            <w:tcBorders>
              <w:bottom w:val="single" w:sz="4" w:space="0" w:color="auto"/>
            </w:tcBorders>
            <w:shd w:val="clear" w:color="auto" w:fill="auto"/>
            <w:vAlign w:val="bottom"/>
          </w:tcPr>
          <w:p w:rsidR="00732AD2" w:rsidRPr="008A1A9A" w:rsidRDefault="004749FE" w:rsidP="00732AD2">
            <w:pPr>
              <w:spacing w:after="80"/>
            </w:pPr>
            <w:r w:rsidRPr="008A1A9A">
              <w:t xml:space="preserve">  </w:t>
            </w:r>
          </w:p>
        </w:tc>
        <w:tc>
          <w:tcPr>
            <w:tcW w:w="2268" w:type="dxa"/>
            <w:tcBorders>
              <w:bottom w:val="single" w:sz="4" w:space="0" w:color="auto"/>
            </w:tcBorders>
            <w:shd w:val="clear" w:color="auto" w:fill="auto"/>
            <w:vAlign w:val="bottom"/>
          </w:tcPr>
          <w:p w:rsidR="00732AD2" w:rsidRPr="008A1A9A" w:rsidRDefault="00732AD2" w:rsidP="00732AD2">
            <w:pPr>
              <w:spacing w:after="80" w:line="300" w:lineRule="exact"/>
              <w:rPr>
                <w:b/>
                <w:sz w:val="24"/>
                <w:szCs w:val="24"/>
              </w:rPr>
            </w:pPr>
            <w:r w:rsidRPr="008A1A9A">
              <w:rPr>
                <w:sz w:val="28"/>
                <w:szCs w:val="28"/>
              </w:rPr>
              <w:t>United Nations</w:t>
            </w:r>
          </w:p>
        </w:tc>
        <w:tc>
          <w:tcPr>
            <w:tcW w:w="6095" w:type="dxa"/>
            <w:gridSpan w:val="2"/>
            <w:tcBorders>
              <w:bottom w:val="single" w:sz="4" w:space="0" w:color="auto"/>
            </w:tcBorders>
            <w:shd w:val="clear" w:color="auto" w:fill="auto"/>
            <w:vAlign w:val="bottom"/>
          </w:tcPr>
          <w:p w:rsidR="00732AD2" w:rsidRPr="008A1A9A" w:rsidRDefault="00732AD2" w:rsidP="00517040">
            <w:pPr>
              <w:jc w:val="right"/>
            </w:pPr>
            <w:r w:rsidRPr="008A1A9A">
              <w:rPr>
                <w:sz w:val="40"/>
              </w:rPr>
              <w:t>ECE</w:t>
            </w:r>
            <w:r w:rsidRPr="008A1A9A">
              <w:t>/TRANS/WP.29/GRE/201</w:t>
            </w:r>
            <w:r w:rsidR="00517040" w:rsidRPr="008A1A9A">
              <w:t>6</w:t>
            </w:r>
            <w:r w:rsidRPr="008A1A9A">
              <w:t>/</w:t>
            </w:r>
            <w:r w:rsidR="00517040" w:rsidRPr="008A1A9A">
              <w:t>3</w:t>
            </w:r>
          </w:p>
        </w:tc>
      </w:tr>
      <w:tr w:rsidR="008A1A9A" w:rsidRPr="008A1A9A" w:rsidTr="00732AD2">
        <w:trPr>
          <w:cantSplit/>
          <w:trHeight w:hRule="exact" w:val="2835"/>
        </w:trPr>
        <w:tc>
          <w:tcPr>
            <w:tcW w:w="1276" w:type="dxa"/>
            <w:tcBorders>
              <w:top w:val="single" w:sz="4" w:space="0" w:color="auto"/>
              <w:bottom w:val="single" w:sz="12" w:space="0" w:color="auto"/>
            </w:tcBorders>
            <w:shd w:val="clear" w:color="auto" w:fill="auto"/>
          </w:tcPr>
          <w:p w:rsidR="00732AD2" w:rsidRPr="008A1A9A" w:rsidRDefault="00732AD2" w:rsidP="00732AD2">
            <w:pPr>
              <w:spacing w:before="120"/>
            </w:pPr>
            <w:r w:rsidRPr="008A1A9A">
              <w:rPr>
                <w:noProof/>
                <w:lang w:eastAsia="en-GB"/>
              </w:rPr>
              <w:drawing>
                <wp:inline distT="0" distB="0" distL="0" distR="0" wp14:anchorId="4CAD6E54" wp14:editId="346E6B00">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732AD2" w:rsidRPr="008A1A9A" w:rsidRDefault="00732AD2" w:rsidP="00732AD2">
            <w:pPr>
              <w:spacing w:before="120" w:line="420" w:lineRule="exact"/>
              <w:rPr>
                <w:sz w:val="40"/>
                <w:szCs w:val="40"/>
              </w:rPr>
            </w:pPr>
            <w:r w:rsidRPr="008A1A9A">
              <w:rPr>
                <w:b/>
                <w:sz w:val="40"/>
                <w:szCs w:val="40"/>
              </w:rPr>
              <w:t>Economic and Social Council</w:t>
            </w:r>
          </w:p>
        </w:tc>
        <w:tc>
          <w:tcPr>
            <w:tcW w:w="2835" w:type="dxa"/>
            <w:tcBorders>
              <w:top w:val="single" w:sz="4" w:space="0" w:color="auto"/>
              <w:bottom w:val="single" w:sz="12" w:space="0" w:color="auto"/>
            </w:tcBorders>
            <w:shd w:val="clear" w:color="auto" w:fill="auto"/>
          </w:tcPr>
          <w:p w:rsidR="00732AD2" w:rsidRPr="008A1A9A" w:rsidRDefault="00732AD2" w:rsidP="00732AD2">
            <w:pPr>
              <w:spacing w:before="240" w:line="240" w:lineRule="exact"/>
            </w:pPr>
            <w:r w:rsidRPr="008A1A9A">
              <w:t>Distr.: General</w:t>
            </w:r>
          </w:p>
          <w:p w:rsidR="00732AD2" w:rsidRPr="008A1A9A" w:rsidRDefault="00517040" w:rsidP="00732AD2">
            <w:pPr>
              <w:spacing w:line="240" w:lineRule="exact"/>
            </w:pPr>
            <w:r w:rsidRPr="008A1A9A">
              <w:t>22 January 2016</w:t>
            </w:r>
          </w:p>
          <w:p w:rsidR="00517040" w:rsidRPr="008A1A9A" w:rsidRDefault="00517040" w:rsidP="00732AD2">
            <w:pPr>
              <w:spacing w:line="240" w:lineRule="exact"/>
            </w:pPr>
          </w:p>
          <w:p w:rsidR="00732AD2" w:rsidRPr="008A1A9A" w:rsidRDefault="00732AD2" w:rsidP="00732AD2">
            <w:pPr>
              <w:spacing w:line="240" w:lineRule="exact"/>
            </w:pPr>
            <w:r w:rsidRPr="008A1A9A">
              <w:t>Original: English</w:t>
            </w:r>
          </w:p>
        </w:tc>
      </w:tr>
    </w:tbl>
    <w:p w:rsidR="00732AD2" w:rsidRPr="008A1A9A" w:rsidRDefault="00732AD2" w:rsidP="00732AD2">
      <w:pPr>
        <w:spacing w:before="120"/>
        <w:rPr>
          <w:b/>
          <w:sz w:val="28"/>
          <w:szCs w:val="28"/>
        </w:rPr>
      </w:pPr>
      <w:r w:rsidRPr="008A1A9A">
        <w:rPr>
          <w:b/>
          <w:sz w:val="28"/>
          <w:szCs w:val="28"/>
        </w:rPr>
        <w:t>Economic Commission for Europe</w:t>
      </w:r>
    </w:p>
    <w:p w:rsidR="00732AD2" w:rsidRPr="008A1A9A" w:rsidRDefault="00732AD2" w:rsidP="00732AD2">
      <w:pPr>
        <w:spacing w:before="120"/>
        <w:rPr>
          <w:sz w:val="28"/>
          <w:szCs w:val="28"/>
        </w:rPr>
      </w:pPr>
      <w:r w:rsidRPr="008A1A9A">
        <w:rPr>
          <w:sz w:val="28"/>
          <w:szCs w:val="28"/>
        </w:rPr>
        <w:t>Inland Transport Committee</w:t>
      </w:r>
    </w:p>
    <w:p w:rsidR="00732AD2" w:rsidRPr="008A1A9A" w:rsidRDefault="00732AD2" w:rsidP="00732AD2">
      <w:pPr>
        <w:spacing w:before="120"/>
        <w:rPr>
          <w:b/>
          <w:sz w:val="24"/>
          <w:szCs w:val="24"/>
        </w:rPr>
      </w:pPr>
      <w:r w:rsidRPr="008A1A9A">
        <w:rPr>
          <w:b/>
          <w:sz w:val="24"/>
          <w:szCs w:val="24"/>
        </w:rPr>
        <w:t>World Forum for Harmonization of Vehicle Regulations</w:t>
      </w:r>
    </w:p>
    <w:p w:rsidR="00732AD2" w:rsidRPr="008A1A9A" w:rsidRDefault="00732AD2" w:rsidP="00732AD2">
      <w:pPr>
        <w:spacing w:before="120" w:after="120"/>
        <w:rPr>
          <w:b/>
          <w:bCs/>
        </w:rPr>
      </w:pPr>
      <w:r w:rsidRPr="008A1A9A">
        <w:rPr>
          <w:b/>
          <w:bCs/>
        </w:rPr>
        <w:t>Working Party on Lighting and Light-Signalling</w:t>
      </w:r>
    </w:p>
    <w:p w:rsidR="00922B65" w:rsidRPr="008A1A9A" w:rsidRDefault="00922B65" w:rsidP="00922B65">
      <w:pPr>
        <w:rPr>
          <w:b/>
        </w:rPr>
      </w:pPr>
      <w:r w:rsidRPr="008A1A9A">
        <w:rPr>
          <w:b/>
        </w:rPr>
        <w:t>Seventy-</w:t>
      </w:r>
      <w:r w:rsidR="00517040" w:rsidRPr="008A1A9A">
        <w:rPr>
          <w:b/>
        </w:rPr>
        <w:t xml:space="preserve">fifth </w:t>
      </w:r>
      <w:proofErr w:type="gramStart"/>
      <w:r w:rsidRPr="008A1A9A">
        <w:rPr>
          <w:b/>
        </w:rPr>
        <w:t>session</w:t>
      </w:r>
      <w:proofErr w:type="gramEnd"/>
    </w:p>
    <w:p w:rsidR="00922B65" w:rsidRPr="008A1A9A" w:rsidRDefault="00922B65" w:rsidP="00922B65">
      <w:pPr>
        <w:rPr>
          <w:bCs/>
        </w:rPr>
      </w:pPr>
      <w:r w:rsidRPr="008A1A9A">
        <w:t>Geneva</w:t>
      </w:r>
      <w:r w:rsidRPr="008A1A9A">
        <w:rPr>
          <w:bCs/>
        </w:rPr>
        <w:t>, 5–8 April 2016</w:t>
      </w:r>
    </w:p>
    <w:p w:rsidR="00732AD2" w:rsidRPr="008A1A9A" w:rsidRDefault="00732AD2" w:rsidP="00732AD2">
      <w:pPr>
        <w:ind w:right="1134"/>
        <w:rPr>
          <w:bCs/>
        </w:rPr>
      </w:pPr>
      <w:r w:rsidRPr="008A1A9A">
        <w:rPr>
          <w:bCs/>
        </w:rPr>
        <w:t>Item 4</w:t>
      </w:r>
      <w:r w:rsidR="0073646C" w:rsidRPr="008A1A9A">
        <w:rPr>
          <w:bCs/>
        </w:rPr>
        <w:t xml:space="preserve"> </w:t>
      </w:r>
      <w:r w:rsidRPr="008A1A9A">
        <w:rPr>
          <w:bCs/>
        </w:rPr>
        <w:t>of the provisional agenda</w:t>
      </w:r>
    </w:p>
    <w:p w:rsidR="00732AD2" w:rsidRPr="008A1A9A" w:rsidRDefault="005067BB" w:rsidP="00732AD2">
      <w:pPr>
        <w:ind w:right="1134"/>
        <w:rPr>
          <w:bCs/>
        </w:rPr>
      </w:pPr>
      <w:r w:rsidRPr="008A1A9A">
        <w:rPr>
          <w:b/>
          <w:bCs/>
          <w:lang w:val="en-US"/>
        </w:rPr>
        <w:t>Simplification of lighting and light-signalling Regulations</w:t>
      </w:r>
    </w:p>
    <w:p w:rsidR="00732AD2" w:rsidRPr="008A1A9A" w:rsidRDefault="00732AD2" w:rsidP="00732AD2">
      <w:pPr>
        <w:pStyle w:val="HChG"/>
      </w:pPr>
      <w:r w:rsidRPr="008A1A9A">
        <w:tab/>
      </w:r>
      <w:r w:rsidRPr="008A1A9A">
        <w:tab/>
      </w:r>
      <w:r w:rsidR="00B12542" w:rsidRPr="008A1A9A">
        <w:t>Proposal for Supplement 12 to the original version of Regulation No. 99 (Gas-discharge light sources)</w:t>
      </w:r>
    </w:p>
    <w:p w:rsidR="00732AD2" w:rsidRPr="008A1A9A" w:rsidRDefault="00732AD2" w:rsidP="00732AD2">
      <w:pPr>
        <w:pStyle w:val="H1G"/>
        <w:ind w:firstLine="0"/>
        <w:rPr>
          <w:szCs w:val="24"/>
        </w:rPr>
      </w:pPr>
      <w:r w:rsidRPr="008A1A9A">
        <w:rPr>
          <w:szCs w:val="24"/>
        </w:rPr>
        <w:t xml:space="preserve">Submitted by the </w:t>
      </w:r>
      <w:r w:rsidR="005067BB" w:rsidRPr="008A1A9A">
        <w:rPr>
          <w:szCs w:val="24"/>
        </w:rPr>
        <w:t>Informal Working Group "Simplification of the Lighting and Light-Signalling Regulations"</w:t>
      </w:r>
      <w:r w:rsidR="001C1C60" w:rsidRPr="008A1A9A">
        <w:footnoteReference w:customMarkFollows="1" w:id="2"/>
        <w:t>*</w:t>
      </w:r>
      <w:r w:rsidR="005067BB" w:rsidRPr="008A1A9A">
        <w:rPr>
          <w:szCs w:val="24"/>
        </w:rPr>
        <w:t xml:space="preserve"> </w:t>
      </w:r>
    </w:p>
    <w:p w:rsidR="00732AD2" w:rsidRPr="008A1A9A" w:rsidRDefault="00517040" w:rsidP="00732AD2">
      <w:pPr>
        <w:pStyle w:val="SingleTxtG"/>
        <w:tabs>
          <w:tab w:val="left" w:pos="8505"/>
        </w:tabs>
        <w:ind w:firstLine="567"/>
      </w:pPr>
      <w:r w:rsidRPr="008A1A9A">
        <w:t xml:space="preserve">The text reproduced below was prepared by the experts from the Informal Working Group "Simplification of the Lighting and Light-Signalling Regulations" (IWG SLR) to simplify the content and amendment process of the light source Regulations. It is based on ECE/TRANS/WP.29/GRE/2015/26 and takes into account comments received at the seventy-fourth session of GRE (ECE/TRANS/WP.29/GRE/74, para. 9). The modifications to the existing text of the Regulation are marked in bold for new or strikethrough for deleted characters.  </w:t>
      </w:r>
    </w:p>
    <w:p w:rsidR="00732AD2" w:rsidRPr="008A1A9A" w:rsidRDefault="00732AD2" w:rsidP="00732AD2">
      <w:pPr>
        <w:tabs>
          <w:tab w:val="left" w:pos="8505"/>
        </w:tabs>
        <w:ind w:left="1134" w:right="1134" w:firstLine="567"/>
        <w:jc w:val="both"/>
      </w:pPr>
    </w:p>
    <w:p w:rsidR="00732AD2" w:rsidRPr="008A1A9A" w:rsidRDefault="00732AD2" w:rsidP="00732AD2"/>
    <w:p w:rsidR="0053129E" w:rsidRPr="008A1A9A" w:rsidRDefault="0053129E" w:rsidP="0053129E">
      <w:pPr>
        <w:rPr>
          <w:b/>
          <w:bCs/>
        </w:rPr>
      </w:pPr>
    </w:p>
    <w:p w:rsidR="0053129E" w:rsidRPr="008A1A9A" w:rsidRDefault="0053129E" w:rsidP="0053129E">
      <w:pPr>
        <w:rPr>
          <w:b/>
          <w:bCs/>
        </w:rPr>
      </w:pPr>
    </w:p>
    <w:p w:rsidR="0053129E" w:rsidRPr="008A1A9A" w:rsidRDefault="0053129E" w:rsidP="0053129E">
      <w:pPr>
        <w:rPr>
          <w:lang w:val="en-US"/>
        </w:rPr>
        <w:sectPr w:rsidR="0053129E" w:rsidRPr="008A1A9A" w:rsidSect="00607AFA">
          <w:footerReference w:type="even" r:id="rId10"/>
          <w:footerReference w:type="first" r:id="rId11"/>
          <w:pgSz w:w="11906" w:h="16838"/>
          <w:pgMar w:top="1701" w:right="1134" w:bottom="1618" w:left="1134" w:header="1134" w:footer="1582" w:gutter="0"/>
          <w:cols w:space="720"/>
          <w:docGrid w:linePitch="272"/>
        </w:sectPr>
      </w:pPr>
    </w:p>
    <w:p w:rsidR="00E048CF" w:rsidRPr="008A1A9A" w:rsidRDefault="00914CE3" w:rsidP="00914CE3">
      <w:pPr>
        <w:pStyle w:val="HChG"/>
      </w:pPr>
      <w:r w:rsidRPr="008A1A9A">
        <w:lastRenderedPageBreak/>
        <w:tab/>
      </w:r>
      <w:r w:rsidR="00E048CF" w:rsidRPr="008A1A9A">
        <w:t>I.</w:t>
      </w:r>
      <w:r w:rsidR="00E048CF" w:rsidRPr="008A1A9A">
        <w:tab/>
        <w:t>Proposal</w:t>
      </w:r>
    </w:p>
    <w:p w:rsidR="00DC63A7" w:rsidRPr="008A1A9A" w:rsidRDefault="00DC63A7" w:rsidP="00DC63A7">
      <w:pPr>
        <w:pStyle w:val="para0"/>
        <w:rPr>
          <w:lang w:val="en-US"/>
        </w:rPr>
      </w:pPr>
      <w:r w:rsidRPr="008A1A9A">
        <w:rPr>
          <w:i/>
          <w:lang w:val="en-US"/>
        </w:rPr>
        <w:t>The title,</w:t>
      </w:r>
      <w:r w:rsidRPr="008A1A9A">
        <w:rPr>
          <w:lang w:val="en-US"/>
        </w:rPr>
        <w:t xml:space="preserve"> amend to read:</w:t>
      </w:r>
    </w:p>
    <w:p w:rsidR="00DC63A7" w:rsidRPr="008A1A9A" w:rsidRDefault="00B042CE" w:rsidP="00DC63A7">
      <w:pPr>
        <w:pStyle w:val="para0"/>
        <w:rPr>
          <w:lang w:val="en-US"/>
        </w:rPr>
      </w:pPr>
      <w:r w:rsidRPr="008A1A9A">
        <w:rPr>
          <w:i/>
          <w:lang w:val="en-US"/>
        </w:rPr>
        <w:t>"</w:t>
      </w:r>
      <w:r w:rsidR="00DC63A7" w:rsidRPr="008A1A9A">
        <w:rPr>
          <w:lang w:val="en-GB"/>
        </w:rPr>
        <w:tab/>
      </w:r>
      <w:r w:rsidR="00DC63A7" w:rsidRPr="008A1A9A">
        <w:rPr>
          <w:lang w:val="en-US"/>
        </w:rPr>
        <w:t xml:space="preserve">Uniform provisions concerning the approval of gas-discharge light sources for use in approved </w:t>
      </w:r>
      <w:r w:rsidR="00DC63A7" w:rsidRPr="008A1A9A">
        <w:rPr>
          <w:strike/>
          <w:lang w:val="en-US"/>
        </w:rPr>
        <w:t>gas-discharge</w:t>
      </w:r>
      <w:r w:rsidR="00DC63A7" w:rsidRPr="008A1A9A">
        <w:rPr>
          <w:lang w:val="en-US"/>
        </w:rPr>
        <w:t xml:space="preserve"> lamp</w:t>
      </w:r>
      <w:r w:rsidR="00DD4BCB" w:rsidRPr="008A1A9A">
        <w:rPr>
          <w:b/>
          <w:lang w:val="en-US"/>
        </w:rPr>
        <w:t>s</w:t>
      </w:r>
      <w:r w:rsidR="00DC63A7" w:rsidRPr="008A1A9A">
        <w:rPr>
          <w:lang w:val="en-US"/>
        </w:rPr>
        <w:t xml:space="preserve"> </w:t>
      </w:r>
      <w:r w:rsidR="00DC63A7" w:rsidRPr="008A1A9A">
        <w:rPr>
          <w:strike/>
          <w:lang w:val="en-US"/>
        </w:rPr>
        <w:t>units</w:t>
      </w:r>
      <w:r w:rsidR="00DC63A7" w:rsidRPr="008A1A9A">
        <w:rPr>
          <w:lang w:val="en-US"/>
        </w:rPr>
        <w:t xml:space="preserve"> of power-driven vehicles</w:t>
      </w:r>
      <w:r w:rsidRPr="008A1A9A">
        <w:rPr>
          <w:lang w:val="en-US"/>
        </w:rPr>
        <w:t>"</w:t>
      </w:r>
    </w:p>
    <w:p w:rsidR="00DC63A7" w:rsidRPr="008A1A9A" w:rsidRDefault="00DC63A7" w:rsidP="00DC63A7">
      <w:pPr>
        <w:pStyle w:val="para0"/>
        <w:rPr>
          <w:lang w:val="en-US"/>
        </w:rPr>
      </w:pPr>
      <w:r w:rsidRPr="008A1A9A">
        <w:rPr>
          <w:i/>
          <w:lang w:val="en-US"/>
        </w:rPr>
        <w:t xml:space="preserve">Paragraph </w:t>
      </w:r>
      <w:proofErr w:type="gramStart"/>
      <w:r w:rsidRPr="008A1A9A">
        <w:rPr>
          <w:i/>
          <w:lang w:val="en-US"/>
        </w:rPr>
        <w:t>1</w:t>
      </w:r>
      <w:r w:rsidR="00B042CE" w:rsidRPr="008A1A9A">
        <w:rPr>
          <w:i/>
          <w:lang w:val="en-US"/>
        </w:rPr>
        <w:t>.</w:t>
      </w:r>
      <w:r w:rsidRPr="008A1A9A">
        <w:rPr>
          <w:i/>
          <w:lang w:val="en-US"/>
        </w:rPr>
        <w:t>,</w:t>
      </w:r>
      <w:proofErr w:type="gramEnd"/>
      <w:r w:rsidRPr="008A1A9A">
        <w:rPr>
          <w:lang w:val="en-US"/>
        </w:rPr>
        <w:t xml:space="preserve"> amend to read:</w:t>
      </w:r>
    </w:p>
    <w:p w:rsidR="00DC63A7" w:rsidRPr="008A1A9A" w:rsidRDefault="00B042CE" w:rsidP="00B042CE">
      <w:pPr>
        <w:spacing w:after="120"/>
        <w:ind w:left="1134"/>
        <w:rPr>
          <w:snapToGrid w:val="0"/>
          <w:lang w:val="en-US"/>
        </w:rPr>
      </w:pPr>
      <w:bookmarkStart w:id="0" w:name="_Toc386202957"/>
      <w:r w:rsidRPr="008A1A9A">
        <w:rPr>
          <w:snapToGrid w:val="0"/>
          <w:lang w:val="en-US"/>
        </w:rPr>
        <w:t>"</w:t>
      </w:r>
      <w:r w:rsidR="00DC63A7" w:rsidRPr="008A1A9A">
        <w:rPr>
          <w:snapToGrid w:val="0"/>
          <w:lang w:val="en-US"/>
        </w:rPr>
        <w:t>1.</w:t>
      </w:r>
      <w:r w:rsidR="00DC63A7" w:rsidRPr="008A1A9A">
        <w:rPr>
          <w:snapToGrid w:val="0"/>
          <w:lang w:val="en-US"/>
        </w:rPr>
        <w:tab/>
      </w:r>
      <w:r w:rsidR="00DC63A7" w:rsidRPr="008A1A9A">
        <w:rPr>
          <w:snapToGrid w:val="0"/>
          <w:lang w:val="en-US"/>
        </w:rPr>
        <w:tab/>
        <w:t>Scope</w:t>
      </w:r>
      <w:bookmarkEnd w:id="0"/>
    </w:p>
    <w:p w:rsidR="00DC63A7" w:rsidRPr="008A1A9A" w:rsidRDefault="00DC63A7" w:rsidP="00DC63A7">
      <w:pPr>
        <w:pStyle w:val="SingleTxtG"/>
        <w:ind w:left="2268"/>
        <w:rPr>
          <w:snapToGrid w:val="0"/>
        </w:rPr>
      </w:pPr>
      <w:r w:rsidRPr="008A1A9A">
        <w:rPr>
          <w:snapToGrid w:val="0"/>
        </w:rPr>
        <w:t xml:space="preserve">This Regulation applies to gas-discharge light sources shown in Annex 1 to this Regulation and intended for use in approved </w:t>
      </w:r>
      <w:r w:rsidR="00DD4BCB" w:rsidRPr="008A1A9A">
        <w:rPr>
          <w:strike/>
          <w:snapToGrid w:val="0"/>
        </w:rPr>
        <w:t>gas-</w:t>
      </w:r>
      <w:proofErr w:type="spellStart"/>
      <w:r w:rsidR="00DD4BCB" w:rsidRPr="008A1A9A">
        <w:rPr>
          <w:strike/>
          <w:snapToGrid w:val="0"/>
        </w:rPr>
        <w:t>discharg</w:t>
      </w:r>
      <w:proofErr w:type="spellEnd"/>
      <w:r w:rsidRPr="008A1A9A">
        <w:rPr>
          <w:strike/>
          <w:snapToGrid w:val="0"/>
        </w:rPr>
        <w:t>]</w:t>
      </w:r>
      <w:r w:rsidRPr="008A1A9A">
        <w:rPr>
          <w:snapToGrid w:val="0"/>
        </w:rPr>
        <w:t xml:space="preserve"> lamp</w:t>
      </w:r>
      <w:r w:rsidR="00DD4BCB" w:rsidRPr="008A1A9A">
        <w:rPr>
          <w:b/>
          <w:snapToGrid w:val="0"/>
        </w:rPr>
        <w:t>s</w:t>
      </w:r>
      <w:r w:rsidRPr="008A1A9A">
        <w:rPr>
          <w:snapToGrid w:val="0"/>
        </w:rPr>
        <w:t xml:space="preserve"> </w:t>
      </w:r>
      <w:r w:rsidRPr="008A1A9A">
        <w:rPr>
          <w:strike/>
          <w:snapToGrid w:val="0"/>
        </w:rPr>
        <w:t>units</w:t>
      </w:r>
      <w:r w:rsidRPr="008A1A9A">
        <w:rPr>
          <w:snapToGrid w:val="0"/>
        </w:rPr>
        <w:t xml:space="preserve"> of power-driven vehicles.</w:t>
      </w:r>
      <w:r w:rsidR="00B042CE" w:rsidRPr="008A1A9A">
        <w:rPr>
          <w:snapToGrid w:val="0"/>
        </w:rPr>
        <w:t>"</w:t>
      </w:r>
    </w:p>
    <w:p w:rsidR="00DC63A7" w:rsidRPr="008A1A9A" w:rsidRDefault="00DC63A7" w:rsidP="00DC63A7">
      <w:pPr>
        <w:pStyle w:val="SingleTxtG"/>
        <w:rPr>
          <w:snapToGrid w:val="0"/>
        </w:rPr>
      </w:pPr>
      <w:r w:rsidRPr="008A1A9A">
        <w:rPr>
          <w:i/>
          <w:snapToGrid w:val="0"/>
        </w:rPr>
        <w:t>Paragraph 2.3.4.</w:t>
      </w:r>
      <w:r w:rsidRPr="008A1A9A">
        <w:rPr>
          <w:snapToGrid w:val="0"/>
        </w:rPr>
        <w:t>, amend to read:</w:t>
      </w:r>
    </w:p>
    <w:p w:rsidR="00DC63A7" w:rsidRPr="008A1A9A" w:rsidRDefault="00B042CE" w:rsidP="00DC63A7">
      <w:pPr>
        <w:pStyle w:val="SingleTxtG"/>
        <w:ind w:left="2259" w:hanging="1125"/>
        <w:rPr>
          <w:snapToGrid w:val="0"/>
        </w:rPr>
      </w:pPr>
      <w:r w:rsidRPr="008A1A9A">
        <w:rPr>
          <w:snapToGrid w:val="0"/>
        </w:rPr>
        <w:t>"</w:t>
      </w:r>
      <w:r w:rsidR="00DC63A7" w:rsidRPr="008A1A9A">
        <w:rPr>
          <w:snapToGrid w:val="0"/>
        </w:rPr>
        <w:t>2.3.4.</w:t>
      </w:r>
      <w:r w:rsidR="00DC63A7" w:rsidRPr="008A1A9A">
        <w:rPr>
          <w:snapToGrid w:val="0"/>
        </w:rPr>
        <w:tab/>
        <w:t xml:space="preserve">In case the ballast is not integrated with the light source, the ballast used for the type </w:t>
      </w:r>
      <w:r w:rsidR="00DC63A7" w:rsidRPr="008A1A9A">
        <w:t>approval</w:t>
      </w:r>
      <w:r w:rsidR="00DC63A7" w:rsidRPr="008A1A9A">
        <w:rPr>
          <w:snapToGrid w:val="0"/>
        </w:rPr>
        <w:t xml:space="preserve"> of the light source shall be marked with type and trade mark identification and with the rated voltage and wattage, as indicated on the relevant </w:t>
      </w:r>
      <w:r w:rsidR="00DC63A7" w:rsidRPr="008A1A9A">
        <w:rPr>
          <w:b/>
          <w:snapToGrid w:val="0"/>
        </w:rPr>
        <w:t xml:space="preserve">gas-discharge light source </w:t>
      </w:r>
      <w:r w:rsidR="00DC63A7" w:rsidRPr="008A1A9A">
        <w:rPr>
          <w:strike/>
          <w:snapToGrid w:val="0"/>
        </w:rPr>
        <w:t>lamp data</w:t>
      </w:r>
      <w:r w:rsidR="00DC63A7" w:rsidRPr="008A1A9A">
        <w:rPr>
          <w:snapToGrid w:val="0"/>
        </w:rPr>
        <w:t xml:space="preserve"> sheet.</w:t>
      </w:r>
    </w:p>
    <w:p w:rsidR="00DC63A7" w:rsidRPr="008A1A9A" w:rsidRDefault="00DC63A7" w:rsidP="00DC63A7">
      <w:pPr>
        <w:pStyle w:val="SingleTxtG"/>
        <w:ind w:left="2259" w:hanging="1125"/>
        <w:rPr>
          <w:snapToGrid w:val="0"/>
        </w:rPr>
      </w:pPr>
      <w:r w:rsidRPr="008A1A9A">
        <w:rPr>
          <w:i/>
          <w:snapToGrid w:val="0"/>
        </w:rPr>
        <w:t>Paragraph 3.1.</w:t>
      </w:r>
      <w:r w:rsidRPr="008A1A9A">
        <w:rPr>
          <w:snapToGrid w:val="0"/>
        </w:rPr>
        <w:t xml:space="preserve">, </w:t>
      </w:r>
      <w:r w:rsidR="00532696" w:rsidRPr="008A1A9A">
        <w:rPr>
          <w:snapToGrid w:val="0"/>
        </w:rPr>
        <w:t>replace, t</w:t>
      </w:r>
      <w:r w:rsidRPr="008A1A9A">
        <w:rPr>
          <w:snapToGrid w:val="0"/>
        </w:rPr>
        <w:t>o read:</w:t>
      </w:r>
    </w:p>
    <w:p w:rsidR="00506E30" w:rsidRPr="008A1A9A" w:rsidRDefault="00B042CE" w:rsidP="00506E30">
      <w:pPr>
        <w:pStyle w:val="SingleTxtG"/>
        <w:ind w:left="2268" w:hanging="1134"/>
      </w:pPr>
      <w:r w:rsidRPr="008A1A9A">
        <w:t>"</w:t>
      </w:r>
      <w:r w:rsidR="00506E30" w:rsidRPr="008A1A9A">
        <w:t>3.1.</w:t>
      </w:r>
      <w:r w:rsidR="00506E30" w:rsidRPr="008A1A9A">
        <w:tab/>
        <w:t>Definitions</w:t>
      </w:r>
    </w:p>
    <w:p w:rsidR="00532696" w:rsidRPr="008A1A9A" w:rsidRDefault="00532696" w:rsidP="00532696">
      <w:pPr>
        <w:pStyle w:val="SingleTxtG"/>
        <w:ind w:left="2268"/>
      </w:pPr>
      <w:r w:rsidRPr="008A1A9A">
        <w:rPr>
          <w:b/>
        </w:rPr>
        <w:t xml:space="preserve">The definitions given in </w:t>
      </w:r>
      <w:r w:rsidR="008A1A9A">
        <w:rPr>
          <w:b/>
        </w:rPr>
        <w:t xml:space="preserve">the </w:t>
      </w:r>
      <w:r w:rsidRPr="008A1A9A">
        <w:rPr>
          <w:b/>
        </w:rPr>
        <w:t>Resolution [No. y] or its subsequent revisions, applicable at the time of application for type-approval shall apply.”</w:t>
      </w:r>
    </w:p>
    <w:p w:rsidR="00AC7335" w:rsidRPr="008A1A9A" w:rsidRDefault="00AC7335" w:rsidP="00AC7335">
      <w:pPr>
        <w:pStyle w:val="SingleTxtG"/>
        <w:ind w:left="2259" w:hanging="1125"/>
      </w:pPr>
      <w:r w:rsidRPr="008A1A9A">
        <w:rPr>
          <w:i/>
        </w:rPr>
        <w:t>Insert a new paragraph</w:t>
      </w:r>
      <w:r w:rsidR="0081557C">
        <w:rPr>
          <w:i/>
        </w:rPr>
        <w:t xml:space="preserve"> 3.2.3</w:t>
      </w:r>
      <w:bookmarkStart w:id="1" w:name="_GoBack"/>
      <w:bookmarkEnd w:id="1"/>
      <w:r w:rsidRPr="008A1A9A">
        <w:rPr>
          <w:i/>
        </w:rPr>
        <w:t>.</w:t>
      </w:r>
      <w:r w:rsidRPr="008A1A9A">
        <w:t>, to read:</w:t>
      </w:r>
    </w:p>
    <w:p w:rsidR="00AC7335" w:rsidRPr="008A1A9A" w:rsidRDefault="00AC7335" w:rsidP="00AC7335">
      <w:pPr>
        <w:pStyle w:val="para0"/>
        <w:rPr>
          <w:b/>
          <w:lang w:val="en-GB"/>
        </w:rPr>
      </w:pPr>
      <w:r w:rsidRPr="008A1A9A">
        <w:rPr>
          <w:b/>
          <w:lang w:val="en-GB"/>
        </w:rPr>
        <w:t>"3.2.3.</w:t>
      </w:r>
      <w:r w:rsidRPr="008A1A9A">
        <w:rPr>
          <w:b/>
          <w:lang w:val="en-GB"/>
        </w:rPr>
        <w:tab/>
        <w:t>The discharge arc shall be the only element of the gas-discharge light source that generates and emits light when energised."</w:t>
      </w:r>
    </w:p>
    <w:p w:rsidR="00922097" w:rsidRPr="008A1A9A" w:rsidRDefault="00922097" w:rsidP="00DC63A7">
      <w:pPr>
        <w:pStyle w:val="SingleTxtG"/>
        <w:ind w:left="2259" w:hanging="1125"/>
      </w:pPr>
      <w:r w:rsidRPr="008A1A9A">
        <w:rPr>
          <w:i/>
        </w:rPr>
        <w:t>Paragraph 3.3.</w:t>
      </w:r>
      <w:r w:rsidR="001B7DF2" w:rsidRPr="008A1A9A">
        <w:rPr>
          <w:i/>
        </w:rPr>
        <w:t>3</w:t>
      </w:r>
      <w:r w:rsidRPr="008A1A9A">
        <w:rPr>
          <w:i/>
        </w:rPr>
        <w:t xml:space="preserve">., </w:t>
      </w:r>
      <w:r w:rsidRPr="008A1A9A">
        <w:t>amend to read:</w:t>
      </w:r>
    </w:p>
    <w:p w:rsidR="00922097" w:rsidRPr="008A1A9A" w:rsidRDefault="00922097" w:rsidP="001B7DF2">
      <w:pPr>
        <w:pStyle w:val="SingleTxtG"/>
        <w:ind w:left="2259" w:hanging="1125"/>
      </w:pPr>
      <w:r w:rsidRPr="008A1A9A">
        <w:rPr>
          <w:i/>
        </w:rPr>
        <w:t>“</w:t>
      </w:r>
      <w:r w:rsidR="009A4285" w:rsidRPr="008A1A9A">
        <w:t>3.3.3.</w:t>
      </w:r>
      <w:r w:rsidRPr="008A1A9A">
        <w:rPr>
          <w:i/>
        </w:rPr>
        <w:tab/>
      </w:r>
      <w:r w:rsidRPr="008A1A9A">
        <w:t xml:space="preserve">Gas-discharge light sources shall be equipped with standard caps complying with the cap data sheets of IEC Publication 60061, </w:t>
      </w:r>
      <w:r w:rsidRPr="008A1A9A">
        <w:rPr>
          <w:strike/>
        </w:rPr>
        <w:t>third edition,</w:t>
      </w:r>
      <w:r w:rsidRPr="008A1A9A">
        <w:t xml:space="preserve"> as specified on the individual data sheets of Annex 1 to this Regulation.”</w:t>
      </w:r>
    </w:p>
    <w:p w:rsidR="00DC63A7" w:rsidRPr="008A1A9A" w:rsidRDefault="00DC63A7" w:rsidP="00DC63A7">
      <w:pPr>
        <w:pStyle w:val="SingleTxtG"/>
        <w:ind w:left="2268" w:hanging="1134"/>
      </w:pPr>
      <w:r w:rsidRPr="008A1A9A">
        <w:rPr>
          <w:i/>
        </w:rPr>
        <w:t xml:space="preserve">Annex 1, </w:t>
      </w:r>
      <w:r w:rsidRPr="008A1A9A">
        <w:t>replace by a new Annex 1 to read:</w:t>
      </w:r>
    </w:p>
    <w:p w:rsidR="00DC63A7" w:rsidRPr="008A1A9A" w:rsidRDefault="00B042CE" w:rsidP="00B042CE">
      <w:pPr>
        <w:pStyle w:val="SingleTxtG"/>
        <w:ind w:left="2268" w:hanging="1134"/>
        <w:rPr>
          <w:b/>
        </w:rPr>
      </w:pPr>
      <w:r w:rsidRPr="008A1A9A">
        <w:t>"</w:t>
      </w:r>
      <w:bookmarkStart w:id="2" w:name="_Toc386202964"/>
      <w:r w:rsidR="00DC63A7" w:rsidRPr="008A1A9A">
        <w:rPr>
          <w:b/>
        </w:rPr>
        <w:t>Annex 1</w:t>
      </w:r>
      <w:bookmarkEnd w:id="2"/>
    </w:p>
    <w:p w:rsidR="00DC63A7" w:rsidRPr="008A1A9A" w:rsidRDefault="00DC63A7" w:rsidP="00B042CE">
      <w:pPr>
        <w:spacing w:after="120"/>
        <w:ind w:left="1134" w:right="1134"/>
        <w:jc w:val="both"/>
        <w:rPr>
          <w:b/>
        </w:rPr>
      </w:pPr>
      <w:bookmarkStart w:id="3" w:name="_Toc386202965"/>
      <w:r w:rsidRPr="008A1A9A">
        <w:rPr>
          <w:b/>
        </w:rPr>
        <w:t>Sheets* for gas-discharge light sources</w:t>
      </w:r>
      <w:bookmarkEnd w:id="3"/>
    </w:p>
    <w:p w:rsidR="00DC63A7" w:rsidRPr="008A1A9A" w:rsidRDefault="00DC63A7" w:rsidP="00B042CE">
      <w:pPr>
        <w:spacing w:after="120"/>
        <w:ind w:left="1134" w:right="1134"/>
        <w:jc w:val="both"/>
        <w:rPr>
          <w:b/>
          <w:lang w:val="en-US"/>
        </w:rPr>
      </w:pPr>
      <w:r w:rsidRPr="008A1A9A">
        <w:rPr>
          <w:b/>
          <w:lang w:val="en-US"/>
        </w:rPr>
        <w:t xml:space="preserve">The sheets of the relevant gas-discharge light source category </w:t>
      </w:r>
      <w:r w:rsidRPr="008A1A9A">
        <w:rPr>
          <w:b/>
        </w:rPr>
        <w:t xml:space="preserve">and the group in which this category is listed with restrictions on the use of this category </w:t>
      </w:r>
      <w:r w:rsidRPr="008A1A9A">
        <w:rPr>
          <w:b/>
          <w:lang w:val="en-US"/>
        </w:rPr>
        <w:t xml:space="preserve">shall apply as </w:t>
      </w:r>
      <w:r w:rsidRPr="008A1A9A">
        <w:rPr>
          <w:b/>
        </w:rPr>
        <w:t xml:space="preserve">incorporated </w:t>
      </w:r>
      <w:r w:rsidRPr="008A1A9A">
        <w:rPr>
          <w:b/>
          <w:lang w:val="en-US"/>
        </w:rPr>
        <w:t xml:space="preserve">in the Resolution [No. y] </w:t>
      </w:r>
      <w:r w:rsidRPr="008A1A9A">
        <w:rPr>
          <w:b/>
        </w:rPr>
        <w:t>or its subsequent revisions</w:t>
      </w:r>
      <w:r w:rsidRPr="008A1A9A">
        <w:rPr>
          <w:b/>
          <w:lang w:val="en-US"/>
        </w:rPr>
        <w:t>, applicable at the time of application for type approval of the gas-discharge light source.</w:t>
      </w:r>
    </w:p>
    <w:p w:rsidR="00DC63A7" w:rsidRPr="008A1A9A" w:rsidRDefault="00DC63A7" w:rsidP="00B042CE">
      <w:pPr>
        <w:spacing w:after="120"/>
        <w:ind w:left="1134" w:right="1134"/>
        <w:jc w:val="both"/>
        <w:rPr>
          <w:b/>
          <w:sz w:val="18"/>
          <w:szCs w:val="18"/>
          <w:lang w:val="en-US"/>
        </w:rPr>
      </w:pPr>
      <w:r w:rsidRPr="008A1A9A">
        <w:rPr>
          <w:b/>
          <w:sz w:val="18"/>
          <w:szCs w:val="18"/>
          <w:lang w:val="en-US"/>
        </w:rPr>
        <w:t xml:space="preserve">* From [date] onwards, the sheets for gas-discharge light sources, the list and </w:t>
      </w:r>
      <w:r w:rsidRPr="008A1A9A">
        <w:rPr>
          <w:b/>
          <w:sz w:val="18"/>
          <w:szCs w:val="18"/>
        </w:rPr>
        <w:t xml:space="preserve">group of light source categories with restrictions on the use of this category and </w:t>
      </w:r>
      <w:r w:rsidRPr="008A1A9A">
        <w:rPr>
          <w:b/>
          <w:sz w:val="18"/>
          <w:szCs w:val="18"/>
          <w:lang w:val="en-US"/>
        </w:rPr>
        <w:t xml:space="preserve">their sheet numbers are </w:t>
      </w:r>
      <w:r w:rsidRPr="008A1A9A">
        <w:rPr>
          <w:b/>
          <w:sz w:val="18"/>
          <w:szCs w:val="18"/>
        </w:rPr>
        <w:t xml:space="preserve">incorporated </w:t>
      </w:r>
      <w:r w:rsidRPr="008A1A9A">
        <w:rPr>
          <w:b/>
          <w:sz w:val="18"/>
          <w:szCs w:val="18"/>
          <w:lang w:val="en-US"/>
        </w:rPr>
        <w:t xml:space="preserve">in the Resolution [No. y] </w:t>
      </w:r>
      <w:r w:rsidRPr="008A1A9A">
        <w:rPr>
          <w:b/>
          <w:sz w:val="18"/>
          <w:szCs w:val="18"/>
        </w:rPr>
        <w:t>with symbol ECE/TRANS/WP.29/11XX</w:t>
      </w:r>
      <w:r w:rsidRPr="008A1A9A">
        <w:rPr>
          <w:b/>
          <w:sz w:val="18"/>
          <w:szCs w:val="18"/>
          <w:lang w:val="en-US"/>
        </w:rPr>
        <w:t>.</w:t>
      </w:r>
      <w:r w:rsidR="00B042CE" w:rsidRPr="008A1A9A">
        <w:rPr>
          <w:b/>
          <w:sz w:val="18"/>
          <w:szCs w:val="18"/>
          <w:lang w:val="en-US"/>
        </w:rPr>
        <w:t>"</w:t>
      </w:r>
    </w:p>
    <w:p w:rsidR="00DC63A7" w:rsidRPr="008A1A9A" w:rsidRDefault="00DC63A7" w:rsidP="00DC63A7">
      <w:pPr>
        <w:spacing w:after="120"/>
        <w:ind w:left="1134" w:right="-1"/>
        <w:rPr>
          <w:i/>
        </w:rPr>
      </w:pPr>
      <w:r w:rsidRPr="008A1A9A">
        <w:rPr>
          <w:i/>
        </w:rPr>
        <w:t>Annex 4,</w:t>
      </w:r>
    </w:p>
    <w:p w:rsidR="00DC63A7" w:rsidRPr="008A1A9A" w:rsidRDefault="00DC63A7" w:rsidP="00DC63A7">
      <w:pPr>
        <w:spacing w:after="120"/>
        <w:ind w:left="1134" w:right="-1"/>
        <w:rPr>
          <w:i/>
        </w:rPr>
      </w:pPr>
      <w:r w:rsidRPr="008A1A9A">
        <w:rPr>
          <w:i/>
        </w:rPr>
        <w:t xml:space="preserve">Paragraph </w:t>
      </w:r>
      <w:proofErr w:type="gramStart"/>
      <w:r w:rsidRPr="008A1A9A">
        <w:rPr>
          <w:i/>
        </w:rPr>
        <w:t>3.</w:t>
      </w:r>
      <w:r w:rsidRPr="008A1A9A">
        <w:t>,</w:t>
      </w:r>
      <w:proofErr w:type="gramEnd"/>
      <w:r w:rsidRPr="008A1A9A">
        <w:t xml:space="preserve"> </w:t>
      </w:r>
      <w:r w:rsidRPr="008A1A9A">
        <w:rPr>
          <w:i/>
        </w:rPr>
        <w:t>amend to read:</w:t>
      </w:r>
    </w:p>
    <w:p w:rsidR="00DC63A7" w:rsidRPr="008A1A9A" w:rsidRDefault="00B042CE" w:rsidP="00DC63A7">
      <w:pPr>
        <w:pStyle w:val="SingleTxtG"/>
        <w:tabs>
          <w:tab w:val="left" w:pos="2268"/>
          <w:tab w:val="left" w:pos="2300"/>
        </w:tabs>
        <w:ind w:left="2268" w:hanging="1134"/>
      </w:pPr>
      <w:r w:rsidRPr="008A1A9A">
        <w:t>"</w:t>
      </w:r>
      <w:r w:rsidR="00DC63A7" w:rsidRPr="008A1A9A">
        <w:t>3.</w:t>
      </w:r>
      <w:r w:rsidR="00DC63A7" w:rsidRPr="008A1A9A">
        <w:tab/>
        <w:t>Burning position</w:t>
      </w:r>
    </w:p>
    <w:p w:rsidR="00DC63A7" w:rsidRPr="008A1A9A" w:rsidRDefault="00DC63A7" w:rsidP="00DC63A7">
      <w:pPr>
        <w:pStyle w:val="SingleTxtG"/>
        <w:tabs>
          <w:tab w:val="left" w:pos="2268"/>
          <w:tab w:val="left" w:pos="2300"/>
        </w:tabs>
        <w:ind w:left="2268"/>
      </w:pPr>
      <w:r w:rsidRPr="008A1A9A">
        <w:lastRenderedPageBreak/>
        <w:t xml:space="preserve">The burning position shall be horizontal within ±10° with the lead wire down. Ageing and testing positions shall be identical. If the </w:t>
      </w:r>
      <w:r w:rsidRPr="008A1A9A">
        <w:rPr>
          <w:strike/>
        </w:rPr>
        <w:t>lamp</w:t>
      </w:r>
      <w:r w:rsidRPr="008A1A9A">
        <w:t xml:space="preserve"> </w:t>
      </w:r>
      <w:r w:rsidRPr="008A1A9A">
        <w:rPr>
          <w:b/>
        </w:rPr>
        <w:t xml:space="preserve">gas-discharge light source </w:t>
      </w:r>
      <w:r w:rsidRPr="008A1A9A">
        <w:t>is accidentally operated in the wrong direction, it shall be re-aged before measurements begin. …..</w:t>
      </w:r>
      <w:r w:rsidR="00B042CE" w:rsidRPr="008A1A9A">
        <w:t>"</w:t>
      </w:r>
    </w:p>
    <w:p w:rsidR="00DC63A7" w:rsidRPr="008A1A9A" w:rsidRDefault="00DC63A7" w:rsidP="00DC63A7">
      <w:pPr>
        <w:pStyle w:val="SingleTxtG"/>
        <w:tabs>
          <w:tab w:val="left" w:pos="2268"/>
          <w:tab w:val="left" w:pos="2300"/>
        </w:tabs>
      </w:pPr>
      <w:r w:rsidRPr="008A1A9A">
        <w:rPr>
          <w:i/>
        </w:rPr>
        <w:t xml:space="preserve">Paragraph </w:t>
      </w:r>
      <w:proofErr w:type="gramStart"/>
      <w:r w:rsidRPr="008A1A9A">
        <w:rPr>
          <w:i/>
        </w:rPr>
        <w:t>10.</w:t>
      </w:r>
      <w:r w:rsidRPr="008A1A9A">
        <w:t>,</w:t>
      </w:r>
      <w:proofErr w:type="gramEnd"/>
      <w:r w:rsidRPr="008A1A9A">
        <w:t xml:space="preserve"> delete the figure and amend to read:</w:t>
      </w:r>
    </w:p>
    <w:p w:rsidR="00DC63A7" w:rsidRPr="008A1A9A" w:rsidRDefault="00B042CE" w:rsidP="00DC63A7">
      <w:pPr>
        <w:pStyle w:val="SingleTxtG"/>
        <w:tabs>
          <w:tab w:val="left" w:pos="2268"/>
          <w:tab w:val="left" w:pos="2300"/>
        </w:tabs>
        <w:rPr>
          <w:lang w:eastAsia="de-DE"/>
        </w:rPr>
      </w:pPr>
      <w:r w:rsidRPr="008A1A9A">
        <w:t>"</w:t>
      </w:r>
      <w:r w:rsidR="00DC63A7" w:rsidRPr="008A1A9A">
        <w:rPr>
          <w:lang w:eastAsia="de-DE"/>
        </w:rPr>
        <w:t>10.</w:t>
      </w:r>
      <w:r w:rsidR="00DC63A7" w:rsidRPr="008A1A9A">
        <w:rPr>
          <w:lang w:eastAsia="de-DE"/>
        </w:rPr>
        <w:tab/>
      </w:r>
      <w:r w:rsidR="00DC63A7" w:rsidRPr="008A1A9A">
        <w:rPr>
          <w:snapToGrid w:val="0"/>
        </w:rPr>
        <w:t>Colour</w:t>
      </w:r>
    </w:p>
    <w:p w:rsidR="00DC63A7" w:rsidRPr="008A1A9A" w:rsidRDefault="00DC63A7" w:rsidP="004F133F">
      <w:pPr>
        <w:pStyle w:val="SingleTxtG"/>
        <w:ind w:left="2257" w:hanging="1123"/>
        <w:rPr>
          <w:lang w:eastAsia="de-DE"/>
        </w:rPr>
      </w:pPr>
      <w:r w:rsidRPr="008A1A9A">
        <w:rPr>
          <w:lang w:eastAsia="de-DE"/>
        </w:rPr>
        <w:tab/>
        <w:t xml:space="preserve">The colour of the light source shall be measured in an integrating sphere using a measuring </w:t>
      </w:r>
      <w:r w:rsidRPr="008A1A9A">
        <w:rPr>
          <w:snapToGrid w:val="0"/>
        </w:rPr>
        <w:t>system</w:t>
      </w:r>
      <w:r w:rsidRPr="008A1A9A">
        <w:rPr>
          <w:lang w:eastAsia="de-DE"/>
        </w:rPr>
        <w:t xml:space="preserve"> which shows the CIE chromaticity co-ordinates of the received light with a resolution of </w:t>
      </w:r>
      <w:r w:rsidRPr="008A1A9A">
        <w:rPr>
          <w:lang w:eastAsia="de-DE"/>
        </w:rPr>
        <w:sym w:font="Symbol" w:char="F0B1"/>
      </w:r>
      <w:r w:rsidRPr="008A1A9A">
        <w:rPr>
          <w:lang w:eastAsia="de-DE"/>
        </w:rPr>
        <w:t xml:space="preserve"> 0.002.</w:t>
      </w:r>
      <w:r w:rsidRPr="008A1A9A">
        <w:rPr>
          <w:strike/>
          <w:lang w:eastAsia="de-DE"/>
        </w:rPr>
        <w:t>The following figure shows the colour tolerance area for colour white and the restricted tolerance area for the gas-discharge light sources D1R, D1S, D2R, D2S, D3R, D3S, D4R, D4S, D5S, D6S, D8R and D8S</w:t>
      </w:r>
      <w:r w:rsidRPr="008A1A9A">
        <w:rPr>
          <w:lang w:eastAsia="de-DE"/>
        </w:rPr>
        <w:t>.</w:t>
      </w:r>
      <w:r w:rsidR="00B042CE" w:rsidRPr="008A1A9A">
        <w:rPr>
          <w:lang w:eastAsia="de-DE"/>
        </w:rPr>
        <w:t>"</w:t>
      </w:r>
    </w:p>
    <w:p w:rsidR="00DC63A7" w:rsidRPr="008A1A9A" w:rsidRDefault="00DC63A7" w:rsidP="00DC63A7">
      <w:pPr>
        <w:spacing w:after="120"/>
        <w:ind w:left="1134" w:right="-1"/>
      </w:pPr>
      <w:r w:rsidRPr="008A1A9A">
        <w:rPr>
          <w:i/>
        </w:rPr>
        <w:t>Annex 5,</w:t>
      </w:r>
      <w:r w:rsidR="004F133F" w:rsidRPr="008A1A9A">
        <w:rPr>
          <w:i/>
        </w:rPr>
        <w:t xml:space="preserve"> </w:t>
      </w:r>
      <w:r w:rsidRPr="008A1A9A">
        <w:t>amend to read:</w:t>
      </w:r>
    </w:p>
    <w:p w:rsidR="00DC63A7" w:rsidRPr="008A1A9A" w:rsidRDefault="00B042CE" w:rsidP="00DC63A7">
      <w:pPr>
        <w:spacing w:after="120"/>
        <w:ind w:left="1134" w:right="-1"/>
        <w:rPr>
          <w:lang w:val="en-US"/>
        </w:rPr>
      </w:pPr>
      <w:r w:rsidRPr="008A1A9A">
        <w:rPr>
          <w:lang w:val="en-US"/>
        </w:rPr>
        <w:t>"</w:t>
      </w:r>
      <w:r w:rsidR="00DC63A7" w:rsidRPr="008A1A9A">
        <w:rPr>
          <w:lang w:val="en-US"/>
        </w:rPr>
        <w:t>....</w:t>
      </w:r>
    </w:p>
    <w:p w:rsidR="00DC63A7" w:rsidRPr="008A1A9A" w:rsidRDefault="00DC63A7" w:rsidP="00DC63A7">
      <w:pPr>
        <w:pStyle w:val="SingleTxtG"/>
      </w:pPr>
      <w:r w:rsidRPr="008A1A9A">
        <w:t>The gas-discharge light source shall be positioned as shown</w:t>
      </w:r>
      <w:r w:rsidRPr="008A1A9A">
        <w:rPr>
          <w:strike/>
        </w:rPr>
        <w:t>:</w:t>
      </w:r>
      <w:r w:rsidRPr="008A1A9A">
        <w:t xml:space="preserve"> </w:t>
      </w:r>
      <w:r w:rsidRPr="008A1A9A">
        <w:rPr>
          <w:b/>
        </w:rPr>
        <w:t>in the main drawing of the respective category.</w:t>
      </w:r>
    </w:p>
    <w:p w:rsidR="00DC63A7" w:rsidRPr="008A1A9A" w:rsidRDefault="00DC63A7" w:rsidP="00DC63A7">
      <w:pPr>
        <w:pStyle w:val="SingleTxtG"/>
        <w:spacing w:line="240" w:lineRule="auto"/>
        <w:ind w:firstLine="567"/>
        <w:rPr>
          <w:strike/>
        </w:rPr>
      </w:pPr>
      <w:proofErr w:type="gramStart"/>
      <w:r w:rsidRPr="008A1A9A">
        <w:rPr>
          <w:strike/>
        </w:rPr>
        <w:t>in</w:t>
      </w:r>
      <w:proofErr w:type="gramEnd"/>
      <w:r w:rsidRPr="008A1A9A">
        <w:rPr>
          <w:strike/>
        </w:rPr>
        <w:t xml:space="preserve"> figure 1 or figure 2 on sheet </w:t>
      </w:r>
      <w:proofErr w:type="spellStart"/>
      <w:r w:rsidRPr="008A1A9A">
        <w:rPr>
          <w:strike/>
        </w:rPr>
        <w:t>DxR</w:t>
      </w:r>
      <w:proofErr w:type="spellEnd"/>
      <w:r w:rsidRPr="008A1A9A">
        <w:rPr>
          <w:strike/>
        </w:rPr>
        <w:t xml:space="preserve">/1 or sheet </w:t>
      </w:r>
      <w:proofErr w:type="spellStart"/>
      <w:r w:rsidRPr="008A1A9A">
        <w:rPr>
          <w:strike/>
        </w:rPr>
        <w:t>DxS</w:t>
      </w:r>
      <w:proofErr w:type="spellEnd"/>
      <w:r w:rsidRPr="008A1A9A">
        <w:rPr>
          <w:strike/>
        </w:rPr>
        <w:t>/1;</w:t>
      </w:r>
    </w:p>
    <w:p w:rsidR="00DC63A7" w:rsidRPr="008A1A9A" w:rsidRDefault="00DC63A7" w:rsidP="00DC63A7">
      <w:pPr>
        <w:pStyle w:val="SingleTxtG"/>
        <w:ind w:firstLine="567"/>
      </w:pPr>
      <w:r w:rsidRPr="008A1A9A">
        <w:rPr>
          <w:strike/>
          <w:noProof/>
          <w:lang w:eastAsia="en-GB"/>
        </w:rPr>
        <w:drawing>
          <wp:anchor distT="0" distB="0" distL="114300" distR="114300" simplePos="0" relativeHeight="251659264" behindDoc="0" locked="0" layoutInCell="1" allowOverlap="1" wp14:anchorId="4B0AFACA" wp14:editId="7F43E335">
            <wp:simplePos x="0" y="0"/>
            <wp:positionH relativeFrom="column">
              <wp:posOffset>681355</wp:posOffset>
            </wp:positionH>
            <wp:positionV relativeFrom="paragraph">
              <wp:posOffset>235585</wp:posOffset>
            </wp:positionV>
            <wp:extent cx="4533900" cy="2329815"/>
            <wp:effectExtent l="0" t="0" r="0" b="0"/>
            <wp:wrapTopAndBottom/>
            <wp:docPr id="39" name="Picture 39" descr="Annex 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nnex 5-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3900" cy="23298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A1A9A">
        <w:rPr>
          <w:strike/>
        </w:rPr>
        <w:t>in</w:t>
      </w:r>
      <w:proofErr w:type="gramEnd"/>
      <w:r w:rsidRPr="008A1A9A">
        <w:rPr>
          <w:strike/>
        </w:rPr>
        <w:t xml:space="preserve"> figure 3 or figure 4 on sheet </w:t>
      </w:r>
      <w:proofErr w:type="spellStart"/>
      <w:r w:rsidRPr="008A1A9A">
        <w:rPr>
          <w:strike/>
        </w:rPr>
        <w:t>DxR</w:t>
      </w:r>
      <w:proofErr w:type="spellEnd"/>
      <w:r w:rsidRPr="008A1A9A">
        <w:rPr>
          <w:strike/>
        </w:rPr>
        <w:t xml:space="preserve">/2 or sheet </w:t>
      </w:r>
      <w:proofErr w:type="spellStart"/>
      <w:r w:rsidRPr="008A1A9A">
        <w:rPr>
          <w:strike/>
        </w:rPr>
        <w:t>DxS</w:t>
      </w:r>
      <w:proofErr w:type="spellEnd"/>
      <w:r w:rsidRPr="008A1A9A">
        <w:rPr>
          <w:strike/>
        </w:rPr>
        <w:t>/2</w:t>
      </w:r>
      <w:r w:rsidRPr="008A1A9A">
        <w:t>.</w:t>
      </w:r>
    </w:p>
    <w:p w:rsidR="00DC63A7" w:rsidRPr="008A1A9A" w:rsidRDefault="00DC63A7" w:rsidP="00DC63A7">
      <w:pPr>
        <w:pStyle w:val="SingleTxtG"/>
      </w:pPr>
      <w:r w:rsidRPr="008A1A9A">
        <w:t>An optical system shall project …..</w:t>
      </w:r>
    </w:p>
    <w:p w:rsidR="00DC63A7" w:rsidRPr="008A1A9A" w:rsidRDefault="00DC63A7" w:rsidP="00DC63A7">
      <w:pPr>
        <w:pStyle w:val="SingleTxtG"/>
      </w:pPr>
      <w:r w:rsidRPr="008A1A9A">
        <w:t>…..</w:t>
      </w:r>
    </w:p>
    <w:p w:rsidR="00DC63A7" w:rsidRPr="008A1A9A" w:rsidRDefault="00DC63A7" w:rsidP="00DC63A7">
      <w:pPr>
        <w:pStyle w:val="SingleTxtG"/>
      </w:pPr>
      <w:r w:rsidRPr="008A1A9A">
        <w:t>D = (1 + 1/M</w:t>
      </w:r>
      <w:proofErr w:type="gramStart"/>
      <w:r w:rsidRPr="008A1A9A">
        <w:t>)d</w:t>
      </w:r>
      <w:proofErr w:type="gramEnd"/>
      <w:r w:rsidRPr="008A1A9A">
        <w:t xml:space="preserve"> + c + (b1 + b2)/2. (</w:t>
      </w:r>
      <w:proofErr w:type="gramStart"/>
      <w:r w:rsidRPr="008A1A9A">
        <w:t>c</w:t>
      </w:r>
      <w:proofErr w:type="gramEnd"/>
      <w:r w:rsidRPr="008A1A9A">
        <w:t xml:space="preserve">, b1 and b2 are given </w:t>
      </w:r>
      <w:r w:rsidRPr="008A1A9A">
        <w:rPr>
          <w:b/>
        </w:rPr>
        <w:t>in the sheets prescribing the position of the electrodes</w:t>
      </w:r>
      <w:r w:rsidRPr="008A1A9A">
        <w:t xml:space="preserve"> </w:t>
      </w:r>
      <w:r w:rsidRPr="008A1A9A">
        <w:rPr>
          <w:strike/>
        </w:rPr>
        <w:t xml:space="preserve">on sheet </w:t>
      </w:r>
      <w:proofErr w:type="spellStart"/>
      <w:r w:rsidRPr="008A1A9A">
        <w:rPr>
          <w:strike/>
        </w:rPr>
        <w:t>DxS</w:t>
      </w:r>
      <w:proofErr w:type="spellEnd"/>
      <w:r w:rsidRPr="008A1A9A">
        <w:rPr>
          <w:strike/>
        </w:rPr>
        <w:t>/5, respectively sheet </w:t>
      </w:r>
      <w:proofErr w:type="spellStart"/>
      <w:r w:rsidRPr="008A1A9A">
        <w:rPr>
          <w:strike/>
        </w:rPr>
        <w:t>DxR</w:t>
      </w:r>
      <w:proofErr w:type="spellEnd"/>
      <w:r w:rsidRPr="008A1A9A">
        <w:rPr>
          <w:strike/>
        </w:rPr>
        <w:t>/5</w:t>
      </w:r>
      <w:r w:rsidRPr="008A1A9A">
        <w:t>).</w:t>
      </w:r>
    </w:p>
    <w:p w:rsidR="00DC63A7" w:rsidRPr="008A1A9A" w:rsidRDefault="00DC63A7" w:rsidP="00DC63A7">
      <w:pPr>
        <w:pStyle w:val="SingleTxtG"/>
        <w:rPr>
          <w:spacing w:val="-2"/>
        </w:rPr>
      </w:pPr>
      <w:r w:rsidRPr="008A1A9A">
        <w:t xml:space="preserve">A scale on the screen shall enable to measure ….... The gauge shall show the reference axis and the plane parallel to the reference plane and at distance "e" mm from it </w:t>
      </w:r>
      <w:r w:rsidRPr="008A1A9A">
        <w:rPr>
          <w:strike/>
          <w:spacing w:val="-2"/>
        </w:rPr>
        <w:t>(e = 27.1 for D1R, D1S, D2R, D2S, D3R, D3S, D4R and D4S)</w:t>
      </w:r>
      <w:r w:rsidRPr="008A1A9A">
        <w:rPr>
          <w:spacing w:val="-2"/>
        </w:rPr>
        <w:t>.</w:t>
      </w:r>
    </w:p>
    <w:p w:rsidR="00DC63A7" w:rsidRPr="008A1A9A" w:rsidRDefault="00DC63A7" w:rsidP="00DC63A7">
      <w:pPr>
        <w:pStyle w:val="SingleTxtG"/>
        <w:rPr>
          <w:spacing w:val="-2"/>
        </w:rPr>
      </w:pPr>
      <w:proofErr w:type="gramStart"/>
      <w:r w:rsidRPr="008A1A9A">
        <w:rPr>
          <w:spacing w:val="-2"/>
        </w:rPr>
        <w:t>In the plane of the screen ……</w:t>
      </w:r>
      <w:proofErr w:type="gramEnd"/>
    </w:p>
    <w:p w:rsidR="00DC63A7" w:rsidRPr="008A1A9A" w:rsidRDefault="00DC63A7" w:rsidP="00DC63A7">
      <w:pPr>
        <w:pStyle w:val="SingleTxtG"/>
        <w:rPr>
          <w:b/>
        </w:rPr>
      </w:pPr>
      <w:r w:rsidRPr="008A1A9A">
        <w:rPr>
          <w:spacing w:val="-2"/>
        </w:rPr>
        <w:t>…….</w:t>
      </w:r>
      <w:r w:rsidRPr="008A1A9A">
        <w:t xml:space="preserve"> The range of measurable movement shall be such that the required measures of the arc bending r and arc diffusion s can be measured.  </w:t>
      </w:r>
      <w:r w:rsidRPr="008A1A9A">
        <w:rPr>
          <w:b/>
        </w:rPr>
        <w:t>For the measurement of the stray light, the size of the receiver shall be circular with a diameter of 0.2M mm diameter.</w:t>
      </w:r>
      <w:r w:rsidR="00B042CE" w:rsidRPr="008A1A9A">
        <w:rPr>
          <w:b/>
        </w:rPr>
        <w:t>"</w:t>
      </w:r>
    </w:p>
    <w:p w:rsidR="00DC63A7" w:rsidRPr="008A1A9A" w:rsidRDefault="00DC63A7" w:rsidP="00DC63A7">
      <w:pPr>
        <w:pStyle w:val="SingleTxtG"/>
        <w:rPr>
          <w:i/>
        </w:rPr>
      </w:pPr>
      <w:r w:rsidRPr="008A1A9A">
        <w:rPr>
          <w:i/>
        </w:rPr>
        <w:t>Annex 7,</w:t>
      </w:r>
    </w:p>
    <w:p w:rsidR="00DC63A7" w:rsidRPr="008A1A9A" w:rsidRDefault="00DC63A7" w:rsidP="00DC63A7">
      <w:pPr>
        <w:pStyle w:val="SingleTxtG"/>
      </w:pPr>
      <w:r w:rsidRPr="008A1A9A">
        <w:rPr>
          <w:i/>
        </w:rPr>
        <w:lastRenderedPageBreak/>
        <w:t xml:space="preserve">Table 1, </w:t>
      </w:r>
      <w:r w:rsidRPr="008A1A9A">
        <w:t>amend to read:</w:t>
      </w:r>
    </w:p>
    <w:p w:rsidR="00DC63A7" w:rsidRPr="008A1A9A" w:rsidRDefault="00B042CE" w:rsidP="00DC63A7">
      <w:pPr>
        <w:pStyle w:val="Heading1"/>
      </w:pPr>
      <w:r w:rsidRPr="008A1A9A">
        <w:t>"</w:t>
      </w:r>
      <w:r w:rsidR="00467806" w:rsidRPr="008A1A9A">
        <w:t>...</w:t>
      </w:r>
    </w:p>
    <w:tbl>
      <w:tblPr>
        <w:tblW w:w="7371" w:type="dxa"/>
        <w:tblInd w:w="1134" w:type="dxa"/>
        <w:tblBorders>
          <w:left w:val="single" w:sz="2" w:space="0" w:color="auto"/>
          <w:bottom w:val="single" w:sz="2" w:space="0" w:color="auto"/>
          <w:right w:val="single" w:sz="2" w:space="0" w:color="auto"/>
          <w:insideH w:val="single" w:sz="2" w:space="0" w:color="auto"/>
        </w:tblBorders>
        <w:tblLayout w:type="fixed"/>
        <w:tblCellMar>
          <w:left w:w="0" w:type="dxa"/>
          <w:right w:w="0" w:type="dxa"/>
        </w:tblCellMar>
        <w:tblLook w:val="0000" w:firstRow="0" w:lastRow="0" w:firstColumn="0" w:lastColumn="0" w:noHBand="0" w:noVBand="0"/>
      </w:tblPr>
      <w:tblGrid>
        <w:gridCol w:w="1842"/>
        <w:gridCol w:w="1843"/>
        <w:gridCol w:w="1843"/>
        <w:gridCol w:w="1843"/>
      </w:tblGrid>
      <w:tr w:rsidR="008A1A9A" w:rsidRPr="008A1A9A" w:rsidTr="00467806">
        <w:trPr>
          <w:cantSplit/>
          <w:tblHeader/>
        </w:trPr>
        <w:tc>
          <w:tcPr>
            <w:tcW w:w="1842" w:type="dxa"/>
            <w:tcBorders>
              <w:top w:val="single" w:sz="2" w:space="0" w:color="auto"/>
              <w:bottom w:val="single" w:sz="12" w:space="0" w:color="auto"/>
              <w:right w:val="single" w:sz="2" w:space="0" w:color="auto"/>
            </w:tcBorders>
            <w:shd w:val="clear" w:color="auto" w:fill="auto"/>
            <w:vAlign w:val="bottom"/>
          </w:tcPr>
          <w:p w:rsidR="00467806" w:rsidRPr="008A1A9A" w:rsidRDefault="00467806" w:rsidP="003353DC">
            <w:pPr>
              <w:suppressAutoHyphens w:val="0"/>
              <w:spacing w:before="80" w:after="80" w:line="200" w:lineRule="exact"/>
              <w:ind w:left="113" w:right="113"/>
              <w:rPr>
                <w:i/>
                <w:sz w:val="16"/>
              </w:rPr>
            </w:pPr>
            <w:r w:rsidRPr="008A1A9A">
              <w:rPr>
                <w:i/>
                <w:sz w:val="16"/>
              </w:rPr>
              <w:t>Grouping of characteristics</w:t>
            </w:r>
          </w:p>
        </w:tc>
        <w:tc>
          <w:tcPr>
            <w:tcW w:w="1843" w:type="dxa"/>
            <w:tcBorders>
              <w:top w:val="single" w:sz="2" w:space="0" w:color="auto"/>
              <w:left w:val="single" w:sz="2" w:space="0" w:color="auto"/>
              <w:bottom w:val="single" w:sz="12" w:space="0" w:color="auto"/>
              <w:right w:val="single" w:sz="2" w:space="0" w:color="auto"/>
            </w:tcBorders>
            <w:shd w:val="clear" w:color="auto" w:fill="auto"/>
            <w:vAlign w:val="bottom"/>
          </w:tcPr>
          <w:p w:rsidR="00467806" w:rsidRPr="008A1A9A" w:rsidRDefault="00467806" w:rsidP="003353DC">
            <w:pPr>
              <w:suppressAutoHyphens w:val="0"/>
              <w:spacing w:before="80" w:after="80" w:line="200" w:lineRule="exact"/>
              <w:ind w:left="113" w:right="113"/>
              <w:rPr>
                <w:i/>
                <w:sz w:val="16"/>
              </w:rPr>
            </w:pPr>
            <w:r w:rsidRPr="008A1A9A">
              <w:rPr>
                <w:i/>
                <w:sz w:val="16"/>
              </w:rPr>
              <w:t>Grouping* of test records between gas-discharge light source types</w:t>
            </w:r>
          </w:p>
        </w:tc>
        <w:tc>
          <w:tcPr>
            <w:tcW w:w="1843" w:type="dxa"/>
            <w:tcBorders>
              <w:top w:val="single" w:sz="2" w:space="0" w:color="auto"/>
              <w:left w:val="single" w:sz="2" w:space="0" w:color="auto"/>
              <w:bottom w:val="single" w:sz="12" w:space="0" w:color="auto"/>
              <w:right w:val="single" w:sz="2" w:space="0" w:color="auto"/>
            </w:tcBorders>
            <w:shd w:val="clear" w:color="auto" w:fill="auto"/>
            <w:vAlign w:val="bottom"/>
          </w:tcPr>
          <w:p w:rsidR="00467806" w:rsidRPr="008A1A9A" w:rsidRDefault="00467806" w:rsidP="003353DC">
            <w:pPr>
              <w:suppressAutoHyphens w:val="0"/>
              <w:spacing w:before="80" w:after="80" w:line="200" w:lineRule="exact"/>
              <w:ind w:left="113" w:right="113"/>
              <w:rPr>
                <w:i/>
                <w:sz w:val="16"/>
              </w:rPr>
            </w:pPr>
            <w:r w:rsidRPr="008A1A9A">
              <w:rPr>
                <w:i/>
                <w:sz w:val="16"/>
              </w:rPr>
              <w:t>Minimum 12 monthly sample per grouping*</w:t>
            </w:r>
          </w:p>
        </w:tc>
        <w:tc>
          <w:tcPr>
            <w:tcW w:w="1843" w:type="dxa"/>
            <w:tcBorders>
              <w:top w:val="single" w:sz="2" w:space="0" w:color="auto"/>
              <w:left w:val="single" w:sz="2" w:space="0" w:color="auto"/>
              <w:bottom w:val="single" w:sz="12" w:space="0" w:color="auto"/>
            </w:tcBorders>
            <w:shd w:val="clear" w:color="auto" w:fill="auto"/>
            <w:vAlign w:val="bottom"/>
          </w:tcPr>
          <w:p w:rsidR="00467806" w:rsidRPr="008A1A9A" w:rsidRDefault="00467806" w:rsidP="00381735">
            <w:pPr>
              <w:suppressAutoHyphens w:val="0"/>
              <w:spacing w:before="80" w:after="80" w:line="200" w:lineRule="exact"/>
              <w:ind w:left="113" w:right="113"/>
              <w:rPr>
                <w:i/>
                <w:sz w:val="16"/>
              </w:rPr>
            </w:pPr>
            <w:r w:rsidRPr="008A1A9A">
              <w:rPr>
                <w:i/>
                <w:sz w:val="16"/>
              </w:rPr>
              <w:t>Acceptable level of non-compliance per grouping of characteristics (</w:t>
            </w:r>
            <w:r w:rsidR="001C1C60" w:rsidRPr="008A1A9A">
              <w:rPr>
                <w:i/>
                <w:sz w:val="16"/>
              </w:rPr>
              <w:t>percent</w:t>
            </w:r>
            <w:r w:rsidR="00381735" w:rsidRPr="008A1A9A">
              <w:rPr>
                <w:i/>
                <w:sz w:val="16"/>
              </w:rPr>
              <w:t>age</w:t>
            </w:r>
            <w:r w:rsidRPr="008A1A9A">
              <w:rPr>
                <w:i/>
                <w:sz w:val="16"/>
              </w:rPr>
              <w:t>)</w:t>
            </w:r>
          </w:p>
        </w:tc>
      </w:tr>
      <w:tr w:rsidR="008A1A9A" w:rsidRPr="008A1A9A" w:rsidTr="00467806">
        <w:trPr>
          <w:cantSplit/>
        </w:trPr>
        <w:tc>
          <w:tcPr>
            <w:tcW w:w="1842" w:type="dxa"/>
            <w:tcBorders>
              <w:top w:val="single" w:sz="12" w:space="0" w:color="auto"/>
              <w:right w:val="single" w:sz="2" w:space="0" w:color="auto"/>
            </w:tcBorders>
            <w:shd w:val="clear" w:color="auto" w:fill="auto"/>
          </w:tcPr>
          <w:p w:rsidR="00467806" w:rsidRPr="008A1A9A" w:rsidRDefault="00467806" w:rsidP="003353DC">
            <w:pPr>
              <w:suppressAutoHyphens w:val="0"/>
              <w:spacing w:before="40" w:after="40" w:line="220" w:lineRule="exact"/>
              <w:ind w:left="113" w:right="113"/>
              <w:rPr>
                <w:sz w:val="18"/>
              </w:rPr>
            </w:pPr>
            <w:r w:rsidRPr="008A1A9A">
              <w:rPr>
                <w:sz w:val="18"/>
              </w:rPr>
              <w:t>…</w:t>
            </w:r>
          </w:p>
        </w:tc>
        <w:tc>
          <w:tcPr>
            <w:tcW w:w="1843" w:type="dxa"/>
            <w:tcBorders>
              <w:top w:val="single" w:sz="12" w:space="0" w:color="auto"/>
              <w:left w:val="single" w:sz="2" w:space="0" w:color="auto"/>
              <w:right w:val="single" w:sz="2" w:space="0" w:color="auto"/>
            </w:tcBorders>
            <w:shd w:val="clear" w:color="auto" w:fill="auto"/>
            <w:vAlign w:val="bottom"/>
          </w:tcPr>
          <w:p w:rsidR="00467806" w:rsidRPr="008A1A9A" w:rsidRDefault="00467806" w:rsidP="003353DC">
            <w:pPr>
              <w:suppressAutoHyphens w:val="0"/>
              <w:spacing w:before="40" w:after="40" w:line="220" w:lineRule="exact"/>
              <w:ind w:left="113" w:right="113"/>
              <w:rPr>
                <w:sz w:val="18"/>
              </w:rPr>
            </w:pPr>
            <w:r w:rsidRPr="008A1A9A">
              <w:rPr>
                <w:sz w:val="18"/>
              </w:rPr>
              <w:t>…</w:t>
            </w:r>
          </w:p>
        </w:tc>
        <w:tc>
          <w:tcPr>
            <w:tcW w:w="1843" w:type="dxa"/>
            <w:tcBorders>
              <w:top w:val="single" w:sz="12" w:space="0" w:color="auto"/>
              <w:left w:val="single" w:sz="2" w:space="0" w:color="auto"/>
              <w:right w:val="single" w:sz="2" w:space="0" w:color="auto"/>
            </w:tcBorders>
            <w:shd w:val="clear" w:color="auto" w:fill="auto"/>
            <w:vAlign w:val="bottom"/>
          </w:tcPr>
          <w:p w:rsidR="00467806" w:rsidRPr="008A1A9A" w:rsidRDefault="00467806" w:rsidP="003353DC">
            <w:pPr>
              <w:suppressAutoHyphens w:val="0"/>
              <w:spacing w:before="40" w:after="40" w:line="220" w:lineRule="exact"/>
              <w:ind w:right="113"/>
              <w:jc w:val="center"/>
              <w:rPr>
                <w:sz w:val="18"/>
              </w:rPr>
            </w:pPr>
            <w:r w:rsidRPr="008A1A9A">
              <w:rPr>
                <w:sz w:val="18"/>
              </w:rPr>
              <w:t>…</w:t>
            </w:r>
          </w:p>
        </w:tc>
        <w:tc>
          <w:tcPr>
            <w:tcW w:w="1843" w:type="dxa"/>
            <w:tcBorders>
              <w:top w:val="single" w:sz="12" w:space="0" w:color="auto"/>
              <w:left w:val="single" w:sz="2" w:space="0" w:color="auto"/>
            </w:tcBorders>
            <w:shd w:val="clear" w:color="auto" w:fill="auto"/>
            <w:vAlign w:val="bottom"/>
          </w:tcPr>
          <w:p w:rsidR="00467806" w:rsidRPr="008A1A9A" w:rsidRDefault="00467806" w:rsidP="003353DC">
            <w:pPr>
              <w:suppressAutoHyphens w:val="0"/>
              <w:spacing w:before="40" w:after="40" w:line="220" w:lineRule="exact"/>
              <w:ind w:right="113"/>
              <w:jc w:val="center"/>
              <w:rPr>
                <w:sz w:val="18"/>
              </w:rPr>
            </w:pPr>
            <w:r w:rsidRPr="008A1A9A">
              <w:rPr>
                <w:sz w:val="18"/>
              </w:rPr>
              <w:t>…</w:t>
            </w:r>
          </w:p>
        </w:tc>
      </w:tr>
      <w:tr w:rsidR="008A1A9A" w:rsidRPr="008A1A9A" w:rsidTr="00467806">
        <w:trPr>
          <w:cantSplit/>
        </w:trPr>
        <w:tc>
          <w:tcPr>
            <w:tcW w:w="1842" w:type="dxa"/>
            <w:tcBorders>
              <w:top w:val="single" w:sz="2" w:space="0" w:color="auto"/>
              <w:right w:val="single" w:sz="2" w:space="0" w:color="auto"/>
            </w:tcBorders>
            <w:shd w:val="clear" w:color="auto" w:fill="auto"/>
          </w:tcPr>
          <w:p w:rsidR="00467806" w:rsidRPr="008A1A9A" w:rsidRDefault="00467806" w:rsidP="00467806">
            <w:pPr>
              <w:suppressAutoHyphens w:val="0"/>
              <w:spacing w:before="40" w:after="40" w:line="220" w:lineRule="exact"/>
              <w:ind w:left="113" w:right="113"/>
              <w:rPr>
                <w:sz w:val="18"/>
              </w:rPr>
            </w:pPr>
            <w:r w:rsidRPr="008A1A9A">
              <w:rPr>
                <w:strike/>
                <w:sz w:val="18"/>
              </w:rPr>
              <w:t>Lamp</w:t>
            </w:r>
            <w:r w:rsidRPr="008A1A9A">
              <w:rPr>
                <w:sz w:val="18"/>
              </w:rPr>
              <w:t xml:space="preserve"> </w:t>
            </w:r>
            <w:r w:rsidRPr="008A1A9A">
              <w:rPr>
                <w:b/>
                <w:sz w:val="18"/>
              </w:rPr>
              <w:t xml:space="preserve">Gas-discharge light source </w:t>
            </w:r>
            <w:r w:rsidRPr="008A1A9A">
              <w:rPr>
                <w:sz w:val="18"/>
              </w:rPr>
              <w:t>voltage and wattage</w:t>
            </w:r>
          </w:p>
        </w:tc>
        <w:tc>
          <w:tcPr>
            <w:tcW w:w="1843" w:type="dxa"/>
            <w:tcBorders>
              <w:top w:val="single" w:sz="2" w:space="0" w:color="auto"/>
              <w:left w:val="single" w:sz="2" w:space="0" w:color="auto"/>
              <w:right w:val="single" w:sz="2" w:space="0" w:color="auto"/>
            </w:tcBorders>
            <w:shd w:val="clear" w:color="auto" w:fill="auto"/>
            <w:vAlign w:val="bottom"/>
          </w:tcPr>
          <w:p w:rsidR="00467806" w:rsidRPr="008A1A9A" w:rsidRDefault="00467806" w:rsidP="003353DC">
            <w:pPr>
              <w:suppressAutoHyphens w:val="0"/>
              <w:spacing w:before="40" w:after="40" w:line="220" w:lineRule="exact"/>
              <w:ind w:left="113" w:right="113"/>
              <w:rPr>
                <w:sz w:val="18"/>
              </w:rPr>
            </w:pPr>
            <w:r w:rsidRPr="008A1A9A">
              <w:rPr>
                <w:sz w:val="18"/>
              </w:rPr>
              <w:t>All types of the same category</w:t>
            </w:r>
          </w:p>
        </w:tc>
        <w:tc>
          <w:tcPr>
            <w:tcW w:w="1843" w:type="dxa"/>
            <w:tcBorders>
              <w:top w:val="single" w:sz="2" w:space="0" w:color="auto"/>
              <w:left w:val="single" w:sz="2" w:space="0" w:color="auto"/>
              <w:right w:val="single" w:sz="2" w:space="0" w:color="auto"/>
            </w:tcBorders>
            <w:shd w:val="clear" w:color="auto" w:fill="auto"/>
            <w:vAlign w:val="bottom"/>
          </w:tcPr>
          <w:p w:rsidR="00467806" w:rsidRPr="008A1A9A" w:rsidRDefault="00467806" w:rsidP="003353DC">
            <w:pPr>
              <w:suppressAutoHyphens w:val="0"/>
              <w:spacing w:before="40" w:after="40" w:line="220" w:lineRule="exact"/>
              <w:ind w:right="113"/>
              <w:jc w:val="center"/>
              <w:rPr>
                <w:sz w:val="18"/>
              </w:rPr>
            </w:pPr>
            <w:r w:rsidRPr="008A1A9A">
              <w:rPr>
                <w:sz w:val="18"/>
              </w:rPr>
              <w:t>200</w:t>
            </w:r>
          </w:p>
        </w:tc>
        <w:tc>
          <w:tcPr>
            <w:tcW w:w="1843" w:type="dxa"/>
            <w:tcBorders>
              <w:top w:val="single" w:sz="2" w:space="0" w:color="auto"/>
              <w:left w:val="single" w:sz="2" w:space="0" w:color="auto"/>
            </w:tcBorders>
            <w:shd w:val="clear" w:color="auto" w:fill="auto"/>
            <w:vAlign w:val="bottom"/>
          </w:tcPr>
          <w:p w:rsidR="00467806" w:rsidRPr="008A1A9A" w:rsidRDefault="00467806" w:rsidP="003353DC">
            <w:pPr>
              <w:suppressAutoHyphens w:val="0"/>
              <w:spacing w:before="40" w:after="40" w:line="220" w:lineRule="exact"/>
              <w:ind w:right="113"/>
              <w:jc w:val="center"/>
              <w:rPr>
                <w:sz w:val="18"/>
              </w:rPr>
            </w:pPr>
            <w:r w:rsidRPr="008A1A9A">
              <w:rPr>
                <w:sz w:val="18"/>
              </w:rPr>
              <w:t>1</w:t>
            </w:r>
          </w:p>
        </w:tc>
      </w:tr>
      <w:tr w:rsidR="008A1A9A" w:rsidRPr="008A1A9A" w:rsidTr="00467806">
        <w:trPr>
          <w:cantSplit/>
        </w:trPr>
        <w:tc>
          <w:tcPr>
            <w:tcW w:w="1842" w:type="dxa"/>
            <w:tcBorders>
              <w:top w:val="single" w:sz="2" w:space="0" w:color="auto"/>
              <w:bottom w:val="single" w:sz="12" w:space="0" w:color="auto"/>
              <w:right w:val="single" w:sz="2" w:space="0" w:color="auto"/>
            </w:tcBorders>
            <w:shd w:val="clear" w:color="auto" w:fill="auto"/>
          </w:tcPr>
          <w:p w:rsidR="00467806" w:rsidRPr="008A1A9A" w:rsidRDefault="00467806" w:rsidP="003353DC">
            <w:pPr>
              <w:suppressAutoHyphens w:val="0"/>
              <w:spacing w:before="40" w:after="40" w:line="220" w:lineRule="exact"/>
              <w:ind w:left="113" w:right="113"/>
              <w:rPr>
                <w:sz w:val="18"/>
                <w:lang w:val="fr-FR"/>
              </w:rPr>
            </w:pPr>
            <w:r w:rsidRPr="008A1A9A">
              <w:rPr>
                <w:sz w:val="18"/>
                <w:lang w:val="fr-FR"/>
              </w:rPr>
              <w:t>…</w:t>
            </w:r>
          </w:p>
        </w:tc>
        <w:tc>
          <w:tcPr>
            <w:tcW w:w="1843" w:type="dxa"/>
            <w:tcBorders>
              <w:top w:val="single" w:sz="2" w:space="0" w:color="auto"/>
              <w:left w:val="single" w:sz="2" w:space="0" w:color="auto"/>
              <w:bottom w:val="single" w:sz="12" w:space="0" w:color="auto"/>
              <w:right w:val="single" w:sz="2" w:space="0" w:color="auto"/>
            </w:tcBorders>
            <w:shd w:val="clear" w:color="auto" w:fill="auto"/>
            <w:vAlign w:val="bottom"/>
          </w:tcPr>
          <w:p w:rsidR="00467806" w:rsidRPr="008A1A9A" w:rsidRDefault="00467806" w:rsidP="003353DC">
            <w:pPr>
              <w:suppressAutoHyphens w:val="0"/>
              <w:spacing w:before="40" w:after="40" w:line="220" w:lineRule="exact"/>
              <w:ind w:left="113" w:right="113"/>
              <w:rPr>
                <w:sz w:val="18"/>
              </w:rPr>
            </w:pPr>
            <w:r w:rsidRPr="008A1A9A">
              <w:rPr>
                <w:sz w:val="18"/>
              </w:rPr>
              <w:t>…</w:t>
            </w:r>
          </w:p>
        </w:tc>
        <w:tc>
          <w:tcPr>
            <w:tcW w:w="1843" w:type="dxa"/>
            <w:tcBorders>
              <w:top w:val="single" w:sz="2" w:space="0" w:color="auto"/>
              <w:left w:val="single" w:sz="2" w:space="0" w:color="auto"/>
              <w:bottom w:val="single" w:sz="12" w:space="0" w:color="auto"/>
              <w:right w:val="single" w:sz="2" w:space="0" w:color="auto"/>
            </w:tcBorders>
            <w:shd w:val="clear" w:color="auto" w:fill="auto"/>
            <w:vAlign w:val="bottom"/>
          </w:tcPr>
          <w:p w:rsidR="00467806" w:rsidRPr="008A1A9A" w:rsidRDefault="00467806" w:rsidP="003353DC">
            <w:pPr>
              <w:suppressAutoHyphens w:val="0"/>
              <w:spacing w:before="40" w:after="40" w:line="220" w:lineRule="exact"/>
              <w:ind w:right="113"/>
              <w:jc w:val="center"/>
              <w:rPr>
                <w:sz w:val="18"/>
              </w:rPr>
            </w:pPr>
            <w:r w:rsidRPr="008A1A9A">
              <w:rPr>
                <w:sz w:val="18"/>
              </w:rPr>
              <w:t>…</w:t>
            </w:r>
          </w:p>
        </w:tc>
        <w:tc>
          <w:tcPr>
            <w:tcW w:w="1843" w:type="dxa"/>
            <w:tcBorders>
              <w:top w:val="single" w:sz="2" w:space="0" w:color="auto"/>
              <w:left w:val="single" w:sz="2" w:space="0" w:color="auto"/>
              <w:bottom w:val="single" w:sz="12" w:space="0" w:color="auto"/>
            </w:tcBorders>
            <w:shd w:val="clear" w:color="auto" w:fill="auto"/>
            <w:vAlign w:val="bottom"/>
          </w:tcPr>
          <w:p w:rsidR="00467806" w:rsidRPr="008A1A9A" w:rsidRDefault="00467806" w:rsidP="003353DC">
            <w:pPr>
              <w:suppressAutoHyphens w:val="0"/>
              <w:spacing w:before="40" w:after="40" w:line="220" w:lineRule="exact"/>
              <w:ind w:right="113"/>
              <w:jc w:val="center"/>
              <w:rPr>
                <w:sz w:val="18"/>
              </w:rPr>
            </w:pPr>
            <w:r w:rsidRPr="008A1A9A">
              <w:rPr>
                <w:sz w:val="18"/>
              </w:rPr>
              <w:t>…</w:t>
            </w:r>
          </w:p>
        </w:tc>
      </w:tr>
    </w:tbl>
    <w:p w:rsidR="00DC63A7" w:rsidRPr="008A1A9A" w:rsidRDefault="00DC63A7" w:rsidP="00467806">
      <w:pPr>
        <w:pStyle w:val="SingleTxtG"/>
        <w:rPr>
          <w:szCs w:val="24"/>
        </w:rPr>
      </w:pPr>
      <w:r w:rsidRPr="008A1A9A">
        <w:t>...</w:t>
      </w:r>
      <w:r w:rsidR="00B042CE" w:rsidRPr="008A1A9A">
        <w:rPr>
          <w:szCs w:val="24"/>
        </w:rPr>
        <w:t>"</w:t>
      </w:r>
    </w:p>
    <w:p w:rsidR="00DC63A7" w:rsidRPr="008A1A9A" w:rsidRDefault="00DC63A7" w:rsidP="00DC63A7">
      <w:pPr>
        <w:pStyle w:val="SingleTxtG"/>
      </w:pPr>
      <w:bookmarkStart w:id="4" w:name="_Toc386203019"/>
      <w:r w:rsidRPr="008A1A9A">
        <w:rPr>
          <w:i/>
        </w:rPr>
        <w:t>Table 3</w:t>
      </w:r>
      <w:bookmarkEnd w:id="4"/>
      <w:r w:rsidRPr="008A1A9A">
        <w:rPr>
          <w:i/>
        </w:rPr>
        <w:t xml:space="preserve">, </w:t>
      </w:r>
      <w:r w:rsidR="00007723" w:rsidRPr="008A1A9A">
        <w:rPr>
          <w:i/>
        </w:rPr>
        <w:t>head</w:t>
      </w:r>
      <w:r w:rsidR="00012306" w:rsidRPr="008A1A9A">
        <w:rPr>
          <w:i/>
        </w:rPr>
        <w:t>er</w:t>
      </w:r>
      <w:r w:rsidR="00007723" w:rsidRPr="008A1A9A">
        <w:rPr>
          <w:i/>
        </w:rPr>
        <w:t xml:space="preserve"> </w:t>
      </w:r>
      <w:r w:rsidRPr="008A1A9A">
        <w:rPr>
          <w:i/>
        </w:rPr>
        <w:t>row</w:t>
      </w:r>
      <w:r w:rsidRPr="008A1A9A">
        <w:t>, amend to read:</w:t>
      </w:r>
    </w:p>
    <w:p w:rsidR="00DC63A7" w:rsidRPr="008A1A9A" w:rsidRDefault="00B042CE" w:rsidP="00007723">
      <w:pPr>
        <w:pStyle w:val="SingleTxtG"/>
        <w:spacing w:after="0"/>
      </w:pPr>
      <w:r w:rsidRPr="008A1A9A">
        <w:t>"</w:t>
      </w:r>
    </w:p>
    <w:tbl>
      <w:tblPr>
        <w:tblW w:w="7370" w:type="dxa"/>
        <w:tblInd w:w="1134" w:type="dxa"/>
        <w:tblBorders>
          <w:top w:val="single" w:sz="4" w:space="0" w:color="auto"/>
          <w:left w:val="single" w:sz="2" w:space="0" w:color="auto"/>
          <w:bottom w:val="single" w:sz="12" w:space="0" w:color="auto"/>
          <w:right w:val="single" w:sz="2" w:space="0" w:color="auto"/>
          <w:insideH w:val="single" w:sz="12" w:space="0" w:color="auto"/>
          <w:insideV w:val="single" w:sz="2" w:space="0" w:color="auto"/>
        </w:tblBorders>
        <w:tblLayout w:type="fixed"/>
        <w:tblCellMar>
          <w:left w:w="0" w:type="dxa"/>
          <w:right w:w="0" w:type="dxa"/>
        </w:tblCellMar>
        <w:tblLook w:val="0000" w:firstRow="0" w:lastRow="0" w:firstColumn="0" w:lastColumn="0" w:noHBand="0" w:noVBand="0"/>
      </w:tblPr>
      <w:tblGrid>
        <w:gridCol w:w="1228"/>
        <w:gridCol w:w="1228"/>
        <w:gridCol w:w="1229"/>
        <w:gridCol w:w="1228"/>
        <w:gridCol w:w="1228"/>
        <w:gridCol w:w="1229"/>
      </w:tblGrid>
      <w:tr w:rsidR="008A1A9A" w:rsidRPr="008A1A9A" w:rsidTr="003353DC">
        <w:trPr>
          <w:cantSplit/>
          <w:tblHeader/>
        </w:trPr>
        <w:tc>
          <w:tcPr>
            <w:tcW w:w="1228" w:type="dxa"/>
            <w:shd w:val="clear" w:color="auto" w:fill="auto"/>
            <w:vAlign w:val="bottom"/>
          </w:tcPr>
          <w:p w:rsidR="00DC63A7" w:rsidRPr="008A1A9A" w:rsidRDefault="00DC63A7" w:rsidP="003353DC">
            <w:pPr>
              <w:suppressAutoHyphens w:val="0"/>
              <w:spacing w:before="80" w:after="80" w:line="200" w:lineRule="exact"/>
              <w:ind w:left="113" w:right="113"/>
              <w:rPr>
                <w:i/>
                <w:sz w:val="16"/>
              </w:rPr>
            </w:pPr>
            <w:r w:rsidRPr="008A1A9A">
              <w:rPr>
                <w:i/>
                <w:sz w:val="16"/>
              </w:rPr>
              <w:t xml:space="preserve">Number of </w:t>
            </w:r>
            <w:r w:rsidRPr="008A1A9A">
              <w:rPr>
                <w:i/>
                <w:strike/>
                <w:sz w:val="16"/>
              </w:rPr>
              <w:t>lamps</w:t>
            </w:r>
            <w:r w:rsidRPr="008A1A9A">
              <w:rPr>
                <w:i/>
                <w:sz w:val="16"/>
              </w:rPr>
              <w:t xml:space="preserve"> </w:t>
            </w:r>
            <w:r w:rsidRPr="008A1A9A">
              <w:rPr>
                <w:b/>
                <w:i/>
                <w:sz w:val="16"/>
              </w:rPr>
              <w:t xml:space="preserve">gas-discharge light sources </w:t>
            </w:r>
            <w:r w:rsidRPr="008A1A9A">
              <w:rPr>
                <w:i/>
                <w:sz w:val="16"/>
              </w:rPr>
              <w:t>in records</w:t>
            </w:r>
          </w:p>
        </w:tc>
        <w:tc>
          <w:tcPr>
            <w:tcW w:w="1228" w:type="dxa"/>
            <w:shd w:val="clear" w:color="auto" w:fill="auto"/>
            <w:vAlign w:val="bottom"/>
          </w:tcPr>
          <w:p w:rsidR="00DC63A7" w:rsidRPr="008A1A9A" w:rsidRDefault="00DC63A7" w:rsidP="003353DC">
            <w:pPr>
              <w:suppressAutoHyphens w:val="0"/>
              <w:spacing w:before="80" w:after="80" w:line="200" w:lineRule="exact"/>
              <w:ind w:left="113" w:right="113"/>
              <w:rPr>
                <w:i/>
                <w:sz w:val="16"/>
              </w:rPr>
            </w:pPr>
            <w:r w:rsidRPr="008A1A9A">
              <w:rPr>
                <w:i/>
                <w:sz w:val="16"/>
              </w:rPr>
              <w:t>Qualifying limit</w:t>
            </w:r>
          </w:p>
        </w:tc>
        <w:tc>
          <w:tcPr>
            <w:tcW w:w="1229" w:type="dxa"/>
            <w:shd w:val="clear" w:color="auto" w:fill="auto"/>
            <w:vAlign w:val="bottom"/>
          </w:tcPr>
          <w:p w:rsidR="00DC63A7" w:rsidRPr="008A1A9A" w:rsidRDefault="00DC63A7" w:rsidP="003353DC">
            <w:pPr>
              <w:suppressAutoHyphens w:val="0"/>
              <w:spacing w:before="80" w:after="80" w:line="200" w:lineRule="exact"/>
              <w:ind w:left="113" w:right="113"/>
              <w:rPr>
                <w:i/>
                <w:sz w:val="16"/>
              </w:rPr>
            </w:pPr>
            <w:r w:rsidRPr="008A1A9A">
              <w:rPr>
                <w:i/>
                <w:sz w:val="16"/>
              </w:rPr>
              <w:t xml:space="preserve">Number of </w:t>
            </w:r>
            <w:r w:rsidRPr="008A1A9A">
              <w:rPr>
                <w:i/>
                <w:strike/>
                <w:sz w:val="16"/>
              </w:rPr>
              <w:t>lamps</w:t>
            </w:r>
            <w:r w:rsidRPr="008A1A9A">
              <w:rPr>
                <w:i/>
                <w:sz w:val="16"/>
              </w:rPr>
              <w:t xml:space="preserve"> </w:t>
            </w:r>
            <w:r w:rsidRPr="008A1A9A">
              <w:rPr>
                <w:b/>
                <w:i/>
                <w:sz w:val="16"/>
              </w:rPr>
              <w:t xml:space="preserve">gas-discharge light sources </w:t>
            </w:r>
            <w:r w:rsidRPr="008A1A9A">
              <w:rPr>
                <w:i/>
                <w:sz w:val="16"/>
              </w:rPr>
              <w:t>in records</w:t>
            </w:r>
          </w:p>
        </w:tc>
        <w:tc>
          <w:tcPr>
            <w:tcW w:w="1228" w:type="dxa"/>
            <w:shd w:val="clear" w:color="auto" w:fill="auto"/>
            <w:vAlign w:val="bottom"/>
          </w:tcPr>
          <w:p w:rsidR="00DC63A7" w:rsidRPr="008A1A9A" w:rsidRDefault="00DC63A7" w:rsidP="003353DC">
            <w:pPr>
              <w:suppressAutoHyphens w:val="0"/>
              <w:spacing w:before="80" w:after="80" w:line="200" w:lineRule="exact"/>
              <w:ind w:left="113" w:right="113"/>
              <w:rPr>
                <w:i/>
                <w:sz w:val="16"/>
              </w:rPr>
            </w:pPr>
            <w:r w:rsidRPr="008A1A9A">
              <w:rPr>
                <w:i/>
                <w:sz w:val="16"/>
              </w:rPr>
              <w:t>Qualifying limit</w:t>
            </w:r>
          </w:p>
        </w:tc>
        <w:tc>
          <w:tcPr>
            <w:tcW w:w="1228" w:type="dxa"/>
            <w:shd w:val="clear" w:color="auto" w:fill="auto"/>
            <w:vAlign w:val="bottom"/>
          </w:tcPr>
          <w:p w:rsidR="00DC63A7" w:rsidRPr="008A1A9A" w:rsidRDefault="00DC63A7" w:rsidP="003353DC">
            <w:pPr>
              <w:suppressAutoHyphens w:val="0"/>
              <w:spacing w:before="80" w:after="80" w:line="200" w:lineRule="exact"/>
              <w:ind w:left="113" w:right="113"/>
              <w:rPr>
                <w:i/>
                <w:sz w:val="16"/>
              </w:rPr>
            </w:pPr>
            <w:r w:rsidRPr="008A1A9A">
              <w:rPr>
                <w:i/>
                <w:sz w:val="16"/>
              </w:rPr>
              <w:t xml:space="preserve">Number of </w:t>
            </w:r>
            <w:r w:rsidRPr="008A1A9A">
              <w:rPr>
                <w:i/>
                <w:strike/>
                <w:sz w:val="16"/>
              </w:rPr>
              <w:t>lamps</w:t>
            </w:r>
            <w:r w:rsidRPr="008A1A9A">
              <w:rPr>
                <w:i/>
                <w:sz w:val="16"/>
              </w:rPr>
              <w:t xml:space="preserve"> </w:t>
            </w:r>
            <w:r w:rsidRPr="008A1A9A">
              <w:rPr>
                <w:b/>
                <w:i/>
                <w:sz w:val="16"/>
              </w:rPr>
              <w:t xml:space="preserve">gas-discharge light sources </w:t>
            </w:r>
            <w:r w:rsidRPr="008A1A9A">
              <w:rPr>
                <w:i/>
                <w:sz w:val="16"/>
              </w:rPr>
              <w:t>in records</w:t>
            </w:r>
          </w:p>
        </w:tc>
        <w:tc>
          <w:tcPr>
            <w:tcW w:w="1229" w:type="dxa"/>
            <w:shd w:val="clear" w:color="auto" w:fill="auto"/>
            <w:vAlign w:val="bottom"/>
          </w:tcPr>
          <w:p w:rsidR="00DC63A7" w:rsidRPr="008A1A9A" w:rsidRDefault="00DC63A7" w:rsidP="003353DC">
            <w:pPr>
              <w:suppressAutoHyphens w:val="0"/>
              <w:spacing w:before="80" w:after="80" w:line="200" w:lineRule="exact"/>
              <w:ind w:left="113" w:right="113"/>
              <w:rPr>
                <w:i/>
                <w:sz w:val="16"/>
              </w:rPr>
            </w:pPr>
            <w:r w:rsidRPr="008A1A9A">
              <w:rPr>
                <w:i/>
                <w:sz w:val="16"/>
              </w:rPr>
              <w:t>Qualifying limit</w:t>
            </w:r>
          </w:p>
        </w:tc>
      </w:tr>
    </w:tbl>
    <w:p w:rsidR="00DC63A7" w:rsidRPr="008A1A9A" w:rsidRDefault="00B042CE" w:rsidP="00DC63A7">
      <w:pPr>
        <w:ind w:left="1134"/>
      </w:pPr>
      <w:r w:rsidRPr="008A1A9A">
        <w:t>"</w:t>
      </w:r>
    </w:p>
    <w:p w:rsidR="00575D2C" w:rsidRPr="008A1A9A" w:rsidRDefault="00914CE3" w:rsidP="00914CE3">
      <w:pPr>
        <w:pStyle w:val="HChG"/>
      </w:pPr>
      <w:r w:rsidRPr="008A1A9A">
        <w:tab/>
      </w:r>
      <w:r w:rsidR="00575D2C" w:rsidRPr="008A1A9A">
        <w:t>II.</w:t>
      </w:r>
      <w:r w:rsidR="00575D2C" w:rsidRPr="008A1A9A">
        <w:tab/>
        <w:t>Justification</w:t>
      </w:r>
    </w:p>
    <w:p w:rsidR="00575D2C" w:rsidRPr="008A1A9A" w:rsidRDefault="00D45D31" w:rsidP="00D45D31">
      <w:pPr>
        <w:suppressAutoHyphens w:val="0"/>
        <w:spacing w:before="120" w:after="120"/>
        <w:ind w:left="1134" w:right="1134" w:firstLine="567"/>
        <w:jc w:val="both"/>
        <w:rPr>
          <w:bCs/>
          <w:lang w:eastAsia="it-IT"/>
        </w:rPr>
      </w:pPr>
      <w:r w:rsidRPr="008A1A9A">
        <w:rPr>
          <w:bCs/>
          <w:lang w:eastAsia="it-IT"/>
        </w:rPr>
        <w:t>This amendment is part of the proposal for simplification of the light source Regulations.  The justification of this proposal is attached to the justification of the draft Resolution on the common specifications of light source categories (ECE/TRANS/WP.29/GRE/2016/5).</w:t>
      </w:r>
      <w:r w:rsidR="007B7D2B" w:rsidRPr="008A1A9A">
        <w:rPr>
          <w:bCs/>
          <w:lang w:eastAsia="it-IT"/>
        </w:rPr>
        <w:t xml:space="preserve"> </w:t>
      </w:r>
      <w:r w:rsidR="00575D2C" w:rsidRPr="008A1A9A">
        <w:rPr>
          <w:bCs/>
          <w:lang w:eastAsia="it-IT"/>
        </w:rPr>
        <w:t xml:space="preserve"> </w:t>
      </w:r>
    </w:p>
    <w:p w:rsidR="002F0860" w:rsidRPr="008A1A9A" w:rsidRDefault="002F0860" w:rsidP="002F0860">
      <w:pPr>
        <w:pStyle w:val="endnotetable"/>
        <w:spacing w:before="240" w:line="240" w:lineRule="atLeast"/>
        <w:ind w:firstLine="0"/>
        <w:jc w:val="center"/>
        <w:rPr>
          <w:u w:val="single"/>
        </w:rPr>
      </w:pPr>
      <w:r w:rsidRPr="008A1A9A">
        <w:rPr>
          <w:u w:val="single"/>
        </w:rPr>
        <w:tab/>
      </w:r>
      <w:r w:rsidRPr="008A1A9A">
        <w:rPr>
          <w:u w:val="single"/>
        </w:rPr>
        <w:tab/>
      </w:r>
      <w:r w:rsidRPr="008A1A9A">
        <w:rPr>
          <w:u w:val="single"/>
        </w:rPr>
        <w:tab/>
      </w:r>
    </w:p>
    <w:sectPr w:rsidR="002F0860" w:rsidRPr="008A1A9A" w:rsidSect="005D68A6">
      <w:headerReference w:type="even" r:id="rId13"/>
      <w:headerReference w:type="default" r:id="rId14"/>
      <w:footerReference w:type="default" r:id="rId15"/>
      <w:headerReference w:type="first" r:id="rId16"/>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2BB" w:rsidRDefault="00BD22BB"/>
  </w:endnote>
  <w:endnote w:type="continuationSeparator" w:id="0">
    <w:p w:rsidR="00BD22BB" w:rsidRDefault="00BD22BB"/>
  </w:endnote>
  <w:endnote w:type="continuationNotice" w:id="1">
    <w:p w:rsidR="00BD22BB" w:rsidRDefault="00BD2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BB" w:rsidRDefault="005067BB">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81557C">
      <w:rPr>
        <w:b/>
        <w:noProof/>
        <w:sz w:val="18"/>
      </w:rPr>
      <w:t>4</w:t>
    </w:r>
    <w:r w:rsidRPr="00A330C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003B38" w:rsidRDefault="00521ECC" w:rsidP="00732AD2">
    <w:pPr>
      <w:rPr>
        <w:rFonts w:ascii="Arial" w:hAnsi="Arial" w:cs="Arial"/>
        <w:sz w:val="16"/>
        <w:szCs w:val="16"/>
      </w:rPr>
    </w:pPr>
  </w:p>
  <w:tbl>
    <w:tblPr>
      <w:tblW w:w="0" w:type="auto"/>
      <w:tblLook w:val="04A0" w:firstRow="1" w:lastRow="0" w:firstColumn="1" w:lastColumn="0" w:noHBand="0" w:noVBand="1"/>
    </w:tblPr>
    <w:tblGrid>
      <w:gridCol w:w="3311"/>
      <w:gridCol w:w="3265"/>
      <w:gridCol w:w="3278"/>
    </w:tblGrid>
    <w:tr w:rsidR="00521ECC" w:rsidRPr="002C0FEE" w:rsidTr="00732AD2">
      <w:tc>
        <w:tcPr>
          <w:tcW w:w="3346" w:type="dxa"/>
        </w:tcPr>
        <w:p w:rsidR="00521ECC" w:rsidRPr="00503D4F" w:rsidRDefault="00521ECC" w:rsidP="00732AD2">
          <w:pPr>
            <w:pStyle w:val="Footer"/>
          </w:pPr>
          <w:r>
            <w:rPr>
              <w:noProof/>
              <w:lang w:val="en-GB" w:eastAsia="en-GB"/>
            </w:rPr>
            <w:drawing>
              <wp:inline distT="0" distB="0" distL="0" distR="0" wp14:anchorId="71217BB9" wp14:editId="2C946989">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rsidR="00521ECC" w:rsidRPr="00503D4F" w:rsidRDefault="00521ECC"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rsidR="00521ECC" w:rsidRPr="004E78A5" w:rsidRDefault="00521ECC" w:rsidP="00732AD2">
          <w:pPr>
            <w:pStyle w:val="Footer"/>
          </w:pPr>
          <w:r w:rsidRPr="004E78A5">
            <w:rPr>
              <w:rFonts w:ascii="Arial" w:hAnsi="Arial" w:cs="Arial"/>
              <w:sz w:val="20"/>
            </w:rPr>
            <w:t xml:space="preserve">Submitted by: </w:t>
          </w:r>
          <w:r>
            <w:rPr>
              <w:rFonts w:ascii="Arial" w:hAnsi="Arial" w:cs="Arial"/>
              <w:sz w:val="20"/>
            </w:rPr>
            <w:t xml:space="preserve">Ad de </w:t>
          </w:r>
          <w:proofErr w:type="spellStart"/>
          <w:r>
            <w:rPr>
              <w:rFonts w:ascii="Arial" w:hAnsi="Arial" w:cs="Arial"/>
              <w:sz w:val="20"/>
            </w:rPr>
            <w:t>Visser</w:t>
          </w:r>
          <w:proofErr w:type="spellEnd"/>
        </w:p>
      </w:tc>
    </w:tr>
  </w:tbl>
  <w:p w:rsidR="00521ECC" w:rsidRDefault="00521E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A330CE" w:rsidRDefault="00521ECC"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81557C">
      <w:rPr>
        <w:b/>
        <w:noProof/>
        <w:sz w:val="18"/>
      </w:rPr>
      <w:t>3</w:t>
    </w:r>
    <w:r w:rsidRPr="00A330C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2BB" w:rsidRPr="000B175B" w:rsidRDefault="00BD22BB" w:rsidP="000B175B">
      <w:pPr>
        <w:tabs>
          <w:tab w:val="right" w:pos="2155"/>
        </w:tabs>
        <w:spacing w:after="80"/>
        <w:ind w:left="680"/>
        <w:rPr>
          <w:u w:val="single"/>
        </w:rPr>
      </w:pPr>
      <w:r>
        <w:rPr>
          <w:u w:val="single"/>
        </w:rPr>
        <w:tab/>
      </w:r>
    </w:p>
  </w:footnote>
  <w:footnote w:type="continuationSeparator" w:id="0">
    <w:p w:rsidR="00BD22BB" w:rsidRPr="00FC68B7" w:rsidRDefault="00BD22BB" w:rsidP="00FC68B7">
      <w:pPr>
        <w:tabs>
          <w:tab w:val="left" w:pos="2155"/>
        </w:tabs>
        <w:spacing w:after="80"/>
        <w:ind w:left="680"/>
        <w:rPr>
          <w:u w:val="single"/>
        </w:rPr>
      </w:pPr>
      <w:r>
        <w:rPr>
          <w:u w:val="single"/>
        </w:rPr>
        <w:tab/>
      </w:r>
    </w:p>
  </w:footnote>
  <w:footnote w:type="continuationNotice" w:id="1">
    <w:p w:rsidR="00BD22BB" w:rsidRDefault="00BD22BB"/>
  </w:footnote>
  <w:footnote w:id="2">
    <w:p w:rsidR="001C1C60" w:rsidRDefault="001C1C60" w:rsidP="00517040">
      <w:pPr>
        <w:pStyle w:val="FootnoteText"/>
        <w:rPr>
          <w:lang w:val="en-US"/>
        </w:rPr>
      </w:pPr>
      <w:r>
        <w:tab/>
      </w:r>
      <w:r>
        <w:rPr>
          <w:rStyle w:val="FootnoteReference"/>
          <w:sz w:val="20"/>
          <w:lang w:val="en-US"/>
        </w:rPr>
        <w:t>*</w:t>
      </w:r>
      <w:r>
        <w:rPr>
          <w:sz w:val="20"/>
          <w:lang w:val="en-US"/>
        </w:rPr>
        <w:tab/>
      </w:r>
      <w:r w:rsidR="00517040" w:rsidRPr="004306AA">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6C395D" w:rsidRDefault="00607AFA" w:rsidP="006C395D">
    <w:pPr>
      <w:pStyle w:val="Header"/>
    </w:pPr>
    <w:r>
      <w:t>ECE/TRANS/WP.29/GRE/201</w:t>
    </w:r>
    <w:r w:rsidR="00517040">
      <w:t>6</w:t>
    </w:r>
    <w:r>
      <w:t>/</w:t>
    </w:r>
    <w:r w:rsidR="00517040">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6C395D" w:rsidRDefault="00607AFA" w:rsidP="00607AFA">
    <w:pPr>
      <w:pStyle w:val="Header"/>
      <w:jc w:val="right"/>
    </w:pPr>
    <w:r>
      <w:t>ECE/TRANS/WP.29/GRE/201</w:t>
    </w:r>
    <w:r w:rsidR="00517040">
      <w:t>6</w:t>
    </w:r>
    <w:r>
      <w:t>/</w:t>
    </w:r>
    <w:r w:rsidR="00517040">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7B4C72" w:rsidRDefault="00521ECC" w:rsidP="007B4C72">
    <w:pPr>
      <w:pStyle w:val="Header"/>
      <w:jc w:val="right"/>
    </w:pPr>
    <w:r>
      <w:t>E/ECE/324/Rev.1/Add.36/Rev.6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A3A20"/>
    <w:lvl w:ilvl="0">
      <w:start w:val="1"/>
      <w:numFmt w:val="decimal"/>
      <w:lvlText w:val="%1."/>
      <w:lvlJc w:val="left"/>
      <w:pPr>
        <w:tabs>
          <w:tab w:val="num" w:pos="1800"/>
        </w:tabs>
        <w:ind w:left="1800" w:hanging="360"/>
      </w:pPr>
    </w:lvl>
  </w:abstractNum>
  <w:abstractNum w:abstractNumId="1">
    <w:nsid w:val="FFFFFF7D"/>
    <w:multiLevelType w:val="singleLevel"/>
    <w:tmpl w:val="CBAABD12"/>
    <w:lvl w:ilvl="0">
      <w:start w:val="1"/>
      <w:numFmt w:val="decimal"/>
      <w:lvlText w:val="%1."/>
      <w:lvlJc w:val="left"/>
      <w:pPr>
        <w:tabs>
          <w:tab w:val="num" w:pos="1440"/>
        </w:tabs>
        <w:ind w:left="1440" w:hanging="360"/>
      </w:pPr>
    </w:lvl>
  </w:abstractNum>
  <w:abstractNum w:abstractNumId="2">
    <w:nsid w:val="FFFFFF7E"/>
    <w:multiLevelType w:val="singleLevel"/>
    <w:tmpl w:val="B08ECC06"/>
    <w:lvl w:ilvl="0">
      <w:start w:val="1"/>
      <w:numFmt w:val="decimal"/>
      <w:lvlText w:val="%1."/>
      <w:lvlJc w:val="left"/>
      <w:pPr>
        <w:tabs>
          <w:tab w:val="num" w:pos="1080"/>
        </w:tabs>
        <w:ind w:left="1080" w:hanging="360"/>
      </w:pPr>
    </w:lvl>
  </w:abstractNum>
  <w:abstractNum w:abstractNumId="3">
    <w:nsid w:val="FFFFFF7F"/>
    <w:multiLevelType w:val="singleLevel"/>
    <w:tmpl w:val="2D08DE34"/>
    <w:lvl w:ilvl="0">
      <w:start w:val="1"/>
      <w:numFmt w:val="decimal"/>
      <w:lvlText w:val="%1."/>
      <w:lvlJc w:val="left"/>
      <w:pPr>
        <w:tabs>
          <w:tab w:val="num" w:pos="720"/>
        </w:tabs>
        <w:ind w:left="720" w:hanging="360"/>
      </w:pPr>
    </w:lvl>
  </w:abstractNum>
  <w:abstractNum w:abstractNumId="4">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9">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1">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3F49C6"/>
    <w:multiLevelType w:val="singleLevel"/>
    <w:tmpl w:val="82A8E700"/>
    <w:lvl w:ilvl="0">
      <w:start w:val="1"/>
      <w:numFmt w:val="lowerRoman"/>
      <w:lvlText w:val="%1)"/>
      <w:lvlJc w:val="right"/>
      <w:pPr>
        <w:tabs>
          <w:tab w:val="num" w:pos="927"/>
        </w:tabs>
        <w:ind w:left="567" w:firstLine="0"/>
      </w:pPr>
    </w:lvl>
  </w:abstractNum>
  <w:abstractNum w:abstractNumId="14">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5">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17">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23">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CF349BD"/>
    <w:multiLevelType w:val="singleLevel"/>
    <w:tmpl w:val="DCB8FA36"/>
    <w:lvl w:ilvl="0">
      <w:start w:val="1"/>
      <w:numFmt w:val="lowerRoman"/>
      <w:lvlText w:val="%1)"/>
      <w:lvlJc w:val="right"/>
      <w:pPr>
        <w:tabs>
          <w:tab w:val="num" w:pos="504"/>
        </w:tabs>
        <w:ind w:left="504" w:hanging="216"/>
      </w:pPr>
    </w:lvl>
  </w:abstractNum>
  <w:num w:numId="1">
    <w:abstractNumId w:val="9"/>
  </w:num>
  <w:num w:numId="2">
    <w:abstractNumId w:val="19"/>
  </w:num>
  <w:num w:numId="3">
    <w:abstractNumId w:val="14"/>
  </w:num>
  <w:num w:numId="4">
    <w:abstractNumId w:val="24"/>
  </w:num>
  <w:num w:numId="5">
    <w:abstractNumId w:val="13"/>
  </w:num>
  <w:num w:numId="6">
    <w:abstractNumId w:val="11"/>
  </w:num>
  <w:num w:numId="7">
    <w:abstractNumId w:val="8"/>
  </w:num>
  <w:num w:numId="8">
    <w:abstractNumId w:val="20"/>
  </w:num>
  <w:num w:numId="9">
    <w:abstractNumId w:val="21"/>
  </w:num>
  <w:num w:numId="10">
    <w:abstractNumId w:val="16"/>
  </w:num>
  <w:num w:numId="11">
    <w:abstractNumId w:val="10"/>
  </w:num>
  <w:num w:numId="12">
    <w:abstractNumId w:val="18"/>
  </w:num>
  <w:num w:numId="13">
    <w:abstractNumId w:val="22"/>
  </w:num>
  <w:num w:numId="14">
    <w:abstractNumId w:val="15"/>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3"/>
  </w:num>
  <w:num w:numId="24">
    <w:abstractNumId w:val="12"/>
  </w:num>
  <w:num w:numId="2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de-DE"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723"/>
    <w:rsid w:val="00007899"/>
    <w:rsid w:val="00010344"/>
    <w:rsid w:val="0001103D"/>
    <w:rsid w:val="00011528"/>
    <w:rsid w:val="000115EB"/>
    <w:rsid w:val="000119CA"/>
    <w:rsid w:val="00012306"/>
    <w:rsid w:val="00013B6E"/>
    <w:rsid w:val="00014557"/>
    <w:rsid w:val="000159D5"/>
    <w:rsid w:val="00016D6D"/>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447A"/>
    <w:rsid w:val="00054621"/>
    <w:rsid w:val="00054649"/>
    <w:rsid w:val="00054976"/>
    <w:rsid w:val="000554E4"/>
    <w:rsid w:val="00056E63"/>
    <w:rsid w:val="000573F3"/>
    <w:rsid w:val="000607E8"/>
    <w:rsid w:val="00060DE2"/>
    <w:rsid w:val="0006123D"/>
    <w:rsid w:val="00061C6C"/>
    <w:rsid w:val="00065074"/>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77A6"/>
    <w:rsid w:val="000A1CF3"/>
    <w:rsid w:val="000A298B"/>
    <w:rsid w:val="000A418A"/>
    <w:rsid w:val="000A4325"/>
    <w:rsid w:val="000A4AF9"/>
    <w:rsid w:val="000A5209"/>
    <w:rsid w:val="000A6F83"/>
    <w:rsid w:val="000A6FA7"/>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B94"/>
    <w:rsid w:val="000D5451"/>
    <w:rsid w:val="000D7126"/>
    <w:rsid w:val="000D7C18"/>
    <w:rsid w:val="000D7CC0"/>
    <w:rsid w:val="000E0415"/>
    <w:rsid w:val="000E0988"/>
    <w:rsid w:val="000E1690"/>
    <w:rsid w:val="000E1891"/>
    <w:rsid w:val="000E1975"/>
    <w:rsid w:val="000E1ADE"/>
    <w:rsid w:val="000E3607"/>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45A4"/>
    <w:rsid w:val="00104C14"/>
    <w:rsid w:val="00104D7C"/>
    <w:rsid w:val="00104FF8"/>
    <w:rsid w:val="00105554"/>
    <w:rsid w:val="001064C9"/>
    <w:rsid w:val="00106610"/>
    <w:rsid w:val="001070CF"/>
    <w:rsid w:val="00107F70"/>
    <w:rsid w:val="00107FE0"/>
    <w:rsid w:val="00110185"/>
    <w:rsid w:val="00111143"/>
    <w:rsid w:val="001149F1"/>
    <w:rsid w:val="00116746"/>
    <w:rsid w:val="00116F76"/>
    <w:rsid w:val="00117117"/>
    <w:rsid w:val="0011717C"/>
    <w:rsid w:val="001216D7"/>
    <w:rsid w:val="00121FBD"/>
    <w:rsid w:val="001220B8"/>
    <w:rsid w:val="00123AE3"/>
    <w:rsid w:val="0012494D"/>
    <w:rsid w:val="00125F47"/>
    <w:rsid w:val="00127252"/>
    <w:rsid w:val="001313A7"/>
    <w:rsid w:val="00131A95"/>
    <w:rsid w:val="00131BA5"/>
    <w:rsid w:val="0013209B"/>
    <w:rsid w:val="00132480"/>
    <w:rsid w:val="00132564"/>
    <w:rsid w:val="0013325C"/>
    <w:rsid w:val="00133D6D"/>
    <w:rsid w:val="00136B25"/>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52F"/>
    <w:rsid w:val="001606E4"/>
    <w:rsid w:val="00160A47"/>
    <w:rsid w:val="00160E67"/>
    <w:rsid w:val="0016100F"/>
    <w:rsid w:val="00161331"/>
    <w:rsid w:val="001615D9"/>
    <w:rsid w:val="00161A6D"/>
    <w:rsid w:val="00163EFA"/>
    <w:rsid w:val="00164327"/>
    <w:rsid w:val="00165286"/>
    <w:rsid w:val="00165F38"/>
    <w:rsid w:val="00166371"/>
    <w:rsid w:val="00166EFA"/>
    <w:rsid w:val="001673FC"/>
    <w:rsid w:val="00167C0B"/>
    <w:rsid w:val="00167E19"/>
    <w:rsid w:val="00170493"/>
    <w:rsid w:val="00170804"/>
    <w:rsid w:val="00170BD7"/>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B7DF2"/>
    <w:rsid w:val="001C011B"/>
    <w:rsid w:val="001C0715"/>
    <w:rsid w:val="001C1C60"/>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111D1"/>
    <w:rsid w:val="0021175B"/>
    <w:rsid w:val="00211E0B"/>
    <w:rsid w:val="00211F54"/>
    <w:rsid w:val="00212BC2"/>
    <w:rsid w:val="002138D4"/>
    <w:rsid w:val="00213E95"/>
    <w:rsid w:val="00214059"/>
    <w:rsid w:val="00214746"/>
    <w:rsid w:val="00214982"/>
    <w:rsid w:val="00214A23"/>
    <w:rsid w:val="00214B55"/>
    <w:rsid w:val="002151AA"/>
    <w:rsid w:val="00215573"/>
    <w:rsid w:val="002175B5"/>
    <w:rsid w:val="002213C1"/>
    <w:rsid w:val="0022190B"/>
    <w:rsid w:val="00221B6B"/>
    <w:rsid w:val="00221D57"/>
    <w:rsid w:val="00222772"/>
    <w:rsid w:val="00222D4D"/>
    <w:rsid w:val="0022356E"/>
    <w:rsid w:val="00223844"/>
    <w:rsid w:val="00223D61"/>
    <w:rsid w:val="00224C65"/>
    <w:rsid w:val="00225963"/>
    <w:rsid w:val="00225C76"/>
    <w:rsid w:val="002267AA"/>
    <w:rsid w:val="00230BB6"/>
    <w:rsid w:val="002311E3"/>
    <w:rsid w:val="002312B3"/>
    <w:rsid w:val="00233280"/>
    <w:rsid w:val="002332F8"/>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6BB"/>
    <w:rsid w:val="00260F9D"/>
    <w:rsid w:val="002616D5"/>
    <w:rsid w:val="002620C5"/>
    <w:rsid w:val="002621C1"/>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75EE"/>
    <w:rsid w:val="00277D81"/>
    <w:rsid w:val="00277F3A"/>
    <w:rsid w:val="002800E1"/>
    <w:rsid w:val="00280433"/>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694C"/>
    <w:rsid w:val="002E71AD"/>
    <w:rsid w:val="002E7434"/>
    <w:rsid w:val="002F000C"/>
    <w:rsid w:val="002F0636"/>
    <w:rsid w:val="002F06E8"/>
    <w:rsid w:val="002F0860"/>
    <w:rsid w:val="002F1735"/>
    <w:rsid w:val="002F1AF8"/>
    <w:rsid w:val="002F1C15"/>
    <w:rsid w:val="002F243D"/>
    <w:rsid w:val="002F323E"/>
    <w:rsid w:val="002F4E9C"/>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2F07"/>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45A"/>
    <w:rsid w:val="00340052"/>
    <w:rsid w:val="00340CCD"/>
    <w:rsid w:val="00341E13"/>
    <w:rsid w:val="0034206B"/>
    <w:rsid w:val="00343B8A"/>
    <w:rsid w:val="0034544A"/>
    <w:rsid w:val="00346885"/>
    <w:rsid w:val="00347100"/>
    <w:rsid w:val="0035448A"/>
    <w:rsid w:val="00354A29"/>
    <w:rsid w:val="00354B00"/>
    <w:rsid w:val="0035743B"/>
    <w:rsid w:val="00360359"/>
    <w:rsid w:val="0036187E"/>
    <w:rsid w:val="00363C80"/>
    <w:rsid w:val="0036737E"/>
    <w:rsid w:val="003674C4"/>
    <w:rsid w:val="00367889"/>
    <w:rsid w:val="003678CF"/>
    <w:rsid w:val="00367E1C"/>
    <w:rsid w:val="0037071B"/>
    <w:rsid w:val="0037129A"/>
    <w:rsid w:val="003715A2"/>
    <w:rsid w:val="00373117"/>
    <w:rsid w:val="003744EA"/>
    <w:rsid w:val="00374E29"/>
    <w:rsid w:val="00375DF9"/>
    <w:rsid w:val="00376D59"/>
    <w:rsid w:val="00376F99"/>
    <w:rsid w:val="003770E3"/>
    <w:rsid w:val="00377D3C"/>
    <w:rsid w:val="00380DA9"/>
    <w:rsid w:val="00381420"/>
    <w:rsid w:val="00381735"/>
    <w:rsid w:val="00381CCA"/>
    <w:rsid w:val="003820CC"/>
    <w:rsid w:val="00382480"/>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563D"/>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42AD"/>
    <w:rsid w:val="00405494"/>
    <w:rsid w:val="00405941"/>
    <w:rsid w:val="00406906"/>
    <w:rsid w:val="00407784"/>
    <w:rsid w:val="00412D3F"/>
    <w:rsid w:val="00413AAC"/>
    <w:rsid w:val="00414C72"/>
    <w:rsid w:val="00415DAC"/>
    <w:rsid w:val="00416054"/>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024"/>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5E0"/>
    <w:rsid w:val="004738CB"/>
    <w:rsid w:val="00473E65"/>
    <w:rsid w:val="0047408E"/>
    <w:rsid w:val="004749FE"/>
    <w:rsid w:val="0047553E"/>
    <w:rsid w:val="0047613B"/>
    <w:rsid w:val="004762AD"/>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0C52"/>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6E30"/>
    <w:rsid w:val="0050702C"/>
    <w:rsid w:val="00510ED7"/>
    <w:rsid w:val="00511475"/>
    <w:rsid w:val="00512D17"/>
    <w:rsid w:val="005137EC"/>
    <w:rsid w:val="005141C8"/>
    <w:rsid w:val="00515925"/>
    <w:rsid w:val="00515AAA"/>
    <w:rsid w:val="0051677E"/>
    <w:rsid w:val="00516F99"/>
    <w:rsid w:val="00517040"/>
    <w:rsid w:val="005178DF"/>
    <w:rsid w:val="00517EC9"/>
    <w:rsid w:val="005200DA"/>
    <w:rsid w:val="005207C6"/>
    <w:rsid w:val="00521B2A"/>
    <w:rsid w:val="00521BFD"/>
    <w:rsid w:val="00521ECC"/>
    <w:rsid w:val="005222AB"/>
    <w:rsid w:val="005226F2"/>
    <w:rsid w:val="00522BBF"/>
    <w:rsid w:val="005244F5"/>
    <w:rsid w:val="005247C2"/>
    <w:rsid w:val="00524CD7"/>
    <w:rsid w:val="00525353"/>
    <w:rsid w:val="005256F2"/>
    <w:rsid w:val="00525E86"/>
    <w:rsid w:val="00527213"/>
    <w:rsid w:val="00530B91"/>
    <w:rsid w:val="0053129E"/>
    <w:rsid w:val="00531305"/>
    <w:rsid w:val="00531697"/>
    <w:rsid w:val="005317B6"/>
    <w:rsid w:val="00531A1D"/>
    <w:rsid w:val="00532696"/>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1F9"/>
    <w:rsid w:val="00560225"/>
    <w:rsid w:val="0056025C"/>
    <w:rsid w:val="005623D2"/>
    <w:rsid w:val="00562EF1"/>
    <w:rsid w:val="0056305D"/>
    <w:rsid w:val="0056325D"/>
    <w:rsid w:val="00563A61"/>
    <w:rsid w:val="00563FDA"/>
    <w:rsid w:val="00564378"/>
    <w:rsid w:val="0056461D"/>
    <w:rsid w:val="00564711"/>
    <w:rsid w:val="0056522F"/>
    <w:rsid w:val="00566F70"/>
    <w:rsid w:val="005674CA"/>
    <w:rsid w:val="00567552"/>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A85"/>
    <w:rsid w:val="00627432"/>
    <w:rsid w:val="00627E8F"/>
    <w:rsid w:val="00627ED0"/>
    <w:rsid w:val="00627FA3"/>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39"/>
    <w:rsid w:val="00647E64"/>
    <w:rsid w:val="006516F8"/>
    <w:rsid w:val="0065343B"/>
    <w:rsid w:val="00653F63"/>
    <w:rsid w:val="0065545C"/>
    <w:rsid w:val="0065603A"/>
    <w:rsid w:val="00661E6F"/>
    <w:rsid w:val="006624FC"/>
    <w:rsid w:val="0066260B"/>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4325"/>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981"/>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2423"/>
    <w:rsid w:val="00784016"/>
    <w:rsid w:val="0078528F"/>
    <w:rsid w:val="00787279"/>
    <w:rsid w:val="007874E7"/>
    <w:rsid w:val="00787B5A"/>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B7D2B"/>
    <w:rsid w:val="007C05A9"/>
    <w:rsid w:val="007C1028"/>
    <w:rsid w:val="007C327E"/>
    <w:rsid w:val="007C3390"/>
    <w:rsid w:val="007C41E4"/>
    <w:rsid w:val="007C420C"/>
    <w:rsid w:val="007C4C6B"/>
    <w:rsid w:val="007C4F4B"/>
    <w:rsid w:val="007D0179"/>
    <w:rsid w:val="007D0825"/>
    <w:rsid w:val="007D0D98"/>
    <w:rsid w:val="007D1FEA"/>
    <w:rsid w:val="007D25CC"/>
    <w:rsid w:val="007D2FE3"/>
    <w:rsid w:val="007D3078"/>
    <w:rsid w:val="007D3508"/>
    <w:rsid w:val="007D3EFF"/>
    <w:rsid w:val="007D4E44"/>
    <w:rsid w:val="007D4E68"/>
    <w:rsid w:val="007D633B"/>
    <w:rsid w:val="007D747C"/>
    <w:rsid w:val="007E1056"/>
    <w:rsid w:val="007E13DF"/>
    <w:rsid w:val="007E1844"/>
    <w:rsid w:val="007E277C"/>
    <w:rsid w:val="007E2FA5"/>
    <w:rsid w:val="007E3101"/>
    <w:rsid w:val="007E3436"/>
    <w:rsid w:val="007E3469"/>
    <w:rsid w:val="007E3CAA"/>
    <w:rsid w:val="007E494E"/>
    <w:rsid w:val="007E6088"/>
    <w:rsid w:val="007E6AD3"/>
    <w:rsid w:val="007E70FC"/>
    <w:rsid w:val="007E73AE"/>
    <w:rsid w:val="007E7CAC"/>
    <w:rsid w:val="007F0B83"/>
    <w:rsid w:val="007F1716"/>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3328"/>
    <w:rsid w:val="00813540"/>
    <w:rsid w:val="008137DF"/>
    <w:rsid w:val="00813E02"/>
    <w:rsid w:val="0081557C"/>
    <w:rsid w:val="00815CBB"/>
    <w:rsid w:val="008161CE"/>
    <w:rsid w:val="00816B39"/>
    <w:rsid w:val="008175E9"/>
    <w:rsid w:val="0081765E"/>
    <w:rsid w:val="008202FA"/>
    <w:rsid w:val="00820B32"/>
    <w:rsid w:val="00820F00"/>
    <w:rsid w:val="00820FF1"/>
    <w:rsid w:val="00822087"/>
    <w:rsid w:val="00822231"/>
    <w:rsid w:val="00823F20"/>
    <w:rsid w:val="008240A3"/>
    <w:rsid w:val="008242D7"/>
    <w:rsid w:val="008244E6"/>
    <w:rsid w:val="00825947"/>
    <w:rsid w:val="008259BE"/>
    <w:rsid w:val="00825D0F"/>
    <w:rsid w:val="0082604F"/>
    <w:rsid w:val="00826267"/>
    <w:rsid w:val="00826E2B"/>
    <w:rsid w:val="008276C7"/>
    <w:rsid w:val="0082793C"/>
    <w:rsid w:val="00827E05"/>
    <w:rsid w:val="00830782"/>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4042"/>
    <w:rsid w:val="008441FB"/>
    <w:rsid w:val="00844654"/>
    <w:rsid w:val="008458D3"/>
    <w:rsid w:val="00847E86"/>
    <w:rsid w:val="00850E0C"/>
    <w:rsid w:val="00851335"/>
    <w:rsid w:val="00851F8E"/>
    <w:rsid w:val="008521E4"/>
    <w:rsid w:val="008528E0"/>
    <w:rsid w:val="008541AC"/>
    <w:rsid w:val="00854C89"/>
    <w:rsid w:val="00855010"/>
    <w:rsid w:val="00856875"/>
    <w:rsid w:val="00861E14"/>
    <w:rsid w:val="00862648"/>
    <w:rsid w:val="0086291E"/>
    <w:rsid w:val="00862A5C"/>
    <w:rsid w:val="00862B11"/>
    <w:rsid w:val="00862C74"/>
    <w:rsid w:val="0086481F"/>
    <w:rsid w:val="00865599"/>
    <w:rsid w:val="008704E9"/>
    <w:rsid w:val="00870AC1"/>
    <w:rsid w:val="0087169F"/>
    <w:rsid w:val="00871D87"/>
    <w:rsid w:val="00871EF0"/>
    <w:rsid w:val="00871FD5"/>
    <w:rsid w:val="00872568"/>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1A9A"/>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097"/>
    <w:rsid w:val="00922558"/>
    <w:rsid w:val="00922B65"/>
    <w:rsid w:val="00922C04"/>
    <w:rsid w:val="0092420E"/>
    <w:rsid w:val="00924750"/>
    <w:rsid w:val="00924EB7"/>
    <w:rsid w:val="00925893"/>
    <w:rsid w:val="00925996"/>
    <w:rsid w:val="0092605C"/>
    <w:rsid w:val="00926FA5"/>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2435"/>
    <w:rsid w:val="009525C2"/>
    <w:rsid w:val="009525EC"/>
    <w:rsid w:val="00952664"/>
    <w:rsid w:val="00952CED"/>
    <w:rsid w:val="00953038"/>
    <w:rsid w:val="00953087"/>
    <w:rsid w:val="0095454C"/>
    <w:rsid w:val="0095455D"/>
    <w:rsid w:val="009549FC"/>
    <w:rsid w:val="00955408"/>
    <w:rsid w:val="009562D1"/>
    <w:rsid w:val="009565DB"/>
    <w:rsid w:val="00957034"/>
    <w:rsid w:val="009574E6"/>
    <w:rsid w:val="0095778D"/>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6DA0"/>
    <w:rsid w:val="0098797B"/>
    <w:rsid w:val="00987F86"/>
    <w:rsid w:val="009901A0"/>
    <w:rsid w:val="00990FBC"/>
    <w:rsid w:val="00991261"/>
    <w:rsid w:val="00991F31"/>
    <w:rsid w:val="009927AA"/>
    <w:rsid w:val="009930AA"/>
    <w:rsid w:val="009941A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285"/>
    <w:rsid w:val="009A44E7"/>
    <w:rsid w:val="009A4DD5"/>
    <w:rsid w:val="009A594A"/>
    <w:rsid w:val="009A59C1"/>
    <w:rsid w:val="009A5AC0"/>
    <w:rsid w:val="009A657D"/>
    <w:rsid w:val="009A6EF3"/>
    <w:rsid w:val="009A7012"/>
    <w:rsid w:val="009A7B4F"/>
    <w:rsid w:val="009B3E71"/>
    <w:rsid w:val="009B4026"/>
    <w:rsid w:val="009B4327"/>
    <w:rsid w:val="009B43ED"/>
    <w:rsid w:val="009B4DFB"/>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A0E"/>
    <w:rsid w:val="009E71F6"/>
    <w:rsid w:val="009E7DA7"/>
    <w:rsid w:val="009F138C"/>
    <w:rsid w:val="009F21E9"/>
    <w:rsid w:val="009F230C"/>
    <w:rsid w:val="009F3A17"/>
    <w:rsid w:val="009F6C71"/>
    <w:rsid w:val="009F717D"/>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F87"/>
    <w:rsid w:val="00A41776"/>
    <w:rsid w:val="00A420DE"/>
    <w:rsid w:val="00A427AF"/>
    <w:rsid w:val="00A42A93"/>
    <w:rsid w:val="00A432E1"/>
    <w:rsid w:val="00A436DE"/>
    <w:rsid w:val="00A43A64"/>
    <w:rsid w:val="00A43F74"/>
    <w:rsid w:val="00A4474B"/>
    <w:rsid w:val="00A44DF1"/>
    <w:rsid w:val="00A44EC2"/>
    <w:rsid w:val="00A452DD"/>
    <w:rsid w:val="00A453D6"/>
    <w:rsid w:val="00A455AB"/>
    <w:rsid w:val="00A45B7F"/>
    <w:rsid w:val="00A45FEB"/>
    <w:rsid w:val="00A46C2B"/>
    <w:rsid w:val="00A478ED"/>
    <w:rsid w:val="00A47C6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5563"/>
    <w:rsid w:val="00AA592B"/>
    <w:rsid w:val="00AA5BA4"/>
    <w:rsid w:val="00AA6962"/>
    <w:rsid w:val="00AA72C6"/>
    <w:rsid w:val="00AA72EE"/>
    <w:rsid w:val="00AA7776"/>
    <w:rsid w:val="00AB1774"/>
    <w:rsid w:val="00AB1F0B"/>
    <w:rsid w:val="00AB2229"/>
    <w:rsid w:val="00AB25C7"/>
    <w:rsid w:val="00AB27AE"/>
    <w:rsid w:val="00AB3157"/>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7335"/>
    <w:rsid w:val="00AC73A0"/>
    <w:rsid w:val="00AC78D8"/>
    <w:rsid w:val="00AC7FE0"/>
    <w:rsid w:val="00AD08D4"/>
    <w:rsid w:val="00AD1946"/>
    <w:rsid w:val="00AD221D"/>
    <w:rsid w:val="00AD23DD"/>
    <w:rsid w:val="00AD46B9"/>
    <w:rsid w:val="00AD5022"/>
    <w:rsid w:val="00AD6482"/>
    <w:rsid w:val="00AD6A23"/>
    <w:rsid w:val="00AD6F00"/>
    <w:rsid w:val="00AD79CB"/>
    <w:rsid w:val="00AD7AAA"/>
    <w:rsid w:val="00AE0EFE"/>
    <w:rsid w:val="00AE1892"/>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3CE8"/>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2174"/>
    <w:rsid w:val="00B73A18"/>
    <w:rsid w:val="00B74197"/>
    <w:rsid w:val="00B75D8C"/>
    <w:rsid w:val="00B76480"/>
    <w:rsid w:val="00B77D2F"/>
    <w:rsid w:val="00B77E75"/>
    <w:rsid w:val="00B77E96"/>
    <w:rsid w:val="00B81E12"/>
    <w:rsid w:val="00B820B1"/>
    <w:rsid w:val="00B832B6"/>
    <w:rsid w:val="00B8381A"/>
    <w:rsid w:val="00B84F1E"/>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22BB"/>
    <w:rsid w:val="00BD3050"/>
    <w:rsid w:val="00BD3065"/>
    <w:rsid w:val="00BD3B40"/>
    <w:rsid w:val="00BD4B5A"/>
    <w:rsid w:val="00BD5420"/>
    <w:rsid w:val="00BD56D7"/>
    <w:rsid w:val="00BD645B"/>
    <w:rsid w:val="00BD714F"/>
    <w:rsid w:val="00BD7683"/>
    <w:rsid w:val="00BD78BF"/>
    <w:rsid w:val="00BD79C3"/>
    <w:rsid w:val="00BE1C5D"/>
    <w:rsid w:val="00BE20DD"/>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2B73"/>
    <w:rsid w:val="00C5317A"/>
    <w:rsid w:val="00C55043"/>
    <w:rsid w:val="00C55C93"/>
    <w:rsid w:val="00C56036"/>
    <w:rsid w:val="00C57CEF"/>
    <w:rsid w:val="00C606AC"/>
    <w:rsid w:val="00C61A5B"/>
    <w:rsid w:val="00C61B27"/>
    <w:rsid w:val="00C6207E"/>
    <w:rsid w:val="00C62EC6"/>
    <w:rsid w:val="00C63552"/>
    <w:rsid w:val="00C65093"/>
    <w:rsid w:val="00C65BA0"/>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5CD"/>
    <w:rsid w:val="00CF768E"/>
    <w:rsid w:val="00D00262"/>
    <w:rsid w:val="00D002FD"/>
    <w:rsid w:val="00D00A39"/>
    <w:rsid w:val="00D00E16"/>
    <w:rsid w:val="00D01013"/>
    <w:rsid w:val="00D01A28"/>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D31"/>
    <w:rsid w:val="00D46254"/>
    <w:rsid w:val="00D46769"/>
    <w:rsid w:val="00D46C5C"/>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BCB"/>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27DAB"/>
    <w:rsid w:val="00E30DF3"/>
    <w:rsid w:val="00E313A5"/>
    <w:rsid w:val="00E3212D"/>
    <w:rsid w:val="00E32575"/>
    <w:rsid w:val="00E33718"/>
    <w:rsid w:val="00E33A40"/>
    <w:rsid w:val="00E340C1"/>
    <w:rsid w:val="00E3490F"/>
    <w:rsid w:val="00E34CA1"/>
    <w:rsid w:val="00E35E75"/>
    <w:rsid w:val="00E3639F"/>
    <w:rsid w:val="00E36CE9"/>
    <w:rsid w:val="00E40954"/>
    <w:rsid w:val="00E40F22"/>
    <w:rsid w:val="00E41157"/>
    <w:rsid w:val="00E41468"/>
    <w:rsid w:val="00E424E8"/>
    <w:rsid w:val="00E42856"/>
    <w:rsid w:val="00E42A3D"/>
    <w:rsid w:val="00E42D2B"/>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47"/>
    <w:rsid w:val="00E86D9B"/>
    <w:rsid w:val="00E870A6"/>
    <w:rsid w:val="00E871F8"/>
    <w:rsid w:val="00E87921"/>
    <w:rsid w:val="00E87C65"/>
    <w:rsid w:val="00E903C5"/>
    <w:rsid w:val="00E9074F"/>
    <w:rsid w:val="00E90B42"/>
    <w:rsid w:val="00E90C3A"/>
    <w:rsid w:val="00E90F91"/>
    <w:rsid w:val="00E91704"/>
    <w:rsid w:val="00E92D64"/>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D68"/>
    <w:rsid w:val="00EB554E"/>
    <w:rsid w:val="00EB57E0"/>
    <w:rsid w:val="00EB5BAA"/>
    <w:rsid w:val="00EB6219"/>
    <w:rsid w:val="00EB6545"/>
    <w:rsid w:val="00EB725B"/>
    <w:rsid w:val="00EC0164"/>
    <w:rsid w:val="00EC0241"/>
    <w:rsid w:val="00EC0609"/>
    <w:rsid w:val="00EC0BAE"/>
    <w:rsid w:val="00EC2BA2"/>
    <w:rsid w:val="00EC2CDF"/>
    <w:rsid w:val="00EC3155"/>
    <w:rsid w:val="00EC38DB"/>
    <w:rsid w:val="00EC3AA1"/>
    <w:rsid w:val="00EC4904"/>
    <w:rsid w:val="00EC4A7F"/>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C1C"/>
    <w:rsid w:val="00EE0DD6"/>
    <w:rsid w:val="00EE105E"/>
    <w:rsid w:val="00EE24E6"/>
    <w:rsid w:val="00EE24F2"/>
    <w:rsid w:val="00EE352D"/>
    <w:rsid w:val="00EE409E"/>
    <w:rsid w:val="00EE470B"/>
    <w:rsid w:val="00EE58BD"/>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51F"/>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737E"/>
    <w:rsid w:val="00F7753D"/>
    <w:rsid w:val="00F7793F"/>
    <w:rsid w:val="00F807F3"/>
    <w:rsid w:val="00F812AA"/>
    <w:rsid w:val="00F81F00"/>
    <w:rsid w:val="00F82E11"/>
    <w:rsid w:val="00F83582"/>
    <w:rsid w:val="00F84057"/>
    <w:rsid w:val="00F84585"/>
    <w:rsid w:val="00F8513D"/>
    <w:rsid w:val="00F85DA1"/>
    <w:rsid w:val="00F85F34"/>
    <w:rsid w:val="00F867FB"/>
    <w:rsid w:val="00F87EFF"/>
    <w:rsid w:val="00F90299"/>
    <w:rsid w:val="00F9120B"/>
    <w:rsid w:val="00F9128A"/>
    <w:rsid w:val="00F91425"/>
    <w:rsid w:val="00F91484"/>
    <w:rsid w:val="00F924EE"/>
    <w:rsid w:val="00F94389"/>
    <w:rsid w:val="00F9614D"/>
    <w:rsid w:val="00F97C95"/>
    <w:rsid w:val="00F97CF2"/>
    <w:rsid w:val="00FA04D9"/>
    <w:rsid w:val="00FA06F7"/>
    <w:rsid w:val="00FA1970"/>
    <w:rsid w:val="00FA217E"/>
    <w:rsid w:val="00FA2D23"/>
    <w:rsid w:val="00FA3968"/>
    <w:rsid w:val="00FA3DEC"/>
    <w:rsid w:val="00FA52BA"/>
    <w:rsid w:val="00FA6EA7"/>
    <w:rsid w:val="00FA6F96"/>
    <w:rsid w:val="00FA72BB"/>
    <w:rsid w:val="00FA7467"/>
    <w:rsid w:val="00FA7A71"/>
    <w:rsid w:val="00FB111D"/>
    <w:rsid w:val="00FB171A"/>
    <w:rsid w:val="00FB19F0"/>
    <w:rsid w:val="00FB22A0"/>
    <w:rsid w:val="00FB247D"/>
    <w:rsid w:val="00FB2556"/>
    <w:rsid w:val="00FB2B76"/>
    <w:rsid w:val="00FB2EC1"/>
    <w:rsid w:val="00FB3A3F"/>
    <w:rsid w:val="00FB3AFD"/>
    <w:rsid w:val="00FB42F8"/>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semiHidden/>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semiHidden/>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semiHidden/>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semiHidden/>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semiHidden/>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semiHidden/>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B6266-68E1-4429-B135-8416E802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4</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E/ECE/324/Rev</vt:lpstr>
    </vt:vector>
  </TitlesOfParts>
  <Company>CSD</Company>
  <LinksUpToDate>false</LinksUpToDate>
  <CharactersWithSpaces>5874</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creator>AFTER JUNE</dc:creator>
  <cp:lastModifiedBy>Benedicte Boudol</cp:lastModifiedBy>
  <cp:revision>2</cp:revision>
  <cp:lastPrinted>2015-08-06T10:17:00Z</cp:lastPrinted>
  <dcterms:created xsi:type="dcterms:W3CDTF">2016-01-22T09:02:00Z</dcterms:created>
  <dcterms:modified xsi:type="dcterms:W3CDTF">2016-01-22T09:02:00Z</dcterms:modified>
</cp:coreProperties>
</file>