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F111D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F111D7" w:rsidP="00F111D7">
            <w:pPr>
              <w:jc w:val="right"/>
            </w:pPr>
            <w:r w:rsidRPr="00F111D7">
              <w:rPr>
                <w:sz w:val="40"/>
              </w:rPr>
              <w:t>ECE</w:t>
            </w:r>
            <w:r>
              <w:t>/TRANS/WP.29/2016/91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F111D7" w:rsidP="00892A2F">
            <w:pPr>
              <w:spacing w:before="240"/>
            </w:pPr>
            <w:r>
              <w:t>Distr. générale</w:t>
            </w:r>
          </w:p>
          <w:p w:rsidR="00F111D7" w:rsidRDefault="00F111D7" w:rsidP="00F111D7">
            <w:pPr>
              <w:spacing w:line="240" w:lineRule="exact"/>
            </w:pPr>
            <w:r>
              <w:t>1</w:t>
            </w:r>
            <w:r w:rsidRPr="00F111D7">
              <w:rPr>
                <w:vertAlign w:val="superscript"/>
              </w:rPr>
              <w:t>er</w:t>
            </w:r>
            <w:r>
              <w:t> septembre 2016</w:t>
            </w:r>
          </w:p>
          <w:p w:rsidR="00F111D7" w:rsidRDefault="00F111D7" w:rsidP="00F111D7">
            <w:pPr>
              <w:spacing w:line="240" w:lineRule="exact"/>
            </w:pPr>
            <w:r>
              <w:t>Français</w:t>
            </w:r>
          </w:p>
          <w:p w:rsidR="00F111D7" w:rsidRPr="00DB58B5" w:rsidRDefault="00F111D7" w:rsidP="00F111D7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F111D7" w:rsidRDefault="00F111D7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F111D7" w:rsidRDefault="00F111D7" w:rsidP="00AF0CB5">
      <w:pPr>
        <w:spacing w:before="120" w:line="240" w:lineRule="exact"/>
        <w:rPr>
          <w:b/>
        </w:rPr>
      </w:pPr>
      <w:r w:rsidRPr="00F111D7">
        <w:rPr>
          <w:b/>
        </w:rPr>
        <w:t>170</w:t>
      </w:r>
      <w:r w:rsidRPr="00F111D7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F111D7" w:rsidRDefault="00F111D7" w:rsidP="00AF0CB5">
      <w:pPr>
        <w:spacing w:line="240" w:lineRule="exact"/>
      </w:pPr>
      <w:r>
        <w:t xml:space="preserve">Genève, </w:t>
      </w:r>
      <w:r w:rsidRPr="00275E1B">
        <w:t>15-18 novembre 2016</w:t>
      </w:r>
    </w:p>
    <w:p w:rsidR="00F111D7" w:rsidRDefault="00F111D7" w:rsidP="00AF0CB5">
      <w:pPr>
        <w:spacing w:line="240" w:lineRule="exact"/>
      </w:pPr>
      <w:r>
        <w:t xml:space="preserve">Point </w:t>
      </w:r>
      <w:r w:rsidRPr="00275E1B">
        <w:t>4.</w:t>
      </w:r>
      <w:r>
        <w:t>7.3</w:t>
      </w:r>
      <w:r w:rsidRPr="00275E1B">
        <w:t xml:space="preserve"> </w:t>
      </w:r>
      <w:r>
        <w:t>de l’ordre du jour</w:t>
      </w:r>
      <w:r w:rsidR="00C25F7E">
        <w:t xml:space="preserve"> provisoire</w:t>
      </w:r>
    </w:p>
    <w:p w:rsidR="00F111D7" w:rsidRPr="00F111D7" w:rsidRDefault="00F111D7" w:rsidP="00F111D7">
      <w:pPr>
        <w:rPr>
          <w:b/>
        </w:rPr>
      </w:pPr>
      <w:r w:rsidRPr="00F111D7">
        <w:rPr>
          <w:b/>
        </w:rPr>
        <w:t xml:space="preserve">Accord de 1958 – Examen de projets d’amendements </w:t>
      </w:r>
      <w:r w:rsidRPr="00F111D7">
        <w:rPr>
          <w:b/>
        </w:rPr>
        <w:br/>
        <w:t>à des Règlements existants, proposés par le GRSG</w:t>
      </w:r>
    </w:p>
    <w:p w:rsidR="00F111D7" w:rsidRPr="00A667C4" w:rsidRDefault="00F111D7" w:rsidP="00F111D7">
      <w:pPr>
        <w:pStyle w:val="HChG"/>
      </w:pPr>
      <w:r>
        <w:tab/>
      </w:r>
      <w:r>
        <w:tab/>
      </w:r>
      <w:r w:rsidRPr="00A667C4">
        <w:t>Proposition de complément 5</w:t>
      </w:r>
      <w:r>
        <w:t xml:space="preserve"> à la série 04 d’amendements au Règlement n</w:t>
      </w:r>
      <w:r w:rsidRPr="00F111D7">
        <w:rPr>
          <w:vertAlign w:val="superscript"/>
        </w:rPr>
        <w:t>o</w:t>
      </w:r>
      <w:r>
        <w:t> </w:t>
      </w:r>
      <w:r w:rsidRPr="00A667C4">
        <w:t>107 (</w:t>
      </w:r>
      <w:r>
        <w:t xml:space="preserve">Caractéristiques générales </w:t>
      </w:r>
      <w:r>
        <w:br/>
        <w:t>de construction des autobus et autocars</w:t>
      </w:r>
      <w:r w:rsidRPr="00A667C4">
        <w:t>)</w:t>
      </w:r>
    </w:p>
    <w:p w:rsidR="00F111D7" w:rsidRPr="006701BD" w:rsidRDefault="00F111D7" w:rsidP="00F111D7">
      <w:pPr>
        <w:pStyle w:val="H1G"/>
      </w:pPr>
      <w:r>
        <w:tab/>
      </w:r>
      <w:r>
        <w:tab/>
      </w:r>
      <w:r w:rsidRPr="006701BD">
        <w:t xml:space="preserve">Communication du Groupe de travail </w:t>
      </w:r>
      <w:r>
        <w:br/>
      </w:r>
      <w:r w:rsidRPr="006701BD">
        <w:t>des dispositions générales de sécurité</w:t>
      </w:r>
      <w:r w:rsidRPr="00F111D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9573C" w:rsidRDefault="00F111D7" w:rsidP="00C25F7E">
      <w:pPr>
        <w:pStyle w:val="SingleTxtG"/>
        <w:ind w:firstLine="567"/>
      </w:pPr>
      <w:r w:rsidRPr="006701BD">
        <w:t>Le texte reproduit ci-dessous a été adopté par le Groupe de travail des dispositions générales de sécurité (GRSG) à sa 110</w:t>
      </w:r>
      <w:r w:rsidRPr="006701BD">
        <w:rPr>
          <w:vertAlign w:val="superscript"/>
        </w:rPr>
        <w:t>e</w:t>
      </w:r>
      <w:r w:rsidR="001D0F90">
        <w:t> </w:t>
      </w:r>
      <w:r w:rsidRPr="006701BD">
        <w:t xml:space="preserve">session (ECE/TRANS/WP.29/GRSG/89, </w:t>
      </w:r>
      <w:r w:rsidR="001D0F90">
        <w:t>par. </w:t>
      </w:r>
      <w:r w:rsidRPr="006701BD">
        <w:t>5)</w:t>
      </w:r>
      <w:r>
        <w:rPr>
          <w:lang w:eastAsia="it-IT"/>
        </w:rPr>
        <w:t>. Il a été é</w:t>
      </w:r>
      <w:r w:rsidRPr="006701BD">
        <w:rPr>
          <w:lang w:eastAsia="ja-JP"/>
        </w:rPr>
        <w:t>t</w:t>
      </w:r>
      <w:r>
        <w:rPr>
          <w:lang w:eastAsia="ja-JP"/>
        </w:rPr>
        <w:t xml:space="preserve">abli principalement sur la base du document </w:t>
      </w:r>
      <w:r w:rsidRPr="006701BD">
        <w:rPr>
          <w:bCs/>
        </w:rPr>
        <w:t xml:space="preserve">ECE/TRANS/WP.29/GRSG/2015/21 </w:t>
      </w:r>
      <w:r w:rsidR="001D0F90">
        <w:rPr>
          <w:bCs/>
        </w:rPr>
        <w:t>tel que reproduit dans l’annexe </w:t>
      </w:r>
      <w:r w:rsidRPr="006701BD">
        <w:rPr>
          <w:bCs/>
        </w:rPr>
        <w:t>II du rapport</w:t>
      </w:r>
      <w:r w:rsidRPr="006701BD">
        <w:t xml:space="preserve">. </w:t>
      </w:r>
      <w:r w:rsidRPr="006A527D">
        <w:t xml:space="preserve">Il est soumis au Forum mondial de l’harmonisation des Règlements concernant les véhicules (WP.29) </w:t>
      </w:r>
      <w:r>
        <w:t>et au Comité d</w:t>
      </w:r>
      <w:r w:rsidRPr="00917F21">
        <w:t>’</w:t>
      </w:r>
      <w:r>
        <w:t>administration AC.1 p</w:t>
      </w:r>
      <w:r w:rsidRPr="006A527D">
        <w:t>o</w:t>
      </w:r>
      <w:r>
        <w:t>u</w:t>
      </w:r>
      <w:r w:rsidRPr="006A527D">
        <w:t xml:space="preserve">r </w:t>
      </w:r>
      <w:r>
        <w:t>examen à leur</w:t>
      </w:r>
      <w:r w:rsidR="001D0F90">
        <w:t>s</w:t>
      </w:r>
      <w:r>
        <w:t xml:space="preserve"> sessions de n</w:t>
      </w:r>
      <w:r w:rsidRPr="006A527D">
        <w:t>ovembr</w:t>
      </w:r>
      <w:r>
        <w:t>e 2016</w:t>
      </w:r>
      <w:r w:rsidRPr="006A527D">
        <w:t>.</w:t>
      </w:r>
    </w:p>
    <w:p w:rsidR="00F111D7" w:rsidRPr="00F77DC8" w:rsidRDefault="00F111D7" w:rsidP="00F111D7">
      <w:pPr>
        <w:pStyle w:val="HChG"/>
        <w:rPr>
          <w:i/>
          <w:lang w:eastAsia="ar-SA"/>
        </w:rPr>
      </w:pPr>
      <w:r>
        <w:br w:type="page"/>
      </w:r>
      <w:r w:rsidRPr="006701BD">
        <w:lastRenderedPageBreak/>
        <w:tab/>
      </w:r>
      <w:r w:rsidRPr="006701BD">
        <w:tab/>
      </w:r>
      <w:r w:rsidRPr="00F77DC8">
        <w:t>Complé</w:t>
      </w:r>
      <w:r>
        <w:t>ment </w:t>
      </w:r>
      <w:r w:rsidRPr="00F77DC8">
        <w:t xml:space="preserve">5 </w:t>
      </w:r>
      <w:r>
        <w:t>à la série </w:t>
      </w:r>
      <w:r w:rsidRPr="00F77DC8">
        <w:t>04 d’amend</w:t>
      </w:r>
      <w:r>
        <w:t>ements au Règlement n</w:t>
      </w:r>
      <w:r w:rsidRPr="00F111D7">
        <w:rPr>
          <w:vertAlign w:val="superscript"/>
        </w:rPr>
        <w:t>o</w:t>
      </w:r>
      <w:r>
        <w:t> </w:t>
      </w:r>
      <w:r w:rsidRPr="00F77DC8">
        <w:t>107 (</w:t>
      </w:r>
      <w:r>
        <w:t xml:space="preserve">Caractéristiques générales de construction </w:t>
      </w:r>
      <w:r>
        <w:br/>
        <w:t>des autobus et autocars</w:t>
      </w:r>
      <w:r w:rsidRPr="00F77DC8">
        <w:t>)</w:t>
      </w:r>
    </w:p>
    <w:p w:rsidR="00F111D7" w:rsidRPr="00C60E8D" w:rsidRDefault="00F111D7" w:rsidP="00C60E8D">
      <w:pPr>
        <w:pStyle w:val="SingleTxtG"/>
        <w:rPr>
          <w:i/>
          <w:iCs/>
          <w:lang w:eastAsia="ar-SA"/>
        </w:rPr>
      </w:pPr>
      <w:r w:rsidRPr="00C60E8D">
        <w:rPr>
          <w:i/>
          <w:lang w:eastAsia="ar-SA"/>
        </w:rPr>
        <w:t>Annexe 3</w:t>
      </w:r>
    </w:p>
    <w:p w:rsidR="00F111D7" w:rsidRPr="00370FD1" w:rsidRDefault="00F111D7" w:rsidP="00C60E8D">
      <w:pPr>
        <w:pStyle w:val="SingleTxtG"/>
        <w:rPr>
          <w:lang w:eastAsia="ar-SA"/>
        </w:rPr>
      </w:pPr>
      <w:r w:rsidRPr="00C60E8D">
        <w:rPr>
          <w:i/>
          <w:lang w:eastAsia="ar-SA"/>
        </w:rPr>
        <w:t>Paragraphe 7.7.5.1</w:t>
      </w:r>
      <w:r w:rsidRPr="00370FD1">
        <w:rPr>
          <w:lang w:eastAsia="ar-SA"/>
        </w:rPr>
        <w:t xml:space="preserve">, </w:t>
      </w:r>
      <w:r w:rsidRPr="00370FD1">
        <w:rPr>
          <w:iCs/>
          <w:lang w:eastAsia="ar-SA"/>
        </w:rPr>
        <w:t>modifier comme suit</w:t>
      </w:r>
      <w:r w:rsidR="00C60E8D">
        <w:rPr>
          <w:iCs/>
          <w:lang w:eastAsia="ar-SA"/>
        </w:rPr>
        <w:t> </w:t>
      </w:r>
      <w:r w:rsidR="00C60E8D">
        <w:rPr>
          <w:lang w:eastAsia="ar-SA"/>
        </w:rPr>
        <w:t>:</w:t>
      </w:r>
    </w:p>
    <w:p w:rsidR="00F111D7" w:rsidRPr="00370FD1" w:rsidRDefault="00C60E8D" w:rsidP="00C60E8D">
      <w:pPr>
        <w:pStyle w:val="SingleTxtG"/>
        <w:ind w:left="2268" w:hanging="1134"/>
        <w:rPr>
          <w:lang w:eastAsia="ar-SA"/>
        </w:rPr>
      </w:pPr>
      <w:r>
        <w:rPr>
          <w:lang w:eastAsia="ar-SA"/>
        </w:rPr>
        <w:t>« 7.7.5.1</w:t>
      </w:r>
      <w:r w:rsidR="00F111D7" w:rsidRPr="00370FD1">
        <w:rPr>
          <w:lang w:eastAsia="ar-SA"/>
        </w:rPr>
        <w:tab/>
        <w:t>…</w:t>
      </w:r>
    </w:p>
    <w:p w:rsidR="00F111D7" w:rsidRPr="00022701" w:rsidRDefault="00F111D7" w:rsidP="00C60E8D">
      <w:pPr>
        <w:pStyle w:val="SingleTxtG"/>
        <w:ind w:left="2268"/>
        <w:rPr>
          <w:lang w:eastAsia="fr-FR"/>
        </w:rPr>
      </w:pPr>
      <w:r>
        <w:t xml:space="preserve">Dans les </w:t>
      </w:r>
      <w:r w:rsidR="00D601F1">
        <w:t>véhicules des classes </w:t>
      </w:r>
      <w:r>
        <w:t xml:space="preserve">II, III et B, </w:t>
      </w:r>
      <w:r w:rsidR="001D0F90">
        <w:t>le gabarit conforme à la figure 6 de l’annexe </w:t>
      </w:r>
      <w:r>
        <w:t xml:space="preserve">4 peut entrer en contact avec un écran vidéo ou dispositif d’affichage suspendu du plafond au-dessus de l’allée. La force maximale nécessaire pour écarter l’écran ou le dispositif d’affichage de manière à libérer le passage, lorsque le gabarit est déplacé le long de l’allée dans les deux sens, ne doit pas dépasser </w:t>
      </w:r>
      <w:r w:rsidR="001D0F90">
        <w:t>35 </w:t>
      </w:r>
      <w:r>
        <w:t>newtons.</w:t>
      </w:r>
      <w:r w:rsidRPr="00370FD1">
        <w:rPr>
          <w:lang w:eastAsia="fr-FR"/>
        </w:rPr>
        <w:t xml:space="preserve"> </w:t>
      </w:r>
      <w:r>
        <w:rPr>
          <w:lang w:eastAsia="fr-FR"/>
        </w:rPr>
        <w:t>Cette force maximale doit normalement s</w:t>
      </w:r>
      <w:r w:rsidRPr="00917F21">
        <w:rPr>
          <w:lang w:eastAsia="fr-FR"/>
        </w:rPr>
        <w:t>’</w:t>
      </w:r>
      <w:r>
        <w:rPr>
          <w:lang w:eastAsia="fr-FR"/>
        </w:rPr>
        <w:t>exercer au milieu du bord inférieur de l</w:t>
      </w:r>
      <w:r w:rsidRPr="00917F21">
        <w:rPr>
          <w:lang w:eastAsia="fr-FR"/>
        </w:rPr>
        <w:t>’</w:t>
      </w:r>
      <w:r>
        <w:rPr>
          <w:lang w:eastAsia="fr-FR"/>
        </w:rPr>
        <w:t>écran vidéo ou du dispositif d</w:t>
      </w:r>
      <w:r w:rsidRPr="00917F21">
        <w:rPr>
          <w:lang w:eastAsia="fr-FR"/>
        </w:rPr>
        <w:t>’</w:t>
      </w:r>
      <w:r>
        <w:rPr>
          <w:lang w:eastAsia="fr-FR"/>
        </w:rPr>
        <w:t>affichage, dans les deux sens, successivement, jusqu</w:t>
      </w:r>
      <w:r w:rsidRPr="00917F21">
        <w:rPr>
          <w:lang w:eastAsia="fr-FR"/>
        </w:rPr>
        <w:t>’</w:t>
      </w:r>
      <w:r>
        <w:rPr>
          <w:lang w:eastAsia="fr-FR"/>
        </w:rPr>
        <w:t>à ce que l</w:t>
      </w:r>
      <w:r w:rsidRPr="00917F21">
        <w:rPr>
          <w:lang w:eastAsia="fr-FR"/>
        </w:rPr>
        <w:t>’</w:t>
      </w:r>
      <w:r>
        <w:rPr>
          <w:lang w:eastAsia="fr-FR"/>
        </w:rPr>
        <w:t>écran ou le dispositif ait atteint une position qui permette le passage aisé du gabarit</w:t>
      </w:r>
      <w:r w:rsidRPr="00022701">
        <w:rPr>
          <w:lang w:eastAsia="fr-FR"/>
        </w:rPr>
        <w:t xml:space="preserve">. </w:t>
      </w:r>
      <w:r>
        <w:rPr>
          <w:lang w:eastAsia="fr-FR"/>
        </w:rPr>
        <w:t>Une fois écarté</w:t>
      </w:r>
      <w:r w:rsidRPr="00022701">
        <w:rPr>
          <w:lang w:eastAsia="fr-FR"/>
        </w:rPr>
        <w:t>, l’écran ou le dispositi</w:t>
      </w:r>
      <w:r>
        <w:rPr>
          <w:lang w:eastAsia="fr-FR"/>
        </w:rPr>
        <w:t>f</w:t>
      </w:r>
      <w:r w:rsidRPr="00022701">
        <w:rPr>
          <w:lang w:eastAsia="fr-FR"/>
        </w:rPr>
        <w:t xml:space="preserve"> doit </w:t>
      </w:r>
      <w:r>
        <w:rPr>
          <w:lang w:eastAsia="fr-FR"/>
        </w:rPr>
        <w:t>conserver</w:t>
      </w:r>
      <w:r w:rsidRPr="00022701">
        <w:rPr>
          <w:lang w:eastAsia="fr-FR"/>
        </w:rPr>
        <w:t xml:space="preserve"> sa position et ne pas se </w:t>
      </w:r>
      <w:r>
        <w:rPr>
          <w:lang w:eastAsia="fr-FR"/>
        </w:rPr>
        <w:t>re</w:t>
      </w:r>
      <w:r w:rsidR="001D0F90">
        <w:rPr>
          <w:lang w:eastAsia="fr-FR"/>
        </w:rPr>
        <w:t>déplier automatiquement</w:t>
      </w:r>
      <w:r w:rsidRPr="00022701">
        <w:rPr>
          <w:lang w:eastAsia="fr-FR"/>
        </w:rPr>
        <w:t>.</w:t>
      </w:r>
    </w:p>
    <w:p w:rsidR="00F111D7" w:rsidRPr="00022701" w:rsidRDefault="00F111D7" w:rsidP="00C60E8D">
      <w:pPr>
        <w:pStyle w:val="SingleTxtG"/>
        <w:ind w:left="2268"/>
        <w:rPr>
          <w:bCs/>
          <w:iCs/>
          <w:lang w:eastAsia="ar-SA"/>
        </w:rPr>
      </w:pPr>
      <w:r>
        <w:t xml:space="preserve">Si un véhicule de la </w:t>
      </w:r>
      <w:r>
        <w:rPr>
          <w:lang w:eastAsia="fr-FR"/>
        </w:rPr>
        <w:t>classe</w:t>
      </w:r>
      <w:r>
        <w:t xml:space="preserve"> I, II ou A est </w:t>
      </w:r>
      <w:r w:rsidRPr="00022701">
        <w:rPr>
          <w:bCs/>
          <w:iCs/>
          <w:lang w:eastAsia="ar-SA"/>
        </w:rPr>
        <w:t>…</w:t>
      </w:r>
      <w:r w:rsidR="00C60E8D">
        <w:rPr>
          <w:bCs/>
          <w:iCs/>
          <w:lang w:eastAsia="ar-SA"/>
        </w:rPr>
        <w:t> »</w:t>
      </w:r>
    </w:p>
    <w:p w:rsidR="00F111D7" w:rsidRPr="00022701" w:rsidRDefault="00F111D7" w:rsidP="00C60E8D">
      <w:pPr>
        <w:pStyle w:val="SingleTxtG"/>
      </w:pPr>
      <w:r w:rsidRPr="00022701">
        <w:rPr>
          <w:i/>
          <w:lang w:eastAsia="ar-SA"/>
        </w:rPr>
        <w:t>Paragraphes 7.7.8.4 à</w:t>
      </w:r>
      <w:r w:rsidR="00C60E8D">
        <w:rPr>
          <w:i/>
          <w:lang w:eastAsia="ar-SA"/>
        </w:rPr>
        <w:t xml:space="preserve"> 7.7.8.4.2</w:t>
      </w:r>
      <w:r w:rsidRPr="00022701">
        <w:rPr>
          <w:i/>
          <w:lang w:eastAsia="ar-SA"/>
        </w:rPr>
        <w:t xml:space="preserve">, </w:t>
      </w:r>
      <w:r w:rsidRPr="00022701">
        <w:rPr>
          <w:iCs/>
          <w:lang w:eastAsia="ar-SA"/>
        </w:rPr>
        <w:t>modifier comme suit</w:t>
      </w:r>
      <w:r w:rsidR="00C60E8D">
        <w:rPr>
          <w:iCs/>
          <w:lang w:eastAsia="ar-SA"/>
        </w:rPr>
        <w:t> :</w:t>
      </w:r>
    </w:p>
    <w:p w:rsidR="00F111D7" w:rsidRPr="00022701" w:rsidRDefault="00C60E8D" w:rsidP="00C60E8D">
      <w:pPr>
        <w:pStyle w:val="SingleTxtG"/>
        <w:ind w:left="2268" w:hanging="1134"/>
      </w:pPr>
      <w:r>
        <w:t>« </w:t>
      </w:r>
      <w:r w:rsidR="00C25F7E">
        <w:t>7.7.8.4</w:t>
      </w:r>
      <w:r w:rsidR="00F111D7" w:rsidRPr="00E10258">
        <w:tab/>
      </w:r>
      <w:r w:rsidR="00F111D7" w:rsidRPr="00022701">
        <w:rPr>
          <w:lang w:eastAsia="ar-SA"/>
        </w:rPr>
        <w:t>Espacement</w:t>
      </w:r>
      <w:r w:rsidR="00F111D7" w:rsidRPr="00022701">
        <w:t xml:space="preserve"> des </w:t>
      </w:r>
      <w:r w:rsidR="00F111D7" w:rsidRPr="00022701">
        <w:rPr>
          <w:lang w:eastAsia="ar-SA"/>
        </w:rPr>
        <w:t>si</w:t>
      </w:r>
      <w:r w:rsidR="00F111D7">
        <w:rPr>
          <w:lang w:eastAsia="ar-SA"/>
        </w:rPr>
        <w:t>è</w:t>
      </w:r>
      <w:r w:rsidR="00F111D7" w:rsidRPr="00022701">
        <w:rPr>
          <w:lang w:eastAsia="ar-SA"/>
        </w:rPr>
        <w:t>ges</w:t>
      </w:r>
      <w:r w:rsidR="00F111D7" w:rsidRPr="00022701">
        <w:t xml:space="preserve"> (voir annexe 4, figures 12A et 12B)</w:t>
      </w:r>
    </w:p>
    <w:p w:rsidR="00F111D7" w:rsidRDefault="00C25F7E" w:rsidP="00C60E8D">
      <w:pPr>
        <w:pStyle w:val="SingleTxtG"/>
        <w:ind w:left="2268" w:hanging="1134"/>
        <w:rPr>
          <w:szCs w:val="24"/>
        </w:rPr>
      </w:pPr>
      <w:r>
        <w:t>7.7.8.4.1</w:t>
      </w:r>
      <w:r w:rsidR="00F111D7" w:rsidRPr="00E10258">
        <w:tab/>
      </w:r>
      <w:r w:rsidR="00F111D7" w:rsidRPr="00370FD1">
        <w:rPr>
          <w:szCs w:val="24"/>
        </w:rPr>
        <w:t xml:space="preserve">Dans le cas de sièges </w:t>
      </w:r>
      <w:r w:rsidR="00F111D7" w:rsidRPr="00C60E8D">
        <w:rPr>
          <w:lang w:eastAsia="ar-SA"/>
        </w:rPr>
        <w:t>orientés</w:t>
      </w:r>
      <w:r w:rsidR="00F111D7" w:rsidRPr="00370FD1">
        <w:rPr>
          <w:szCs w:val="24"/>
        </w:rPr>
        <w:t xml:space="preserve"> dans le même sens, la distance entre la face avant du dossier d’un siège et la face arrière du dossier du siège qui le précède (dimension H), mesurée </w:t>
      </w:r>
      <w:r w:rsidR="00F111D7" w:rsidRPr="00C60E8D">
        <w:rPr>
          <w:lang w:eastAsia="ar-SA"/>
        </w:rPr>
        <w:t>horizontalement</w:t>
      </w:r>
      <w:r w:rsidR="00F111D7" w:rsidRPr="00370FD1">
        <w:rPr>
          <w:szCs w:val="24"/>
        </w:rPr>
        <w:t xml:space="preserve">, </w:t>
      </w:r>
      <w:r w:rsidR="00F111D7" w:rsidRPr="00370FD1">
        <w:rPr>
          <w:bCs/>
          <w:szCs w:val="24"/>
        </w:rPr>
        <w:t xml:space="preserve">parallèlement au plan longitudinal du véhicule </w:t>
      </w:r>
      <w:r w:rsidR="00F111D7" w:rsidRPr="00370FD1">
        <w:rPr>
          <w:szCs w:val="24"/>
        </w:rPr>
        <w:t xml:space="preserve">et à toute hauteur comprise entre le niveau de la face supérieure du </w:t>
      </w:r>
      <w:r w:rsidR="00C60E8D">
        <w:rPr>
          <w:szCs w:val="24"/>
        </w:rPr>
        <w:t>coussin et un point situé à 620 </w:t>
      </w:r>
      <w:r w:rsidR="00F111D7" w:rsidRPr="00370FD1">
        <w:rPr>
          <w:szCs w:val="24"/>
        </w:rPr>
        <w:t>mm au-dessus du plancher</w:t>
      </w:r>
      <w:r w:rsidR="00C60E8D">
        <w:rPr>
          <w:szCs w:val="24"/>
        </w:rPr>
        <w:t>, ne doit pas être inférieure à :</w:t>
      </w:r>
    </w:p>
    <w:tbl>
      <w:tblPr>
        <w:tblW w:w="6240" w:type="dxa"/>
        <w:tblInd w:w="22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1840"/>
      </w:tblGrid>
      <w:tr w:rsidR="00C60E8D" w:rsidRPr="002A5F7C" w:rsidTr="004A034A">
        <w:trPr>
          <w:tblHeader/>
        </w:trPr>
        <w:tc>
          <w:tcPr>
            <w:tcW w:w="623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C60E8D" w:rsidRPr="002A5F7C" w:rsidRDefault="00C60E8D" w:rsidP="004A034A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szCs w:val="24"/>
                <w:lang w:val="ru-RU" w:eastAsia="ar-SA"/>
              </w:rPr>
            </w:pPr>
            <w:r w:rsidRPr="002A5F7C">
              <w:rPr>
                <w:i/>
                <w:sz w:val="16"/>
                <w:szCs w:val="24"/>
                <w:lang w:val="ru-RU" w:eastAsia="ar-SA"/>
              </w:rPr>
              <w:t>H</w:t>
            </w:r>
          </w:p>
        </w:tc>
      </w:tr>
      <w:tr w:rsidR="00C60E8D" w:rsidRPr="002A5F7C" w:rsidTr="004A034A">
        <w:tc>
          <w:tcPr>
            <w:tcW w:w="43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0E8D" w:rsidRPr="005E43BD" w:rsidRDefault="00C60E8D" w:rsidP="00C60E8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5E43BD">
              <w:rPr>
                <w:sz w:val="18"/>
                <w:szCs w:val="24"/>
                <w:lang w:eastAsia="ar-SA"/>
              </w:rPr>
              <w:t>Classes I, A et B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0E8D" w:rsidRPr="002A5F7C" w:rsidRDefault="00C60E8D" w:rsidP="004A034A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val="ru-RU" w:eastAsia="ar-SA"/>
              </w:rPr>
            </w:pPr>
            <w:r w:rsidRPr="002A5F7C">
              <w:rPr>
                <w:sz w:val="18"/>
                <w:szCs w:val="24"/>
                <w:lang w:val="ru-RU" w:eastAsia="ar-SA"/>
              </w:rPr>
              <w:t>650</w:t>
            </w:r>
            <w:r w:rsidRPr="002A5F7C">
              <w:rPr>
                <w:sz w:val="18"/>
                <w:szCs w:val="24"/>
                <w:lang w:eastAsia="ar-SA"/>
              </w:rPr>
              <w:t xml:space="preserve"> </w:t>
            </w:r>
            <w:r w:rsidRPr="002A5F7C">
              <w:rPr>
                <w:sz w:val="18"/>
                <w:szCs w:val="24"/>
                <w:lang w:val="ru-RU" w:eastAsia="ar-SA"/>
              </w:rPr>
              <w:t>mm</w:t>
            </w:r>
          </w:p>
        </w:tc>
      </w:tr>
      <w:tr w:rsidR="00C60E8D" w:rsidRPr="002A5F7C" w:rsidTr="004A034A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C60E8D" w:rsidRPr="002A5F7C" w:rsidRDefault="00C60E8D" w:rsidP="00C60E8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val="ru-RU" w:eastAsia="ar-SA"/>
              </w:rPr>
            </w:pPr>
            <w:r w:rsidRPr="002A5F7C">
              <w:rPr>
                <w:sz w:val="18"/>
                <w:szCs w:val="24"/>
                <w:lang w:val="ru-RU" w:eastAsia="ar-SA"/>
              </w:rPr>
              <w:t xml:space="preserve">Classes II </w:t>
            </w:r>
            <w:r>
              <w:rPr>
                <w:sz w:val="18"/>
                <w:szCs w:val="24"/>
                <w:lang w:eastAsia="ar-SA"/>
              </w:rPr>
              <w:t>et</w:t>
            </w:r>
            <w:r w:rsidRPr="002A5F7C">
              <w:rPr>
                <w:sz w:val="18"/>
                <w:szCs w:val="24"/>
                <w:lang w:val="ru-RU" w:eastAsia="ar-SA"/>
              </w:rPr>
              <w:t xml:space="preserve"> III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C60E8D" w:rsidRPr="002A5F7C" w:rsidRDefault="00C60E8D" w:rsidP="004A034A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val="ru-RU" w:eastAsia="ar-SA"/>
              </w:rPr>
            </w:pPr>
            <w:r w:rsidRPr="002A5F7C">
              <w:rPr>
                <w:sz w:val="18"/>
                <w:szCs w:val="24"/>
                <w:lang w:val="ru-RU" w:eastAsia="ar-SA"/>
              </w:rPr>
              <w:t>680</w:t>
            </w:r>
            <w:r w:rsidRPr="002A5F7C">
              <w:rPr>
                <w:sz w:val="18"/>
                <w:szCs w:val="24"/>
                <w:lang w:eastAsia="ar-SA"/>
              </w:rPr>
              <w:t xml:space="preserve"> </w:t>
            </w:r>
            <w:r w:rsidRPr="002A5F7C">
              <w:rPr>
                <w:sz w:val="18"/>
                <w:szCs w:val="24"/>
                <w:lang w:val="ru-RU" w:eastAsia="ar-SA"/>
              </w:rPr>
              <w:t>mm</w:t>
            </w:r>
          </w:p>
        </w:tc>
      </w:tr>
    </w:tbl>
    <w:p w:rsidR="00F111D7" w:rsidRPr="00D7483C" w:rsidRDefault="00C60E8D" w:rsidP="00C60E8D">
      <w:pPr>
        <w:pStyle w:val="SingleTxtG"/>
        <w:spacing w:before="120"/>
        <w:ind w:left="2268" w:hanging="1134"/>
        <w:rPr>
          <w:szCs w:val="24"/>
        </w:rPr>
      </w:pPr>
      <w:r>
        <w:rPr>
          <w:szCs w:val="24"/>
        </w:rPr>
        <w:t>7.7.8.4.2</w:t>
      </w:r>
      <w:r>
        <w:rPr>
          <w:szCs w:val="24"/>
        </w:rPr>
        <w:tab/>
      </w:r>
      <w:r w:rsidR="00F111D7" w:rsidRPr="00D7483C">
        <w:rPr>
          <w:szCs w:val="24"/>
        </w:rPr>
        <w:t xml:space="preserve">Toutes les dimensions doivent être </w:t>
      </w:r>
      <w:r w:rsidR="00F111D7" w:rsidRPr="00C60E8D">
        <w:rPr>
          <w:bCs/>
          <w:szCs w:val="24"/>
        </w:rPr>
        <w:t>mesurées</w:t>
      </w:r>
      <w:r w:rsidR="00F111D7" w:rsidRPr="00D7483C">
        <w:rPr>
          <w:szCs w:val="24"/>
        </w:rPr>
        <w:t xml:space="preserve"> coussins et dossiers non comprimés, </w:t>
      </w:r>
      <w:r w:rsidR="00F111D7">
        <w:rPr>
          <w:szCs w:val="24"/>
        </w:rPr>
        <w:t>à l</w:t>
      </w:r>
      <w:r w:rsidR="00F111D7" w:rsidRPr="00D7483C">
        <w:rPr>
          <w:szCs w:val="24"/>
        </w:rPr>
        <w:t>’</w:t>
      </w:r>
      <w:r w:rsidR="00F111D7">
        <w:rPr>
          <w:szCs w:val="24"/>
        </w:rPr>
        <w:t xml:space="preserve">aide du </w:t>
      </w:r>
      <w:r>
        <w:rPr>
          <w:szCs w:val="24"/>
        </w:rPr>
        <w:t>gabarit</w:t>
      </w:r>
      <w:r w:rsidR="00F111D7">
        <w:rPr>
          <w:szCs w:val="24"/>
        </w:rPr>
        <w:t xml:space="preserve"> d</w:t>
      </w:r>
      <w:r w:rsidR="001D0F90">
        <w:rPr>
          <w:szCs w:val="24"/>
        </w:rPr>
        <w:t>e contrôle conforme à la figure </w:t>
      </w:r>
      <w:r w:rsidR="00F111D7">
        <w:rPr>
          <w:szCs w:val="24"/>
        </w:rPr>
        <w:t>12B de l</w:t>
      </w:r>
      <w:r w:rsidR="00F111D7" w:rsidRPr="00D7483C">
        <w:rPr>
          <w:szCs w:val="24"/>
        </w:rPr>
        <w:t>’</w:t>
      </w:r>
      <w:r w:rsidR="00F111D7">
        <w:rPr>
          <w:szCs w:val="24"/>
        </w:rPr>
        <w:t>a</w:t>
      </w:r>
      <w:r w:rsidR="00F111D7" w:rsidRPr="00D7483C">
        <w:rPr>
          <w:szCs w:val="24"/>
        </w:rPr>
        <w:t>nnexe</w:t>
      </w:r>
      <w:r w:rsidR="00F111D7">
        <w:rPr>
          <w:szCs w:val="24"/>
        </w:rPr>
        <w:t xml:space="preserve"> 4</w:t>
      </w:r>
      <w:r w:rsidR="00F111D7" w:rsidRPr="00D7483C">
        <w:rPr>
          <w:szCs w:val="24"/>
        </w:rPr>
        <w:t>.</w:t>
      </w:r>
      <w:r>
        <w:rPr>
          <w:szCs w:val="24"/>
        </w:rPr>
        <w:t> »</w:t>
      </w:r>
      <w:r w:rsidR="00F111D7">
        <w:rPr>
          <w:szCs w:val="24"/>
        </w:rPr>
        <w:t>.</w:t>
      </w:r>
    </w:p>
    <w:p w:rsidR="00F111D7" w:rsidRPr="00370FD1" w:rsidRDefault="00F111D7" w:rsidP="00C60E8D">
      <w:pPr>
        <w:pStyle w:val="SingleTxtG"/>
        <w:rPr>
          <w:lang w:eastAsia="ar-SA"/>
        </w:rPr>
      </w:pPr>
      <w:r w:rsidRPr="00C60E8D">
        <w:rPr>
          <w:i/>
          <w:lang w:eastAsia="ar-SA"/>
        </w:rPr>
        <w:t>Annexe 4, Figure 12</w:t>
      </w:r>
      <w:r w:rsidRPr="00370FD1">
        <w:rPr>
          <w:lang w:eastAsia="ar-SA"/>
        </w:rPr>
        <w:t>, modifier comme suit</w:t>
      </w:r>
      <w:r w:rsidR="00C60E8D">
        <w:rPr>
          <w:lang w:eastAsia="ar-SA"/>
        </w:rPr>
        <w:t> :</w:t>
      </w:r>
    </w:p>
    <w:p w:rsidR="00F111D7" w:rsidRPr="00AD2FB4" w:rsidRDefault="00C60E8D" w:rsidP="00C60E8D">
      <w:pPr>
        <w:pStyle w:val="SingleTxtG"/>
      </w:pPr>
      <w:r>
        <w:t>« </w:t>
      </w:r>
      <w:r w:rsidR="00F111D7" w:rsidRPr="00AD2FB4">
        <w:t>Figure 12A</w:t>
      </w:r>
    </w:p>
    <w:p w:rsidR="00F111D7" w:rsidRPr="00AD2FB4" w:rsidRDefault="00F111D7" w:rsidP="00C60E8D">
      <w:pPr>
        <w:pStyle w:val="SingleTxtG"/>
      </w:pPr>
      <w:r w:rsidRPr="00AD2FB4">
        <w:t>Espacement des sièges …</w:t>
      </w:r>
    </w:p>
    <w:p w:rsidR="00F111D7" w:rsidRPr="00E10258" w:rsidRDefault="00F111D7" w:rsidP="00C60E8D">
      <w:pPr>
        <w:pStyle w:val="SingleTxtG"/>
      </w:pPr>
      <w:r w:rsidRPr="00E10258">
        <w:t>…</w:t>
      </w:r>
    </w:p>
    <w:p w:rsidR="00F111D7" w:rsidRPr="00AD2FB4" w:rsidRDefault="00F111D7" w:rsidP="00C60E8D">
      <w:pPr>
        <w:pStyle w:val="Heading1"/>
      </w:pPr>
      <w:r w:rsidRPr="00E10258">
        <w:lastRenderedPageBreak/>
        <w:t>Figure 12B</w:t>
      </w:r>
      <w:r w:rsidR="00C60E8D">
        <w:t xml:space="preserve"> </w:t>
      </w:r>
      <w:r w:rsidR="00C60E8D">
        <w:br/>
      </w:r>
      <w:r w:rsidR="008E3690">
        <w:rPr>
          <w:b/>
        </w:rPr>
        <w:t>Gabarit</w:t>
      </w:r>
      <w:r w:rsidRPr="00C60E8D">
        <w:rPr>
          <w:b/>
        </w:rPr>
        <w:t xml:space="preserve"> pour la dimension H (voir annexe</w:t>
      </w:r>
      <w:r w:rsidR="008E3690">
        <w:rPr>
          <w:b/>
        </w:rPr>
        <w:t> </w:t>
      </w:r>
      <w:r w:rsidRPr="00C60E8D">
        <w:rPr>
          <w:b/>
        </w:rPr>
        <w:t>3, paragraphe 7.7.8.4.2)</w:t>
      </w:r>
    </w:p>
    <w:p w:rsidR="00F111D7" w:rsidRDefault="00F111D7" w:rsidP="00C60E8D">
      <w:pPr>
        <w:pStyle w:val="Heading1"/>
      </w:pPr>
      <w:r w:rsidRPr="00D7483C">
        <w:t xml:space="preserve">Épaisseur du </w:t>
      </w:r>
      <w:r w:rsidR="008E3690">
        <w:t>gabarit : 5 </w:t>
      </w:r>
      <w:r w:rsidRPr="00D7483C">
        <w:t>mm maximum</w:t>
      </w:r>
    </w:p>
    <w:p w:rsidR="00F111D7" w:rsidRDefault="008E3690" w:rsidP="00C60E8D">
      <w:pPr>
        <w:pStyle w:val="SingleTxtG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986790</wp:posOffset>
                </wp:positionV>
                <wp:extent cx="1076325" cy="342900"/>
                <wp:effectExtent l="0" t="0" r="952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90" w:rsidRPr="008E3690" w:rsidRDefault="008E3690">
                            <w:pPr>
                              <w:rPr>
                                <w:b/>
                              </w:rPr>
                            </w:pPr>
                            <w:r w:rsidRPr="008E3690">
                              <w:rPr>
                                <w:b/>
                              </w:rPr>
                              <w:t>Avant du siège soumis à l’essai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206.55pt;margin-top:77.7pt;width:84.7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Qr/mAIAAKMFAAAOAAAAZHJzL2Uyb0RvYy54bWysVFtv0zAUfkfiP1h+Z0lb1kG1dCqdhpDG&#10;NrGhSby5jt1a2D7Gdpt0v55jJ+nG2MsQL86J/Z3bdy6nZ63RZCd8UGArOjoqKRGWQ63suqLf7y7e&#10;faAkRGZrpsGKiu5FoGfzt29OGzcTY9iAroUnaMSGWeMquonRzYoi8I0wLByBExYfJXjDIv76dVF7&#10;1qB1o4txWU6LBnztPHARAt6ed490nu1LKXi8ljKISHRFMbaYT5/PVTqL+SmbrT1zG8X7MNg/RGGY&#10;suj0YOqcRUa2Xv1lyijuIYCMRxxMAVIqLnIOmM2ofJbN7YY5kXNBcoI70BT+n1l+tbvxRNUVnVJi&#10;mcES/cBCkVqQKNooyDRR1LgwQ+StQ2xsP0GLpR7uA16mzFvpTfpiTgTfkez9gWC0RHhSKk+mk/Ex&#10;JRzfJu/HH8tcgeJR2/kQPwswJAkV9VjAzCvbXYaIkSB0gCRnAbSqL5TW+Sc1jVhqT3YMy71aj7Kq&#10;3pqvUHd3J8flwWXusQTPVv+wpC1pkJHJcZktWEguOu/aJlcit1YfUmKnYyFLca9Fwmj7TUikNpPx&#10;QnyMc2Fj5hGzyuiEkujqNYo9/jGq1yh3eaBG9gw2HpSNsuBz9geeOgrrn0PIssMjfU/yTmJsV23f&#10;NSuo99g0HrrJC45fKKzsJQvxhnkcNewTXB/xGg+pAVmHXqJkA/7hpfuExwnAV0oaHN2Khl9b5gUl&#10;+ovF2UhzPgh+EFaDYLdmCdgeI1xMjmcRFXzUgyg9mHvcKovkBZ+Y5eironEQl7FbILiVuFgsMgin&#10;2bF4aW8dT6YTnalP79p75l3fzGmgrmAYajZ71tMdNmlaWGwjSJUbPhHasdgTjZsgd2y/tdKqefqf&#10;UY+7df4bAAD//wMAUEsDBBQABgAIAAAAIQCGpPNW4QAAAAsBAAAPAAAAZHJzL2Rvd25yZXYueG1s&#10;TI9BT4NAEIXvJv0PmzHxYuwCBVKRpTGaJr3YhlbvW3YFKjuL7NLiv3c81ePkfXnvm3w1mY6d9eBa&#10;iwLCeQBMY2VVi7WA98P6YQnMeYlKdha1gB/tYFXMbnKZKXvBUp/3vmZUgi6TAhrv+4xzVzXaSDe3&#10;vUbKPu1gpKdzqLka5IXKTcejIEi5kS3SQiN7/dLo6ms/Gtq932zLw+vb967cuPRjWi/Gk0Ih7m6n&#10;5ydgXk/+CsOfPqlDQU5HO6JyrBMQh4uQUAqSJAZGRLKMUmBHAVHwGAMvcv7/h+IXAAD//wMAUEsB&#10;Ai0AFAAGAAgAAAAhALaDOJL+AAAA4QEAABMAAAAAAAAAAAAAAAAAAAAAAFtDb250ZW50X1R5cGVz&#10;XS54bWxQSwECLQAUAAYACAAAACEAOP0h/9YAAACUAQAACwAAAAAAAAAAAAAAAAAvAQAAX3JlbHMv&#10;LnJlbHNQSwECLQAUAAYACAAAACEA2v0K/5gCAACjBQAADgAAAAAAAAAAAAAAAAAuAgAAZHJzL2Uy&#10;b0RvYy54bWxQSwECLQAUAAYACAAAACEAhqTzVuEAAAALAQAADwAAAAAAAAAAAAAAAADyBAAAZHJz&#10;L2Rvd25yZXYueG1sUEsFBgAAAAAEAAQA8wAAAAAGAAAAAA==&#10;" fillcolor="#bfbfbf [2412]" stroked="f" strokeweight=".5pt">
                <v:textbox inset="0,0,0,0">
                  <w:txbxContent>
                    <w:p w:rsidR="008E3690" w:rsidRPr="008E3690" w:rsidRDefault="008E3690">
                      <w:pPr>
                        <w:rPr>
                          <w:b/>
                        </w:rPr>
                      </w:pPr>
                      <w:r w:rsidRPr="008E3690">
                        <w:rPr>
                          <w:b/>
                        </w:rPr>
                        <w:t>Avant du siège soumis à l’essai</w:t>
                      </w:r>
                    </w:p>
                  </w:txbxContent>
                </v:textbox>
              </v:shape>
            </w:pict>
          </mc:Fallback>
        </mc:AlternateContent>
      </w:r>
      <w:r w:rsidR="00F111D7" w:rsidRPr="002A5F7C">
        <w:rPr>
          <w:noProof/>
          <w:lang w:val="en-GB" w:eastAsia="en-GB"/>
        </w:rPr>
        <w:drawing>
          <wp:inline distT="0" distB="0" distL="0" distR="0" wp14:anchorId="7B3A783C" wp14:editId="0D237E40">
            <wp:extent cx="4121785" cy="2654300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E32">
        <w:rPr>
          <w:szCs w:val="24"/>
        </w:rPr>
        <w:t>».</w:t>
      </w:r>
    </w:p>
    <w:p w:rsidR="008E3690" w:rsidRPr="008E3690" w:rsidRDefault="008E3690" w:rsidP="008E369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E3690" w:rsidRPr="008E3690" w:rsidSect="00F111D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311" w:rsidRDefault="00253311" w:rsidP="00F95C08">
      <w:pPr>
        <w:spacing w:line="240" w:lineRule="auto"/>
      </w:pPr>
    </w:p>
  </w:endnote>
  <w:endnote w:type="continuationSeparator" w:id="0">
    <w:p w:rsidR="00253311" w:rsidRPr="00AC3823" w:rsidRDefault="00253311" w:rsidP="00AC3823">
      <w:pPr>
        <w:pStyle w:val="Footer"/>
      </w:pPr>
    </w:p>
  </w:endnote>
  <w:endnote w:type="continuationNotice" w:id="1">
    <w:p w:rsidR="00253311" w:rsidRDefault="0025331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1D7" w:rsidRPr="00F111D7" w:rsidRDefault="00F111D7" w:rsidP="00F111D7">
    <w:pPr>
      <w:pStyle w:val="Footer"/>
      <w:tabs>
        <w:tab w:val="right" w:pos="9638"/>
      </w:tabs>
    </w:pPr>
    <w:r w:rsidRPr="00F111D7">
      <w:rPr>
        <w:b/>
        <w:sz w:val="18"/>
      </w:rPr>
      <w:fldChar w:fldCharType="begin"/>
    </w:r>
    <w:r w:rsidRPr="00F111D7">
      <w:rPr>
        <w:b/>
        <w:sz w:val="18"/>
      </w:rPr>
      <w:instrText xml:space="preserve"> PAGE  \* MERGEFORMAT </w:instrText>
    </w:r>
    <w:r w:rsidRPr="00F111D7">
      <w:rPr>
        <w:b/>
        <w:sz w:val="18"/>
      </w:rPr>
      <w:fldChar w:fldCharType="separate"/>
    </w:r>
    <w:r w:rsidR="005E43BD">
      <w:rPr>
        <w:b/>
        <w:noProof/>
        <w:sz w:val="18"/>
      </w:rPr>
      <w:t>2</w:t>
    </w:r>
    <w:r w:rsidRPr="00F111D7">
      <w:rPr>
        <w:b/>
        <w:sz w:val="18"/>
      </w:rPr>
      <w:fldChar w:fldCharType="end"/>
    </w:r>
    <w:r>
      <w:rPr>
        <w:b/>
        <w:sz w:val="18"/>
      </w:rPr>
      <w:tab/>
    </w:r>
    <w:r>
      <w:t>GE.16-15133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1D7" w:rsidRPr="00F111D7" w:rsidRDefault="00F111D7" w:rsidP="00F111D7">
    <w:pPr>
      <w:pStyle w:val="Footer"/>
      <w:tabs>
        <w:tab w:val="right" w:pos="9638"/>
      </w:tabs>
      <w:rPr>
        <w:b/>
        <w:sz w:val="18"/>
      </w:rPr>
    </w:pPr>
    <w:r>
      <w:t>GE.16-15133</w:t>
    </w:r>
    <w:r>
      <w:tab/>
    </w:r>
    <w:r w:rsidRPr="00F111D7">
      <w:rPr>
        <w:b/>
        <w:sz w:val="18"/>
      </w:rPr>
      <w:fldChar w:fldCharType="begin"/>
    </w:r>
    <w:r w:rsidRPr="00F111D7">
      <w:rPr>
        <w:b/>
        <w:sz w:val="18"/>
      </w:rPr>
      <w:instrText xml:space="preserve"> PAGE  \* MERGEFORMAT </w:instrText>
    </w:r>
    <w:r w:rsidRPr="00F111D7">
      <w:rPr>
        <w:b/>
        <w:sz w:val="18"/>
      </w:rPr>
      <w:fldChar w:fldCharType="separate"/>
    </w:r>
    <w:r w:rsidR="005E43BD">
      <w:rPr>
        <w:b/>
        <w:noProof/>
        <w:sz w:val="18"/>
      </w:rPr>
      <w:t>3</w:t>
    </w:r>
    <w:r w:rsidRPr="00F111D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F111D7" w:rsidRDefault="00F111D7" w:rsidP="00F111D7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4ABF53A4" wp14:editId="28F8868F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16-15133  (F)    260916    300916</w:t>
    </w:r>
    <w:r>
      <w:rPr>
        <w:sz w:val="20"/>
      </w:rPr>
      <w:br/>
    </w:r>
    <w:r w:rsidRPr="00F111D7">
      <w:rPr>
        <w:rFonts w:ascii="C39T30Lfz" w:hAnsi="C39T30Lfz"/>
        <w:sz w:val="56"/>
      </w:rPr>
      <w:t></w:t>
    </w:r>
    <w:r w:rsidRPr="00F111D7">
      <w:rPr>
        <w:rFonts w:ascii="C39T30Lfz" w:hAnsi="C39T30Lfz"/>
        <w:sz w:val="56"/>
      </w:rPr>
      <w:t></w:t>
    </w:r>
    <w:r w:rsidRPr="00F111D7">
      <w:rPr>
        <w:rFonts w:ascii="C39T30Lfz" w:hAnsi="C39T30Lfz"/>
        <w:sz w:val="56"/>
      </w:rPr>
      <w:t></w:t>
    </w:r>
    <w:r w:rsidRPr="00F111D7">
      <w:rPr>
        <w:rFonts w:ascii="C39T30Lfz" w:hAnsi="C39T30Lfz"/>
        <w:sz w:val="56"/>
      </w:rPr>
      <w:t></w:t>
    </w:r>
    <w:r w:rsidRPr="00F111D7">
      <w:rPr>
        <w:rFonts w:ascii="C39T30Lfz" w:hAnsi="C39T30Lfz"/>
        <w:sz w:val="56"/>
      </w:rPr>
      <w:t></w:t>
    </w:r>
    <w:r w:rsidRPr="00F111D7">
      <w:rPr>
        <w:rFonts w:ascii="C39T30Lfz" w:hAnsi="C39T30Lfz"/>
        <w:sz w:val="56"/>
      </w:rPr>
      <w:t></w:t>
    </w:r>
    <w:r w:rsidRPr="00F111D7">
      <w:rPr>
        <w:rFonts w:ascii="C39T30Lfz" w:hAnsi="C39T30Lfz"/>
        <w:sz w:val="56"/>
      </w:rPr>
      <w:t></w:t>
    </w:r>
    <w:r w:rsidRPr="00F111D7">
      <w:rPr>
        <w:rFonts w:ascii="C39T30Lfz" w:hAnsi="C39T30Lfz"/>
        <w:sz w:val="56"/>
      </w:rPr>
      <w:t></w:t>
    </w:r>
    <w:r w:rsidRPr="00F111D7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6/9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6/9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311" w:rsidRPr="00AC3823" w:rsidRDefault="0025331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53311" w:rsidRPr="00AC3823" w:rsidRDefault="0025331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53311" w:rsidRPr="00AC3823" w:rsidRDefault="00253311">
      <w:pPr>
        <w:spacing w:line="240" w:lineRule="auto"/>
        <w:rPr>
          <w:sz w:val="2"/>
          <w:szCs w:val="2"/>
        </w:rPr>
      </w:pPr>
    </w:p>
  </w:footnote>
  <w:footnote w:id="2">
    <w:p w:rsidR="00F111D7" w:rsidRPr="00F111D7" w:rsidRDefault="00F111D7">
      <w:pPr>
        <w:pStyle w:val="FootnoteText"/>
      </w:pPr>
      <w:r>
        <w:rPr>
          <w:rStyle w:val="FootnoteReference"/>
        </w:rPr>
        <w:tab/>
      </w:r>
      <w:r w:rsidRPr="00F111D7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Conformément au programme de travail du Comité des transports intérieurs pour la période 201</w:t>
      </w:r>
      <w:r w:rsidR="00C25F7E">
        <w:t>6</w:t>
      </w:r>
      <w:r w:rsidR="00C25F7E">
        <w:noBreakHyphen/>
        <w:t>2017 (ECE/TRANS/254, par. 159</w:t>
      </w:r>
      <w:r>
        <w:t xml:space="preserve"> et ECE/TRANS/2016/28/Add.1, activité 3.1), le Forum mondial a pour mission d’élaborer, d’harmoniser et de mettre à jour les Règlements en vue d’améliorer les caractéristiques fonctionnelles des véhicules. Le présent document </w:t>
      </w:r>
      <w:r>
        <w:br/>
        <w:t>est soumis en vertu de ce mandat</w:t>
      </w:r>
      <w:r w:rsidRPr="006A527D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1D7" w:rsidRPr="00F111D7" w:rsidRDefault="00F111D7">
    <w:pPr>
      <w:pStyle w:val="Header"/>
    </w:pPr>
    <w:r>
      <w:t>ECE/TRANS/WP.29/2016/91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1D7" w:rsidRPr="00F111D7" w:rsidRDefault="00F111D7" w:rsidP="00F111D7">
    <w:pPr>
      <w:pStyle w:val="Header"/>
      <w:jc w:val="right"/>
    </w:pPr>
    <w:r>
      <w:t>ECE/TRANS/WP.29/2016/91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11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D0F90"/>
    <w:rsid w:val="001F525A"/>
    <w:rsid w:val="00223272"/>
    <w:rsid w:val="0024779E"/>
    <w:rsid w:val="00253311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5E43BD"/>
    <w:rsid w:val="0071601D"/>
    <w:rsid w:val="007A62E6"/>
    <w:rsid w:val="007F20FA"/>
    <w:rsid w:val="0080684C"/>
    <w:rsid w:val="00871C75"/>
    <w:rsid w:val="008776DC"/>
    <w:rsid w:val="008E3690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25F7E"/>
    <w:rsid w:val="00C60E8D"/>
    <w:rsid w:val="00CB38FA"/>
    <w:rsid w:val="00D25E32"/>
    <w:rsid w:val="00D3439C"/>
    <w:rsid w:val="00D601F1"/>
    <w:rsid w:val="00DB1831"/>
    <w:rsid w:val="00DD3BFD"/>
    <w:rsid w:val="00DF6678"/>
    <w:rsid w:val="00E85C74"/>
    <w:rsid w:val="00EA6547"/>
    <w:rsid w:val="00EF2E22"/>
    <w:rsid w:val="00F111D7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9614ACD-FCEB-4395-80C5-F4522A29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ECE/TRANS/WP.29/2016/91</vt:lpstr>
      <vt:lpstr>ECE/TRANS/WP.29/2016/91</vt:lpstr>
    </vt:vector>
  </TitlesOfParts>
  <Company>DCM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ECE/TRANS/WP.29/2016/91</dc:title>
  <dc:subject>Final</dc:subject>
  <dc:creator>Julien OKRZESIK</dc:creator>
  <cp:keywords/>
  <dc:description/>
  <cp:lastModifiedBy>Caillot</cp:lastModifiedBy>
  <cp:revision>2</cp:revision>
  <cp:lastPrinted>2016-09-30T14:37:00Z</cp:lastPrinted>
  <dcterms:created xsi:type="dcterms:W3CDTF">2016-10-10T15:34:00Z</dcterms:created>
  <dcterms:modified xsi:type="dcterms:W3CDTF">2016-10-10T15:34:00Z</dcterms:modified>
</cp:coreProperties>
</file>