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535C4">
              <w:fldChar w:fldCharType="begin"/>
            </w:r>
            <w:r w:rsidR="007535C4">
              <w:instrText xml:space="preserve"> FILLIN  "Введите символ после ЕCE/"  \* MERGEFORMAT </w:instrText>
            </w:r>
            <w:r w:rsidR="007535C4">
              <w:fldChar w:fldCharType="separate"/>
            </w:r>
            <w:r w:rsidR="00A6115F">
              <w:t>TRANS/WP.29/2016/35</w:t>
            </w:r>
            <w:r w:rsidR="007535C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535C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6115F">
                <w:t>11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535C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96DF2" w:rsidRPr="00CF47A8" w:rsidRDefault="00A6115F" w:rsidP="00CF47A8">
      <w:pPr>
        <w:spacing w:before="120" w:line="240" w:lineRule="auto"/>
        <w:rPr>
          <w:sz w:val="28"/>
          <w:szCs w:val="28"/>
          <w:lang w:val="en-GB"/>
        </w:rPr>
      </w:pPr>
      <w:r w:rsidRPr="00CF47A8">
        <w:rPr>
          <w:sz w:val="28"/>
          <w:szCs w:val="28"/>
          <w:lang w:val="en-GB"/>
        </w:rPr>
        <w:t>Комитет по внутреннему транспорту</w:t>
      </w:r>
    </w:p>
    <w:p w:rsidR="00EA2A77" w:rsidRPr="00CF47A8" w:rsidRDefault="00A6115F" w:rsidP="00CF47A8">
      <w:pPr>
        <w:spacing w:before="120" w:line="240" w:lineRule="auto"/>
        <w:rPr>
          <w:b/>
          <w:sz w:val="24"/>
          <w:szCs w:val="24"/>
        </w:rPr>
      </w:pPr>
      <w:r w:rsidRPr="00CF47A8">
        <w:rPr>
          <w:b/>
          <w:sz w:val="24"/>
          <w:szCs w:val="24"/>
        </w:rPr>
        <w:t xml:space="preserve">Всемирный форум для согласования правил </w:t>
      </w:r>
      <w:r w:rsidR="00CF47A8" w:rsidRPr="00CF47A8">
        <w:rPr>
          <w:b/>
          <w:sz w:val="24"/>
          <w:szCs w:val="24"/>
        </w:rPr>
        <w:br/>
      </w:r>
      <w:r w:rsidRPr="00CF47A8">
        <w:rPr>
          <w:b/>
          <w:sz w:val="24"/>
          <w:szCs w:val="24"/>
        </w:rPr>
        <w:t>в области транспортных средств</w:t>
      </w:r>
    </w:p>
    <w:p w:rsidR="009648EE" w:rsidRPr="00CF47A8" w:rsidRDefault="00A6115F" w:rsidP="00CF47A8">
      <w:pPr>
        <w:spacing w:before="120" w:line="240" w:lineRule="auto"/>
        <w:rPr>
          <w:b/>
        </w:rPr>
      </w:pPr>
      <w:r w:rsidRPr="00CF47A8">
        <w:rPr>
          <w:b/>
        </w:rPr>
        <w:t>169-я сессия</w:t>
      </w:r>
    </w:p>
    <w:p w:rsidR="009648EE" w:rsidRPr="00CF47A8" w:rsidRDefault="00A6115F" w:rsidP="00CF47A8">
      <w:pPr>
        <w:spacing w:line="240" w:lineRule="auto"/>
      </w:pPr>
      <w:r w:rsidRPr="00CF47A8">
        <w:t>Женева, 21</w:t>
      </w:r>
      <w:r w:rsidR="00CF47A8">
        <w:rPr>
          <w:lang w:val="en-US"/>
        </w:rPr>
        <w:t>–</w:t>
      </w:r>
      <w:r w:rsidRPr="00CF47A8">
        <w:t>24 июня 2016 года</w:t>
      </w:r>
    </w:p>
    <w:p w:rsidR="009648EE" w:rsidRPr="00CF47A8" w:rsidRDefault="00A6115F" w:rsidP="00CF47A8">
      <w:pPr>
        <w:spacing w:line="240" w:lineRule="auto"/>
      </w:pPr>
      <w:r w:rsidRPr="00CF47A8">
        <w:t>Пункт 4.6.3 предварительной повестки дня</w:t>
      </w:r>
    </w:p>
    <w:p w:rsidR="009648EE" w:rsidRPr="00CF47A8" w:rsidRDefault="00A6115F" w:rsidP="00CF47A8">
      <w:pPr>
        <w:spacing w:line="240" w:lineRule="auto"/>
        <w:rPr>
          <w:b/>
        </w:rPr>
      </w:pPr>
      <w:r w:rsidRPr="00CF47A8">
        <w:rPr>
          <w:b/>
        </w:rPr>
        <w:t xml:space="preserve">Соглашение 1958 года − Рассмотрение проектов </w:t>
      </w:r>
      <w:r w:rsidR="002A2AE4" w:rsidRPr="002A2AE4">
        <w:rPr>
          <w:b/>
        </w:rPr>
        <w:br/>
      </w:r>
      <w:r w:rsidRPr="00CF47A8">
        <w:rPr>
          <w:b/>
        </w:rPr>
        <w:t xml:space="preserve">поправок к существующим правилам, </w:t>
      </w:r>
      <w:r w:rsidR="002A2AE4" w:rsidRPr="002A2AE4">
        <w:rPr>
          <w:b/>
        </w:rPr>
        <w:br/>
      </w:r>
      <w:r w:rsidRPr="00CF47A8">
        <w:rPr>
          <w:b/>
        </w:rPr>
        <w:t xml:space="preserve">представленных </w:t>
      </w:r>
      <w:r w:rsidRPr="00CF47A8">
        <w:rPr>
          <w:b/>
          <w:lang w:val="en-GB"/>
        </w:rPr>
        <w:t>GRSP</w:t>
      </w:r>
    </w:p>
    <w:p w:rsidR="001C2857" w:rsidRPr="00CF47A8" w:rsidRDefault="00A6115F" w:rsidP="00CF47A8">
      <w:pPr>
        <w:pStyle w:val="HChGR"/>
      </w:pPr>
      <w:r w:rsidRPr="00CF47A8">
        <w:tab/>
      </w:r>
      <w:r w:rsidRPr="00CF47A8">
        <w:tab/>
        <w:t xml:space="preserve">Предложение по дополнению 7 к поправкам серии 07 к Правилам № 14 (крепления ремней безопасности, </w:t>
      </w:r>
      <w:r w:rsidRPr="00CF47A8">
        <w:rPr>
          <w:lang w:val="en-GB"/>
        </w:rPr>
        <w:t>ISOFIX</w:t>
      </w:r>
      <w:r w:rsidRPr="00CF47A8">
        <w:t xml:space="preserve"> и размера «</w:t>
      </w:r>
      <w:r w:rsidRPr="00CF47A8">
        <w:rPr>
          <w:lang w:val="en-GB"/>
        </w:rPr>
        <w:t>i</w:t>
      </w:r>
      <w:r w:rsidRPr="00CF47A8">
        <w:t>»)</w:t>
      </w:r>
    </w:p>
    <w:p w:rsidR="00A32547" w:rsidRPr="00CF47A8" w:rsidRDefault="00A6115F" w:rsidP="00CF47A8">
      <w:pPr>
        <w:pStyle w:val="H1GR"/>
      </w:pPr>
      <w:r w:rsidRPr="00CF47A8">
        <w:tab/>
      </w:r>
      <w:r w:rsidRPr="00CF47A8">
        <w:tab/>
        <w:t>Представлено Рабочей группой по пассивной безопасности</w:t>
      </w:r>
      <w:r w:rsidRPr="00CF47A8">
        <w:rPr>
          <w:b w:val="0"/>
          <w:sz w:val="20"/>
        </w:rPr>
        <w:footnoteReference w:customMarkFollows="1" w:id="1"/>
        <w:t>*</w:t>
      </w:r>
    </w:p>
    <w:p w:rsidR="009648EE" w:rsidRPr="00724E7F" w:rsidRDefault="00724E7F" w:rsidP="00724E7F">
      <w:pPr>
        <w:pStyle w:val="SingleTxtGR"/>
      </w:pPr>
      <w:r>
        <w:rPr>
          <w:lang w:val="en-US"/>
        </w:rPr>
        <w:tab/>
      </w:r>
      <w:r w:rsidR="00A6115F" w:rsidRPr="00CF47A8">
        <w:t>Воспроизведенный ниже текст был принят Рабочей группой по пасси</w:t>
      </w:r>
      <w:r w:rsidR="00A6115F" w:rsidRPr="00CF47A8">
        <w:t>в</w:t>
      </w:r>
      <w:r w:rsidR="00A6115F" w:rsidRPr="00CF47A8">
        <w:t>ной безопасности (</w:t>
      </w:r>
      <w:r w:rsidR="00A6115F" w:rsidRPr="00CF47A8">
        <w:rPr>
          <w:lang w:val="en-GB"/>
        </w:rPr>
        <w:t>GRSP</w:t>
      </w:r>
      <w:r w:rsidR="00A6115F" w:rsidRPr="00CF47A8">
        <w:t>) на ее пятьдесят восьмой сессии (</w:t>
      </w:r>
      <w:r w:rsidR="00A6115F" w:rsidRPr="00CF47A8">
        <w:rPr>
          <w:lang w:val="en-GB"/>
        </w:rPr>
        <w:t>ECE</w:t>
      </w:r>
      <w:r w:rsidR="00A6115F" w:rsidRPr="00CF47A8">
        <w:t>/</w:t>
      </w:r>
      <w:r w:rsidR="00A6115F" w:rsidRPr="00CF47A8">
        <w:rPr>
          <w:lang w:val="en-GB"/>
        </w:rPr>
        <w:t>TRANS</w:t>
      </w:r>
      <w:r w:rsidR="00A6115F" w:rsidRPr="00CF47A8">
        <w:t>/</w:t>
      </w:r>
      <w:r w:rsidR="00A6115F" w:rsidRPr="00CF47A8">
        <w:rPr>
          <w:lang w:val="en-GB"/>
        </w:rPr>
        <w:t>WP</w:t>
      </w:r>
      <w:r w:rsidR="00A6115F" w:rsidRPr="00CF47A8">
        <w:t>.29/</w:t>
      </w:r>
      <w:r w:rsidRPr="00724E7F">
        <w:br/>
      </w:r>
      <w:r w:rsidR="00A6115F" w:rsidRPr="00CF47A8">
        <w:rPr>
          <w:lang w:val="en-GB"/>
        </w:rPr>
        <w:t>GRSP</w:t>
      </w:r>
      <w:r w:rsidR="00A6115F" w:rsidRPr="00CF47A8">
        <w:t xml:space="preserve">/58, пункт 43). В его основу положен документ </w:t>
      </w:r>
      <w:r w:rsidR="00A6115F" w:rsidRPr="00CF47A8">
        <w:rPr>
          <w:lang w:val="en-GB"/>
        </w:rPr>
        <w:t>ECE</w:t>
      </w:r>
      <w:r w:rsidR="00A6115F" w:rsidRPr="00CF47A8">
        <w:t>/</w:t>
      </w:r>
      <w:r w:rsidR="00A6115F" w:rsidRPr="00CF47A8">
        <w:rPr>
          <w:lang w:val="en-GB"/>
        </w:rPr>
        <w:t>TRANS</w:t>
      </w:r>
      <w:r w:rsidR="00A6115F" w:rsidRPr="00CF47A8">
        <w:t>/</w:t>
      </w:r>
      <w:r w:rsidR="00A6115F" w:rsidRPr="00CF47A8">
        <w:rPr>
          <w:lang w:val="en-GB"/>
        </w:rPr>
        <w:t>WP</w:t>
      </w:r>
      <w:r w:rsidR="00A6115F" w:rsidRPr="00CF47A8">
        <w:t>.29/</w:t>
      </w:r>
      <w:r w:rsidR="00A6115F" w:rsidRPr="00CF47A8">
        <w:rPr>
          <w:lang w:val="en-GB"/>
        </w:rPr>
        <w:t>GRSP</w:t>
      </w:r>
      <w:r w:rsidR="00A6115F" w:rsidRPr="00CF47A8">
        <w:t>/</w:t>
      </w:r>
      <w:r w:rsidRPr="00724E7F">
        <w:br/>
      </w:r>
      <w:r w:rsidR="00A6115F" w:rsidRPr="00CF47A8">
        <w:t xml:space="preserve">2015/25 с поправками, содержащимися в приложении </w:t>
      </w:r>
      <w:r w:rsidR="00A6115F" w:rsidRPr="00CF47A8">
        <w:rPr>
          <w:lang w:val="en-GB"/>
        </w:rPr>
        <w:t>V</w:t>
      </w:r>
      <w:r w:rsidR="00A6115F" w:rsidRPr="00CF47A8">
        <w:t xml:space="preserve"> к докладу. Он пре</w:t>
      </w:r>
      <w:r w:rsidR="00A6115F" w:rsidRPr="00CF47A8">
        <w:t>д</w:t>
      </w:r>
      <w:r w:rsidR="00A6115F" w:rsidRPr="00CF47A8">
        <w:t>ставляется Всемирному форуму для согласования правил в области транспор</w:t>
      </w:r>
      <w:r w:rsidR="00A6115F" w:rsidRPr="00CF47A8">
        <w:t>т</w:t>
      </w:r>
      <w:r w:rsidR="00A6115F" w:rsidRPr="00CF47A8">
        <w:t>ных средств (</w:t>
      </w:r>
      <w:r w:rsidR="00A6115F" w:rsidRPr="00CF47A8">
        <w:rPr>
          <w:lang w:val="en-GB"/>
        </w:rPr>
        <w:t>WP</w:t>
      </w:r>
      <w:r w:rsidR="00A6115F" w:rsidRPr="00CF47A8">
        <w:t>.29) и Административному комитету АС.1 для рассмотрения.</w:t>
      </w:r>
    </w:p>
    <w:p w:rsidR="00724E7F" w:rsidRDefault="00724E7F">
      <w:pPr>
        <w:spacing w:line="240" w:lineRule="auto"/>
      </w:pPr>
      <w:r>
        <w:br w:type="page"/>
      </w:r>
    </w:p>
    <w:p w:rsidR="00BD5C9A" w:rsidRPr="00CF47A8" w:rsidRDefault="00A6115F" w:rsidP="00724E7F">
      <w:pPr>
        <w:pStyle w:val="HChGR"/>
      </w:pPr>
      <w:r w:rsidRPr="00CF47A8">
        <w:lastRenderedPageBreak/>
        <w:tab/>
      </w:r>
      <w:r w:rsidRPr="00CF47A8">
        <w:tab/>
        <w:t xml:space="preserve">Предложение по дополнению 7 к поправкам серии 07 к Правилам № 14 (крепления ремней безопасности, </w:t>
      </w:r>
      <w:r w:rsidRPr="00CF47A8">
        <w:rPr>
          <w:lang w:val="en-GB"/>
        </w:rPr>
        <w:t>ISOFIX</w:t>
      </w:r>
      <w:r w:rsidRPr="00CF47A8">
        <w:t xml:space="preserve"> и размера «</w:t>
      </w:r>
      <w:r w:rsidRPr="00CF47A8">
        <w:rPr>
          <w:lang w:val="en-GB"/>
        </w:rPr>
        <w:t>i</w:t>
      </w:r>
      <w:r w:rsidRPr="00CF47A8">
        <w:t>»)</w:t>
      </w:r>
    </w:p>
    <w:p w:rsidR="00A86226" w:rsidRPr="00CF47A8" w:rsidRDefault="00A6115F" w:rsidP="00724E7F">
      <w:pPr>
        <w:pStyle w:val="SingleTxtGR"/>
        <w:spacing w:line="239" w:lineRule="atLeast"/>
      </w:pPr>
      <w:r w:rsidRPr="00724E7F">
        <w:rPr>
          <w:i/>
        </w:rPr>
        <w:t>Пункт 5.4.3.6.1</w:t>
      </w:r>
      <w:r w:rsidRPr="00CF47A8">
        <w:t xml:space="preserve"> изменить следующим образом:</w:t>
      </w:r>
    </w:p>
    <w:p w:rsidR="008F2C79" w:rsidRPr="00CF47A8" w:rsidRDefault="00724E7F" w:rsidP="00724E7F">
      <w:pPr>
        <w:pStyle w:val="SingleTxtGR"/>
        <w:spacing w:line="239" w:lineRule="atLeast"/>
        <w:ind w:left="2268" w:hanging="1134"/>
      </w:pPr>
      <w:r>
        <w:t>«</w:t>
      </w:r>
      <w:r w:rsidR="00A6115F" w:rsidRPr="00CF47A8">
        <w:t>5.4.3.6.1</w:t>
      </w:r>
      <w:r w:rsidR="00A6115F" w:rsidRPr="00CF47A8">
        <w:tab/>
        <w:t>Независимо от предписаний пункта 5.4.3.6, верхняя точка эффе</w:t>
      </w:r>
      <w:r w:rsidR="00A6115F" w:rsidRPr="00CF47A8">
        <w:t>к</w:t>
      </w:r>
      <w:r w:rsidR="00A6115F" w:rsidRPr="00CF47A8">
        <w:t>тивного крепления ремня на пассажирских сиденьях транспортных средств категорий М</w:t>
      </w:r>
      <w:r w:rsidR="00A6115F" w:rsidRPr="00724E7F">
        <w:rPr>
          <w:vertAlign w:val="subscript"/>
        </w:rPr>
        <w:t>2</w:t>
      </w:r>
      <w:r w:rsidR="00A6115F" w:rsidRPr="00CF47A8">
        <w:t xml:space="preserve"> и М</w:t>
      </w:r>
      <w:r w:rsidR="00A6115F" w:rsidRPr="00724E7F">
        <w:rPr>
          <w:vertAlign w:val="subscript"/>
        </w:rPr>
        <w:t>3</w:t>
      </w:r>
      <w:r w:rsidR="00A6115F" w:rsidRPr="00CF47A8">
        <w:t xml:space="preserve"> может располагаться ниже предписа</w:t>
      </w:r>
      <w:r w:rsidR="00A6115F" w:rsidRPr="00CF47A8">
        <w:t>н</w:t>
      </w:r>
      <w:r w:rsidR="00A6115F" w:rsidRPr="00CF47A8">
        <w:t>ного положения при условии соблюдения следующих требований:</w:t>
      </w:r>
    </w:p>
    <w:p w:rsidR="008F2C79" w:rsidRPr="00CF47A8" w:rsidRDefault="00724E7F" w:rsidP="00724E7F">
      <w:pPr>
        <w:pStyle w:val="SingleTxtGR"/>
        <w:spacing w:line="239" w:lineRule="atLeast"/>
        <w:ind w:left="2835" w:hanging="1701"/>
      </w:pPr>
      <w:r>
        <w:tab/>
      </w:r>
      <w:r>
        <w:tab/>
      </w:r>
      <w:r w:rsidR="00A6115F" w:rsidRPr="00CF47A8">
        <w:rPr>
          <w:lang w:val="en-GB"/>
        </w:rPr>
        <w:t>a</w:t>
      </w:r>
      <w:r w:rsidR="00A6115F" w:rsidRPr="00CF47A8">
        <w:t>)</w:t>
      </w:r>
      <w:r w:rsidR="00A6115F" w:rsidRPr="00CF47A8">
        <w:tab/>
        <w:t>на ремень безопасности или сиденье наносится нестираемая маркировка, указывающая положение верхней точки эффе</w:t>
      </w:r>
      <w:r w:rsidR="00A6115F" w:rsidRPr="00CF47A8">
        <w:t>к</w:t>
      </w:r>
      <w:r w:rsidR="00A6115F" w:rsidRPr="00CF47A8">
        <w:t>тивного крепления ремня, которое необходимо для соблюд</w:t>
      </w:r>
      <w:r w:rsidR="00A6115F" w:rsidRPr="00CF47A8">
        <w:t>е</w:t>
      </w:r>
      <w:r w:rsidR="00A6115F" w:rsidRPr="00CF47A8">
        <w:t>ния минимальной высоты верхней точки крепления, предп</w:t>
      </w:r>
      <w:r w:rsidR="00A6115F" w:rsidRPr="00CF47A8">
        <w:t>и</w:t>
      </w:r>
      <w:r w:rsidR="00A6115F" w:rsidRPr="00CF47A8">
        <w:t>санной в пункте 5.4.3.6. Эта маркировка должна четко указ</w:t>
      </w:r>
      <w:r w:rsidR="00A6115F" w:rsidRPr="00CF47A8">
        <w:t>ы</w:t>
      </w:r>
      <w:r w:rsidR="00A6115F" w:rsidRPr="00CF47A8">
        <w:t>вать пользователю положение крепления, в котором ремень может использоваться взрослым лицом среднего роста;</w:t>
      </w:r>
    </w:p>
    <w:p w:rsidR="008F2C79" w:rsidRPr="00CF47A8" w:rsidRDefault="00724E7F" w:rsidP="00724E7F">
      <w:pPr>
        <w:pStyle w:val="SingleTxtGR"/>
        <w:spacing w:line="239" w:lineRule="atLeast"/>
        <w:ind w:left="2835" w:hanging="1701"/>
      </w:pPr>
      <w:r>
        <w:tab/>
      </w:r>
      <w:r>
        <w:tab/>
      </w:r>
      <w:r w:rsidR="00A6115F" w:rsidRPr="00CF47A8">
        <w:rPr>
          <w:lang w:val="en-GB"/>
        </w:rPr>
        <w:t>b</w:t>
      </w:r>
      <w:r w:rsidR="00A6115F" w:rsidRPr="00CF47A8">
        <w:t>)</w:t>
      </w:r>
      <w:r w:rsidR="00A6115F" w:rsidRPr="00CF47A8">
        <w:tab/>
        <w:t>устройство эффективного крепления ремня в верхней точке должно быть сконструировано таким образом, чтобы его можно было отрегулировать по высоте с помощью устро</w:t>
      </w:r>
      <w:r w:rsidR="00A6115F" w:rsidRPr="00CF47A8">
        <w:t>й</w:t>
      </w:r>
      <w:r w:rsidR="00A6115F" w:rsidRPr="00CF47A8">
        <w:t>ства ручной регулировки, которое должно быть легкодосту</w:t>
      </w:r>
      <w:r w:rsidR="00A6115F" w:rsidRPr="00CF47A8">
        <w:t>п</w:t>
      </w:r>
      <w:r w:rsidR="00A6115F" w:rsidRPr="00CF47A8">
        <w:t>ным для сидящего пользователя, удобным и простым в и</w:t>
      </w:r>
      <w:r w:rsidR="00A6115F" w:rsidRPr="00CF47A8">
        <w:t>с</w:t>
      </w:r>
      <w:r w:rsidR="00A6115F" w:rsidRPr="00CF47A8">
        <w:t xml:space="preserve">пользовании; </w:t>
      </w:r>
    </w:p>
    <w:p w:rsidR="008F2C79" w:rsidRPr="00CF47A8" w:rsidRDefault="00724E7F" w:rsidP="00724E7F">
      <w:pPr>
        <w:pStyle w:val="SingleTxtGR"/>
        <w:spacing w:line="239" w:lineRule="atLeast"/>
        <w:ind w:left="2835" w:hanging="1701"/>
      </w:pPr>
      <w:r>
        <w:tab/>
      </w:r>
      <w:r>
        <w:tab/>
      </w:r>
      <w:r w:rsidR="00A6115F" w:rsidRPr="00CF47A8">
        <w:t>с)</w:t>
      </w:r>
      <w:r w:rsidR="00A6115F" w:rsidRPr="00CF47A8">
        <w:tab/>
        <w:t>устройство эффективного крепления ремня в верхней точке должно быть сконструировано таким образом, чтобы искл</w:t>
      </w:r>
      <w:r w:rsidR="00A6115F" w:rsidRPr="00CF47A8">
        <w:t>ю</w:t>
      </w:r>
      <w:r w:rsidR="00A6115F" w:rsidRPr="00CF47A8">
        <w:t>чалась возможность любого непреднамеренного перемещ</w:t>
      </w:r>
      <w:r w:rsidR="00A6115F" w:rsidRPr="00CF47A8">
        <w:t>е</w:t>
      </w:r>
      <w:r w:rsidR="00A6115F" w:rsidRPr="00CF47A8">
        <w:t>ния крепления вверх, которое могло бы снизить эффекти</w:t>
      </w:r>
      <w:r w:rsidR="00A6115F" w:rsidRPr="00CF47A8">
        <w:t>в</w:t>
      </w:r>
      <w:r w:rsidR="00A6115F" w:rsidRPr="00CF47A8">
        <w:t xml:space="preserve">ность этого устройства в условиях обычного использования; </w:t>
      </w:r>
    </w:p>
    <w:p w:rsidR="008F2C79" w:rsidRPr="00CF47A8" w:rsidRDefault="00724E7F" w:rsidP="00724E7F">
      <w:pPr>
        <w:pStyle w:val="SingleTxtGR"/>
        <w:spacing w:line="239" w:lineRule="atLeast"/>
        <w:ind w:left="2835" w:hanging="1701"/>
      </w:pPr>
      <w:r>
        <w:tab/>
      </w:r>
      <w:r>
        <w:tab/>
      </w:r>
      <w:r w:rsidR="00A6115F" w:rsidRPr="00CF47A8">
        <w:rPr>
          <w:lang w:val="en-GB"/>
        </w:rPr>
        <w:t>d</w:t>
      </w:r>
      <w:r w:rsidR="00A6115F" w:rsidRPr="00CF47A8">
        <w:t>)</w:t>
      </w:r>
      <w:r w:rsidR="00A6115F" w:rsidRPr="00CF47A8">
        <w:tab/>
        <w:t>изготовитель включает в руководство по эксплуатации транспортного средства четкое указание способа регулиро</w:t>
      </w:r>
      <w:r w:rsidR="00A6115F" w:rsidRPr="00CF47A8">
        <w:t>в</w:t>
      </w:r>
      <w:r w:rsidR="00A6115F" w:rsidRPr="00CF47A8">
        <w:t>ки таких систем, а также информацию о приемлемости и ограничениях его использования пассажирами небольшого роста.</w:t>
      </w:r>
    </w:p>
    <w:p w:rsidR="008F2C79" w:rsidRPr="00CF47A8" w:rsidRDefault="00724E7F" w:rsidP="00724E7F">
      <w:pPr>
        <w:pStyle w:val="SingleTxtGR"/>
        <w:spacing w:line="239" w:lineRule="atLeast"/>
        <w:ind w:left="2268" w:hanging="1134"/>
      </w:pPr>
      <w:r>
        <w:tab/>
      </w:r>
      <w:r>
        <w:tab/>
      </w:r>
      <w:r w:rsidR="00A6115F" w:rsidRPr="00CF47A8">
        <w:t>Однако в тех случаях, когда устройство регулировки по высоте на уровне плеча не закреплено на конструкции транспортного сре</w:t>
      </w:r>
      <w:r w:rsidR="00A6115F" w:rsidRPr="00CF47A8">
        <w:t>д</w:t>
      </w:r>
      <w:r w:rsidR="00A6115F" w:rsidRPr="00CF47A8">
        <w:t>ства или на конструкции сиденья, а выполнено в виде гибкого устройства регулировки по высоте на уровне плеча:</w:t>
      </w:r>
    </w:p>
    <w:p w:rsidR="008F2C79" w:rsidRPr="00CF47A8" w:rsidRDefault="00724E7F" w:rsidP="00724E7F">
      <w:pPr>
        <w:pStyle w:val="SingleTxtGR"/>
        <w:spacing w:line="239" w:lineRule="atLeast"/>
        <w:ind w:left="2835" w:hanging="1701"/>
      </w:pPr>
      <w:r>
        <w:tab/>
      </w:r>
      <w:r>
        <w:tab/>
      </w:r>
      <w:r w:rsidR="00A6115F" w:rsidRPr="00CF47A8">
        <w:t>е)</w:t>
      </w:r>
      <w:r w:rsidR="00A6115F" w:rsidRPr="00CF47A8">
        <w:tab/>
        <w:t xml:space="preserve">требования, упомянутые в подпунктах </w:t>
      </w:r>
      <w:r w:rsidR="00A6115F" w:rsidRPr="00CF47A8">
        <w:rPr>
          <w:lang w:val="en-GB"/>
        </w:rPr>
        <w:t>a</w:t>
      </w:r>
      <w:r w:rsidR="00A6115F" w:rsidRPr="00CF47A8">
        <w:t xml:space="preserve">) и </w:t>
      </w:r>
      <w:r w:rsidR="00A6115F" w:rsidRPr="00CF47A8">
        <w:rPr>
          <w:lang w:val="en-GB"/>
        </w:rPr>
        <w:t>d</w:t>
      </w:r>
      <w:r w:rsidR="00A6115F" w:rsidRPr="00CF47A8">
        <w:t>) выше, все еще должны соблюдаться в качестве части официального утве</w:t>
      </w:r>
      <w:r w:rsidR="00A6115F" w:rsidRPr="00CF47A8">
        <w:t>р</w:t>
      </w:r>
      <w:r w:rsidR="00A6115F" w:rsidRPr="00CF47A8">
        <w:t>ждения типа на основании Правил № 14 в связи с использ</w:t>
      </w:r>
      <w:r w:rsidR="00A6115F" w:rsidRPr="00CF47A8">
        <w:t>о</w:t>
      </w:r>
      <w:r w:rsidR="00A6115F" w:rsidRPr="00CF47A8">
        <w:t xml:space="preserve">ванием удерживающей системы, подлежащей установке; </w:t>
      </w:r>
    </w:p>
    <w:p w:rsidR="001A5741" w:rsidRPr="00CF47A8" w:rsidRDefault="00724E7F" w:rsidP="00724E7F">
      <w:pPr>
        <w:pStyle w:val="SingleTxtGR"/>
        <w:spacing w:line="239" w:lineRule="atLeast"/>
        <w:ind w:left="2835" w:hanging="1701"/>
      </w:pPr>
      <w:r>
        <w:tab/>
      </w:r>
      <w:r>
        <w:tab/>
      </w:r>
      <w:r w:rsidR="00A6115F" w:rsidRPr="00CF47A8">
        <w:rPr>
          <w:lang w:val="en-GB"/>
        </w:rPr>
        <w:t>f</w:t>
      </w:r>
      <w:r w:rsidR="00A6115F" w:rsidRPr="00CF47A8">
        <w:t>)</w:t>
      </w:r>
      <w:r w:rsidR="00A6115F" w:rsidRPr="00CF47A8">
        <w:tab/>
        <w:t>необходимо представить данные, подтверждающие, что р</w:t>
      </w:r>
      <w:r w:rsidR="00A6115F" w:rsidRPr="00CF47A8">
        <w:t>е</w:t>
      </w:r>
      <w:r w:rsidR="00A6115F" w:rsidRPr="00CF47A8">
        <w:t>мень безопасности вместе с гибким устройством регулиро</w:t>
      </w:r>
      <w:r w:rsidR="00A6115F" w:rsidRPr="00CF47A8">
        <w:t>в</w:t>
      </w:r>
      <w:r w:rsidR="00A6115F" w:rsidRPr="00CF47A8">
        <w:t xml:space="preserve">ки по высоте на уровне плеча соответствует требованиям Правил № 16, предъявляемым к удерживающим системам; требования, содержащиеся в подпунктах </w:t>
      </w:r>
      <w:r w:rsidR="00A6115F" w:rsidRPr="00CF47A8">
        <w:rPr>
          <w:lang w:val="en-GB"/>
        </w:rPr>
        <w:t>b</w:t>
      </w:r>
      <w:r w:rsidR="00A6115F" w:rsidRPr="00CF47A8">
        <w:t xml:space="preserve">) и </w:t>
      </w:r>
      <w:r w:rsidR="00A6115F" w:rsidRPr="00CF47A8">
        <w:rPr>
          <w:lang w:val="en-GB"/>
        </w:rPr>
        <w:t>c</w:t>
      </w:r>
      <w:r w:rsidR="00A6115F" w:rsidRPr="00CF47A8">
        <w:t>), должны с</w:t>
      </w:r>
      <w:r w:rsidR="00A6115F" w:rsidRPr="00CF47A8">
        <w:t>о</w:t>
      </w:r>
      <w:r w:rsidR="00A6115F" w:rsidRPr="00CF47A8">
        <w:t>блюдаться в соответствии с пунктом 8.3 Правил № 16 в о</w:t>
      </w:r>
      <w:r w:rsidR="00A6115F" w:rsidRPr="00CF47A8">
        <w:t>т</w:t>
      </w:r>
      <w:r w:rsidR="00A6115F" w:rsidRPr="00CF47A8">
        <w:t>ношении официального утверждения типа</w:t>
      </w:r>
      <w:r>
        <w:t>»</w:t>
      </w:r>
      <w:r w:rsidR="00A6115F" w:rsidRPr="00CF47A8">
        <w:t>.</w:t>
      </w:r>
    </w:p>
    <w:p w:rsidR="00A658DB" w:rsidRPr="00724E7F" w:rsidRDefault="00CF47A8" w:rsidP="00CF47A8">
      <w:pPr>
        <w:spacing w:before="240"/>
        <w:jc w:val="center"/>
        <w:rPr>
          <w:u w:val="single"/>
        </w:rPr>
      </w:pPr>
      <w:r w:rsidRPr="00724E7F">
        <w:rPr>
          <w:u w:val="single"/>
        </w:rPr>
        <w:tab/>
      </w:r>
      <w:r w:rsidRPr="00724E7F">
        <w:rPr>
          <w:u w:val="single"/>
        </w:rPr>
        <w:tab/>
      </w:r>
      <w:r w:rsidRPr="00724E7F">
        <w:rPr>
          <w:u w:val="single"/>
        </w:rPr>
        <w:tab/>
      </w:r>
    </w:p>
    <w:sectPr w:rsidR="00A658DB" w:rsidRPr="00724E7F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A8" w:rsidRDefault="00CF47A8" w:rsidP="00B471C5">
      <w:r>
        <w:separator/>
      </w:r>
    </w:p>
  </w:endnote>
  <w:endnote w:type="continuationSeparator" w:id="0">
    <w:p w:rsidR="00CF47A8" w:rsidRDefault="00CF47A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535C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24E7F">
      <w:rPr>
        <w:lang w:val="en-US"/>
      </w:rPr>
      <w:t>05878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2AE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24E7F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724E7F">
            <w:t>05878</w:t>
          </w:r>
          <w:r w:rsidRPr="001C3ABC">
            <w:rPr>
              <w:lang w:val="en-US"/>
            </w:rPr>
            <w:t xml:space="preserve"> (R)</w:t>
          </w:r>
          <w:r w:rsidR="00724E7F">
            <w:t xml:space="preserve">  260416  260416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24E7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2295" cy="582295"/>
                <wp:effectExtent l="0" t="0" r="8255" b="8255"/>
                <wp:docPr id="3" name="Рисунок 3" descr="http://undocs.org/m2/QRCode.ashx?DS=ECE/TRANS/WP.29/2016/3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3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24E7F" w:rsidRDefault="00724E7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24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A8" w:rsidRPr="009141DC" w:rsidRDefault="00CF47A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F47A8" w:rsidRPr="00D1261C" w:rsidRDefault="00CF47A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F47A8" w:rsidRPr="00BE4BB5" w:rsidRDefault="00CF47A8" w:rsidP="00CF47A8">
      <w:pPr>
        <w:pStyle w:val="FootnoteText"/>
        <w:rPr>
          <w:lang w:val="ru-RU"/>
        </w:rPr>
      </w:pPr>
      <w:r>
        <w:rPr>
          <w:lang w:val="ru-RU"/>
        </w:rPr>
        <w:tab/>
      </w:r>
      <w:r w:rsidRPr="00CF47A8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</w:t>
      </w:r>
      <w:r w:rsidR="00952499">
        <w:rPr>
          <w:lang w:val="ru-RU"/>
        </w:rPr>
        <w:t>транспорту на</w:t>
      </w:r>
      <w:r w:rsidR="00952499">
        <w:rPr>
          <w:lang w:val="en-US"/>
        </w:rPr>
        <w:t> </w:t>
      </w:r>
      <w:r>
        <w:rPr>
          <w:lang w:val="ru-RU"/>
        </w:rPr>
        <w:t>2016−2017 годы (ECE/TRANS/254, пункт 159, и ECE/TRANS/2016/28/Add.1, направление работы 3.1).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724E7F" w:rsidRPr="00724E7F">
      <w:rPr>
        <w:lang w:val="ru-RU"/>
      </w:rPr>
      <w:t>TRANS/WP.29/2016/35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8"/>
    <w:rsid w:val="000450D1"/>
    <w:rsid w:val="000B1FD5"/>
    <w:rsid w:val="000F2A4F"/>
    <w:rsid w:val="001C1772"/>
    <w:rsid w:val="00203F84"/>
    <w:rsid w:val="00275188"/>
    <w:rsid w:val="0028687D"/>
    <w:rsid w:val="002A2AE4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24E7F"/>
    <w:rsid w:val="00743F62"/>
    <w:rsid w:val="007535C4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52499"/>
    <w:rsid w:val="0098674D"/>
    <w:rsid w:val="00997ACA"/>
    <w:rsid w:val="00A03FB7"/>
    <w:rsid w:val="00A26777"/>
    <w:rsid w:val="00A55C56"/>
    <w:rsid w:val="00A6115F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F47A8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033AF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C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C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9890-4008-48FF-BBE0-8530C22B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Benedicte Boudol</cp:lastModifiedBy>
  <cp:revision>2</cp:revision>
  <cp:lastPrinted>2016-04-26T09:45:00Z</cp:lastPrinted>
  <dcterms:created xsi:type="dcterms:W3CDTF">2016-05-04T13:52:00Z</dcterms:created>
  <dcterms:modified xsi:type="dcterms:W3CDTF">2016-05-04T13:52:00Z</dcterms:modified>
</cp:coreProperties>
</file>