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51" w:rsidRDefault="00085B51" w:rsidP="00085B51">
      <w:pPr>
        <w:spacing w:line="240" w:lineRule="auto"/>
        <w:rPr>
          <w:sz w:val="2"/>
        </w:rPr>
        <w:sectPr w:rsidR="00085B51" w:rsidSect="00085B5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085B51" w:rsidRDefault="00085B51" w:rsidP="00085B51">
      <w:pPr>
        <w:pStyle w:val="H1"/>
        <w:spacing w:after="120"/>
        <w:rPr>
          <w:sz w:val="28"/>
        </w:rPr>
      </w:pPr>
      <w:r>
        <w:rPr>
          <w:sz w:val="28"/>
        </w:rPr>
        <w:lastRenderedPageBreak/>
        <w:t>Commission économique pour l’Europe</w:t>
      </w:r>
    </w:p>
    <w:p w:rsidR="00085B51" w:rsidRDefault="00085B51" w:rsidP="00085B51">
      <w:pPr>
        <w:pStyle w:val="H1"/>
        <w:spacing w:after="120" w:line="300" w:lineRule="exact"/>
        <w:rPr>
          <w:b w:val="0"/>
          <w:sz w:val="28"/>
        </w:rPr>
      </w:pPr>
      <w:r>
        <w:rPr>
          <w:b w:val="0"/>
          <w:sz w:val="28"/>
        </w:rPr>
        <w:t>Comité des transports intérieurs</w:t>
      </w:r>
    </w:p>
    <w:p w:rsidR="001146AB" w:rsidRPr="001146AB" w:rsidRDefault="001146AB" w:rsidP="001146A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146AB">
        <w:rPr>
          <w:lang w:val="fr-CH"/>
        </w:rPr>
        <w:t xml:space="preserve">Forum mondial de l’harmonisation des Règlements </w:t>
      </w:r>
      <w:r>
        <w:rPr>
          <w:lang w:val="fr-CH"/>
        </w:rPr>
        <w:br/>
      </w:r>
      <w:r w:rsidRPr="001146AB">
        <w:rPr>
          <w:lang w:val="fr-CH"/>
        </w:rPr>
        <w:t>concernant les véhicules</w:t>
      </w:r>
    </w:p>
    <w:p w:rsidR="001146AB" w:rsidRPr="001146AB" w:rsidRDefault="001146AB" w:rsidP="001146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1146AB" w:rsidRPr="001146AB" w:rsidRDefault="001146AB" w:rsidP="001146A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146AB">
        <w:rPr>
          <w:lang w:val="fr-CH"/>
        </w:rPr>
        <w:t>168</w:t>
      </w:r>
      <w:r w:rsidRPr="001146AB">
        <w:rPr>
          <w:vertAlign w:val="superscript"/>
          <w:lang w:val="fr-CH"/>
        </w:rPr>
        <w:t>e</w:t>
      </w:r>
      <w:r w:rsidRPr="001146AB">
        <w:rPr>
          <w:lang w:val="fr-CH"/>
        </w:rPr>
        <w:t xml:space="preserve"> session</w:t>
      </w:r>
    </w:p>
    <w:p w:rsidR="001146AB" w:rsidRPr="001146AB" w:rsidRDefault="001146AB" w:rsidP="001146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146AB">
        <w:rPr>
          <w:lang w:val="fr-CH"/>
        </w:rPr>
        <w:t>Genève, 8-11 mars 2016</w:t>
      </w:r>
    </w:p>
    <w:p w:rsidR="001146AB" w:rsidRPr="001146AB" w:rsidRDefault="001146AB" w:rsidP="001146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146AB">
        <w:rPr>
          <w:lang w:val="fr-CH"/>
        </w:rPr>
        <w:t>Point 4.9.7 de l’ordre du jour provisoire</w:t>
      </w:r>
    </w:p>
    <w:p w:rsidR="001146AB" w:rsidRPr="001146AB" w:rsidRDefault="001146AB" w:rsidP="001146A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146AB">
        <w:rPr>
          <w:lang w:val="fr-CH"/>
        </w:rPr>
        <w:t xml:space="preserve">Accord de 1958 – examen de projets d’amendements </w:t>
      </w:r>
      <w:r>
        <w:rPr>
          <w:lang w:val="fr-CH"/>
        </w:rPr>
        <w:br/>
      </w:r>
      <w:r w:rsidRPr="001146AB">
        <w:rPr>
          <w:lang w:val="fr-CH"/>
        </w:rPr>
        <w:t>à des</w:t>
      </w:r>
      <w:r>
        <w:rPr>
          <w:lang w:val="fr-CH"/>
        </w:rPr>
        <w:t xml:space="preserve"> </w:t>
      </w:r>
      <w:r w:rsidRPr="001146AB">
        <w:rPr>
          <w:lang w:val="fr-CH"/>
        </w:rPr>
        <w:t>Règlements existants, proposés par le GRE</w:t>
      </w:r>
    </w:p>
    <w:p w:rsidR="00085B51" w:rsidRPr="001146AB" w:rsidRDefault="00085B51" w:rsidP="001146AB">
      <w:pPr>
        <w:pStyle w:val="H1"/>
        <w:spacing w:line="120" w:lineRule="exact"/>
        <w:rPr>
          <w:b w:val="0"/>
          <w:sz w:val="10"/>
        </w:rPr>
      </w:pPr>
    </w:p>
    <w:p w:rsidR="001146AB" w:rsidRPr="001146AB" w:rsidRDefault="001146AB" w:rsidP="001146AB">
      <w:pPr>
        <w:spacing w:line="120" w:lineRule="exact"/>
        <w:rPr>
          <w:sz w:val="10"/>
        </w:rPr>
      </w:pPr>
    </w:p>
    <w:p w:rsidR="001146AB" w:rsidRPr="001146AB" w:rsidRDefault="001146AB" w:rsidP="001146AB">
      <w:pPr>
        <w:spacing w:line="120" w:lineRule="exact"/>
        <w:rPr>
          <w:sz w:val="10"/>
        </w:rPr>
      </w:pPr>
    </w:p>
    <w:p w:rsidR="001146AB" w:rsidRDefault="001146AB" w:rsidP="001146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1146AB">
        <w:rPr>
          <w:lang w:val="fr-CH"/>
        </w:rPr>
        <w:t xml:space="preserve">Proposition de complément 18 à la série 01 </w:t>
      </w:r>
      <w:r>
        <w:rPr>
          <w:lang w:val="fr-CH"/>
        </w:rPr>
        <w:br/>
      </w:r>
      <w:r w:rsidRPr="001146AB">
        <w:rPr>
          <w:lang w:val="fr-CH"/>
        </w:rPr>
        <w:t xml:space="preserve">d’amendements au Règlement </w:t>
      </w:r>
      <w:r>
        <w:rPr>
          <w:lang w:val="fr-CH"/>
        </w:rPr>
        <w:t>n</w:t>
      </w:r>
      <w:r w:rsidRPr="001146AB">
        <w:rPr>
          <w:vertAlign w:val="superscript"/>
          <w:lang w:val="fr-CH"/>
        </w:rPr>
        <w:t>o </w:t>
      </w:r>
      <w:r w:rsidRPr="001146AB">
        <w:rPr>
          <w:lang w:val="fr-CH"/>
        </w:rPr>
        <w:t>53 (Installation des</w:t>
      </w:r>
      <w:r>
        <w:rPr>
          <w:lang w:val="fr-CH"/>
        </w:rPr>
        <w:t> </w:t>
      </w:r>
      <w:r w:rsidRPr="001146AB">
        <w:rPr>
          <w:lang w:val="fr-CH"/>
        </w:rPr>
        <w:t>dispositifs d’éclairage et</w:t>
      </w:r>
      <w:r>
        <w:rPr>
          <w:lang w:val="fr-CH"/>
        </w:rPr>
        <w:t> </w:t>
      </w:r>
      <w:r w:rsidRPr="001146AB">
        <w:rPr>
          <w:lang w:val="fr-CH"/>
        </w:rPr>
        <w:t xml:space="preserve">de signalisation </w:t>
      </w:r>
      <w:r>
        <w:rPr>
          <w:lang w:val="fr-CH"/>
        </w:rPr>
        <w:br/>
      </w:r>
      <w:r w:rsidRPr="001146AB">
        <w:rPr>
          <w:lang w:val="fr-CH"/>
        </w:rPr>
        <w:t>lumineuse sur les véhicules de la catégorie</w:t>
      </w:r>
      <w:r>
        <w:rPr>
          <w:lang w:val="fr-CH"/>
        </w:rPr>
        <w:t> </w:t>
      </w:r>
      <w:r w:rsidRPr="001146AB">
        <w:rPr>
          <w:lang w:val="fr-CH"/>
        </w:rPr>
        <w:t>L</w:t>
      </w:r>
      <w:r w:rsidRPr="001146AB">
        <w:rPr>
          <w:vertAlign w:val="subscript"/>
          <w:lang w:val="fr-CH"/>
        </w:rPr>
        <w:t>3</w:t>
      </w:r>
      <w:r w:rsidRPr="001146AB">
        <w:rPr>
          <w:lang w:val="fr-CH"/>
        </w:rPr>
        <w:t>)</w:t>
      </w:r>
    </w:p>
    <w:p w:rsidR="001146AB" w:rsidRPr="001146AB" w:rsidRDefault="001146AB" w:rsidP="001146AB">
      <w:pPr>
        <w:pStyle w:val="SingleTxt"/>
        <w:spacing w:after="0" w:line="120" w:lineRule="exact"/>
        <w:rPr>
          <w:sz w:val="10"/>
          <w:lang w:val="fr-CH"/>
        </w:rPr>
      </w:pPr>
    </w:p>
    <w:p w:rsidR="001146AB" w:rsidRPr="001146AB" w:rsidRDefault="001146AB" w:rsidP="001146AB">
      <w:pPr>
        <w:pStyle w:val="SingleTxt"/>
        <w:spacing w:after="0" w:line="120" w:lineRule="exact"/>
        <w:rPr>
          <w:sz w:val="10"/>
          <w:lang w:val="fr-CH"/>
        </w:rPr>
      </w:pPr>
    </w:p>
    <w:p w:rsidR="001146AB" w:rsidRPr="001146AB" w:rsidRDefault="001146AB" w:rsidP="001146AB">
      <w:pPr>
        <w:framePr w:w="10008" w:h="432" w:hSpace="180" w:wrap="around" w:vAnchor="page" w:hAnchor="page" w:x="936"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1146AB">
        <w:rPr>
          <w:spacing w:val="5"/>
          <w:sz w:val="17"/>
          <w:szCs w:val="20"/>
        </w:rPr>
        <w:t>Conformément au programme de travail du Comité des transports intérieurs pour la période 2014</w:t>
      </w:r>
      <w:r>
        <w:rPr>
          <w:spacing w:val="5"/>
          <w:sz w:val="17"/>
          <w:szCs w:val="20"/>
        </w:rPr>
        <w:t>-</w:t>
      </w:r>
      <w:r w:rsidRPr="001146AB">
        <w:rPr>
          <w:spacing w:val="5"/>
          <w:sz w:val="17"/>
          <w:szCs w:val="20"/>
        </w:rPr>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r w:rsidRPr="001146AB">
        <w:rPr>
          <w:spacing w:val="5"/>
          <w:sz w:val="17"/>
          <w:szCs w:val="20"/>
          <w:lang w:val="en-US"/>
        </w:rPr>
        <w:t>.</w:t>
      </w:r>
      <w:r w:rsidRPr="001146AB">
        <w:rPr>
          <w:noProof/>
          <w:w w:val="100"/>
          <w:sz w:val="17"/>
          <w:lang w:val="en-GB" w:eastAsia="en-GB"/>
        </w:rPr>
        <mc:AlternateContent>
          <mc:Choice Requires="wps">
            <w:drawing>
              <wp:anchor distT="0" distB="0" distL="114300" distR="114300" simplePos="0" relativeHeight="251660288" behindDoc="0" locked="0" layoutInCell="1" allowOverlap="1" wp14:anchorId="09BF370A" wp14:editId="07AF3E26">
                <wp:simplePos x="0" y="0"/>
                <wp:positionH relativeFrom="page">
                  <wp:posOffset>1087755</wp:posOffset>
                </wp:positionH>
                <wp:positionV relativeFrom="paragraph">
                  <wp:posOffset>-12700</wp:posOffset>
                </wp:positionV>
                <wp:extent cx="958291" cy="0"/>
                <wp:effectExtent l="0" t="0" r="13335" b="19050"/>
                <wp:wrapNone/>
                <wp:docPr id="5" name="Straight Connector 5"/>
                <wp:cNvGraphicFramePr/>
                <a:graphic xmlns:a="http://schemas.openxmlformats.org/drawingml/2006/main">
                  <a:graphicData uri="http://schemas.microsoft.com/office/word/2010/wordprocessingShape">
                    <wps:wsp>
                      <wps:cNvCnPr/>
                      <wps:spPr>
                        <a:xfrm>
                          <a:off x="0" y="0"/>
                          <a:ext cx="958291"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85.65pt,-1pt" to="16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" strokecolor="#010000" strokeweight=".25pt">
                <w10:wrap anchorx="page"/>
              </v:line>
            </w:pict>
          </mc:Fallback>
        </mc:AlternateContent>
      </w:r>
    </w:p>
    <w:p w:rsidR="001146AB" w:rsidRPr="001146AB" w:rsidRDefault="001146AB" w:rsidP="001146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1146AB">
        <w:rPr>
          <w:lang w:val="fr-CH"/>
        </w:rPr>
        <w:t xml:space="preserve">Communication du Groupe de travail de l’éclairage </w:t>
      </w:r>
      <w:r>
        <w:rPr>
          <w:lang w:val="fr-CH"/>
        </w:rPr>
        <w:br/>
      </w:r>
      <w:r w:rsidRPr="001146AB">
        <w:rPr>
          <w:lang w:val="fr-CH"/>
        </w:rPr>
        <w:t>et de la signalisation lumineuse</w:t>
      </w:r>
      <w:r w:rsidRPr="001146AB">
        <w:rPr>
          <w:b w:val="0"/>
          <w:sz w:val="20"/>
          <w:szCs w:val="20"/>
          <w:lang w:val="fr-CH"/>
        </w:rPr>
        <w:t>*</w:t>
      </w:r>
    </w:p>
    <w:p w:rsidR="001146AB" w:rsidRPr="001146AB" w:rsidRDefault="001146AB" w:rsidP="001146AB">
      <w:pPr>
        <w:pStyle w:val="SingleTxt"/>
        <w:spacing w:after="0" w:line="120" w:lineRule="exact"/>
        <w:rPr>
          <w:sz w:val="10"/>
          <w:lang w:val="fr-CH"/>
        </w:rPr>
      </w:pPr>
    </w:p>
    <w:p w:rsidR="001146AB" w:rsidRPr="001146AB" w:rsidRDefault="001146AB" w:rsidP="001146AB">
      <w:pPr>
        <w:pStyle w:val="SingleTxt"/>
        <w:spacing w:after="0" w:line="120" w:lineRule="exact"/>
        <w:rPr>
          <w:sz w:val="10"/>
          <w:lang w:val="fr-CH"/>
        </w:rPr>
      </w:pPr>
    </w:p>
    <w:p w:rsidR="001146AB" w:rsidRPr="001146AB" w:rsidRDefault="001146AB" w:rsidP="001146AB">
      <w:pPr>
        <w:pStyle w:val="SingleTxt"/>
        <w:rPr>
          <w:lang w:val="fr-CH"/>
        </w:rPr>
      </w:pPr>
      <w:r>
        <w:rPr>
          <w:lang w:val="fr-CH"/>
        </w:rPr>
        <w:tab/>
      </w:r>
      <w:r w:rsidRPr="001146AB">
        <w:rPr>
          <w:lang w:val="fr-CH"/>
        </w:rPr>
        <w:t>Le texte reproduit ci-après, adopté par le Groupe de travail de l’éclairage et de la signalisation lumineuse (GRE) à sa soixante-quatorzième session (ECE/TRANS/WP.29/GRE/74, par.</w:t>
      </w:r>
      <w:r>
        <w:rPr>
          <w:lang w:val="fr-CH"/>
        </w:rPr>
        <w:t> </w:t>
      </w:r>
      <w:r w:rsidRPr="001146AB">
        <w:rPr>
          <w:lang w:val="fr-CH"/>
        </w:rPr>
        <w:t>27 et 28), est fondé sur le document ECE/TRANS/WP.29/GRE/2015/39</w:t>
      </w:r>
      <w:r w:rsidR="0031696C">
        <w:rPr>
          <w:lang w:val="fr-CH"/>
        </w:rPr>
        <w:t>, tel que</w:t>
      </w:r>
      <w:r w:rsidRPr="001146AB">
        <w:rPr>
          <w:lang w:val="fr-CH"/>
        </w:rPr>
        <w:t xml:space="preserve"> modifié par l’annexe IV du rapport sur la session</w:t>
      </w:r>
      <w:r w:rsidR="0031696C">
        <w:rPr>
          <w:lang w:val="fr-CH"/>
        </w:rPr>
        <w:t>,</w:t>
      </w:r>
      <w:r w:rsidRPr="001146AB">
        <w:rPr>
          <w:lang w:val="fr-CH"/>
        </w:rPr>
        <w:t xml:space="preserve"> et sur le document ECE/TRANS/WP.29/GRE/2015/40</w:t>
      </w:r>
      <w:r w:rsidR="0031696C">
        <w:rPr>
          <w:lang w:val="fr-CH"/>
        </w:rPr>
        <w:t>, tel que</w:t>
      </w:r>
      <w:r w:rsidRPr="001146AB">
        <w:rPr>
          <w:lang w:val="fr-CH"/>
        </w:rPr>
        <w:t xml:space="preserve"> modifié par le paragraphe 28 dudit rapport. Il est </w:t>
      </w:r>
      <w:r w:rsidR="0031696C">
        <w:rPr>
          <w:lang w:val="fr-CH"/>
        </w:rPr>
        <w:t>soumis</w:t>
      </w:r>
      <w:r w:rsidRPr="001146AB">
        <w:rPr>
          <w:lang w:val="fr-CH"/>
        </w:rPr>
        <w:t xml:space="preserve"> au Forum mondial de l’harmonisation des Règlements concernant les véhicules (WP.29) et au Comité d’administration (AC.1) pour examen à leurs sessions de mars 2016.</w:t>
      </w:r>
    </w:p>
    <w:p w:rsidR="001146AB" w:rsidRPr="001146AB" w:rsidRDefault="001146AB" w:rsidP="001146AB">
      <w:pPr>
        <w:pStyle w:val="SingleTxt"/>
        <w:rPr>
          <w:b/>
          <w:lang w:val="fr-CH"/>
        </w:rPr>
      </w:pPr>
    </w:p>
    <w:p w:rsidR="001146AB" w:rsidRPr="001146AB" w:rsidRDefault="001146AB" w:rsidP="001146AB">
      <w:pPr>
        <w:pStyle w:val="SingleTxt"/>
        <w:rPr>
          <w:lang w:val="fr-CH"/>
        </w:rPr>
      </w:pPr>
      <w:r w:rsidRPr="001146AB">
        <w:rPr>
          <w:lang w:val="fr-CH"/>
        </w:rPr>
        <w:br w:type="page"/>
      </w:r>
    </w:p>
    <w:p w:rsidR="001146AB" w:rsidRPr="001146AB" w:rsidRDefault="001146AB" w:rsidP="001146AB">
      <w:pPr>
        <w:pStyle w:val="SingleTxt"/>
        <w:rPr>
          <w:i/>
          <w:lang w:val="fr-CH"/>
        </w:rPr>
      </w:pPr>
      <w:r w:rsidRPr="001146AB">
        <w:rPr>
          <w:i/>
          <w:lang w:val="fr-CH"/>
        </w:rPr>
        <w:lastRenderedPageBreak/>
        <w:t>Ajouter les nouveaux paragraphes 2.32 et 2.33</w:t>
      </w:r>
      <w:r w:rsidRPr="001146AB">
        <w:rPr>
          <w:lang w:val="fr-CH"/>
        </w:rPr>
        <w:t>,</w:t>
      </w:r>
      <w:r w:rsidRPr="001146AB">
        <w:rPr>
          <w:i/>
          <w:lang w:val="fr-CH"/>
        </w:rPr>
        <w:t xml:space="preserve"> </w:t>
      </w:r>
      <w:r w:rsidRPr="001146AB">
        <w:rPr>
          <w:lang w:val="fr-CH"/>
        </w:rPr>
        <w:t>libellés comme suit</w:t>
      </w:r>
      <w:r w:rsidR="00E04A6A">
        <w:rPr>
          <w:lang w:val="fr-CH"/>
        </w:rPr>
        <w:t> :</w:t>
      </w:r>
    </w:p>
    <w:p w:rsidR="001146AB" w:rsidRPr="001146AB" w:rsidRDefault="00E04A6A" w:rsidP="00E04A6A">
      <w:pPr>
        <w:pStyle w:val="SingleTxt"/>
        <w:ind w:left="2218" w:hanging="951"/>
        <w:rPr>
          <w:i/>
          <w:lang w:val="fr-CH"/>
        </w:rPr>
      </w:pPr>
      <w:r>
        <w:rPr>
          <w:lang w:val="fr-CH"/>
        </w:rPr>
        <w:t>« </w:t>
      </w:r>
      <w:r w:rsidR="001146AB" w:rsidRPr="001146AB">
        <w:rPr>
          <w:lang w:val="fr-CH"/>
        </w:rPr>
        <w:t>2.32</w:t>
      </w:r>
      <w:r w:rsidR="001146AB" w:rsidRPr="001146AB">
        <w:rPr>
          <w:lang w:val="fr-CH"/>
        </w:rPr>
        <w:tab/>
        <w:t>“</w:t>
      </w:r>
      <w:r w:rsidR="001146AB" w:rsidRPr="001146AB">
        <w:rPr>
          <w:i/>
          <w:lang w:val="fr-CH"/>
        </w:rPr>
        <w:t>Activation séquentielle</w:t>
      </w:r>
      <w:r w:rsidR="001146AB" w:rsidRPr="001146AB">
        <w:rPr>
          <w:lang w:val="fr-CH"/>
        </w:rPr>
        <w:t>”, un branchement électrique au sein duquel les différentes sources lumineuses d’un feu sont interconnectées de manière à être activées dans un ordre prédéterminé.</w:t>
      </w:r>
    </w:p>
    <w:p w:rsidR="001146AB" w:rsidRPr="001146AB" w:rsidRDefault="001146AB" w:rsidP="00E04A6A">
      <w:pPr>
        <w:pStyle w:val="SingleTxt"/>
        <w:ind w:left="2218" w:hanging="951"/>
        <w:rPr>
          <w:lang w:val="fr-CH"/>
        </w:rPr>
      </w:pPr>
      <w:r w:rsidRPr="001146AB">
        <w:rPr>
          <w:rFonts w:hint="eastAsia"/>
          <w:bCs/>
          <w:lang w:val="fr-CH"/>
        </w:rPr>
        <w:t>2.3</w:t>
      </w:r>
      <w:r w:rsidRPr="001146AB">
        <w:rPr>
          <w:bCs/>
          <w:lang w:val="fr-CH"/>
        </w:rPr>
        <w:t>3</w:t>
      </w:r>
      <w:r w:rsidRPr="001146AB">
        <w:rPr>
          <w:bCs/>
          <w:lang w:val="fr-CH"/>
        </w:rPr>
        <w:tab/>
      </w:r>
      <w:r w:rsidR="00E04A6A">
        <w:rPr>
          <w:bCs/>
          <w:lang w:val="fr-CH"/>
        </w:rPr>
        <w:tab/>
      </w:r>
      <w:r w:rsidRPr="001146AB">
        <w:rPr>
          <w:lang w:val="fr-CH"/>
        </w:rPr>
        <w:t>“</w:t>
      </w:r>
      <w:r w:rsidRPr="001146AB">
        <w:rPr>
          <w:i/>
          <w:lang w:val="fr-CH"/>
        </w:rPr>
        <w:t>Signal de freinage d’urgence</w:t>
      </w:r>
      <w:r w:rsidRPr="001146AB">
        <w:rPr>
          <w:lang w:val="fr-CH"/>
        </w:rPr>
        <w:t>”, un signal qui indique aux usagers de la route qui se trouvent en arrière du véhicule qu’une puissante force de ralentissement a été appliquée au véhicule en raison des conditions de circulation</w:t>
      </w:r>
      <w:r w:rsidR="00F22575" w:rsidRPr="001146AB">
        <w:rPr>
          <w:lang w:val="fr-CH"/>
        </w:rPr>
        <w:t>.</w:t>
      </w:r>
      <w:r w:rsidR="00E04A6A">
        <w:rPr>
          <w:lang w:val="fr-CH"/>
        </w:rPr>
        <w:t> </w:t>
      </w:r>
      <w:r w:rsidRPr="001146AB">
        <w:rPr>
          <w:lang w:val="fr-CH"/>
        </w:rPr>
        <w:t>»</w:t>
      </w:r>
      <w:r w:rsidR="00F22575">
        <w:rPr>
          <w:lang w:val="fr-CH"/>
        </w:rPr>
        <w:t>.</w:t>
      </w:r>
    </w:p>
    <w:p w:rsidR="001146AB" w:rsidRPr="001146AB" w:rsidRDefault="001146AB" w:rsidP="001146AB">
      <w:pPr>
        <w:pStyle w:val="SingleTxt"/>
        <w:rPr>
          <w:lang w:val="fr-CH"/>
        </w:rPr>
      </w:pPr>
      <w:r w:rsidRPr="001146AB">
        <w:rPr>
          <w:i/>
          <w:lang w:val="fr-CH"/>
        </w:rPr>
        <w:t>Paragraphe 5.8</w:t>
      </w:r>
      <w:r w:rsidRPr="001146AB">
        <w:rPr>
          <w:lang w:val="fr-CH"/>
        </w:rPr>
        <w:t xml:space="preserve">, </w:t>
      </w:r>
      <w:proofErr w:type="gramStart"/>
      <w:r w:rsidRPr="001146AB">
        <w:rPr>
          <w:lang w:val="fr-CH"/>
        </w:rPr>
        <w:t>modifier</w:t>
      </w:r>
      <w:proofErr w:type="gramEnd"/>
      <w:r w:rsidRPr="001146AB">
        <w:rPr>
          <w:lang w:val="fr-CH"/>
        </w:rPr>
        <w:t xml:space="preserve"> comme suit</w:t>
      </w:r>
      <w:r w:rsidR="00E04A6A">
        <w:rPr>
          <w:lang w:val="fr-CH"/>
        </w:rPr>
        <w:t> :</w:t>
      </w:r>
    </w:p>
    <w:p w:rsidR="001146AB" w:rsidRPr="001146AB" w:rsidRDefault="00E04A6A" w:rsidP="00E04A6A">
      <w:pPr>
        <w:pStyle w:val="SingleTxt"/>
        <w:ind w:left="2218" w:hanging="951"/>
        <w:rPr>
          <w:lang w:val="fr-CH"/>
        </w:rPr>
      </w:pPr>
      <w:r>
        <w:rPr>
          <w:lang w:val="fr-CH"/>
        </w:rPr>
        <w:t>« </w:t>
      </w:r>
      <w:r w:rsidR="001146AB" w:rsidRPr="001146AB">
        <w:rPr>
          <w:lang w:val="fr-CH"/>
        </w:rPr>
        <w:t>5.8</w:t>
      </w:r>
      <w:r w:rsidR="001146AB" w:rsidRPr="001146AB">
        <w:rPr>
          <w:lang w:val="fr-CH"/>
        </w:rPr>
        <w:tab/>
      </w:r>
      <w:r>
        <w:rPr>
          <w:lang w:val="fr-CH"/>
        </w:rPr>
        <w:tab/>
      </w:r>
      <w:r w:rsidR="001146AB" w:rsidRPr="001146AB">
        <w:rPr>
          <w:lang w:val="fr-CH"/>
        </w:rPr>
        <w:t>Sauf indications particulières, aucun feu ne doit être clignotant, sauf les feux indicateurs de direction, les feux du signal de détresse et le signal de freinage d’urgence.</w:t>
      </w:r>
      <w:r w:rsidR="001146AB" w:rsidRPr="001146AB">
        <w:rPr>
          <w:bCs/>
          <w:lang w:val="fr-CH"/>
        </w:rPr>
        <w:t> ».</w:t>
      </w:r>
    </w:p>
    <w:p w:rsidR="001146AB" w:rsidRPr="001146AB" w:rsidRDefault="001146AB" w:rsidP="001146AB">
      <w:pPr>
        <w:pStyle w:val="SingleTxt"/>
        <w:rPr>
          <w:i/>
          <w:lang w:val="fr-CH"/>
        </w:rPr>
      </w:pPr>
      <w:r w:rsidRPr="001146AB">
        <w:rPr>
          <w:i/>
          <w:lang w:val="fr-CH"/>
        </w:rPr>
        <w:t>Ajouter un nouveau paragraphe 5.8.1</w:t>
      </w:r>
      <w:r w:rsidRPr="001146AB">
        <w:rPr>
          <w:lang w:val="fr-CH"/>
        </w:rPr>
        <w:t>,</w:t>
      </w:r>
      <w:r w:rsidRPr="001146AB">
        <w:rPr>
          <w:i/>
          <w:lang w:val="fr-CH"/>
        </w:rPr>
        <w:t xml:space="preserve"> </w:t>
      </w:r>
      <w:r w:rsidRPr="001146AB">
        <w:rPr>
          <w:lang w:val="fr-CH"/>
        </w:rPr>
        <w:t>libellé comme suit</w:t>
      </w:r>
      <w:r w:rsidR="00E04A6A">
        <w:rPr>
          <w:lang w:val="fr-CH"/>
        </w:rPr>
        <w:t> :</w:t>
      </w:r>
    </w:p>
    <w:p w:rsidR="001146AB" w:rsidRPr="001146AB" w:rsidRDefault="00E04A6A" w:rsidP="00E04A6A">
      <w:pPr>
        <w:pStyle w:val="SingleTxt"/>
        <w:ind w:left="2218" w:hanging="951"/>
        <w:rPr>
          <w:lang w:val="fr-CH"/>
        </w:rPr>
      </w:pPr>
      <w:r>
        <w:rPr>
          <w:lang w:val="fr-CH"/>
        </w:rPr>
        <w:t>« </w:t>
      </w:r>
      <w:r w:rsidR="001146AB" w:rsidRPr="001146AB">
        <w:rPr>
          <w:lang w:val="fr-CH"/>
        </w:rPr>
        <w:t>5.8.1</w:t>
      </w:r>
      <w:r w:rsidR="001146AB" w:rsidRPr="001146AB">
        <w:rPr>
          <w:lang w:val="fr-CH"/>
        </w:rPr>
        <w:tab/>
        <w:t>Les caractéristiques photométriques des feux indicateurs de direction, à l’exception de ceux des catégories 5 et 6 précisées dans le Règlement n</w:t>
      </w:r>
      <w:r w:rsidR="001146AB" w:rsidRPr="001146AB">
        <w:rPr>
          <w:vertAlign w:val="superscript"/>
          <w:lang w:val="fr-CH"/>
        </w:rPr>
        <w:t>o </w:t>
      </w:r>
      <w:r w:rsidR="001146AB" w:rsidRPr="001146AB">
        <w:rPr>
          <w:lang w:val="fr-CH"/>
        </w:rPr>
        <w:t>6, et celles du feu indicateur de direction précisé dans le Règlement n</w:t>
      </w:r>
      <w:r w:rsidR="001146AB" w:rsidRPr="001146AB">
        <w:rPr>
          <w:vertAlign w:val="superscript"/>
          <w:lang w:val="fr-CH"/>
        </w:rPr>
        <w:t>o </w:t>
      </w:r>
      <w:r w:rsidR="001146AB" w:rsidRPr="001146AB">
        <w:rPr>
          <w:lang w:val="fr-CH"/>
        </w:rPr>
        <w:t>50, peuvent varier durant un clignotement par activation séquentielle produit conformément au paragraphe 5.6 du Règlement n</w:t>
      </w:r>
      <w:r w:rsidR="001146AB" w:rsidRPr="001146AB">
        <w:rPr>
          <w:vertAlign w:val="superscript"/>
          <w:lang w:val="fr-CH"/>
        </w:rPr>
        <w:t>o </w:t>
      </w:r>
      <w:r w:rsidR="001146AB" w:rsidRPr="001146AB">
        <w:rPr>
          <w:lang w:val="fr-CH"/>
        </w:rPr>
        <w:t>6 ou au paragraphe</w:t>
      </w:r>
      <w:r w:rsidR="007F1599">
        <w:rPr>
          <w:lang w:val="fr-CH"/>
        </w:rPr>
        <w:t> </w:t>
      </w:r>
      <w:r w:rsidR="001146AB" w:rsidRPr="001146AB">
        <w:rPr>
          <w:lang w:val="fr-CH"/>
        </w:rPr>
        <w:t>6.8 du Règlement n</w:t>
      </w:r>
      <w:r w:rsidR="001146AB" w:rsidRPr="001146AB">
        <w:rPr>
          <w:vertAlign w:val="superscript"/>
          <w:lang w:val="fr-CH"/>
        </w:rPr>
        <w:t>o </w:t>
      </w:r>
      <w:r w:rsidR="001146AB" w:rsidRPr="001146AB">
        <w:rPr>
          <w:lang w:val="fr-CH"/>
        </w:rPr>
        <w:t>50.</w:t>
      </w:r>
    </w:p>
    <w:p w:rsidR="001146AB" w:rsidRPr="001146AB" w:rsidRDefault="00E04A6A" w:rsidP="00E04A6A">
      <w:pPr>
        <w:pStyle w:val="SingleTxt"/>
        <w:ind w:left="2218" w:hanging="951"/>
        <w:rPr>
          <w:lang w:val="fr-CH"/>
        </w:rPr>
      </w:pPr>
      <w:r>
        <w:rPr>
          <w:lang w:val="fr-CH"/>
        </w:rPr>
        <w:tab/>
      </w:r>
      <w:r>
        <w:rPr>
          <w:lang w:val="fr-CH"/>
        </w:rPr>
        <w:tab/>
      </w:r>
      <w:r w:rsidR="001146AB" w:rsidRPr="001146AB">
        <w:rPr>
          <w:lang w:val="fr-CH"/>
        </w:rPr>
        <w:t xml:space="preserve">La présente disposition n’est pas applicable lorsque des feux indicateurs de direction des catégories 2a et 2b </w:t>
      </w:r>
      <w:r w:rsidR="0031696C">
        <w:rPr>
          <w:lang w:val="fr-CH"/>
        </w:rPr>
        <w:t>précisées</w:t>
      </w:r>
      <w:r w:rsidR="001146AB" w:rsidRPr="001146AB">
        <w:rPr>
          <w:lang w:val="fr-CH"/>
        </w:rPr>
        <w:t xml:space="preserve"> dans le Règlement n</w:t>
      </w:r>
      <w:r w:rsidR="001146AB" w:rsidRPr="001146AB">
        <w:rPr>
          <w:vertAlign w:val="superscript"/>
          <w:lang w:val="fr-CH"/>
        </w:rPr>
        <w:t>o </w:t>
      </w:r>
      <w:r w:rsidR="001146AB" w:rsidRPr="001146AB">
        <w:rPr>
          <w:lang w:val="fr-CH"/>
        </w:rPr>
        <w:t xml:space="preserve">6 ou de la catégorie 12 </w:t>
      </w:r>
      <w:r w:rsidR="0031696C">
        <w:rPr>
          <w:lang w:val="fr-CH"/>
        </w:rPr>
        <w:t>précisée</w:t>
      </w:r>
      <w:r w:rsidR="0031696C" w:rsidRPr="001146AB">
        <w:rPr>
          <w:lang w:val="fr-CH"/>
        </w:rPr>
        <w:t xml:space="preserve"> </w:t>
      </w:r>
      <w:r w:rsidR="001146AB" w:rsidRPr="001146AB">
        <w:rPr>
          <w:lang w:val="fr-CH"/>
        </w:rPr>
        <w:t>dans le Règlement n</w:t>
      </w:r>
      <w:r w:rsidR="001146AB" w:rsidRPr="001146AB">
        <w:rPr>
          <w:vertAlign w:val="superscript"/>
          <w:lang w:val="fr-CH"/>
        </w:rPr>
        <w:t>o </w:t>
      </w:r>
      <w:r w:rsidR="001146AB" w:rsidRPr="001146AB">
        <w:rPr>
          <w:lang w:val="fr-CH"/>
        </w:rPr>
        <w:t>50 sont utilisés en tant que signaux de freinage d’urgence, conformément au paragraphe 6.14 du présent Règlement. ».</w:t>
      </w:r>
    </w:p>
    <w:p w:rsidR="001146AB" w:rsidRPr="001146AB" w:rsidRDefault="001146AB" w:rsidP="001146AB">
      <w:pPr>
        <w:pStyle w:val="SingleTxt"/>
        <w:rPr>
          <w:lang w:val="fr-CH"/>
        </w:rPr>
      </w:pPr>
      <w:r w:rsidRPr="001146AB">
        <w:rPr>
          <w:i/>
          <w:lang w:val="fr-CH"/>
        </w:rPr>
        <w:t>Paragraphe 5.13</w:t>
      </w:r>
      <w:r w:rsidRPr="001146AB">
        <w:rPr>
          <w:lang w:val="fr-CH"/>
        </w:rPr>
        <w:t xml:space="preserve">, </w:t>
      </w:r>
      <w:proofErr w:type="gramStart"/>
      <w:r w:rsidRPr="001146AB">
        <w:rPr>
          <w:lang w:val="fr-CH"/>
        </w:rPr>
        <w:t>modifier</w:t>
      </w:r>
      <w:proofErr w:type="gramEnd"/>
      <w:r w:rsidRPr="001146AB">
        <w:rPr>
          <w:lang w:val="fr-CH"/>
        </w:rPr>
        <w:t xml:space="preserve"> comme suit</w:t>
      </w:r>
      <w:r w:rsidR="00E04A6A">
        <w:rPr>
          <w:lang w:val="fr-CH"/>
        </w:rPr>
        <w:t> :</w:t>
      </w:r>
    </w:p>
    <w:p w:rsidR="001146AB" w:rsidRPr="001146AB" w:rsidRDefault="00E04A6A" w:rsidP="001146AB">
      <w:pPr>
        <w:pStyle w:val="SingleTxt"/>
        <w:rPr>
          <w:bCs/>
          <w:lang w:val="fr-CH"/>
        </w:rPr>
      </w:pPr>
      <w:r>
        <w:rPr>
          <w:bCs/>
          <w:lang w:val="fr-CH"/>
        </w:rPr>
        <w:t>« </w:t>
      </w:r>
      <w:r w:rsidR="001146AB" w:rsidRPr="001146AB">
        <w:rPr>
          <w:rFonts w:hint="eastAsia"/>
          <w:bCs/>
          <w:lang w:val="fr-CH"/>
        </w:rPr>
        <w:t>5</w:t>
      </w:r>
      <w:r w:rsidR="001146AB" w:rsidRPr="001146AB">
        <w:rPr>
          <w:bCs/>
          <w:lang w:val="fr-CH"/>
        </w:rPr>
        <w:t>.</w:t>
      </w:r>
      <w:r w:rsidR="001146AB" w:rsidRPr="001146AB">
        <w:rPr>
          <w:rFonts w:hint="eastAsia"/>
          <w:bCs/>
          <w:lang w:val="fr-CH"/>
        </w:rPr>
        <w:t>13</w:t>
      </w:r>
      <w:r w:rsidR="001146AB" w:rsidRPr="001146AB">
        <w:rPr>
          <w:bCs/>
          <w:lang w:val="fr-CH"/>
        </w:rPr>
        <w:tab/>
      </w:r>
      <w:r w:rsidR="001146AB" w:rsidRPr="001146AB">
        <w:rPr>
          <w:lang w:val="fr-CH"/>
        </w:rPr>
        <w:t>Couleur des feux</w:t>
      </w:r>
    </w:p>
    <w:p w:rsidR="001146AB" w:rsidRPr="001146AB" w:rsidRDefault="00E04A6A" w:rsidP="001146AB">
      <w:pPr>
        <w:pStyle w:val="SingleTxt"/>
        <w:rPr>
          <w:bCs/>
          <w:lang w:val="fr-CH"/>
        </w:rPr>
      </w:pPr>
      <w:r>
        <w:rPr>
          <w:bCs/>
          <w:lang w:val="fr-CH"/>
        </w:rPr>
        <w:tab/>
      </w:r>
      <w:r>
        <w:rPr>
          <w:bCs/>
          <w:lang w:val="fr-CH"/>
        </w:rPr>
        <w:tab/>
      </w:r>
      <w:r w:rsidR="001146AB" w:rsidRPr="001146AB">
        <w:rPr>
          <w:bCs/>
          <w:lang w:val="fr-CH"/>
        </w:rPr>
        <w:t>…</w:t>
      </w:r>
    </w:p>
    <w:p w:rsidR="001146AB" w:rsidRPr="001146AB" w:rsidRDefault="00E04A6A" w:rsidP="001146AB">
      <w:pPr>
        <w:pStyle w:val="SingleTxt"/>
        <w:rPr>
          <w:bCs/>
          <w:lang w:val="fr-CH"/>
        </w:rPr>
      </w:pPr>
      <w:r>
        <w:rPr>
          <w:lang w:val="fr-CH"/>
        </w:rPr>
        <w:tab/>
      </w:r>
      <w:r>
        <w:rPr>
          <w:lang w:val="fr-CH"/>
        </w:rPr>
        <w:tab/>
      </w:r>
      <w:r w:rsidR="001146AB" w:rsidRPr="001146AB">
        <w:rPr>
          <w:lang w:val="fr-CH"/>
        </w:rPr>
        <w:t>Feu de circulation diurne</w:t>
      </w:r>
      <w:r>
        <w:rPr>
          <w:lang w:val="fr-CH"/>
        </w:rPr>
        <w:t> :</w:t>
      </w:r>
      <w:r w:rsidR="001146AB" w:rsidRPr="001146AB">
        <w:rPr>
          <w:rFonts w:hint="eastAsia"/>
          <w:lang w:val="fr-CH"/>
        </w:rPr>
        <w:tab/>
      </w:r>
      <w:r w:rsidR="001146AB" w:rsidRPr="001146AB">
        <w:rPr>
          <w:rFonts w:hint="eastAsia"/>
          <w:lang w:val="fr-CH"/>
        </w:rPr>
        <w:tab/>
      </w:r>
      <w:r w:rsidR="001146AB" w:rsidRPr="001146AB">
        <w:rPr>
          <w:lang w:val="fr-CH"/>
        </w:rPr>
        <w:t>blanc</w:t>
      </w:r>
    </w:p>
    <w:p w:rsidR="001146AB" w:rsidRPr="001146AB" w:rsidRDefault="00E04A6A" w:rsidP="001146AB">
      <w:pPr>
        <w:pStyle w:val="SingleTxt"/>
        <w:rPr>
          <w:bCs/>
          <w:lang w:val="fr-CH"/>
        </w:rPr>
      </w:pPr>
      <w:r>
        <w:rPr>
          <w:lang w:val="fr-CH"/>
        </w:rPr>
        <w:tab/>
      </w:r>
      <w:r>
        <w:rPr>
          <w:lang w:val="fr-CH"/>
        </w:rPr>
        <w:tab/>
      </w:r>
      <w:r w:rsidR="001146AB" w:rsidRPr="001146AB">
        <w:rPr>
          <w:lang w:val="fr-CH"/>
        </w:rPr>
        <w:t>Signal de freinage d’urgence</w:t>
      </w:r>
      <w:r>
        <w:rPr>
          <w:lang w:val="fr-CH"/>
        </w:rPr>
        <w:t> :</w:t>
      </w:r>
      <w:r w:rsidR="001146AB" w:rsidRPr="001146AB">
        <w:rPr>
          <w:rFonts w:hint="eastAsia"/>
          <w:lang w:val="fr-CH"/>
        </w:rPr>
        <w:t xml:space="preserve"> </w:t>
      </w:r>
      <w:r w:rsidR="001146AB" w:rsidRPr="001146AB">
        <w:rPr>
          <w:rFonts w:hint="eastAsia"/>
          <w:lang w:val="fr-CH"/>
        </w:rPr>
        <w:tab/>
      </w:r>
      <w:r w:rsidR="001146AB" w:rsidRPr="001146AB">
        <w:rPr>
          <w:lang w:val="fr-CH"/>
        </w:rPr>
        <w:t>jaune-auto ou rouge</w:t>
      </w:r>
      <w:r w:rsidR="001146AB" w:rsidRPr="001146AB">
        <w:rPr>
          <w:bCs/>
          <w:lang w:val="fr-CH"/>
        </w:rPr>
        <w:t> ».</w:t>
      </w:r>
    </w:p>
    <w:p w:rsidR="001146AB" w:rsidRPr="001146AB" w:rsidRDefault="001146AB" w:rsidP="001146AB">
      <w:pPr>
        <w:pStyle w:val="SingleTxt"/>
        <w:rPr>
          <w:lang w:val="fr-CH"/>
        </w:rPr>
      </w:pPr>
      <w:r w:rsidRPr="001146AB">
        <w:rPr>
          <w:i/>
          <w:lang w:val="fr-CH"/>
        </w:rPr>
        <w:t>Ajouter un nouveau paragraphe 5.15.5</w:t>
      </w:r>
      <w:r w:rsidRPr="001146AB">
        <w:rPr>
          <w:lang w:val="fr-CH"/>
        </w:rPr>
        <w:t>, libellé comme suit</w:t>
      </w:r>
      <w:r w:rsidR="00E04A6A">
        <w:rPr>
          <w:lang w:val="fr-CH"/>
        </w:rPr>
        <w:t> :</w:t>
      </w:r>
    </w:p>
    <w:p w:rsidR="001146AB" w:rsidRPr="001146AB" w:rsidRDefault="00E04A6A" w:rsidP="001146AB">
      <w:pPr>
        <w:pStyle w:val="SingleTxt"/>
        <w:rPr>
          <w:lang w:val="fr-CH"/>
        </w:rPr>
      </w:pPr>
      <w:r>
        <w:rPr>
          <w:bCs/>
          <w:lang w:val="fr-CH"/>
        </w:rPr>
        <w:t>« </w:t>
      </w:r>
      <w:r w:rsidR="001146AB" w:rsidRPr="001146AB">
        <w:rPr>
          <w:bCs/>
          <w:lang w:val="fr-CH"/>
        </w:rPr>
        <w:t>5.15.5</w:t>
      </w:r>
      <w:r w:rsidR="001146AB" w:rsidRPr="001146AB">
        <w:rPr>
          <w:bCs/>
          <w:lang w:val="fr-CH"/>
        </w:rPr>
        <w:tab/>
        <w:t>Signal de freinage d’urgence (par</w:t>
      </w:r>
      <w:r>
        <w:rPr>
          <w:bCs/>
          <w:lang w:val="fr-CH"/>
        </w:rPr>
        <w:t>.</w:t>
      </w:r>
      <w:r w:rsidR="001146AB" w:rsidRPr="001146AB">
        <w:rPr>
          <w:bCs/>
          <w:lang w:val="fr-CH"/>
        </w:rPr>
        <w:t> 6.14) ».</w:t>
      </w:r>
    </w:p>
    <w:p w:rsidR="001146AB" w:rsidRPr="001146AB" w:rsidRDefault="001146AB" w:rsidP="001146AB">
      <w:pPr>
        <w:pStyle w:val="SingleTxt"/>
        <w:rPr>
          <w:lang w:val="fr-CH"/>
        </w:rPr>
      </w:pPr>
      <w:r w:rsidRPr="001146AB">
        <w:rPr>
          <w:i/>
          <w:lang w:val="fr-CH"/>
        </w:rPr>
        <w:t>Paragraphe 6.9.2</w:t>
      </w:r>
      <w:r w:rsidRPr="001146AB">
        <w:rPr>
          <w:lang w:val="fr-CH"/>
        </w:rPr>
        <w:t xml:space="preserve">, </w:t>
      </w:r>
      <w:proofErr w:type="gramStart"/>
      <w:r w:rsidRPr="001146AB">
        <w:rPr>
          <w:lang w:val="fr-CH"/>
        </w:rPr>
        <w:t>modifier</w:t>
      </w:r>
      <w:proofErr w:type="gramEnd"/>
      <w:r w:rsidRPr="001146AB">
        <w:rPr>
          <w:lang w:val="fr-CH"/>
        </w:rPr>
        <w:t xml:space="preserve"> comme suit</w:t>
      </w:r>
      <w:r w:rsidR="00E04A6A">
        <w:rPr>
          <w:lang w:val="fr-CH"/>
        </w:rPr>
        <w:t> :</w:t>
      </w:r>
    </w:p>
    <w:p w:rsidR="001146AB" w:rsidRPr="001146AB" w:rsidRDefault="00E04A6A" w:rsidP="001146AB">
      <w:pPr>
        <w:pStyle w:val="SingleTxt"/>
        <w:rPr>
          <w:bCs/>
          <w:lang w:val="fr-CH"/>
        </w:rPr>
      </w:pPr>
      <w:r>
        <w:rPr>
          <w:bCs/>
          <w:lang w:val="fr-CH"/>
        </w:rPr>
        <w:t>« </w:t>
      </w:r>
      <w:r w:rsidR="001146AB" w:rsidRPr="001146AB">
        <w:rPr>
          <w:rFonts w:hint="eastAsia"/>
          <w:bCs/>
          <w:lang w:val="fr-CH"/>
        </w:rPr>
        <w:t>6</w:t>
      </w:r>
      <w:r w:rsidR="001146AB" w:rsidRPr="001146AB">
        <w:rPr>
          <w:bCs/>
          <w:lang w:val="fr-CH"/>
        </w:rPr>
        <w:t>.</w:t>
      </w:r>
      <w:r w:rsidR="001146AB" w:rsidRPr="001146AB">
        <w:rPr>
          <w:rFonts w:hint="eastAsia"/>
          <w:bCs/>
          <w:lang w:val="fr-CH"/>
        </w:rPr>
        <w:t>9</w:t>
      </w:r>
      <w:r w:rsidR="001146AB" w:rsidRPr="001146AB">
        <w:rPr>
          <w:bCs/>
          <w:lang w:val="fr-CH"/>
        </w:rPr>
        <w:t>.2</w:t>
      </w:r>
      <w:r w:rsidR="001146AB" w:rsidRPr="001146AB">
        <w:rPr>
          <w:bCs/>
          <w:lang w:val="fr-CH"/>
        </w:rPr>
        <w:tab/>
        <w:t>Branchements électriques</w:t>
      </w:r>
    </w:p>
    <w:p w:rsidR="001146AB" w:rsidRPr="001146AB" w:rsidRDefault="00E04A6A" w:rsidP="00E04A6A">
      <w:pPr>
        <w:pStyle w:val="SingleTxt"/>
        <w:ind w:left="2218" w:hanging="951"/>
        <w:rPr>
          <w:lang w:val="fr-CH"/>
        </w:rPr>
      </w:pPr>
      <w:r>
        <w:rPr>
          <w:lang w:val="fr-CH"/>
        </w:rPr>
        <w:tab/>
      </w:r>
      <w:r>
        <w:rPr>
          <w:lang w:val="fr-CH"/>
        </w:rPr>
        <w:tab/>
      </w:r>
      <w:r w:rsidR="001146AB" w:rsidRPr="001146AB">
        <w:rPr>
          <w:lang w:val="fr-CH"/>
        </w:rPr>
        <w:t>Le signal doit être actionné par une commande distincte permettant l’alimentation simultanée de tous les indicateurs de direction. Il peut en outre se déclencher automatiquement lorsqu’un véhicule est impliqué dans une collision ou après la désactivation du signal de freinage d’urgence, comme il est spécifié au paragraphe 6.14 ci-dessous. Dans de tels cas, il peut être éteint manuellement.</w:t>
      </w:r>
      <w:r w:rsidR="001146AB" w:rsidRPr="001146AB">
        <w:rPr>
          <w:bCs/>
          <w:lang w:val="fr-CH"/>
        </w:rPr>
        <w:t> ».</w:t>
      </w:r>
    </w:p>
    <w:p w:rsidR="001146AB" w:rsidRPr="001146AB" w:rsidRDefault="001146AB" w:rsidP="001146AB">
      <w:pPr>
        <w:pStyle w:val="SingleTxt"/>
        <w:rPr>
          <w:lang w:val="fr-CH"/>
        </w:rPr>
      </w:pPr>
      <w:r w:rsidRPr="001146AB">
        <w:rPr>
          <w:i/>
          <w:lang w:val="fr-CH"/>
        </w:rPr>
        <w:t>Ajouter un nouveau paragraphe 6.14</w:t>
      </w:r>
      <w:r w:rsidRPr="001146AB">
        <w:rPr>
          <w:lang w:val="fr-CH"/>
        </w:rPr>
        <w:t>, libellé comme suit</w:t>
      </w:r>
      <w:r w:rsidR="00E04A6A">
        <w:rPr>
          <w:lang w:val="fr-CH"/>
        </w:rPr>
        <w:t> :</w:t>
      </w:r>
    </w:p>
    <w:p w:rsidR="001146AB" w:rsidRPr="001146AB" w:rsidRDefault="00E04A6A" w:rsidP="001146AB">
      <w:pPr>
        <w:pStyle w:val="SingleTxt"/>
        <w:rPr>
          <w:bCs/>
          <w:lang w:val="fr-CH"/>
        </w:rPr>
      </w:pPr>
      <w:r>
        <w:rPr>
          <w:lang w:val="fr-CH"/>
        </w:rPr>
        <w:t>« </w:t>
      </w:r>
      <w:r w:rsidR="001146AB" w:rsidRPr="001146AB">
        <w:rPr>
          <w:lang w:val="fr-CH"/>
        </w:rPr>
        <w:t>6.14</w:t>
      </w:r>
      <w:r w:rsidR="001146AB" w:rsidRPr="001146AB">
        <w:rPr>
          <w:bCs/>
          <w:lang w:val="fr-CH"/>
        </w:rPr>
        <w:tab/>
      </w:r>
      <w:r w:rsidR="001146AB" w:rsidRPr="001146AB">
        <w:rPr>
          <w:lang w:val="fr-CH"/>
        </w:rPr>
        <w:t>Signal de freinage d’urgence</w:t>
      </w:r>
    </w:p>
    <w:p w:rsidR="001146AB" w:rsidRPr="001146AB" w:rsidRDefault="001146AB" w:rsidP="001146AB">
      <w:pPr>
        <w:pStyle w:val="SingleTxt"/>
        <w:rPr>
          <w:bCs/>
          <w:lang w:val="fr-CH"/>
        </w:rPr>
      </w:pPr>
      <w:r w:rsidRPr="001146AB">
        <w:rPr>
          <w:lang w:val="fr-CH"/>
        </w:rPr>
        <w:t>6.14.1</w:t>
      </w:r>
      <w:r w:rsidRPr="001146AB">
        <w:rPr>
          <w:bCs/>
          <w:lang w:val="fr-CH"/>
        </w:rPr>
        <w:tab/>
      </w:r>
      <w:r w:rsidRPr="001146AB">
        <w:rPr>
          <w:lang w:val="fr-CH"/>
        </w:rPr>
        <w:t>Présence</w:t>
      </w:r>
    </w:p>
    <w:p w:rsidR="001146AB" w:rsidRPr="001146AB" w:rsidRDefault="00E04A6A" w:rsidP="001146AB">
      <w:pPr>
        <w:pStyle w:val="SingleTxt"/>
        <w:rPr>
          <w:bCs/>
          <w:lang w:val="fr-CH"/>
        </w:rPr>
      </w:pPr>
      <w:r>
        <w:rPr>
          <w:lang w:val="fr-CH"/>
        </w:rPr>
        <w:tab/>
      </w:r>
      <w:r>
        <w:rPr>
          <w:lang w:val="fr-CH"/>
        </w:rPr>
        <w:tab/>
      </w:r>
      <w:r w:rsidR="001146AB" w:rsidRPr="001146AB">
        <w:rPr>
          <w:lang w:val="fr-CH"/>
        </w:rPr>
        <w:t xml:space="preserve">Facultative. </w:t>
      </w:r>
    </w:p>
    <w:p w:rsidR="001146AB" w:rsidRPr="001146AB" w:rsidRDefault="00E04A6A" w:rsidP="00E04A6A">
      <w:pPr>
        <w:pStyle w:val="SingleTxt"/>
        <w:ind w:left="2218" w:hanging="951"/>
        <w:rPr>
          <w:lang w:val="fr-CH"/>
        </w:rPr>
      </w:pPr>
      <w:r>
        <w:rPr>
          <w:lang w:val="fr-CH"/>
        </w:rPr>
        <w:lastRenderedPageBreak/>
        <w:tab/>
      </w:r>
      <w:r>
        <w:rPr>
          <w:lang w:val="fr-CH"/>
        </w:rPr>
        <w:tab/>
      </w:r>
      <w:r w:rsidR="001146AB" w:rsidRPr="001146AB">
        <w:rPr>
          <w:lang w:val="fr-CH"/>
        </w:rPr>
        <w:t>Le signal de freinage d’urgence doit être obtenu par le fonctionnement simultané de tous les feux stop ou de tous les feux indicateurs de direction, comme il est décrit au paragraphe 6.14.7.</w:t>
      </w:r>
    </w:p>
    <w:p w:rsidR="001146AB" w:rsidRPr="001146AB" w:rsidRDefault="001146AB" w:rsidP="001146AB">
      <w:pPr>
        <w:pStyle w:val="SingleTxt"/>
        <w:rPr>
          <w:bCs/>
          <w:lang w:val="fr-CH"/>
        </w:rPr>
      </w:pPr>
      <w:r w:rsidRPr="001146AB">
        <w:rPr>
          <w:lang w:val="fr-CH"/>
        </w:rPr>
        <w:t>6.14.2</w:t>
      </w:r>
      <w:r w:rsidRPr="001146AB">
        <w:rPr>
          <w:bCs/>
          <w:lang w:val="fr-CH"/>
        </w:rPr>
        <w:tab/>
      </w:r>
      <w:r w:rsidRPr="001146AB">
        <w:rPr>
          <w:lang w:val="fr-CH"/>
        </w:rPr>
        <w:t>Nombre</w:t>
      </w:r>
    </w:p>
    <w:p w:rsidR="001146AB" w:rsidRPr="001146AB" w:rsidRDefault="00E04A6A" w:rsidP="001146AB">
      <w:pPr>
        <w:pStyle w:val="SingleTxt"/>
        <w:rPr>
          <w:lang w:val="fr-CH"/>
        </w:rPr>
      </w:pPr>
      <w:r>
        <w:rPr>
          <w:lang w:val="fr-CH"/>
        </w:rPr>
        <w:tab/>
      </w:r>
      <w:r>
        <w:rPr>
          <w:lang w:val="fr-CH"/>
        </w:rPr>
        <w:tab/>
      </w:r>
      <w:r w:rsidR="001146AB" w:rsidRPr="001146AB">
        <w:rPr>
          <w:lang w:val="fr-CH"/>
        </w:rPr>
        <w:t>Voir le paragraphe 6.3.1 ou 6.4.1.</w:t>
      </w:r>
    </w:p>
    <w:p w:rsidR="001146AB" w:rsidRPr="001146AB" w:rsidRDefault="001146AB" w:rsidP="001146AB">
      <w:pPr>
        <w:pStyle w:val="SingleTxt"/>
        <w:rPr>
          <w:bCs/>
          <w:lang w:val="fr-CH"/>
        </w:rPr>
      </w:pPr>
      <w:r w:rsidRPr="001146AB">
        <w:rPr>
          <w:lang w:val="fr-CH"/>
        </w:rPr>
        <w:t>6.14.3</w:t>
      </w:r>
      <w:r w:rsidRPr="001146AB">
        <w:rPr>
          <w:bCs/>
          <w:lang w:val="fr-CH"/>
        </w:rPr>
        <w:tab/>
      </w:r>
      <w:r w:rsidRPr="001146AB">
        <w:rPr>
          <w:lang w:val="fr-CH"/>
        </w:rPr>
        <w:t>Disposition</w:t>
      </w:r>
    </w:p>
    <w:p w:rsidR="001146AB" w:rsidRPr="001146AB" w:rsidRDefault="00E04A6A" w:rsidP="001146AB">
      <w:pPr>
        <w:pStyle w:val="SingleTxt"/>
        <w:rPr>
          <w:lang w:val="fr-CH"/>
        </w:rPr>
      </w:pPr>
      <w:r>
        <w:rPr>
          <w:lang w:val="fr-CH"/>
        </w:rPr>
        <w:tab/>
      </w:r>
      <w:r>
        <w:rPr>
          <w:lang w:val="fr-CH"/>
        </w:rPr>
        <w:tab/>
      </w:r>
      <w:r w:rsidR="001146AB" w:rsidRPr="001146AB">
        <w:rPr>
          <w:lang w:val="fr-CH"/>
        </w:rPr>
        <w:t xml:space="preserve">Voir le paragraphe 6.3.2 ou 6.4.2. </w:t>
      </w:r>
    </w:p>
    <w:p w:rsidR="001146AB" w:rsidRPr="001146AB" w:rsidRDefault="001146AB" w:rsidP="001146AB">
      <w:pPr>
        <w:pStyle w:val="SingleTxt"/>
        <w:rPr>
          <w:bCs/>
          <w:lang w:val="fr-CH"/>
        </w:rPr>
      </w:pPr>
      <w:r w:rsidRPr="001146AB">
        <w:rPr>
          <w:lang w:val="fr-CH"/>
        </w:rPr>
        <w:t>6.14.</w:t>
      </w:r>
      <w:r w:rsidRPr="001146AB">
        <w:rPr>
          <w:rFonts w:hint="eastAsia"/>
          <w:lang w:val="fr-CH"/>
        </w:rPr>
        <w:t>4</w:t>
      </w:r>
      <w:r w:rsidRPr="001146AB">
        <w:rPr>
          <w:bCs/>
          <w:lang w:val="fr-CH"/>
        </w:rPr>
        <w:tab/>
      </w:r>
      <w:r w:rsidRPr="001146AB">
        <w:rPr>
          <w:lang w:val="fr-CH"/>
        </w:rPr>
        <w:t>Emplacement</w:t>
      </w:r>
    </w:p>
    <w:p w:rsidR="001146AB" w:rsidRPr="001146AB" w:rsidRDefault="00E04A6A" w:rsidP="001146AB">
      <w:pPr>
        <w:pStyle w:val="SingleTxt"/>
        <w:rPr>
          <w:lang w:val="fr-CH"/>
        </w:rPr>
      </w:pPr>
      <w:r>
        <w:rPr>
          <w:lang w:val="fr-CH"/>
        </w:rPr>
        <w:tab/>
      </w:r>
      <w:r>
        <w:rPr>
          <w:lang w:val="fr-CH"/>
        </w:rPr>
        <w:tab/>
      </w:r>
      <w:r w:rsidR="001146AB" w:rsidRPr="001146AB">
        <w:rPr>
          <w:lang w:val="fr-CH"/>
        </w:rPr>
        <w:t xml:space="preserve">Voir le paragraphe 6.3.3 ou 6.4.3. </w:t>
      </w:r>
    </w:p>
    <w:p w:rsidR="001146AB" w:rsidRPr="001146AB" w:rsidRDefault="001146AB" w:rsidP="001146AB">
      <w:pPr>
        <w:pStyle w:val="SingleTxt"/>
        <w:rPr>
          <w:bCs/>
          <w:lang w:val="fr-CH"/>
        </w:rPr>
      </w:pPr>
      <w:r w:rsidRPr="001146AB">
        <w:rPr>
          <w:lang w:val="fr-CH"/>
        </w:rPr>
        <w:t>6.14.5</w:t>
      </w:r>
      <w:r w:rsidRPr="001146AB">
        <w:rPr>
          <w:bCs/>
          <w:lang w:val="fr-CH"/>
        </w:rPr>
        <w:tab/>
      </w:r>
      <w:r w:rsidRPr="001146AB">
        <w:rPr>
          <w:lang w:val="fr-CH"/>
        </w:rPr>
        <w:t>Visibilité géométrique</w:t>
      </w:r>
    </w:p>
    <w:p w:rsidR="001146AB" w:rsidRPr="001146AB" w:rsidRDefault="00E04A6A" w:rsidP="001146AB">
      <w:pPr>
        <w:pStyle w:val="SingleTxt"/>
        <w:rPr>
          <w:lang w:val="fr-CH"/>
        </w:rPr>
      </w:pPr>
      <w:r>
        <w:rPr>
          <w:lang w:val="fr-CH"/>
        </w:rPr>
        <w:tab/>
      </w:r>
      <w:r>
        <w:rPr>
          <w:lang w:val="fr-CH"/>
        </w:rPr>
        <w:tab/>
      </w:r>
      <w:r w:rsidR="001146AB" w:rsidRPr="001146AB">
        <w:rPr>
          <w:lang w:val="fr-CH"/>
        </w:rPr>
        <w:t xml:space="preserve">Voir le paragraphe 6.3.4 ou 6.4.4. </w:t>
      </w:r>
    </w:p>
    <w:p w:rsidR="001146AB" w:rsidRPr="001146AB" w:rsidRDefault="001146AB" w:rsidP="001146AB">
      <w:pPr>
        <w:pStyle w:val="SingleTxt"/>
        <w:rPr>
          <w:bCs/>
          <w:lang w:val="fr-CH"/>
        </w:rPr>
      </w:pPr>
      <w:r w:rsidRPr="001146AB">
        <w:rPr>
          <w:lang w:val="fr-CH"/>
        </w:rPr>
        <w:t>6.14.6</w:t>
      </w:r>
      <w:r w:rsidRPr="001146AB">
        <w:rPr>
          <w:bCs/>
          <w:lang w:val="fr-CH"/>
        </w:rPr>
        <w:tab/>
      </w:r>
      <w:r w:rsidRPr="001146AB">
        <w:rPr>
          <w:lang w:val="fr-CH"/>
        </w:rPr>
        <w:t>Orientation</w:t>
      </w:r>
    </w:p>
    <w:p w:rsidR="001146AB" w:rsidRPr="001146AB" w:rsidRDefault="00E04A6A" w:rsidP="001146AB">
      <w:pPr>
        <w:pStyle w:val="SingleTxt"/>
        <w:rPr>
          <w:lang w:val="fr-CH"/>
        </w:rPr>
      </w:pPr>
      <w:r>
        <w:rPr>
          <w:lang w:val="fr-CH"/>
        </w:rPr>
        <w:tab/>
      </w:r>
      <w:r>
        <w:rPr>
          <w:lang w:val="fr-CH"/>
        </w:rPr>
        <w:tab/>
      </w:r>
      <w:r w:rsidR="001146AB" w:rsidRPr="001146AB">
        <w:rPr>
          <w:lang w:val="fr-CH"/>
        </w:rPr>
        <w:t xml:space="preserve">Voir le paragraphe 6.3.5 ou 6.4.5. </w:t>
      </w:r>
    </w:p>
    <w:p w:rsidR="001146AB" w:rsidRPr="001146AB" w:rsidRDefault="001146AB" w:rsidP="001146AB">
      <w:pPr>
        <w:pStyle w:val="SingleTxt"/>
        <w:rPr>
          <w:bCs/>
          <w:lang w:val="fr-CH"/>
        </w:rPr>
      </w:pPr>
      <w:r w:rsidRPr="001146AB">
        <w:rPr>
          <w:lang w:val="fr-CH"/>
        </w:rPr>
        <w:t>6.14.7</w:t>
      </w:r>
      <w:r w:rsidRPr="001146AB">
        <w:rPr>
          <w:bCs/>
          <w:lang w:val="fr-CH"/>
        </w:rPr>
        <w:tab/>
      </w:r>
      <w:r w:rsidRPr="001146AB">
        <w:rPr>
          <w:lang w:val="fr-CH"/>
        </w:rPr>
        <w:t>Branchements électriques</w:t>
      </w:r>
    </w:p>
    <w:p w:rsidR="001146AB" w:rsidRPr="001146AB" w:rsidRDefault="001146AB" w:rsidP="00E04A6A">
      <w:pPr>
        <w:pStyle w:val="SingleTxt"/>
        <w:ind w:left="2218" w:hanging="951"/>
        <w:rPr>
          <w:bCs/>
          <w:lang w:val="fr-CH"/>
        </w:rPr>
      </w:pPr>
      <w:r w:rsidRPr="001146AB">
        <w:rPr>
          <w:lang w:val="fr-CH"/>
        </w:rPr>
        <w:t>6.14.7.1</w:t>
      </w:r>
      <w:r w:rsidRPr="001146AB">
        <w:rPr>
          <w:bCs/>
          <w:lang w:val="fr-CH"/>
        </w:rPr>
        <w:tab/>
      </w:r>
      <w:r w:rsidRPr="001146AB">
        <w:rPr>
          <w:lang w:val="fr-CH"/>
        </w:rPr>
        <w:t>Tous les feux servant à signaler un freinage d’urgence doivent clignoter de façon synchrone à une fréquence de 4,0 ± 1,0 Hz.</w:t>
      </w:r>
    </w:p>
    <w:p w:rsidR="001146AB" w:rsidRPr="001146AB" w:rsidRDefault="001146AB" w:rsidP="00E04A6A">
      <w:pPr>
        <w:pStyle w:val="SingleTxt"/>
        <w:ind w:left="2218" w:hanging="951"/>
        <w:rPr>
          <w:lang w:val="fr-CH"/>
        </w:rPr>
      </w:pPr>
      <w:r w:rsidRPr="001146AB">
        <w:rPr>
          <w:lang w:val="fr-CH"/>
        </w:rPr>
        <w:t>6.14.7.1.1</w:t>
      </w:r>
      <w:r w:rsidRPr="001146AB">
        <w:rPr>
          <w:lang w:val="fr-CH"/>
        </w:rPr>
        <w:tab/>
        <w:t>Toutefois, si l’un quelconque de ces feux émettant vers l’arrière du véhicule utilise des sources lumineuses à incandescence, c</w:t>
      </w:r>
      <w:r w:rsidR="00E04A6A">
        <w:rPr>
          <w:lang w:val="fr-CH"/>
        </w:rPr>
        <w:t>ette fréquence est de 4,0 +0,0/-</w:t>
      </w:r>
      <w:r w:rsidRPr="001146AB">
        <w:rPr>
          <w:lang w:val="fr-CH"/>
        </w:rPr>
        <w:t>1,0 Hz.</w:t>
      </w:r>
    </w:p>
    <w:p w:rsidR="001146AB" w:rsidRPr="001146AB" w:rsidRDefault="001146AB" w:rsidP="00E04A6A">
      <w:pPr>
        <w:pStyle w:val="SingleTxt"/>
        <w:ind w:left="2218" w:hanging="951"/>
        <w:rPr>
          <w:lang w:val="fr-CH"/>
        </w:rPr>
      </w:pPr>
      <w:r w:rsidRPr="001146AB">
        <w:rPr>
          <w:lang w:val="fr-CH"/>
        </w:rPr>
        <w:t>6.14.7.2</w:t>
      </w:r>
      <w:r w:rsidRPr="001146AB">
        <w:rPr>
          <w:lang w:val="fr-CH"/>
        </w:rPr>
        <w:tab/>
        <w:t>Le signal de freinage d’urgence doit fonctionner indépendamment des autres feux.</w:t>
      </w:r>
    </w:p>
    <w:p w:rsidR="001146AB" w:rsidRPr="001146AB" w:rsidRDefault="001146AB" w:rsidP="00E04A6A">
      <w:pPr>
        <w:pStyle w:val="SingleTxt"/>
        <w:ind w:left="2218" w:hanging="951"/>
        <w:rPr>
          <w:lang w:val="fr-CH"/>
        </w:rPr>
      </w:pPr>
      <w:r w:rsidRPr="001146AB">
        <w:rPr>
          <w:lang w:val="fr-CH"/>
        </w:rPr>
        <w:t>6.14.7.3</w:t>
      </w:r>
      <w:r w:rsidRPr="001146AB">
        <w:rPr>
          <w:lang w:val="fr-CH"/>
        </w:rPr>
        <w:tab/>
        <w:t>Le signal de freinage d’urgence doit s’allumer et s’éteindre automatiquement.</w:t>
      </w:r>
    </w:p>
    <w:p w:rsidR="001146AB" w:rsidRPr="001146AB" w:rsidRDefault="001146AB" w:rsidP="00E04A6A">
      <w:pPr>
        <w:pStyle w:val="SingleTxt"/>
        <w:ind w:left="2218" w:hanging="951"/>
        <w:rPr>
          <w:lang w:val="fr-CH"/>
        </w:rPr>
      </w:pPr>
      <w:r w:rsidRPr="001146AB">
        <w:rPr>
          <w:lang w:val="fr-CH"/>
        </w:rPr>
        <w:t>6.14.7.3.1</w:t>
      </w:r>
      <w:r w:rsidRPr="001146AB">
        <w:rPr>
          <w:lang w:val="fr-CH"/>
        </w:rPr>
        <w:tab/>
        <w:t>Le signal de freinage d’urgence ne doit être activé que si la vitesse du véhicule est supérieure à 50</w:t>
      </w:r>
      <w:r w:rsidR="00E04A6A">
        <w:rPr>
          <w:lang w:val="fr-CH"/>
        </w:rPr>
        <w:t> </w:t>
      </w:r>
      <w:r w:rsidRPr="001146AB">
        <w:rPr>
          <w:lang w:val="fr-CH"/>
        </w:rPr>
        <w:t>km/h et que le système de freinage fournit le signal logique de freinage d’urgence défini dans le Règlement n</w:t>
      </w:r>
      <w:r w:rsidRPr="001146AB">
        <w:rPr>
          <w:vertAlign w:val="superscript"/>
          <w:lang w:val="fr-CH"/>
        </w:rPr>
        <w:t>o </w:t>
      </w:r>
      <w:r w:rsidRPr="001146AB">
        <w:rPr>
          <w:lang w:val="fr-CH"/>
        </w:rPr>
        <w:t>78.</w:t>
      </w:r>
    </w:p>
    <w:p w:rsidR="001146AB" w:rsidRPr="001146AB" w:rsidRDefault="001146AB" w:rsidP="00E04A6A">
      <w:pPr>
        <w:pStyle w:val="SingleTxt"/>
        <w:ind w:left="2218" w:hanging="951"/>
        <w:rPr>
          <w:lang w:val="fr-CH"/>
        </w:rPr>
      </w:pPr>
      <w:r w:rsidRPr="001146AB">
        <w:rPr>
          <w:lang w:val="fr-CH"/>
        </w:rPr>
        <w:t>6.14.7.3.2</w:t>
      </w:r>
      <w:r w:rsidRPr="001146AB">
        <w:rPr>
          <w:lang w:val="fr-CH"/>
        </w:rPr>
        <w:tab/>
        <w:t>Le signal de freinage d’urgence est automatiquement désactivé si le signal logique de freinage d’urgence défini dans le Règlement n</w:t>
      </w:r>
      <w:r w:rsidRPr="001146AB">
        <w:rPr>
          <w:vertAlign w:val="superscript"/>
          <w:lang w:val="fr-CH"/>
        </w:rPr>
        <w:t>o </w:t>
      </w:r>
      <w:r w:rsidRPr="001146AB">
        <w:rPr>
          <w:lang w:val="fr-CH"/>
        </w:rPr>
        <w:t>78 cesse ou si le signal de détresse est activé.</w:t>
      </w:r>
    </w:p>
    <w:p w:rsidR="001146AB" w:rsidRPr="001146AB" w:rsidRDefault="001146AB" w:rsidP="001146AB">
      <w:pPr>
        <w:pStyle w:val="SingleTxt"/>
        <w:rPr>
          <w:bCs/>
          <w:lang w:val="fr-CH"/>
        </w:rPr>
      </w:pPr>
      <w:r w:rsidRPr="001146AB">
        <w:rPr>
          <w:lang w:val="fr-CH"/>
        </w:rPr>
        <w:t>6.14.8</w:t>
      </w:r>
      <w:r w:rsidRPr="001146AB">
        <w:rPr>
          <w:lang w:val="fr-CH"/>
        </w:rPr>
        <w:tab/>
        <w:t>Témoin</w:t>
      </w:r>
    </w:p>
    <w:p w:rsidR="001146AB" w:rsidRPr="001146AB" w:rsidRDefault="00E04A6A" w:rsidP="001146AB">
      <w:pPr>
        <w:pStyle w:val="SingleTxt"/>
        <w:rPr>
          <w:lang w:val="fr-CH"/>
        </w:rPr>
      </w:pPr>
      <w:r>
        <w:rPr>
          <w:lang w:val="fr-CH"/>
        </w:rPr>
        <w:tab/>
      </w:r>
      <w:r>
        <w:rPr>
          <w:lang w:val="fr-CH"/>
        </w:rPr>
        <w:tab/>
      </w:r>
      <w:r w:rsidR="001146AB" w:rsidRPr="001146AB">
        <w:rPr>
          <w:lang w:val="fr-CH"/>
        </w:rPr>
        <w:t>Facultatif</w:t>
      </w:r>
      <w:r w:rsidR="001146AB" w:rsidRPr="001146AB">
        <w:rPr>
          <w:rFonts w:hint="eastAsia"/>
          <w:lang w:val="fr-CH"/>
        </w:rPr>
        <w:t>.</w:t>
      </w:r>
    </w:p>
    <w:p w:rsidR="001146AB" w:rsidRPr="001146AB" w:rsidRDefault="001146AB" w:rsidP="001146AB">
      <w:pPr>
        <w:pStyle w:val="SingleTxt"/>
        <w:rPr>
          <w:bCs/>
          <w:lang w:val="fr-CH"/>
        </w:rPr>
      </w:pPr>
      <w:r w:rsidRPr="001146AB">
        <w:rPr>
          <w:lang w:val="fr-CH"/>
        </w:rPr>
        <w:t>6.14.</w:t>
      </w:r>
      <w:r w:rsidRPr="001146AB">
        <w:rPr>
          <w:rFonts w:hint="eastAsia"/>
          <w:lang w:val="fr-CH"/>
        </w:rPr>
        <w:t>9</w:t>
      </w:r>
      <w:r w:rsidRPr="001146AB">
        <w:rPr>
          <w:lang w:val="fr-CH"/>
        </w:rPr>
        <w:tab/>
        <w:t>Autres prescriptions</w:t>
      </w:r>
    </w:p>
    <w:p w:rsidR="001146AB" w:rsidRPr="001146AB" w:rsidRDefault="00E04A6A" w:rsidP="001146AB">
      <w:pPr>
        <w:pStyle w:val="SingleTxt"/>
        <w:rPr>
          <w:lang w:val="fr-CH"/>
        </w:rPr>
      </w:pPr>
      <w:r>
        <w:rPr>
          <w:lang w:val="fr-CH"/>
        </w:rPr>
        <w:tab/>
      </w:r>
      <w:r>
        <w:rPr>
          <w:lang w:val="fr-CH"/>
        </w:rPr>
        <w:tab/>
      </w:r>
      <w:r w:rsidR="001146AB" w:rsidRPr="001146AB">
        <w:rPr>
          <w:lang w:val="fr-CH"/>
        </w:rPr>
        <w:t>Aucune</w:t>
      </w:r>
      <w:r w:rsidR="001146AB" w:rsidRPr="001146AB">
        <w:rPr>
          <w:rFonts w:hint="eastAsia"/>
          <w:lang w:val="fr-CH"/>
        </w:rPr>
        <w:t>.</w:t>
      </w:r>
      <w:r w:rsidR="001146AB" w:rsidRPr="001146AB">
        <w:rPr>
          <w:bCs/>
          <w:lang w:val="fr-CH"/>
        </w:rPr>
        <w:t> ».</w:t>
      </w:r>
    </w:p>
    <w:p w:rsidR="001146AB" w:rsidRPr="001146AB" w:rsidRDefault="001146AB" w:rsidP="001146AB">
      <w:pPr>
        <w:pStyle w:val="SingleTxt"/>
        <w:rPr>
          <w:lang w:val="fr-CH"/>
        </w:rPr>
      </w:pPr>
      <w:r w:rsidRPr="001146AB">
        <w:rPr>
          <w:i/>
          <w:lang w:val="fr-CH"/>
        </w:rPr>
        <w:t>Annexe 1, ajouter un nouveau point 9.21</w:t>
      </w:r>
      <w:r w:rsidRPr="001146AB">
        <w:rPr>
          <w:lang w:val="fr-CH"/>
        </w:rPr>
        <w:t>,</w:t>
      </w:r>
      <w:r w:rsidRPr="001146AB">
        <w:rPr>
          <w:i/>
          <w:lang w:val="fr-CH"/>
        </w:rPr>
        <w:t xml:space="preserve"> </w:t>
      </w:r>
      <w:r w:rsidRPr="001146AB">
        <w:rPr>
          <w:lang w:val="fr-CH"/>
        </w:rPr>
        <w:t>libellé comme suit</w:t>
      </w:r>
      <w:r w:rsidR="00E04A6A">
        <w:rPr>
          <w:lang w:val="fr-CH"/>
        </w:rPr>
        <w:t> :</w:t>
      </w:r>
    </w:p>
    <w:p w:rsidR="001146AB" w:rsidRPr="001146AB" w:rsidRDefault="00E04A6A" w:rsidP="001146AB">
      <w:pPr>
        <w:pStyle w:val="SingleTxt"/>
        <w:rPr>
          <w:lang w:val="fr-CH"/>
        </w:rPr>
      </w:pPr>
      <w:r>
        <w:rPr>
          <w:lang w:val="fr-CH"/>
        </w:rPr>
        <w:t>« </w:t>
      </w:r>
      <w:r w:rsidR="001146AB" w:rsidRPr="001146AB">
        <w:rPr>
          <w:lang w:val="fr-CH"/>
        </w:rPr>
        <w:t>9.21</w:t>
      </w:r>
      <w:r w:rsidR="001146AB" w:rsidRPr="001146AB">
        <w:rPr>
          <w:rFonts w:hint="eastAsia"/>
          <w:lang w:val="fr-CH"/>
        </w:rPr>
        <w:tab/>
      </w:r>
      <w:r w:rsidR="001146AB" w:rsidRPr="001146AB">
        <w:rPr>
          <w:lang w:val="fr-CH"/>
        </w:rPr>
        <w:t>Signal de freinage d’urgence</w:t>
      </w:r>
      <w:r>
        <w:rPr>
          <w:rFonts w:hint="eastAsia"/>
          <w:lang w:val="fr-CH"/>
        </w:rPr>
        <w:t> :</w:t>
      </w:r>
      <w:r w:rsidR="001146AB" w:rsidRPr="001146AB">
        <w:rPr>
          <w:rFonts w:hint="eastAsia"/>
          <w:lang w:val="fr-CH"/>
        </w:rPr>
        <w:t xml:space="preserve"> </w:t>
      </w:r>
      <w:r w:rsidR="001146AB" w:rsidRPr="001146AB">
        <w:rPr>
          <w:lang w:val="fr-CH"/>
        </w:rPr>
        <w:t>oui/non</w:t>
      </w:r>
      <w:r w:rsidR="001146AB" w:rsidRPr="001146AB">
        <w:rPr>
          <w:vertAlign w:val="superscript"/>
          <w:lang w:val="fr-CH"/>
        </w:rPr>
        <w:t>2</w:t>
      </w:r>
      <w:r w:rsidR="001146AB" w:rsidRPr="001146AB">
        <w:rPr>
          <w:bCs/>
          <w:lang w:val="fr-CH"/>
        </w:rPr>
        <w:t> ».</w:t>
      </w:r>
    </w:p>
    <w:p w:rsidR="00085B51" w:rsidRPr="001146AB" w:rsidRDefault="001146AB" w:rsidP="001146A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85B51" w:rsidRPr="001146AB" w:rsidSect="00085B51">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C0" w:rsidRDefault="000F7CC0" w:rsidP="00F3330B">
      <w:pPr>
        <w:spacing w:line="240" w:lineRule="auto"/>
      </w:pPr>
      <w:r>
        <w:separator/>
      </w:r>
    </w:p>
  </w:endnote>
  <w:endnote w:type="continuationSeparator" w:id="0">
    <w:p w:rsidR="000F7CC0" w:rsidRDefault="000F7CC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85B51" w:rsidTr="00085B51">
      <w:trPr>
        <w:jc w:val="center"/>
      </w:trPr>
      <w:tc>
        <w:tcPr>
          <w:tcW w:w="5126" w:type="dxa"/>
          <w:shd w:val="clear" w:color="auto" w:fill="auto"/>
        </w:tcPr>
        <w:p w:rsidR="00085B51" w:rsidRPr="00085B51" w:rsidRDefault="00085B51" w:rsidP="00085B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65DB3">
            <w:rPr>
              <w:b w:val="0"/>
              <w:w w:val="103"/>
              <w:sz w:val="14"/>
            </w:rPr>
            <w:t>GE.15-22701</w:t>
          </w:r>
          <w:r>
            <w:rPr>
              <w:b w:val="0"/>
              <w:w w:val="103"/>
              <w:sz w:val="14"/>
            </w:rPr>
            <w:fldChar w:fldCharType="end"/>
          </w:r>
        </w:p>
      </w:tc>
      <w:tc>
        <w:tcPr>
          <w:tcW w:w="5127" w:type="dxa"/>
          <w:shd w:val="clear" w:color="auto" w:fill="auto"/>
        </w:tcPr>
        <w:p w:rsidR="00085B51" w:rsidRPr="00085B51" w:rsidRDefault="00085B51" w:rsidP="00085B51">
          <w:pPr>
            <w:pStyle w:val="Footer"/>
            <w:rPr>
              <w:w w:val="103"/>
            </w:rPr>
          </w:pPr>
          <w:r>
            <w:rPr>
              <w:w w:val="103"/>
            </w:rPr>
            <w:fldChar w:fldCharType="begin"/>
          </w:r>
          <w:r>
            <w:rPr>
              <w:w w:val="103"/>
            </w:rPr>
            <w:instrText xml:space="preserve"> PAGE  \* Arabic  \* MERGEFORMAT </w:instrText>
          </w:r>
          <w:r>
            <w:rPr>
              <w:w w:val="103"/>
            </w:rPr>
            <w:fldChar w:fldCharType="separate"/>
          </w:r>
          <w:r w:rsidR="0013361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361A">
            <w:rPr>
              <w:noProof/>
              <w:w w:val="103"/>
            </w:rPr>
            <w:t>2</w:t>
          </w:r>
          <w:r>
            <w:rPr>
              <w:w w:val="103"/>
            </w:rPr>
            <w:fldChar w:fldCharType="end"/>
          </w:r>
        </w:p>
      </w:tc>
    </w:tr>
  </w:tbl>
  <w:p w:rsidR="00085B51" w:rsidRPr="00085B51" w:rsidRDefault="00085B51" w:rsidP="00085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85B51" w:rsidTr="00085B51">
      <w:trPr>
        <w:jc w:val="center"/>
      </w:trPr>
      <w:tc>
        <w:tcPr>
          <w:tcW w:w="5126" w:type="dxa"/>
          <w:shd w:val="clear" w:color="auto" w:fill="auto"/>
        </w:tcPr>
        <w:p w:rsidR="00085B51" w:rsidRPr="00085B51" w:rsidRDefault="00085B51" w:rsidP="00085B5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3361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361A">
            <w:rPr>
              <w:noProof/>
              <w:w w:val="103"/>
            </w:rPr>
            <w:t>3</w:t>
          </w:r>
          <w:r>
            <w:rPr>
              <w:w w:val="103"/>
            </w:rPr>
            <w:fldChar w:fldCharType="end"/>
          </w:r>
        </w:p>
      </w:tc>
      <w:tc>
        <w:tcPr>
          <w:tcW w:w="5127" w:type="dxa"/>
          <w:shd w:val="clear" w:color="auto" w:fill="auto"/>
        </w:tcPr>
        <w:p w:rsidR="00085B51" w:rsidRPr="00085B51" w:rsidRDefault="00085B51" w:rsidP="00085B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65DB3">
            <w:rPr>
              <w:b w:val="0"/>
              <w:w w:val="103"/>
              <w:sz w:val="14"/>
            </w:rPr>
            <w:t>GE.15-22701</w:t>
          </w:r>
          <w:r>
            <w:rPr>
              <w:b w:val="0"/>
              <w:w w:val="103"/>
              <w:sz w:val="14"/>
            </w:rPr>
            <w:fldChar w:fldCharType="end"/>
          </w:r>
        </w:p>
      </w:tc>
    </w:tr>
  </w:tbl>
  <w:p w:rsidR="00085B51" w:rsidRPr="00085B51" w:rsidRDefault="00085B51" w:rsidP="00085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51" w:rsidRDefault="00085B51">
    <w:pPr>
      <w:pStyle w:val="Footer"/>
    </w:pPr>
    <w:r>
      <w:rPr>
        <w:noProof/>
        <w:lang w:val="en-GB" w:eastAsia="en-GB"/>
      </w:rPr>
      <w:drawing>
        <wp:anchor distT="0" distB="0" distL="114300" distR="114300" simplePos="0" relativeHeight="251658240" behindDoc="0" locked="0" layoutInCell="1" allowOverlap="1" wp14:anchorId="1FFB4297" wp14:editId="05364DA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2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2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85B51" w:rsidTr="00085B51">
      <w:tc>
        <w:tcPr>
          <w:tcW w:w="3859" w:type="dxa"/>
        </w:tcPr>
        <w:p w:rsidR="00085B51" w:rsidRDefault="00085B51" w:rsidP="00085B5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65DB3">
            <w:rPr>
              <w:b w:val="0"/>
              <w:sz w:val="20"/>
            </w:rPr>
            <w:t>GE.15-22701 (F)</w:t>
          </w:r>
          <w:r>
            <w:rPr>
              <w:b w:val="0"/>
              <w:sz w:val="20"/>
            </w:rPr>
            <w:fldChar w:fldCharType="end"/>
          </w:r>
          <w:r>
            <w:rPr>
              <w:b w:val="0"/>
              <w:sz w:val="20"/>
            </w:rPr>
            <w:t xml:space="preserve">    </w:t>
          </w:r>
          <w:r w:rsidR="00856BA0">
            <w:rPr>
              <w:b w:val="0"/>
              <w:sz w:val="20"/>
            </w:rPr>
            <w:t>03</w:t>
          </w:r>
          <w:r>
            <w:rPr>
              <w:b w:val="0"/>
              <w:sz w:val="20"/>
            </w:rPr>
            <w:t>0216    100216</w:t>
          </w:r>
        </w:p>
        <w:p w:rsidR="00085B51" w:rsidRPr="00085B51" w:rsidRDefault="00085B51" w:rsidP="00085B5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65DB3">
            <w:rPr>
              <w:rFonts w:ascii="Barcode 3 of 9 by request" w:hAnsi="Barcode 3 of 9 by request"/>
              <w:b w:val="0"/>
              <w:spacing w:val="0"/>
              <w:w w:val="100"/>
              <w:sz w:val="24"/>
            </w:rPr>
            <w:t>*1522701*</w:t>
          </w:r>
          <w:r>
            <w:rPr>
              <w:rFonts w:ascii="Barcode 3 of 9 by request" w:hAnsi="Barcode 3 of 9 by request"/>
              <w:b w:val="0"/>
              <w:spacing w:val="0"/>
              <w:w w:val="100"/>
              <w:sz w:val="24"/>
            </w:rPr>
            <w:fldChar w:fldCharType="end"/>
          </w:r>
        </w:p>
      </w:tc>
      <w:tc>
        <w:tcPr>
          <w:tcW w:w="5127" w:type="dxa"/>
        </w:tcPr>
        <w:p w:rsidR="00085B51" w:rsidRDefault="00085B51" w:rsidP="00085B51">
          <w:pPr>
            <w:pStyle w:val="Footer"/>
            <w:spacing w:line="240" w:lineRule="atLeast"/>
            <w:jc w:val="right"/>
            <w:rPr>
              <w:b w:val="0"/>
              <w:sz w:val="20"/>
            </w:rPr>
          </w:pPr>
          <w:r>
            <w:rPr>
              <w:b w:val="0"/>
              <w:noProof/>
              <w:sz w:val="20"/>
              <w:lang w:val="en-GB" w:eastAsia="en-GB"/>
            </w:rPr>
            <w:drawing>
              <wp:inline distT="0" distB="0" distL="0" distR="0" wp14:anchorId="0F4E05B8" wp14:editId="3F3E159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85B51" w:rsidRPr="00085B51" w:rsidRDefault="00085B51" w:rsidP="00085B5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C0" w:rsidRPr="003E47D8" w:rsidRDefault="000F7CC0" w:rsidP="003E47D8">
      <w:pPr>
        <w:pStyle w:val="Footer"/>
        <w:spacing w:after="80"/>
        <w:rPr>
          <w:sz w:val="16"/>
        </w:rPr>
      </w:pPr>
      <w:r w:rsidRPr="003E47D8">
        <w:rPr>
          <w:sz w:val="16"/>
        </w:rPr>
        <w:t>__________________</w:t>
      </w:r>
    </w:p>
  </w:footnote>
  <w:footnote w:type="continuationSeparator" w:id="0">
    <w:p w:rsidR="000F7CC0" w:rsidRPr="003E47D8" w:rsidRDefault="000F7CC0"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85B51" w:rsidTr="00085B51">
      <w:trPr>
        <w:trHeight w:hRule="exact" w:val="864"/>
        <w:jc w:val="center"/>
      </w:trPr>
      <w:tc>
        <w:tcPr>
          <w:tcW w:w="4882" w:type="dxa"/>
          <w:shd w:val="clear" w:color="auto" w:fill="auto"/>
          <w:vAlign w:val="bottom"/>
        </w:tcPr>
        <w:p w:rsidR="00085B51" w:rsidRPr="00085B51" w:rsidRDefault="00085B51" w:rsidP="00085B5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65DB3">
            <w:rPr>
              <w:b/>
              <w:color w:val="000000"/>
            </w:rPr>
            <w:t>ECE/TRANS/WP.29/2016/22</w:t>
          </w:r>
          <w:r>
            <w:rPr>
              <w:b/>
              <w:color w:val="000000"/>
            </w:rPr>
            <w:fldChar w:fldCharType="end"/>
          </w:r>
        </w:p>
      </w:tc>
      <w:tc>
        <w:tcPr>
          <w:tcW w:w="5127" w:type="dxa"/>
          <w:shd w:val="clear" w:color="auto" w:fill="auto"/>
          <w:vAlign w:val="bottom"/>
        </w:tcPr>
        <w:p w:rsidR="00085B51" w:rsidRDefault="00085B51" w:rsidP="00085B51">
          <w:pPr>
            <w:pStyle w:val="Header"/>
          </w:pPr>
        </w:p>
      </w:tc>
    </w:tr>
  </w:tbl>
  <w:p w:rsidR="00085B51" w:rsidRPr="00085B51" w:rsidRDefault="00085B51" w:rsidP="00085B5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85B51" w:rsidTr="00085B51">
      <w:trPr>
        <w:trHeight w:hRule="exact" w:val="864"/>
        <w:jc w:val="center"/>
      </w:trPr>
      <w:tc>
        <w:tcPr>
          <w:tcW w:w="4882" w:type="dxa"/>
          <w:shd w:val="clear" w:color="auto" w:fill="auto"/>
          <w:vAlign w:val="bottom"/>
        </w:tcPr>
        <w:p w:rsidR="00085B51" w:rsidRDefault="00085B51" w:rsidP="00085B51">
          <w:pPr>
            <w:pStyle w:val="Header"/>
          </w:pPr>
        </w:p>
      </w:tc>
      <w:tc>
        <w:tcPr>
          <w:tcW w:w="5127" w:type="dxa"/>
          <w:shd w:val="clear" w:color="auto" w:fill="auto"/>
          <w:vAlign w:val="bottom"/>
        </w:tcPr>
        <w:p w:rsidR="00085B51" w:rsidRPr="00085B51" w:rsidRDefault="00085B51" w:rsidP="00085B5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65DB3">
            <w:rPr>
              <w:b/>
              <w:color w:val="000000"/>
            </w:rPr>
            <w:t>ECE/TRANS/WP.29/2016/22</w:t>
          </w:r>
          <w:r>
            <w:rPr>
              <w:b/>
              <w:color w:val="000000"/>
            </w:rPr>
            <w:fldChar w:fldCharType="end"/>
          </w:r>
        </w:p>
      </w:tc>
    </w:tr>
  </w:tbl>
  <w:p w:rsidR="00085B51" w:rsidRPr="00085B51" w:rsidRDefault="00085B51" w:rsidP="00085B5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85B51" w:rsidTr="00085B51">
      <w:trPr>
        <w:trHeight w:hRule="exact" w:val="864"/>
      </w:trPr>
      <w:tc>
        <w:tcPr>
          <w:tcW w:w="1267" w:type="dxa"/>
          <w:tcBorders>
            <w:bottom w:val="single" w:sz="4" w:space="0" w:color="auto"/>
          </w:tcBorders>
          <w:shd w:val="clear" w:color="auto" w:fill="auto"/>
          <w:vAlign w:val="bottom"/>
        </w:tcPr>
        <w:p w:rsidR="00085B51" w:rsidRDefault="00085B51" w:rsidP="00085B51">
          <w:pPr>
            <w:pStyle w:val="Header"/>
            <w:spacing w:after="120"/>
          </w:pPr>
        </w:p>
      </w:tc>
      <w:tc>
        <w:tcPr>
          <w:tcW w:w="2059" w:type="dxa"/>
          <w:tcBorders>
            <w:bottom w:val="single" w:sz="4" w:space="0" w:color="auto"/>
          </w:tcBorders>
          <w:shd w:val="clear" w:color="auto" w:fill="auto"/>
          <w:vAlign w:val="bottom"/>
        </w:tcPr>
        <w:p w:rsidR="00085B51" w:rsidRPr="00085B51" w:rsidRDefault="00085B51" w:rsidP="00085B5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85B51" w:rsidRDefault="00085B51" w:rsidP="00085B51">
          <w:pPr>
            <w:pStyle w:val="Header"/>
            <w:spacing w:after="120"/>
          </w:pPr>
        </w:p>
      </w:tc>
      <w:tc>
        <w:tcPr>
          <w:tcW w:w="6653" w:type="dxa"/>
          <w:gridSpan w:val="4"/>
          <w:tcBorders>
            <w:bottom w:val="single" w:sz="4" w:space="0" w:color="auto"/>
          </w:tcBorders>
          <w:shd w:val="clear" w:color="auto" w:fill="auto"/>
          <w:vAlign w:val="bottom"/>
        </w:tcPr>
        <w:p w:rsidR="00085B51" w:rsidRPr="00085B51" w:rsidRDefault="00085B51" w:rsidP="00085B51">
          <w:pPr>
            <w:spacing w:after="80" w:line="240" w:lineRule="auto"/>
            <w:jc w:val="right"/>
            <w:rPr>
              <w:position w:val="-4"/>
            </w:rPr>
          </w:pPr>
          <w:r>
            <w:rPr>
              <w:position w:val="-4"/>
              <w:sz w:val="40"/>
            </w:rPr>
            <w:t>ECE</w:t>
          </w:r>
          <w:r>
            <w:rPr>
              <w:position w:val="-4"/>
            </w:rPr>
            <w:t>/TRANS/WP.29/2016/22</w:t>
          </w:r>
        </w:p>
      </w:tc>
    </w:tr>
    <w:tr w:rsidR="00085B51" w:rsidRPr="00085B51" w:rsidTr="00085B51">
      <w:trPr>
        <w:gridAfter w:val="1"/>
        <w:wAfter w:w="18" w:type="dxa"/>
        <w:trHeight w:hRule="exact" w:val="2880"/>
      </w:trPr>
      <w:tc>
        <w:tcPr>
          <w:tcW w:w="1267" w:type="dxa"/>
          <w:tcBorders>
            <w:top w:val="single" w:sz="4" w:space="0" w:color="auto"/>
            <w:bottom w:val="single" w:sz="12" w:space="0" w:color="auto"/>
          </w:tcBorders>
          <w:shd w:val="clear" w:color="auto" w:fill="auto"/>
        </w:tcPr>
        <w:p w:rsidR="00085B51" w:rsidRPr="00085B51" w:rsidRDefault="00085B51" w:rsidP="00085B51">
          <w:pPr>
            <w:pStyle w:val="Header"/>
            <w:spacing w:before="120" w:line="240" w:lineRule="auto"/>
            <w:ind w:left="-72"/>
            <w:jc w:val="center"/>
          </w:pPr>
          <w:r>
            <w:t xml:space="preserve">  </w:t>
          </w:r>
          <w:r>
            <w:rPr>
              <w:noProof/>
              <w:lang w:val="en-GB" w:eastAsia="en-GB"/>
            </w:rPr>
            <w:drawing>
              <wp:inline distT="0" distB="0" distL="0" distR="0" wp14:anchorId="13125875" wp14:editId="41D83F2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85B51" w:rsidRPr="00085B51" w:rsidRDefault="00085B51" w:rsidP="00085B5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85B51" w:rsidRPr="00085B51" w:rsidRDefault="00085B51" w:rsidP="00085B51">
          <w:pPr>
            <w:pStyle w:val="Header"/>
            <w:spacing w:before="109"/>
          </w:pPr>
        </w:p>
      </w:tc>
      <w:tc>
        <w:tcPr>
          <w:tcW w:w="3280" w:type="dxa"/>
          <w:tcBorders>
            <w:top w:val="single" w:sz="4" w:space="0" w:color="auto"/>
            <w:bottom w:val="single" w:sz="12" w:space="0" w:color="auto"/>
          </w:tcBorders>
          <w:shd w:val="clear" w:color="auto" w:fill="auto"/>
        </w:tcPr>
        <w:p w:rsidR="00085B51" w:rsidRDefault="00085B51" w:rsidP="00085B51">
          <w:pPr>
            <w:pStyle w:val="Distribution"/>
            <w:rPr>
              <w:color w:val="000000"/>
            </w:rPr>
          </w:pPr>
          <w:r>
            <w:rPr>
              <w:color w:val="000000"/>
            </w:rPr>
            <w:t xml:space="preserve">Distr. </w:t>
          </w:r>
          <w:proofErr w:type="spellStart"/>
          <w:r>
            <w:rPr>
              <w:color w:val="000000"/>
            </w:rPr>
            <w:t>générale</w:t>
          </w:r>
          <w:proofErr w:type="spellEnd"/>
        </w:p>
        <w:p w:rsidR="00085B51" w:rsidRDefault="00085B51" w:rsidP="00085B51">
          <w:pPr>
            <w:pStyle w:val="Publication"/>
            <w:rPr>
              <w:color w:val="000000"/>
            </w:rPr>
          </w:pPr>
          <w:r>
            <w:rPr>
              <w:color w:val="000000"/>
            </w:rPr>
            <w:t xml:space="preserve">23 </w:t>
          </w:r>
          <w:proofErr w:type="spellStart"/>
          <w:r>
            <w:rPr>
              <w:color w:val="000000"/>
            </w:rPr>
            <w:t>décembre</w:t>
          </w:r>
          <w:proofErr w:type="spellEnd"/>
          <w:r>
            <w:rPr>
              <w:color w:val="000000"/>
            </w:rPr>
            <w:t xml:space="preserve"> 2015</w:t>
          </w:r>
        </w:p>
        <w:p w:rsidR="00085B51" w:rsidRDefault="00085B51" w:rsidP="00085B51">
          <w:pPr>
            <w:rPr>
              <w:lang w:val="en-US"/>
            </w:rPr>
          </w:pPr>
          <w:proofErr w:type="spellStart"/>
          <w:r>
            <w:rPr>
              <w:lang w:val="en-US"/>
            </w:rPr>
            <w:t>Français</w:t>
          </w:r>
          <w:proofErr w:type="spellEnd"/>
        </w:p>
        <w:p w:rsidR="00085B51" w:rsidRPr="00085B51" w:rsidRDefault="00085B51" w:rsidP="00085B51">
          <w:pPr>
            <w:pStyle w:val="Original"/>
            <w:rPr>
              <w:color w:val="000000"/>
            </w:rPr>
          </w:pPr>
          <w:r>
            <w:rPr>
              <w:color w:val="000000"/>
            </w:rPr>
            <w:t xml:space="preserve">Original : </w:t>
          </w:r>
          <w:proofErr w:type="spellStart"/>
          <w:r>
            <w:rPr>
              <w:color w:val="000000"/>
            </w:rPr>
            <w:t>anglais</w:t>
          </w:r>
          <w:proofErr w:type="spellEnd"/>
        </w:p>
      </w:tc>
    </w:tr>
  </w:tbl>
  <w:p w:rsidR="00085B51" w:rsidRPr="00085B51" w:rsidRDefault="00085B51" w:rsidP="00085B5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01*"/>
    <w:docVar w:name="CreationDt" w:val="2/10/2016 2:52: PM"/>
    <w:docVar w:name="DocCategory" w:val="Doc"/>
    <w:docVar w:name="DocType" w:val="Final"/>
    <w:docVar w:name="DutyStation" w:val="Geneva"/>
    <w:docVar w:name="FooterJN" w:val="GE.15-22701"/>
    <w:docVar w:name="jobn" w:val="GE.15-22701 (F)"/>
    <w:docVar w:name="jobnDT" w:val="GE.15-22701 (F)   100216"/>
    <w:docVar w:name="jobnDTDT" w:val="GE.15-22701 (F)   100216   100216"/>
    <w:docVar w:name="JobNo" w:val="GE.1522701F"/>
    <w:docVar w:name="JobNo2" w:val="GE.1529012F"/>
    <w:docVar w:name="LocalDrive" w:val="0"/>
    <w:docVar w:name="OandT" w:val="tvu"/>
    <w:docVar w:name="PaperSize" w:val="A4"/>
    <w:docVar w:name="sss1" w:val="ECE/TRANS/WP.29/2016/22"/>
    <w:docVar w:name="sss2" w:val="-"/>
    <w:docVar w:name="Symbol1" w:val="ECE/TRANS/WP.29/2016/22"/>
    <w:docVar w:name="Symbol2" w:val="-"/>
  </w:docVars>
  <w:rsids>
    <w:rsidRoot w:val="000F7CC0"/>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350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246A"/>
    <w:rsid w:val="00083D89"/>
    <w:rsid w:val="00085112"/>
    <w:rsid w:val="00085B51"/>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0F7CC0"/>
    <w:rsid w:val="001027E2"/>
    <w:rsid w:val="0010575E"/>
    <w:rsid w:val="00106549"/>
    <w:rsid w:val="00107710"/>
    <w:rsid w:val="00107C97"/>
    <w:rsid w:val="00110242"/>
    <w:rsid w:val="0011255C"/>
    <w:rsid w:val="001126A7"/>
    <w:rsid w:val="00112FE9"/>
    <w:rsid w:val="001146AB"/>
    <w:rsid w:val="0011497A"/>
    <w:rsid w:val="00114B31"/>
    <w:rsid w:val="001156F7"/>
    <w:rsid w:val="00116149"/>
    <w:rsid w:val="00123812"/>
    <w:rsid w:val="001256F6"/>
    <w:rsid w:val="001262BA"/>
    <w:rsid w:val="00126FB2"/>
    <w:rsid w:val="00127266"/>
    <w:rsid w:val="0013186C"/>
    <w:rsid w:val="00132A45"/>
    <w:rsid w:val="0013361A"/>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96C"/>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5DB3"/>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4248"/>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2EDE"/>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599"/>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BA0"/>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2E2"/>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C9E"/>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4A6A"/>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2575"/>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85B51"/>
    <w:rPr>
      <w:sz w:val="16"/>
      <w:szCs w:val="16"/>
    </w:rPr>
  </w:style>
  <w:style w:type="paragraph" w:styleId="CommentText">
    <w:name w:val="annotation text"/>
    <w:basedOn w:val="Normal"/>
    <w:link w:val="CommentTextChar"/>
    <w:uiPriority w:val="99"/>
    <w:semiHidden/>
    <w:unhideWhenUsed/>
    <w:rsid w:val="00085B51"/>
    <w:pPr>
      <w:spacing w:line="240" w:lineRule="auto"/>
    </w:pPr>
    <w:rPr>
      <w:szCs w:val="20"/>
    </w:rPr>
  </w:style>
  <w:style w:type="character" w:customStyle="1" w:styleId="CommentTextChar">
    <w:name w:val="Comment Text Char"/>
    <w:basedOn w:val="DefaultParagraphFont"/>
    <w:link w:val="CommentText"/>
    <w:uiPriority w:val="99"/>
    <w:semiHidden/>
    <w:rsid w:val="00085B5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85B51"/>
    <w:rPr>
      <w:b/>
      <w:bCs/>
    </w:rPr>
  </w:style>
  <w:style w:type="character" w:customStyle="1" w:styleId="CommentSubjectChar">
    <w:name w:val="Comment Subject Char"/>
    <w:basedOn w:val="CommentTextChar"/>
    <w:link w:val="CommentSubject"/>
    <w:uiPriority w:val="99"/>
    <w:semiHidden/>
    <w:rsid w:val="00085B51"/>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85B51"/>
    <w:rPr>
      <w:sz w:val="16"/>
      <w:szCs w:val="16"/>
    </w:rPr>
  </w:style>
  <w:style w:type="paragraph" w:styleId="CommentText">
    <w:name w:val="annotation text"/>
    <w:basedOn w:val="Normal"/>
    <w:link w:val="CommentTextChar"/>
    <w:uiPriority w:val="99"/>
    <w:semiHidden/>
    <w:unhideWhenUsed/>
    <w:rsid w:val="00085B51"/>
    <w:pPr>
      <w:spacing w:line="240" w:lineRule="auto"/>
    </w:pPr>
    <w:rPr>
      <w:szCs w:val="20"/>
    </w:rPr>
  </w:style>
  <w:style w:type="character" w:customStyle="1" w:styleId="CommentTextChar">
    <w:name w:val="Comment Text Char"/>
    <w:basedOn w:val="DefaultParagraphFont"/>
    <w:link w:val="CommentText"/>
    <w:uiPriority w:val="99"/>
    <w:semiHidden/>
    <w:rsid w:val="00085B5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85B51"/>
    <w:rPr>
      <w:b/>
      <w:bCs/>
    </w:rPr>
  </w:style>
  <w:style w:type="character" w:customStyle="1" w:styleId="CommentSubjectChar">
    <w:name w:val="Comment Subject Char"/>
    <w:basedOn w:val="CommentTextChar"/>
    <w:link w:val="CommentSubject"/>
    <w:uiPriority w:val="99"/>
    <w:semiHidden/>
    <w:rsid w:val="00085B51"/>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0AF9-EBA9-4CA3-B7B2-508FD10B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Vu Thi Kim Thao</dc:creator>
  <cp:lastModifiedBy>Caillot</cp:lastModifiedBy>
  <cp:revision>2</cp:revision>
  <cp:lastPrinted>2016-02-10T14:10:00Z</cp:lastPrinted>
  <dcterms:created xsi:type="dcterms:W3CDTF">2016-02-10T17:25:00Z</dcterms:created>
  <dcterms:modified xsi:type="dcterms:W3CDTF">2016-02-10T17:25:00Z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1522701F</vt:lpwstr>
  </property>
  <property fmtid="{D5CDD505-2E9C-101B-9397-08002B2CF9AE}" pid="3" name="ODSRefJobNo">
    <vt:lpwstr>1529012F</vt:lpwstr>
  </property>
  <property fmtid="{D5CDD505-2E9C-101B-9397-08002B2CF9AE}" pid="4" name="Symbol1">
    <vt:lpwstr>ECE/TRANS/WP.29/2016/22</vt:lpwstr>
  </property>
  <property fmtid="{D5CDD505-2E9C-101B-9397-08002B2CF9AE}" pid="5" name="Symbol2">
    <vt:lpwstr/>
  </property>
  <property fmtid="{D5CDD505-2E9C-101B-9397-08002B2CF9AE}" pid="6" name="Translator">
    <vt:lpwstr/>
  </property>
  <property fmtid="{D5CDD505-2E9C-101B-9397-08002B2CF9AE}" pid="7" name="Operator">
    <vt:lpwstr>tvu</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100216</vt:lpwstr>
  </property>
</Properties>
</file>