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08" w:rsidRPr="00436120" w:rsidRDefault="00731508" w:rsidP="00731508">
      <w:pPr>
        <w:spacing w:line="240" w:lineRule="auto"/>
        <w:rPr>
          <w:sz w:val="2"/>
          <w:lang w:val="fr-CH"/>
        </w:rPr>
        <w:sectPr w:rsidR="00731508" w:rsidRPr="00436120" w:rsidSect="0073150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731508" w:rsidRPr="00436120" w:rsidRDefault="00731508" w:rsidP="00E86DD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36120">
        <w:rPr>
          <w:lang w:val="fr-CH"/>
        </w:rPr>
        <w:lastRenderedPageBreak/>
        <w:t>Commission économique pour l’Europe</w:t>
      </w:r>
    </w:p>
    <w:p w:rsidR="00E86DD4" w:rsidRPr="00436120" w:rsidRDefault="00E86DD4" w:rsidP="00E86DD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731508" w:rsidRPr="00436120" w:rsidRDefault="00731508" w:rsidP="00E86DD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436120">
        <w:rPr>
          <w:b w:val="0"/>
          <w:bCs/>
          <w:lang w:val="fr-CH"/>
        </w:rPr>
        <w:t>Comité des transports intérieurs</w:t>
      </w:r>
    </w:p>
    <w:p w:rsidR="00E86DD4" w:rsidRPr="00436120" w:rsidRDefault="00E86DD4" w:rsidP="00E86DD4">
      <w:pPr>
        <w:spacing w:line="120" w:lineRule="exact"/>
        <w:rPr>
          <w:b/>
          <w:sz w:val="10"/>
          <w:lang w:val="fr-CH"/>
        </w:rPr>
      </w:pPr>
    </w:p>
    <w:p w:rsidR="00E86DD4" w:rsidRPr="00436120" w:rsidRDefault="00E86DD4" w:rsidP="00E86DD4">
      <w:pPr>
        <w:rPr>
          <w:b/>
          <w:lang w:val="fr-CH"/>
        </w:rPr>
      </w:pPr>
      <w:r w:rsidRPr="00436120">
        <w:rPr>
          <w:b/>
          <w:lang w:val="fr-CH"/>
        </w:rPr>
        <w:t xml:space="preserve">Forum mondial de l’harmonisation </w:t>
      </w:r>
      <w:r w:rsidRPr="00436120">
        <w:rPr>
          <w:b/>
          <w:lang w:val="fr-CH"/>
        </w:rPr>
        <w:br/>
        <w:t>des Règlements concernant les véhicules</w:t>
      </w:r>
    </w:p>
    <w:p w:rsidR="00E86DD4" w:rsidRPr="00436120" w:rsidRDefault="00E86DD4" w:rsidP="00E86DD4">
      <w:pPr>
        <w:rPr>
          <w:b/>
          <w:lang w:val="fr-CH"/>
        </w:rPr>
      </w:pPr>
      <w:r w:rsidRPr="00436120">
        <w:rPr>
          <w:b/>
          <w:lang w:val="fr-CH"/>
        </w:rPr>
        <w:t>168</w:t>
      </w:r>
      <w:r w:rsidRPr="00436120">
        <w:rPr>
          <w:b/>
          <w:vertAlign w:val="superscript"/>
          <w:lang w:val="fr-CH"/>
        </w:rPr>
        <w:t>e</w:t>
      </w:r>
      <w:r w:rsidRPr="00436120">
        <w:rPr>
          <w:b/>
          <w:lang w:val="fr-CH"/>
        </w:rPr>
        <w:t> session</w:t>
      </w:r>
    </w:p>
    <w:p w:rsidR="00E86DD4" w:rsidRPr="00436120" w:rsidRDefault="00E86DD4" w:rsidP="00E86DD4">
      <w:pPr>
        <w:rPr>
          <w:lang w:val="fr-CH"/>
        </w:rPr>
      </w:pPr>
      <w:r w:rsidRPr="00436120">
        <w:rPr>
          <w:lang w:val="fr-CH"/>
        </w:rPr>
        <w:t>Genève, 8-11 mars 2016</w:t>
      </w:r>
    </w:p>
    <w:p w:rsidR="00E86DD4" w:rsidRPr="00436120" w:rsidRDefault="00E86DD4" w:rsidP="00E86DD4">
      <w:pPr>
        <w:rPr>
          <w:lang w:val="fr-CH"/>
        </w:rPr>
      </w:pPr>
      <w:r w:rsidRPr="00436120">
        <w:rPr>
          <w:lang w:val="fr-CH"/>
        </w:rPr>
        <w:t>Point 4.8.7 de l’ordre du jour provisoire</w:t>
      </w:r>
    </w:p>
    <w:p w:rsidR="00E86DD4" w:rsidRPr="00436120" w:rsidRDefault="00E86DD4" w:rsidP="00E86DD4">
      <w:pPr>
        <w:rPr>
          <w:b/>
          <w:lang w:val="fr-CH"/>
        </w:rPr>
      </w:pPr>
      <w:r w:rsidRPr="00436120">
        <w:rPr>
          <w:b/>
          <w:lang w:val="fr-CH"/>
        </w:rPr>
        <w:t xml:space="preserve">Accord de 1958 – examen de projets d’amendements </w:t>
      </w:r>
      <w:r w:rsidRPr="00436120">
        <w:rPr>
          <w:b/>
          <w:lang w:val="fr-CH"/>
        </w:rPr>
        <w:br/>
        <w:t>à des Règlements existants, proposés par le GRSG</w:t>
      </w:r>
    </w:p>
    <w:p w:rsidR="00E86DD4" w:rsidRPr="00436120" w:rsidRDefault="00E86DD4" w:rsidP="00E86DD4">
      <w:pPr>
        <w:spacing w:line="120" w:lineRule="exact"/>
        <w:rPr>
          <w:sz w:val="10"/>
          <w:lang w:val="fr-CH"/>
        </w:rPr>
      </w:pPr>
    </w:p>
    <w:p w:rsidR="00E86DD4" w:rsidRPr="00436120" w:rsidRDefault="00E86DD4" w:rsidP="00E86DD4">
      <w:pPr>
        <w:spacing w:line="120" w:lineRule="exact"/>
        <w:rPr>
          <w:sz w:val="10"/>
          <w:lang w:val="fr-CH"/>
        </w:rPr>
      </w:pPr>
    </w:p>
    <w:p w:rsidR="00E86DD4" w:rsidRPr="00436120" w:rsidRDefault="00E86DD4" w:rsidP="00E86DD4">
      <w:pPr>
        <w:spacing w:line="120" w:lineRule="exact"/>
        <w:rPr>
          <w:sz w:val="10"/>
          <w:lang w:val="fr-CH"/>
        </w:rPr>
      </w:pPr>
    </w:p>
    <w:p w:rsidR="00E86DD4" w:rsidRPr="00436120" w:rsidRDefault="00E86DD4" w:rsidP="00E86D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36120">
        <w:rPr>
          <w:lang w:val="fr-CH"/>
        </w:rPr>
        <w:tab/>
      </w:r>
      <w:r w:rsidRPr="00436120">
        <w:rPr>
          <w:lang w:val="fr-CH"/>
        </w:rPr>
        <w:tab/>
        <w:t xml:space="preserve">Proposition de complément 2 à la série 02 d’amendements </w:t>
      </w:r>
      <w:r w:rsidRPr="00436120">
        <w:rPr>
          <w:lang w:val="fr-CH"/>
        </w:rPr>
        <w:br/>
        <w:t>au Règlement n</w:t>
      </w:r>
      <w:r w:rsidRPr="00436120">
        <w:rPr>
          <w:vertAlign w:val="superscript"/>
          <w:lang w:val="fr-CH"/>
        </w:rPr>
        <w:t>o</w:t>
      </w:r>
      <w:r w:rsidRPr="00436120">
        <w:rPr>
          <w:lang w:val="fr-CH"/>
        </w:rPr>
        <w:t xml:space="preserve"> 118 (Résistance au feu des matériaux </w:t>
      </w:r>
      <w:r w:rsidRPr="00436120">
        <w:rPr>
          <w:lang w:val="fr-CH"/>
        </w:rPr>
        <w:br/>
        <w:t>utilisés à l’intérieur du véhicule)</w:t>
      </w:r>
    </w:p>
    <w:p w:rsidR="00E86DD4" w:rsidRPr="00436120" w:rsidRDefault="00E86DD4" w:rsidP="00E86DD4">
      <w:pPr>
        <w:pStyle w:val="SingleTxt"/>
        <w:spacing w:after="0" w:line="120" w:lineRule="exact"/>
        <w:rPr>
          <w:b/>
          <w:sz w:val="10"/>
          <w:lang w:val="fr-CH"/>
        </w:rPr>
      </w:pPr>
    </w:p>
    <w:p w:rsidR="00E86DD4" w:rsidRPr="00436120" w:rsidRDefault="00E86DD4" w:rsidP="00E86DD4">
      <w:pPr>
        <w:pStyle w:val="SingleTxt"/>
        <w:spacing w:after="0" w:line="120" w:lineRule="exact"/>
        <w:rPr>
          <w:b/>
          <w:sz w:val="10"/>
          <w:lang w:val="fr-CH"/>
        </w:rPr>
      </w:pPr>
    </w:p>
    <w:p w:rsidR="00E86DD4" w:rsidRPr="00436120" w:rsidRDefault="00E86DD4" w:rsidP="00E86D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36120">
        <w:rPr>
          <w:lang w:val="fr-CH"/>
        </w:rPr>
        <w:tab/>
      </w:r>
      <w:r w:rsidRPr="00436120">
        <w:rPr>
          <w:lang w:val="fr-CH"/>
        </w:rPr>
        <w:tab/>
        <w:t xml:space="preserve">Communication du Groupe de travail des dispositions générales </w:t>
      </w:r>
      <w:r w:rsidRPr="00436120">
        <w:rPr>
          <w:lang w:val="fr-CH"/>
        </w:rPr>
        <w:br/>
      </w:r>
      <w:proofErr w:type="gramStart"/>
      <w:r w:rsidRPr="00436120">
        <w:rPr>
          <w:lang w:val="fr-CH"/>
        </w:rPr>
        <w:t>de</w:t>
      </w:r>
      <w:proofErr w:type="gramEnd"/>
      <w:r w:rsidRPr="00436120">
        <w:rPr>
          <w:lang w:val="fr-CH"/>
        </w:rPr>
        <w:t xml:space="preserve"> sécurité</w:t>
      </w:r>
      <w:r w:rsidRPr="00436120">
        <w:rPr>
          <w:rStyle w:val="FootnoteReference"/>
          <w:b w:val="0"/>
          <w:bCs/>
          <w:sz w:val="20"/>
          <w:szCs w:val="20"/>
          <w:vertAlign w:val="baseline"/>
          <w:lang w:val="fr-CH"/>
        </w:rPr>
        <w:footnoteReference w:customMarkFollows="1" w:id="1"/>
        <w:t>*</w:t>
      </w:r>
    </w:p>
    <w:p w:rsidR="00E86DD4" w:rsidRPr="00436120" w:rsidRDefault="00E86DD4" w:rsidP="00E86DD4">
      <w:pPr>
        <w:pStyle w:val="SingleTxt"/>
        <w:spacing w:after="0" w:line="120" w:lineRule="exact"/>
        <w:rPr>
          <w:sz w:val="10"/>
          <w:lang w:val="fr-CH"/>
        </w:rPr>
      </w:pPr>
    </w:p>
    <w:p w:rsidR="00E86DD4" w:rsidRPr="00436120" w:rsidRDefault="00E86DD4" w:rsidP="00E86DD4">
      <w:pPr>
        <w:pStyle w:val="SingleTxt"/>
        <w:spacing w:after="0" w:line="120" w:lineRule="exact"/>
        <w:rPr>
          <w:sz w:val="10"/>
          <w:lang w:val="fr-CH"/>
        </w:rPr>
      </w:pPr>
    </w:p>
    <w:p w:rsidR="00E86DD4" w:rsidRPr="00436120" w:rsidRDefault="00E86DD4" w:rsidP="00374B97">
      <w:pPr>
        <w:pStyle w:val="SingleTxt"/>
        <w:rPr>
          <w:lang w:val="fr-CH"/>
        </w:rPr>
      </w:pPr>
      <w:r w:rsidRPr="00436120">
        <w:rPr>
          <w:lang w:val="fr-CH"/>
        </w:rPr>
        <w:tab/>
        <w:t xml:space="preserve">Le texte reproduit ci-après, adopté par le Groupe de travail des dispositions générales de sécurité (GRSG) à sa </w:t>
      </w:r>
      <w:r w:rsidR="00374B97">
        <w:rPr>
          <w:lang w:val="fr-CH"/>
        </w:rPr>
        <w:t>109</w:t>
      </w:r>
      <w:r w:rsidR="00374B97" w:rsidRPr="00374B97">
        <w:rPr>
          <w:vertAlign w:val="superscript"/>
          <w:lang w:val="fr-CH"/>
        </w:rPr>
        <w:t>e</w:t>
      </w:r>
      <w:r w:rsidR="00374B97">
        <w:rPr>
          <w:lang w:val="fr-CH"/>
        </w:rPr>
        <w:t> </w:t>
      </w:r>
      <w:r w:rsidRPr="00436120">
        <w:rPr>
          <w:lang w:val="fr-CH"/>
        </w:rPr>
        <w:t xml:space="preserve">session (ECE/TRANS/WP.29/GRSG/88, par. 39), est fondé principalement sur les documents </w:t>
      </w:r>
      <w:r w:rsidRPr="00436120">
        <w:rPr>
          <w:bCs/>
          <w:lang w:val="fr-CH"/>
        </w:rPr>
        <w:t>ECE/TRANS/WP.29/GRSG/</w:t>
      </w:r>
      <w:r w:rsidR="00374B97">
        <w:rPr>
          <w:bCs/>
          <w:lang w:val="fr-CH"/>
        </w:rPr>
        <w:br/>
      </w:r>
      <w:r w:rsidRPr="00436120">
        <w:rPr>
          <w:bCs/>
          <w:lang w:val="fr-CH"/>
        </w:rPr>
        <w:t>2015/29 et Corr.1 et GRSG-109-06.</w:t>
      </w:r>
      <w:r w:rsidRPr="00436120">
        <w:rPr>
          <w:lang w:val="fr-CH"/>
        </w:rPr>
        <w:t xml:space="preserve"> Il est soumis au Forum mondial de l’harmonisation des Règlements concernant les véhicules (WP.29) et au Comité d’administration (AC.1) pour examen à leurs sessions de mars 2016.</w:t>
      </w:r>
    </w:p>
    <w:p w:rsidR="00E86DD4" w:rsidRPr="00436120" w:rsidRDefault="00E86DD4" w:rsidP="00E86DD4">
      <w:pPr>
        <w:pStyle w:val="SingleTxt"/>
        <w:rPr>
          <w:iCs/>
          <w:lang w:val="fr-CH"/>
        </w:rPr>
      </w:pPr>
      <w:r w:rsidRPr="00436120">
        <w:rPr>
          <w:lang w:val="fr-CH"/>
        </w:rPr>
        <w:br w:type="page"/>
      </w:r>
      <w:r w:rsidRPr="00436120">
        <w:rPr>
          <w:i/>
          <w:lang w:val="fr-CH"/>
        </w:rPr>
        <w:lastRenderedPageBreak/>
        <w:t>Table des matières, point 5</w:t>
      </w:r>
      <w:r w:rsidRPr="00436120">
        <w:rPr>
          <w:lang w:val="fr-CH"/>
        </w:rPr>
        <w:t>,</w:t>
      </w:r>
      <w:r w:rsidRPr="00436120">
        <w:rPr>
          <w:iCs/>
          <w:lang w:val="fr-CH"/>
        </w:rPr>
        <w:t xml:space="preserve"> </w:t>
      </w:r>
      <w:proofErr w:type="gramStart"/>
      <w:r w:rsidRPr="00436120">
        <w:rPr>
          <w:iCs/>
          <w:lang w:val="fr-CH"/>
        </w:rPr>
        <w:t>modifier</w:t>
      </w:r>
      <w:proofErr w:type="gramEnd"/>
      <w:r w:rsidRPr="00436120">
        <w:rPr>
          <w:iCs/>
          <w:lang w:val="fr-CH"/>
        </w:rPr>
        <w:t xml:space="preserve"> comme suit :</w:t>
      </w:r>
    </w:p>
    <w:p w:rsidR="00E86DD4" w:rsidRPr="00436120" w:rsidRDefault="00E86DD4" w:rsidP="00E86DD4">
      <w:pPr>
        <w:pStyle w:val="SingleTxt"/>
        <w:ind w:left="2218" w:hanging="951"/>
        <w:rPr>
          <w:lang w:val="fr-CH"/>
        </w:rPr>
      </w:pPr>
      <w:r w:rsidRPr="00436120">
        <w:rPr>
          <w:lang w:val="fr-CH"/>
        </w:rPr>
        <w:t>«</w:t>
      </w:r>
      <w:r w:rsidR="00436120" w:rsidRPr="00436120">
        <w:rPr>
          <w:lang w:val="fr-CH"/>
        </w:rPr>
        <w:t> </w:t>
      </w:r>
      <w:r w:rsidRPr="00436120">
        <w:rPr>
          <w:lang w:val="fr-CH"/>
        </w:rPr>
        <w:t>5.</w:t>
      </w:r>
      <w:r w:rsidRPr="00436120">
        <w:rPr>
          <w:lang w:val="fr-CH"/>
        </w:rPr>
        <w:tab/>
      </w:r>
      <w:r w:rsidRPr="00436120">
        <w:rPr>
          <w:lang w:val="fr-CH"/>
        </w:rPr>
        <w:tab/>
        <w:t>Première partie</w:t>
      </w:r>
      <w:r w:rsidR="00374B97">
        <w:rPr>
          <w:lang w:val="fr-CH"/>
        </w:rPr>
        <w:t> </w:t>
      </w:r>
      <w:r w:rsidRPr="00436120">
        <w:rPr>
          <w:lang w:val="fr-CH"/>
        </w:rPr>
        <w:t xml:space="preserve">: Homologation d’un type de véhicule en ce qui concerne le comportement au feu des éléments présents dans le compartiment intérieur, dans le compartiment moteur et dans tout compartiment de chauffage séparé, ainsi que des câbles électriques </w:t>
      </w:r>
      <w:r w:rsidRPr="00436120">
        <w:rPr>
          <w:bCs/>
          <w:lang w:val="fr-CH"/>
        </w:rPr>
        <w:t>utilisés dans le véhicule, et/ou l’imperméabilité aux carburants ou aux lubrifiants des matériaux d’isolation utilisés dans le compartiment moteur et dans tout compartiment de chauffage séparé</w:t>
      </w:r>
      <w:r w:rsidRPr="00436120">
        <w:rPr>
          <w:lang w:val="fr-CH"/>
        </w:rPr>
        <w:t>.</w:t>
      </w:r>
      <w:r w:rsidR="00436120" w:rsidRPr="00436120">
        <w:rPr>
          <w:lang w:val="fr-CH"/>
        </w:rPr>
        <w:t> </w:t>
      </w:r>
      <w:r w:rsidRPr="00436120">
        <w:rPr>
          <w:lang w:val="fr-CH"/>
        </w:rPr>
        <w:t>».</w:t>
      </w:r>
    </w:p>
    <w:p w:rsidR="00E86DD4" w:rsidRPr="00436120" w:rsidRDefault="00E86DD4" w:rsidP="00E86DD4">
      <w:pPr>
        <w:pStyle w:val="SingleTxt"/>
        <w:rPr>
          <w:iCs/>
          <w:lang w:val="fr-CH"/>
        </w:rPr>
      </w:pPr>
      <w:r w:rsidRPr="00436120">
        <w:rPr>
          <w:i/>
          <w:lang w:val="fr-CH"/>
        </w:rPr>
        <w:t>Paragraphes 1.2 et 1.3</w:t>
      </w:r>
      <w:r w:rsidRPr="00436120">
        <w:rPr>
          <w:lang w:val="fr-CH"/>
        </w:rPr>
        <w:t>,</w:t>
      </w:r>
      <w:r w:rsidRPr="00436120">
        <w:rPr>
          <w:iCs/>
          <w:lang w:val="fr-CH"/>
        </w:rPr>
        <w:t xml:space="preserve"> </w:t>
      </w:r>
      <w:proofErr w:type="gramStart"/>
      <w:r w:rsidRPr="00436120">
        <w:rPr>
          <w:iCs/>
          <w:lang w:val="fr-CH"/>
        </w:rPr>
        <w:t>modifier</w:t>
      </w:r>
      <w:proofErr w:type="gramEnd"/>
      <w:r w:rsidRPr="00436120">
        <w:rPr>
          <w:iCs/>
          <w:lang w:val="fr-CH"/>
        </w:rPr>
        <w:t xml:space="preserve"> comme suit</w:t>
      </w:r>
      <w:r w:rsidR="00436120" w:rsidRPr="00436120">
        <w:rPr>
          <w:iCs/>
          <w:lang w:val="fr-CH"/>
        </w:rPr>
        <w:t> </w:t>
      </w:r>
      <w:r w:rsidRPr="00436120">
        <w:rPr>
          <w:iCs/>
          <w:lang w:val="fr-CH"/>
        </w:rPr>
        <w:t>:</w:t>
      </w:r>
    </w:p>
    <w:p w:rsidR="00E86DD4" w:rsidRPr="00436120" w:rsidRDefault="00E86DD4" w:rsidP="00E86DD4">
      <w:pPr>
        <w:pStyle w:val="SingleTxt"/>
        <w:ind w:left="2218" w:hanging="951"/>
        <w:rPr>
          <w:lang w:val="fr-CH"/>
        </w:rPr>
      </w:pPr>
      <w:r w:rsidRPr="00436120">
        <w:rPr>
          <w:lang w:val="fr-CH"/>
        </w:rPr>
        <w:t>«1.2</w:t>
      </w:r>
      <w:r w:rsidRPr="00436120">
        <w:rPr>
          <w:lang w:val="fr-CH"/>
        </w:rPr>
        <w:tab/>
      </w:r>
      <w:r w:rsidRPr="00436120">
        <w:rPr>
          <w:lang w:val="fr-CH"/>
        </w:rPr>
        <w:tab/>
        <w:t>Première partie – Homologation d’un type de véhicule en ce qui concerne le comportement au feu et/ou l’imperméabilité aux carburants ou aux lubrifiants des éléments présents dans le compartiment intérieur, dans le compartiment moteur et dans tout compartiment de chauffage séparé, et en ce qui concerne le comportement au feu des câbles électriques utilisés dans le véhicule.</w:t>
      </w:r>
    </w:p>
    <w:p w:rsidR="00E86DD4" w:rsidRPr="00436120" w:rsidRDefault="00E86DD4" w:rsidP="00E86DD4">
      <w:pPr>
        <w:pStyle w:val="SingleTxt"/>
        <w:ind w:left="2218" w:hanging="951"/>
        <w:rPr>
          <w:lang w:val="fr-CH"/>
        </w:rPr>
      </w:pPr>
      <w:r w:rsidRPr="00436120">
        <w:rPr>
          <w:lang w:val="fr-CH"/>
        </w:rPr>
        <w:t>1.3</w:t>
      </w:r>
      <w:r w:rsidRPr="00436120">
        <w:rPr>
          <w:lang w:val="fr-CH"/>
        </w:rPr>
        <w:tab/>
      </w:r>
      <w:r w:rsidRPr="00436120">
        <w:rPr>
          <w:lang w:val="fr-CH"/>
        </w:rPr>
        <w:tab/>
        <w:t>Deuxième partie – Homologation d’un élément en ce qui concerne son comportement au feu et/ou son imper</w:t>
      </w:r>
      <w:r w:rsidR="00374B97">
        <w:rPr>
          <w:lang w:val="fr-CH"/>
        </w:rPr>
        <w:t>méabilité aux carburants ou aux </w:t>
      </w:r>
      <w:r w:rsidRPr="00436120">
        <w:rPr>
          <w:lang w:val="fr-CH"/>
        </w:rPr>
        <w:t>lubrifiants. ».</w:t>
      </w:r>
    </w:p>
    <w:p w:rsidR="00E86DD4" w:rsidRPr="00436120" w:rsidRDefault="00E86DD4" w:rsidP="00E86DD4">
      <w:pPr>
        <w:pStyle w:val="SingleTxt"/>
        <w:rPr>
          <w:iCs/>
          <w:lang w:val="fr-CH"/>
        </w:rPr>
      </w:pPr>
      <w:r w:rsidRPr="00436120">
        <w:rPr>
          <w:i/>
          <w:lang w:val="fr-CH"/>
        </w:rPr>
        <w:t>Paragraphes 5.2 à 5.2.2</w:t>
      </w:r>
      <w:r w:rsidRPr="00436120">
        <w:rPr>
          <w:lang w:val="fr-CH"/>
        </w:rPr>
        <w:t>,</w:t>
      </w:r>
      <w:r w:rsidRPr="00436120">
        <w:rPr>
          <w:iCs/>
          <w:lang w:val="fr-CH"/>
        </w:rPr>
        <w:t xml:space="preserve"> </w:t>
      </w:r>
      <w:proofErr w:type="gramStart"/>
      <w:r w:rsidRPr="00436120">
        <w:rPr>
          <w:iCs/>
          <w:lang w:val="fr-CH"/>
        </w:rPr>
        <w:t>modifier</w:t>
      </w:r>
      <w:proofErr w:type="gramEnd"/>
      <w:r w:rsidRPr="00436120">
        <w:rPr>
          <w:iCs/>
          <w:lang w:val="fr-CH"/>
        </w:rPr>
        <w:t xml:space="preserve"> comme suit :</w:t>
      </w:r>
    </w:p>
    <w:p w:rsidR="00E86DD4" w:rsidRPr="00436120" w:rsidRDefault="00E86DD4" w:rsidP="00E86DD4">
      <w:pPr>
        <w:pStyle w:val="SingleTxt"/>
        <w:rPr>
          <w:lang w:val="fr-CH"/>
        </w:rPr>
      </w:pPr>
      <w:r w:rsidRPr="00436120">
        <w:rPr>
          <w:lang w:val="fr-CH"/>
        </w:rPr>
        <w:t>« 5.2</w:t>
      </w:r>
      <w:r w:rsidRPr="00436120">
        <w:rPr>
          <w:lang w:val="fr-CH"/>
        </w:rPr>
        <w:tab/>
      </w:r>
      <w:r w:rsidRPr="00436120">
        <w:rPr>
          <w:lang w:val="fr-CH"/>
        </w:rPr>
        <w:tab/>
        <w:t>Spécifications</w:t>
      </w:r>
    </w:p>
    <w:p w:rsidR="00E86DD4" w:rsidRPr="00436120" w:rsidRDefault="00E86DD4" w:rsidP="00E86DD4">
      <w:pPr>
        <w:pStyle w:val="SingleTxt"/>
        <w:ind w:left="2218" w:hanging="951"/>
        <w:rPr>
          <w:lang w:val="fr-CH"/>
        </w:rPr>
      </w:pPr>
      <w:r w:rsidRPr="00436120">
        <w:rPr>
          <w:lang w:val="fr-CH"/>
        </w:rPr>
        <w:t>5.2.1</w:t>
      </w:r>
      <w:r w:rsidRPr="00436120">
        <w:rPr>
          <w:lang w:val="fr-CH"/>
        </w:rPr>
        <w:tab/>
      </w:r>
      <w:r w:rsidRPr="00436120">
        <w:rPr>
          <w:lang w:val="fr-CH"/>
        </w:rPr>
        <w:tab/>
        <w:t>Les matériaux utilisés pour le compartiment intérieur et ne se trouvant pas à plus de 13 mm de ce dernier, les matériaux utilisés dans le compartiment moteur, les matériaux utilisés dans le compartiment de chauffage distinct ainsi que les câbles électriques du véhicule soumis à l’homologation de type doivent satisfaire aux prescriptions de la deuxième partie du présent Règlement.</w:t>
      </w:r>
    </w:p>
    <w:p w:rsidR="00E86DD4" w:rsidRPr="00436120" w:rsidRDefault="00E86DD4" w:rsidP="00E86DD4">
      <w:pPr>
        <w:pStyle w:val="SingleTxt"/>
        <w:ind w:left="2218" w:hanging="951"/>
        <w:rPr>
          <w:lang w:val="fr-CH"/>
        </w:rPr>
      </w:pPr>
      <w:r w:rsidRPr="00436120">
        <w:rPr>
          <w:lang w:val="fr-CH"/>
        </w:rPr>
        <w:t>5.2.2</w:t>
      </w:r>
      <w:r w:rsidRPr="00436120">
        <w:rPr>
          <w:lang w:val="fr-CH"/>
        </w:rPr>
        <w:tab/>
      </w:r>
      <w:r w:rsidRPr="00436120">
        <w:rPr>
          <w:lang w:val="fr-CH"/>
        </w:rPr>
        <w:tab/>
        <w:t>Les matériaux et/ou les équipements utilisés dans le compartiment intérieur, le compartiment moteur et tout compartiment de chauffage séparé et/ou dans les composants homologués en tant que tels et les câbles électriques du véhicule doivent être installés de manière à réduire autant que possible le risque d’inflammation et de propagation des flammes. ».</w:t>
      </w:r>
    </w:p>
    <w:p w:rsidR="00E86DD4" w:rsidRPr="00436120" w:rsidRDefault="00E86DD4" w:rsidP="00E86DD4">
      <w:pPr>
        <w:pStyle w:val="SingleTxt"/>
        <w:rPr>
          <w:iCs/>
          <w:lang w:val="fr-CH"/>
        </w:rPr>
      </w:pPr>
      <w:r w:rsidRPr="00436120">
        <w:rPr>
          <w:i/>
          <w:lang w:val="fr-CH"/>
        </w:rPr>
        <w:t>Deuxième partie, paragraphe 6.2.6</w:t>
      </w:r>
      <w:r w:rsidRPr="00436120">
        <w:rPr>
          <w:lang w:val="fr-CH"/>
        </w:rPr>
        <w:t>,</w:t>
      </w:r>
      <w:r w:rsidRPr="00436120">
        <w:rPr>
          <w:iCs/>
          <w:lang w:val="fr-CH"/>
        </w:rPr>
        <w:t xml:space="preserve"> </w:t>
      </w:r>
      <w:proofErr w:type="gramStart"/>
      <w:r w:rsidRPr="00436120">
        <w:rPr>
          <w:iCs/>
          <w:lang w:val="fr-CH"/>
        </w:rPr>
        <w:t>modifier</w:t>
      </w:r>
      <w:proofErr w:type="gramEnd"/>
      <w:r w:rsidRPr="00436120">
        <w:rPr>
          <w:iCs/>
          <w:lang w:val="fr-CH"/>
        </w:rPr>
        <w:t xml:space="preserve"> comme suit :</w:t>
      </w:r>
    </w:p>
    <w:p w:rsidR="00E86DD4" w:rsidRPr="00436120" w:rsidRDefault="00E86DD4" w:rsidP="00E86DD4">
      <w:pPr>
        <w:pStyle w:val="SingleTxt"/>
        <w:ind w:left="2218" w:hanging="951"/>
        <w:rPr>
          <w:lang w:val="fr-CH"/>
        </w:rPr>
      </w:pPr>
      <w:r w:rsidRPr="00436120">
        <w:rPr>
          <w:lang w:val="fr-CH"/>
        </w:rPr>
        <w:t>« 6.2.6</w:t>
      </w:r>
      <w:r w:rsidRPr="00436120">
        <w:rPr>
          <w:lang w:val="fr-CH"/>
        </w:rPr>
        <w:tab/>
        <w:t>Les câbles électriques (à conducteur simple, à conducteurs multiples, blindés, non blindés ou gainés, par exemple) d’une longueur supérieure à 100 mm utilisés dans le véhicule doivent être soumis à l’essai de résistance à la propagation des flammes décrit dans la norme ISO 6722-1:2011, paragraphe 5.22.</w:t>
      </w:r>
    </w:p>
    <w:p w:rsidR="00E86DD4" w:rsidRPr="00436120" w:rsidRDefault="00E86DD4" w:rsidP="00E86DD4">
      <w:pPr>
        <w:pStyle w:val="SingleTxt"/>
        <w:ind w:left="2218" w:hanging="951"/>
        <w:rPr>
          <w:lang w:val="fr-CH"/>
        </w:rPr>
      </w:pPr>
      <w:r w:rsidRPr="00436120">
        <w:rPr>
          <w:lang w:val="fr-CH"/>
        </w:rPr>
        <w:tab/>
      </w:r>
      <w:r w:rsidRPr="00436120">
        <w:rPr>
          <w:lang w:val="fr-CH"/>
        </w:rPr>
        <w:tab/>
        <w:t>L’exposition aux flammes lors de l’essai doit prendre fin dès que le conducteur (dans le cas d’un câble à conducteur simple) ou le premier conducteur (dans le cas d’un câble à conducteurs multiples) devient visible, ou après 15 s pour les câbles dont les conducteurs ont tous une taille inférieure ou égale à 2,5 mm</w:t>
      </w:r>
      <w:r w:rsidRPr="00436120">
        <w:rPr>
          <w:vertAlign w:val="superscript"/>
          <w:lang w:val="fr-CH"/>
        </w:rPr>
        <w:t>2</w:t>
      </w:r>
      <w:r w:rsidRPr="00436120">
        <w:rPr>
          <w:lang w:val="fr-CH"/>
        </w:rPr>
        <w:t xml:space="preserve"> et 30 s pour les câbles dont les conducteurs ont une taille supérieure à 2,5 mm</w:t>
      </w:r>
      <w:r w:rsidRPr="00436120">
        <w:rPr>
          <w:vertAlign w:val="superscript"/>
          <w:lang w:val="fr-CH"/>
        </w:rPr>
        <w:t>2</w:t>
      </w:r>
      <w:r w:rsidRPr="00436120">
        <w:rPr>
          <w:lang w:val="fr-CH"/>
        </w:rPr>
        <w:t xml:space="preserve"> ou les câbles multiconducteurs dont l’un au moins des conducteurs a une taille supérieure à 2,5 mm</w:t>
      </w:r>
      <w:r w:rsidRPr="00436120">
        <w:rPr>
          <w:vertAlign w:val="superscript"/>
          <w:lang w:val="fr-CH"/>
        </w:rPr>
        <w:t>2</w:t>
      </w:r>
      <w:r w:rsidRPr="00436120">
        <w:rPr>
          <w:lang w:val="fr-CH"/>
        </w:rPr>
        <w:t>.</w:t>
      </w:r>
    </w:p>
    <w:p w:rsidR="00E86DD4" w:rsidRPr="00436120" w:rsidRDefault="00E86DD4" w:rsidP="00E86DD4">
      <w:pPr>
        <w:pStyle w:val="SingleTxt"/>
        <w:ind w:left="2218" w:hanging="951"/>
        <w:rPr>
          <w:lang w:val="fr-CH"/>
        </w:rPr>
      </w:pPr>
      <w:r w:rsidRPr="00436120">
        <w:rPr>
          <w:lang w:val="fr-CH"/>
        </w:rPr>
        <w:tab/>
      </w:r>
      <w:r w:rsidRPr="00436120">
        <w:rPr>
          <w:lang w:val="fr-CH"/>
        </w:rPr>
        <w:tab/>
        <w:t>Le résultat de l’essai est considéré (…) de l’échantillon d’essai ne brûlent pas. ».</w:t>
      </w:r>
    </w:p>
    <w:p w:rsidR="00E86DD4" w:rsidRPr="00436120" w:rsidRDefault="00E86DD4" w:rsidP="00E86DD4">
      <w:pPr>
        <w:pStyle w:val="SingleTxt"/>
        <w:keepNext/>
        <w:rPr>
          <w:lang w:val="fr-CH"/>
        </w:rPr>
      </w:pPr>
      <w:r w:rsidRPr="00436120">
        <w:rPr>
          <w:i/>
          <w:lang w:val="fr-CH"/>
        </w:rPr>
        <w:lastRenderedPageBreak/>
        <w:t>Deuxième partie, paragraphe 6.2.7.4</w:t>
      </w:r>
      <w:r w:rsidRPr="00436120">
        <w:rPr>
          <w:lang w:val="fr-CH"/>
        </w:rPr>
        <w:t xml:space="preserve">, </w:t>
      </w:r>
      <w:proofErr w:type="gramStart"/>
      <w:r w:rsidRPr="00436120">
        <w:rPr>
          <w:iCs/>
          <w:lang w:val="fr-CH"/>
        </w:rPr>
        <w:t>modifier</w:t>
      </w:r>
      <w:proofErr w:type="gramEnd"/>
      <w:r w:rsidRPr="00436120">
        <w:rPr>
          <w:iCs/>
          <w:lang w:val="fr-CH"/>
        </w:rPr>
        <w:t xml:space="preserve"> comme suit</w:t>
      </w:r>
      <w:r w:rsidR="00436120" w:rsidRPr="00436120">
        <w:rPr>
          <w:iCs/>
          <w:lang w:val="fr-CH"/>
        </w:rPr>
        <w:t> </w:t>
      </w:r>
      <w:r w:rsidRPr="00436120">
        <w:rPr>
          <w:lang w:val="fr-CH"/>
        </w:rPr>
        <w:t>:</w:t>
      </w:r>
    </w:p>
    <w:p w:rsidR="00E86DD4" w:rsidRPr="00436120" w:rsidRDefault="00E86DD4" w:rsidP="00E86DD4">
      <w:pPr>
        <w:pStyle w:val="SingleTxt"/>
        <w:ind w:left="2218" w:hanging="951"/>
        <w:rPr>
          <w:lang w:val="fr-CH"/>
        </w:rPr>
      </w:pPr>
      <w:r w:rsidRPr="00436120">
        <w:rPr>
          <w:lang w:val="fr-CH"/>
        </w:rPr>
        <w:t>« 6.2.7.4</w:t>
      </w:r>
      <w:r w:rsidRPr="00436120">
        <w:rPr>
          <w:lang w:val="fr-CH"/>
        </w:rPr>
        <w:tab/>
        <w:t>Les éléments dont il est impossible d’extraire un échantillon aux dimensions prescrites au paragraphe 3.1 de l’annexe 6, au paragraphe 3 de l’annexe 7 et au paragraphe 3.1 de l’annexe 8. ».</w:t>
      </w:r>
    </w:p>
    <w:p w:rsidR="00E86DD4" w:rsidRPr="00436120" w:rsidRDefault="00E86DD4" w:rsidP="00E86DD4">
      <w:pPr>
        <w:pStyle w:val="SingleTxt"/>
        <w:rPr>
          <w:lang w:val="fr-CH"/>
        </w:rPr>
      </w:pPr>
      <w:r w:rsidRPr="00436120">
        <w:rPr>
          <w:i/>
          <w:lang w:val="fr-CH"/>
        </w:rPr>
        <w:t>Annexe 4, appendice 1, paragraphe 1.1.2</w:t>
      </w:r>
      <w:r w:rsidRPr="00436120">
        <w:rPr>
          <w:lang w:val="fr-CH"/>
        </w:rPr>
        <w:t>, remplacer le renvoi au paragraphe 6.6.2 par un renvoi au paragraphe 6.2.2.</w:t>
      </w:r>
    </w:p>
    <w:p w:rsidR="00731508" w:rsidRPr="00436120" w:rsidRDefault="00E86DD4" w:rsidP="00E86DD4">
      <w:pPr>
        <w:pStyle w:val="SingleTxt"/>
        <w:spacing w:after="0" w:line="240" w:lineRule="auto"/>
        <w:rPr>
          <w:lang w:val="fr-CH"/>
        </w:rPr>
      </w:pPr>
      <w:r w:rsidRPr="00436120">
        <w:rPr>
          <w:noProof/>
          <w:w w:val="100"/>
          <w:lang w:val="en-GB" w:eastAsia="en-GB"/>
        </w:rPr>
        <mc:AlternateContent>
          <mc:Choice Requires="wps">
            <w:drawing>
              <wp:anchor distT="0" distB="0" distL="114300" distR="114300" simplePos="0" relativeHeight="251659264" behindDoc="0" locked="0" layoutInCell="1" allowOverlap="1" wp14:anchorId="283B0B2F" wp14:editId="7C28C6EA">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31508" w:rsidRPr="00436120" w:rsidSect="00731508">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4C" w:rsidRDefault="006B1D4C" w:rsidP="00F3330B">
      <w:pPr>
        <w:spacing w:line="240" w:lineRule="auto"/>
      </w:pPr>
      <w:r>
        <w:separator/>
      </w:r>
    </w:p>
  </w:endnote>
  <w:endnote w:type="continuationSeparator" w:id="0">
    <w:p w:rsidR="006B1D4C" w:rsidRDefault="006B1D4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731508" w:rsidTr="00731508">
      <w:trPr>
        <w:jc w:val="center"/>
      </w:trPr>
      <w:tc>
        <w:tcPr>
          <w:tcW w:w="5088" w:type="dxa"/>
          <w:shd w:val="clear" w:color="auto" w:fill="auto"/>
        </w:tcPr>
        <w:p w:rsidR="00731508" w:rsidRPr="00731508" w:rsidRDefault="00731508" w:rsidP="0073150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3C06">
            <w:rPr>
              <w:b w:val="0"/>
              <w:w w:val="103"/>
              <w:sz w:val="14"/>
            </w:rPr>
            <w:t>GE.15-22799</w:t>
          </w:r>
          <w:r>
            <w:rPr>
              <w:b w:val="0"/>
              <w:w w:val="103"/>
              <w:sz w:val="14"/>
            </w:rPr>
            <w:fldChar w:fldCharType="end"/>
          </w:r>
        </w:p>
      </w:tc>
      <w:tc>
        <w:tcPr>
          <w:tcW w:w="5089" w:type="dxa"/>
          <w:shd w:val="clear" w:color="auto" w:fill="auto"/>
        </w:tcPr>
        <w:p w:rsidR="00731508" w:rsidRPr="00731508" w:rsidRDefault="00731508" w:rsidP="00731508">
          <w:pPr>
            <w:pStyle w:val="Footer"/>
            <w:rPr>
              <w:w w:val="103"/>
            </w:rPr>
          </w:pPr>
          <w:r>
            <w:rPr>
              <w:w w:val="103"/>
            </w:rPr>
            <w:fldChar w:fldCharType="begin"/>
          </w:r>
          <w:r>
            <w:rPr>
              <w:w w:val="103"/>
            </w:rPr>
            <w:instrText xml:space="preserve"> PAGE  \* Arabic  \* MERGEFORMAT </w:instrText>
          </w:r>
          <w:r>
            <w:rPr>
              <w:w w:val="103"/>
            </w:rPr>
            <w:fldChar w:fldCharType="separate"/>
          </w:r>
          <w:r w:rsidR="00726E5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6E52">
            <w:rPr>
              <w:noProof/>
              <w:w w:val="103"/>
            </w:rPr>
            <w:t>2</w:t>
          </w:r>
          <w:r>
            <w:rPr>
              <w:w w:val="103"/>
            </w:rPr>
            <w:fldChar w:fldCharType="end"/>
          </w:r>
        </w:p>
      </w:tc>
    </w:tr>
  </w:tbl>
  <w:p w:rsidR="00731508" w:rsidRPr="00731508" w:rsidRDefault="00731508" w:rsidP="00731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731508" w:rsidTr="00731508">
      <w:trPr>
        <w:jc w:val="center"/>
      </w:trPr>
      <w:tc>
        <w:tcPr>
          <w:tcW w:w="5088" w:type="dxa"/>
          <w:shd w:val="clear" w:color="auto" w:fill="auto"/>
        </w:tcPr>
        <w:p w:rsidR="00731508" w:rsidRPr="00731508" w:rsidRDefault="00731508" w:rsidP="0073150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26E5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6E52">
            <w:rPr>
              <w:noProof/>
              <w:w w:val="103"/>
            </w:rPr>
            <w:t>3</w:t>
          </w:r>
          <w:r>
            <w:rPr>
              <w:w w:val="103"/>
            </w:rPr>
            <w:fldChar w:fldCharType="end"/>
          </w:r>
        </w:p>
      </w:tc>
      <w:tc>
        <w:tcPr>
          <w:tcW w:w="5089" w:type="dxa"/>
          <w:shd w:val="clear" w:color="auto" w:fill="auto"/>
        </w:tcPr>
        <w:p w:rsidR="00731508" w:rsidRPr="00731508" w:rsidRDefault="00731508" w:rsidP="0073150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3C06">
            <w:rPr>
              <w:b w:val="0"/>
              <w:w w:val="103"/>
              <w:sz w:val="14"/>
            </w:rPr>
            <w:t>GE.15-22799</w:t>
          </w:r>
          <w:r>
            <w:rPr>
              <w:b w:val="0"/>
              <w:w w:val="103"/>
              <w:sz w:val="14"/>
            </w:rPr>
            <w:fldChar w:fldCharType="end"/>
          </w:r>
        </w:p>
      </w:tc>
    </w:tr>
  </w:tbl>
  <w:p w:rsidR="00731508" w:rsidRPr="00731508" w:rsidRDefault="00731508" w:rsidP="00731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08" w:rsidRDefault="00731508">
    <w:pPr>
      <w:pStyle w:val="Footer"/>
    </w:pPr>
    <w:r>
      <w:rPr>
        <w:noProof/>
        <w:lang w:val="en-GB" w:eastAsia="en-GB"/>
      </w:rPr>
      <w:drawing>
        <wp:anchor distT="0" distB="0" distL="114300" distR="114300" simplePos="0" relativeHeight="251658240" behindDoc="0" locked="0" layoutInCell="1" allowOverlap="1" wp14:anchorId="1B33595F" wp14:editId="1BF8441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731508" w:rsidTr="00731508">
      <w:tc>
        <w:tcPr>
          <w:tcW w:w="3859" w:type="dxa"/>
        </w:tcPr>
        <w:p w:rsidR="00731508" w:rsidRDefault="00731508" w:rsidP="0073150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43C06">
            <w:rPr>
              <w:b w:val="0"/>
              <w:sz w:val="20"/>
            </w:rPr>
            <w:t>GE.15-22799 (F)</w:t>
          </w:r>
          <w:r>
            <w:rPr>
              <w:b w:val="0"/>
              <w:sz w:val="20"/>
            </w:rPr>
            <w:fldChar w:fldCharType="end"/>
          </w:r>
          <w:r w:rsidR="009C7FF1">
            <w:rPr>
              <w:b w:val="0"/>
              <w:sz w:val="20"/>
            </w:rPr>
            <w:t xml:space="preserve">    04</w:t>
          </w:r>
          <w:r w:rsidR="00374B97">
            <w:rPr>
              <w:b w:val="0"/>
              <w:sz w:val="20"/>
            </w:rPr>
            <w:t>0216    11</w:t>
          </w:r>
          <w:r>
            <w:rPr>
              <w:b w:val="0"/>
              <w:sz w:val="20"/>
            </w:rPr>
            <w:t>0216</w:t>
          </w:r>
        </w:p>
        <w:p w:rsidR="00731508" w:rsidRPr="00731508" w:rsidRDefault="00731508" w:rsidP="0073150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43C06">
            <w:rPr>
              <w:rFonts w:ascii="Barcode 3 of 9 by request" w:hAnsi="Barcode 3 of 9 by request"/>
              <w:b w:val="0"/>
              <w:spacing w:val="0"/>
              <w:w w:val="100"/>
              <w:sz w:val="24"/>
            </w:rPr>
            <w:t>*1522799*</w:t>
          </w:r>
          <w:r>
            <w:rPr>
              <w:rFonts w:ascii="Barcode 3 of 9 by request" w:hAnsi="Barcode 3 of 9 by request"/>
              <w:b w:val="0"/>
              <w:spacing w:val="0"/>
              <w:w w:val="100"/>
              <w:sz w:val="24"/>
            </w:rPr>
            <w:fldChar w:fldCharType="end"/>
          </w:r>
        </w:p>
      </w:tc>
      <w:tc>
        <w:tcPr>
          <w:tcW w:w="5089" w:type="dxa"/>
        </w:tcPr>
        <w:p w:rsidR="00731508" w:rsidRDefault="00731508" w:rsidP="00731508">
          <w:pPr>
            <w:pStyle w:val="Footer"/>
            <w:spacing w:line="240" w:lineRule="atLeast"/>
            <w:jc w:val="right"/>
            <w:rPr>
              <w:b w:val="0"/>
              <w:sz w:val="20"/>
            </w:rPr>
          </w:pPr>
          <w:r>
            <w:rPr>
              <w:b w:val="0"/>
              <w:noProof/>
              <w:sz w:val="20"/>
              <w:lang w:val="en-GB" w:eastAsia="en-GB"/>
            </w:rPr>
            <w:drawing>
              <wp:inline distT="0" distB="0" distL="0" distR="0" wp14:anchorId="1E58F123" wp14:editId="552789D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31508" w:rsidRPr="00731508" w:rsidRDefault="00731508" w:rsidP="0073150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4C" w:rsidRPr="00E86DD4" w:rsidRDefault="00E86DD4" w:rsidP="00E86DD4">
      <w:pPr>
        <w:pStyle w:val="Footer"/>
        <w:spacing w:after="80"/>
        <w:ind w:left="792"/>
        <w:rPr>
          <w:sz w:val="16"/>
        </w:rPr>
      </w:pPr>
      <w:r w:rsidRPr="00E86DD4">
        <w:rPr>
          <w:sz w:val="16"/>
        </w:rPr>
        <w:t>__________________</w:t>
      </w:r>
    </w:p>
  </w:footnote>
  <w:footnote w:type="continuationSeparator" w:id="0">
    <w:p w:rsidR="006B1D4C" w:rsidRPr="00E86DD4" w:rsidRDefault="00E86DD4" w:rsidP="00E86DD4">
      <w:pPr>
        <w:pStyle w:val="Footer"/>
        <w:spacing w:after="80"/>
        <w:ind w:left="792"/>
        <w:rPr>
          <w:sz w:val="16"/>
        </w:rPr>
      </w:pPr>
      <w:r w:rsidRPr="00E86DD4">
        <w:rPr>
          <w:sz w:val="16"/>
        </w:rPr>
        <w:t>__________________</w:t>
      </w:r>
    </w:p>
  </w:footnote>
  <w:footnote w:id="1">
    <w:p w:rsidR="00E86DD4" w:rsidRPr="00436120" w:rsidRDefault="00E86DD4" w:rsidP="00E86DD4">
      <w:pPr>
        <w:pStyle w:val="FootnoteText"/>
        <w:tabs>
          <w:tab w:val="right" w:pos="1195"/>
          <w:tab w:val="left" w:pos="1267"/>
          <w:tab w:val="left" w:pos="1742"/>
          <w:tab w:val="left" w:pos="2218"/>
          <w:tab w:val="left" w:pos="2693"/>
        </w:tabs>
        <w:ind w:left="1267" w:right="1260" w:hanging="432"/>
        <w:rPr>
          <w:lang w:val="fr-CH"/>
        </w:rPr>
      </w:pPr>
      <w:r w:rsidRPr="00436120">
        <w:rPr>
          <w:lang w:val="fr-CH"/>
        </w:rPr>
        <w:tab/>
      </w:r>
      <w:r w:rsidRPr="00436120">
        <w:rPr>
          <w:rStyle w:val="FootnoteReference"/>
          <w:vertAlign w:val="baseline"/>
          <w:lang w:val="fr-CH"/>
        </w:rPr>
        <w:t>*</w:t>
      </w:r>
      <w:r w:rsidRPr="00436120">
        <w:rPr>
          <w:lang w:val="fr-CH"/>
        </w:rPr>
        <w:t xml:space="preserve"> </w:t>
      </w:r>
      <w:r w:rsidRPr="00436120">
        <w:rPr>
          <w:lang w:val="fr-CH"/>
        </w:rPr>
        <w:tab/>
      </w:r>
      <w:r w:rsidRPr="00436120">
        <w:rPr>
          <w:spacing w:val="2"/>
          <w:lang w:val="fr-CH"/>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731508" w:rsidTr="00731508">
      <w:trPr>
        <w:trHeight w:hRule="exact" w:val="864"/>
        <w:jc w:val="center"/>
      </w:trPr>
      <w:tc>
        <w:tcPr>
          <w:tcW w:w="4882" w:type="dxa"/>
          <w:shd w:val="clear" w:color="auto" w:fill="auto"/>
          <w:vAlign w:val="bottom"/>
        </w:tcPr>
        <w:p w:rsidR="00731508" w:rsidRPr="00731508" w:rsidRDefault="00731508" w:rsidP="0073150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3C06">
            <w:rPr>
              <w:b/>
              <w:color w:val="000000"/>
            </w:rPr>
            <w:t>ECE/TRANS/WP.29/2016/14</w:t>
          </w:r>
          <w:r>
            <w:rPr>
              <w:b/>
              <w:color w:val="000000"/>
            </w:rPr>
            <w:fldChar w:fldCharType="end"/>
          </w:r>
        </w:p>
      </w:tc>
      <w:tc>
        <w:tcPr>
          <w:tcW w:w="5089" w:type="dxa"/>
          <w:shd w:val="clear" w:color="auto" w:fill="auto"/>
          <w:vAlign w:val="bottom"/>
        </w:tcPr>
        <w:p w:rsidR="00731508" w:rsidRDefault="00731508" w:rsidP="00731508">
          <w:pPr>
            <w:pStyle w:val="Header"/>
          </w:pPr>
        </w:p>
      </w:tc>
    </w:tr>
  </w:tbl>
  <w:p w:rsidR="00731508" w:rsidRPr="00731508" w:rsidRDefault="00731508" w:rsidP="0073150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731508" w:rsidTr="00731508">
      <w:trPr>
        <w:trHeight w:hRule="exact" w:val="864"/>
        <w:jc w:val="center"/>
      </w:trPr>
      <w:tc>
        <w:tcPr>
          <w:tcW w:w="4882" w:type="dxa"/>
          <w:shd w:val="clear" w:color="auto" w:fill="auto"/>
          <w:vAlign w:val="bottom"/>
        </w:tcPr>
        <w:p w:rsidR="00731508" w:rsidRDefault="00731508" w:rsidP="00731508">
          <w:pPr>
            <w:pStyle w:val="Header"/>
          </w:pPr>
        </w:p>
      </w:tc>
      <w:tc>
        <w:tcPr>
          <w:tcW w:w="5089" w:type="dxa"/>
          <w:shd w:val="clear" w:color="auto" w:fill="auto"/>
          <w:vAlign w:val="bottom"/>
        </w:tcPr>
        <w:p w:rsidR="00731508" w:rsidRPr="00731508" w:rsidRDefault="00731508" w:rsidP="0073150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3C06">
            <w:rPr>
              <w:b/>
              <w:color w:val="000000"/>
            </w:rPr>
            <w:t>ECE/TRANS/WP.29/2016/14</w:t>
          </w:r>
          <w:r>
            <w:rPr>
              <w:b/>
              <w:color w:val="000000"/>
            </w:rPr>
            <w:fldChar w:fldCharType="end"/>
          </w:r>
        </w:p>
      </w:tc>
    </w:tr>
  </w:tbl>
  <w:p w:rsidR="00731508" w:rsidRPr="00731508" w:rsidRDefault="00731508" w:rsidP="0073150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31508" w:rsidRPr="00436120" w:rsidTr="00731508">
      <w:trPr>
        <w:trHeight w:hRule="exact" w:val="864"/>
      </w:trPr>
      <w:tc>
        <w:tcPr>
          <w:tcW w:w="1267" w:type="dxa"/>
          <w:tcBorders>
            <w:bottom w:val="single" w:sz="4" w:space="0" w:color="auto"/>
          </w:tcBorders>
          <w:shd w:val="clear" w:color="auto" w:fill="auto"/>
          <w:vAlign w:val="bottom"/>
        </w:tcPr>
        <w:p w:rsidR="00731508" w:rsidRPr="00436120" w:rsidRDefault="00731508" w:rsidP="00731508">
          <w:pPr>
            <w:pStyle w:val="Header"/>
            <w:spacing w:after="120"/>
            <w:rPr>
              <w:lang w:val="fr-CH"/>
            </w:rPr>
          </w:pPr>
        </w:p>
      </w:tc>
      <w:tc>
        <w:tcPr>
          <w:tcW w:w="2059" w:type="dxa"/>
          <w:tcBorders>
            <w:bottom w:val="single" w:sz="4" w:space="0" w:color="auto"/>
          </w:tcBorders>
          <w:shd w:val="clear" w:color="auto" w:fill="auto"/>
          <w:vAlign w:val="bottom"/>
        </w:tcPr>
        <w:p w:rsidR="00731508" w:rsidRPr="00436120" w:rsidRDefault="00731508" w:rsidP="00731508">
          <w:pPr>
            <w:pStyle w:val="HCH"/>
            <w:spacing w:after="80"/>
            <w:rPr>
              <w:b w:val="0"/>
              <w:color w:val="010000"/>
              <w:spacing w:val="2"/>
              <w:w w:val="96"/>
              <w:lang w:val="fr-CH"/>
            </w:rPr>
          </w:pPr>
          <w:r w:rsidRPr="00436120">
            <w:rPr>
              <w:b w:val="0"/>
              <w:color w:val="010000"/>
              <w:spacing w:val="2"/>
              <w:w w:val="96"/>
              <w:lang w:val="fr-CH"/>
            </w:rPr>
            <w:t>Nations Unies</w:t>
          </w:r>
        </w:p>
      </w:tc>
      <w:tc>
        <w:tcPr>
          <w:tcW w:w="58" w:type="dxa"/>
          <w:tcBorders>
            <w:bottom w:val="single" w:sz="4" w:space="0" w:color="auto"/>
          </w:tcBorders>
          <w:shd w:val="clear" w:color="auto" w:fill="auto"/>
          <w:vAlign w:val="bottom"/>
        </w:tcPr>
        <w:p w:rsidR="00731508" w:rsidRPr="00436120" w:rsidRDefault="00731508" w:rsidP="00731508">
          <w:pPr>
            <w:pStyle w:val="Header"/>
            <w:spacing w:after="120"/>
            <w:rPr>
              <w:lang w:val="fr-CH"/>
            </w:rPr>
          </w:pPr>
        </w:p>
      </w:tc>
      <w:tc>
        <w:tcPr>
          <w:tcW w:w="6653" w:type="dxa"/>
          <w:gridSpan w:val="4"/>
          <w:tcBorders>
            <w:bottom w:val="single" w:sz="4" w:space="0" w:color="auto"/>
          </w:tcBorders>
          <w:shd w:val="clear" w:color="auto" w:fill="auto"/>
          <w:vAlign w:val="bottom"/>
        </w:tcPr>
        <w:p w:rsidR="00731508" w:rsidRPr="00436120" w:rsidRDefault="00731508" w:rsidP="00731508">
          <w:pPr>
            <w:spacing w:after="80" w:line="240" w:lineRule="auto"/>
            <w:jc w:val="right"/>
            <w:rPr>
              <w:position w:val="-4"/>
              <w:lang w:val="fr-CH"/>
            </w:rPr>
          </w:pPr>
          <w:r w:rsidRPr="00436120">
            <w:rPr>
              <w:position w:val="-4"/>
              <w:sz w:val="40"/>
              <w:lang w:val="fr-CH"/>
            </w:rPr>
            <w:t>ECE</w:t>
          </w:r>
          <w:r w:rsidRPr="00436120">
            <w:rPr>
              <w:position w:val="-4"/>
              <w:lang w:val="fr-CH"/>
            </w:rPr>
            <w:t>/TRANS/WP.29/2016/14</w:t>
          </w:r>
        </w:p>
      </w:tc>
    </w:tr>
    <w:tr w:rsidR="00731508" w:rsidRPr="00436120" w:rsidTr="00731508">
      <w:trPr>
        <w:gridAfter w:val="1"/>
        <w:wAfter w:w="18" w:type="dxa"/>
        <w:trHeight w:hRule="exact" w:val="2880"/>
      </w:trPr>
      <w:tc>
        <w:tcPr>
          <w:tcW w:w="1267" w:type="dxa"/>
          <w:tcBorders>
            <w:top w:val="single" w:sz="4" w:space="0" w:color="auto"/>
            <w:bottom w:val="single" w:sz="12" w:space="0" w:color="auto"/>
          </w:tcBorders>
          <w:shd w:val="clear" w:color="auto" w:fill="auto"/>
        </w:tcPr>
        <w:p w:rsidR="00731508" w:rsidRPr="00436120" w:rsidRDefault="00731508" w:rsidP="00731508">
          <w:pPr>
            <w:pStyle w:val="Header"/>
            <w:spacing w:before="120" w:line="240" w:lineRule="auto"/>
            <w:ind w:left="-72"/>
            <w:jc w:val="center"/>
            <w:rPr>
              <w:lang w:val="fr-CH"/>
            </w:rPr>
          </w:pPr>
          <w:r w:rsidRPr="00436120">
            <w:rPr>
              <w:lang w:val="fr-CH"/>
            </w:rPr>
            <w:t xml:space="preserve">  </w:t>
          </w:r>
          <w:r w:rsidRPr="00436120">
            <w:rPr>
              <w:noProof/>
              <w:lang w:val="en-GB" w:eastAsia="en-GB"/>
            </w:rPr>
            <w:drawing>
              <wp:inline distT="0" distB="0" distL="0" distR="0" wp14:anchorId="5B7ABCCB" wp14:editId="0EA99D6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31508" w:rsidRPr="00436120" w:rsidRDefault="00731508" w:rsidP="00731508">
          <w:pPr>
            <w:pStyle w:val="XLarge"/>
            <w:spacing w:before="109"/>
            <w:rPr>
              <w:lang w:val="fr-CH"/>
            </w:rPr>
          </w:pPr>
          <w:r w:rsidRPr="00436120">
            <w:rPr>
              <w:lang w:val="fr-CH"/>
            </w:rPr>
            <w:t>Conseil économique et social</w:t>
          </w:r>
        </w:p>
      </w:tc>
      <w:tc>
        <w:tcPr>
          <w:tcW w:w="245" w:type="dxa"/>
          <w:tcBorders>
            <w:top w:val="single" w:sz="4" w:space="0" w:color="auto"/>
            <w:bottom w:val="single" w:sz="12" w:space="0" w:color="auto"/>
          </w:tcBorders>
          <w:shd w:val="clear" w:color="auto" w:fill="auto"/>
        </w:tcPr>
        <w:p w:rsidR="00731508" w:rsidRPr="00436120" w:rsidRDefault="00731508" w:rsidP="00731508">
          <w:pPr>
            <w:pStyle w:val="Header"/>
            <w:spacing w:before="109"/>
            <w:rPr>
              <w:lang w:val="fr-CH"/>
            </w:rPr>
          </w:pPr>
        </w:p>
      </w:tc>
      <w:tc>
        <w:tcPr>
          <w:tcW w:w="3280" w:type="dxa"/>
          <w:tcBorders>
            <w:top w:val="single" w:sz="4" w:space="0" w:color="auto"/>
            <w:bottom w:val="single" w:sz="12" w:space="0" w:color="auto"/>
          </w:tcBorders>
          <w:shd w:val="clear" w:color="auto" w:fill="auto"/>
        </w:tcPr>
        <w:p w:rsidR="00731508" w:rsidRPr="00436120" w:rsidRDefault="00731508" w:rsidP="00731508">
          <w:pPr>
            <w:pStyle w:val="Distribution"/>
            <w:rPr>
              <w:color w:val="000000"/>
              <w:lang w:val="fr-CH"/>
            </w:rPr>
          </w:pPr>
          <w:proofErr w:type="spellStart"/>
          <w:r w:rsidRPr="00436120">
            <w:rPr>
              <w:color w:val="000000"/>
              <w:lang w:val="fr-CH"/>
            </w:rPr>
            <w:t>Distr</w:t>
          </w:r>
          <w:proofErr w:type="spellEnd"/>
          <w:r w:rsidRPr="00436120">
            <w:rPr>
              <w:color w:val="000000"/>
              <w:lang w:val="fr-CH"/>
            </w:rPr>
            <w:t>. générale</w:t>
          </w:r>
        </w:p>
        <w:p w:rsidR="00731508" w:rsidRPr="00436120" w:rsidRDefault="00731508" w:rsidP="00731508">
          <w:pPr>
            <w:pStyle w:val="Publication"/>
            <w:rPr>
              <w:color w:val="000000"/>
              <w:lang w:val="fr-CH"/>
            </w:rPr>
          </w:pPr>
          <w:r w:rsidRPr="00436120">
            <w:rPr>
              <w:color w:val="000000"/>
              <w:lang w:val="fr-CH"/>
            </w:rPr>
            <w:t>23 décembre 2015</w:t>
          </w:r>
        </w:p>
        <w:p w:rsidR="00731508" w:rsidRPr="00436120" w:rsidRDefault="00731508" w:rsidP="00731508">
          <w:pPr>
            <w:rPr>
              <w:lang w:val="fr-CH"/>
            </w:rPr>
          </w:pPr>
          <w:r w:rsidRPr="00436120">
            <w:rPr>
              <w:lang w:val="fr-CH"/>
            </w:rPr>
            <w:t>Français</w:t>
          </w:r>
        </w:p>
        <w:p w:rsidR="00731508" w:rsidRPr="00436120" w:rsidRDefault="00436120" w:rsidP="00731508">
          <w:pPr>
            <w:pStyle w:val="Original"/>
            <w:rPr>
              <w:color w:val="000000"/>
              <w:lang w:val="fr-CH"/>
            </w:rPr>
          </w:pPr>
          <w:r>
            <w:rPr>
              <w:color w:val="000000"/>
              <w:lang w:val="fr-CH"/>
            </w:rPr>
            <w:t>Original </w:t>
          </w:r>
          <w:r w:rsidR="00731508" w:rsidRPr="00436120">
            <w:rPr>
              <w:color w:val="000000"/>
              <w:lang w:val="fr-CH"/>
            </w:rPr>
            <w:t>: anglais</w:t>
          </w:r>
        </w:p>
      </w:tc>
    </w:tr>
  </w:tbl>
  <w:p w:rsidR="00731508" w:rsidRPr="00436120" w:rsidRDefault="00731508" w:rsidP="00731508">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99*"/>
    <w:docVar w:name="CreationDt" w:val="2/10/2016 5:37: PM"/>
    <w:docVar w:name="DocCategory" w:val="Doc"/>
    <w:docVar w:name="DocType" w:val="Final"/>
    <w:docVar w:name="DutyStation" w:val="Geneva"/>
    <w:docVar w:name="FooterJN" w:val="GE.15-22799"/>
    <w:docVar w:name="jobn" w:val="GE.15-22799 (F)"/>
    <w:docVar w:name="jobnDT" w:val="GE.15-22799 (F)   100216"/>
    <w:docVar w:name="jobnDTDT" w:val="GE.15-22799 (F)   100216   100216"/>
    <w:docVar w:name="JobNo" w:val="GE.1522799F"/>
    <w:docVar w:name="JobNo2" w:val="GE.1529173F"/>
    <w:docVar w:name="LocalDrive" w:val="0"/>
    <w:docVar w:name="OandT" w:val="N.Morin"/>
    <w:docVar w:name="PaperSize" w:val="A4"/>
    <w:docVar w:name="sss1" w:val="ECE/TRANS/WP.29/2016/14"/>
    <w:docVar w:name="sss2" w:val="-"/>
    <w:docVar w:name="Symbol1" w:val="ECE/TRANS/WP.29/2016/14"/>
    <w:docVar w:name="Symbol2" w:val="-"/>
  </w:docVars>
  <w:rsids>
    <w:rsidRoot w:val="006B1D4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481"/>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A7C"/>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74B97"/>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36120"/>
    <w:rsid w:val="00441593"/>
    <w:rsid w:val="00443A00"/>
    <w:rsid w:val="00443C06"/>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1D4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26E52"/>
    <w:rsid w:val="00731508"/>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B58FB"/>
    <w:rsid w:val="009C1815"/>
    <w:rsid w:val="009C5249"/>
    <w:rsid w:val="009C70D0"/>
    <w:rsid w:val="009C7F1B"/>
    <w:rsid w:val="009C7FF1"/>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36543"/>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6DD4"/>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539"/>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8AB"/>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31508"/>
    <w:rPr>
      <w:sz w:val="16"/>
      <w:szCs w:val="16"/>
    </w:rPr>
  </w:style>
  <w:style w:type="paragraph" w:styleId="CommentText">
    <w:name w:val="annotation text"/>
    <w:basedOn w:val="Normal"/>
    <w:link w:val="CommentTextChar"/>
    <w:uiPriority w:val="99"/>
    <w:semiHidden/>
    <w:unhideWhenUsed/>
    <w:rsid w:val="00731508"/>
    <w:pPr>
      <w:spacing w:line="240" w:lineRule="auto"/>
    </w:pPr>
    <w:rPr>
      <w:szCs w:val="20"/>
    </w:rPr>
  </w:style>
  <w:style w:type="character" w:customStyle="1" w:styleId="CommentTextChar">
    <w:name w:val="Comment Text Char"/>
    <w:basedOn w:val="DefaultParagraphFont"/>
    <w:link w:val="CommentText"/>
    <w:uiPriority w:val="99"/>
    <w:semiHidden/>
    <w:rsid w:val="0073150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31508"/>
    <w:rPr>
      <w:b/>
      <w:bCs/>
    </w:rPr>
  </w:style>
  <w:style w:type="character" w:customStyle="1" w:styleId="CommentSubjectChar">
    <w:name w:val="Comment Subject Char"/>
    <w:basedOn w:val="CommentTextChar"/>
    <w:link w:val="CommentSubject"/>
    <w:uiPriority w:val="99"/>
    <w:semiHidden/>
    <w:rsid w:val="00731508"/>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31508"/>
    <w:rPr>
      <w:sz w:val="16"/>
      <w:szCs w:val="16"/>
    </w:rPr>
  </w:style>
  <w:style w:type="paragraph" w:styleId="CommentText">
    <w:name w:val="annotation text"/>
    <w:basedOn w:val="Normal"/>
    <w:link w:val="CommentTextChar"/>
    <w:uiPriority w:val="99"/>
    <w:semiHidden/>
    <w:unhideWhenUsed/>
    <w:rsid w:val="00731508"/>
    <w:pPr>
      <w:spacing w:line="240" w:lineRule="auto"/>
    </w:pPr>
    <w:rPr>
      <w:szCs w:val="20"/>
    </w:rPr>
  </w:style>
  <w:style w:type="character" w:customStyle="1" w:styleId="CommentTextChar">
    <w:name w:val="Comment Text Char"/>
    <w:basedOn w:val="DefaultParagraphFont"/>
    <w:link w:val="CommentText"/>
    <w:uiPriority w:val="99"/>
    <w:semiHidden/>
    <w:rsid w:val="0073150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31508"/>
    <w:rPr>
      <w:b/>
      <w:bCs/>
    </w:rPr>
  </w:style>
  <w:style w:type="character" w:customStyle="1" w:styleId="CommentSubjectChar">
    <w:name w:val="Comment Subject Char"/>
    <w:basedOn w:val="CommentTextChar"/>
    <w:link w:val="CommentSubject"/>
    <w:uiPriority w:val="99"/>
    <w:semiHidden/>
    <w:rsid w:val="0073150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7DFE-AD7A-4289-87BB-A68701F9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2</cp:revision>
  <cp:lastPrinted>2016-02-11T08:36:00Z</cp:lastPrinted>
  <dcterms:created xsi:type="dcterms:W3CDTF">2016-02-11T09:49:00Z</dcterms:created>
  <dcterms:modified xsi:type="dcterms:W3CDTF">2016-02-11T09:49:00Z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1522799F</vt:lpwstr>
  </property>
  <property fmtid="{D5CDD505-2E9C-101B-9397-08002B2CF9AE}" pid="3" name="ODSRefJobNo">
    <vt:lpwstr>1529173F</vt:lpwstr>
  </property>
  <property fmtid="{D5CDD505-2E9C-101B-9397-08002B2CF9AE}" pid="4" name="Symbol1">
    <vt:lpwstr>ECE/TRANS/WP.29/2016/14</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100216</vt:lpwstr>
  </property>
</Properties>
</file>