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690BC7" w:rsidTr="00690BC7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2D00B2" w:rsidRDefault="00690BC7" w:rsidP="00690BC7">
            <w:pPr>
              <w:pStyle w:val="HCh"/>
              <w:spacing w:after="80"/>
              <w:rPr>
                <w:b w:val="0"/>
                <w:spacing w:val="2"/>
                <w:w w:val="96"/>
              </w:rPr>
            </w:pPr>
            <w:r>
              <w:rPr>
                <w:b w:val="0"/>
                <w:spacing w:val="2"/>
                <w:w w:val="96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D47EEA" w:rsidRDefault="00690BC7" w:rsidP="002C4357">
            <w:pPr>
              <w:jc w:val="right"/>
            </w:pPr>
            <w:r w:rsidRPr="00761AE0">
              <w:rPr>
                <w:sz w:val="40"/>
              </w:rPr>
              <w:t>ECE</w:t>
            </w:r>
            <w:r>
              <w:t>/TRANS/WP.11/2016/</w:t>
            </w:r>
            <w:r w:rsidR="002C4357">
              <w:t>10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46842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690BC7" w:rsidP="00690BC7">
            <w:pPr>
              <w:pStyle w:val="XLarge"/>
              <w:spacing w:before="109"/>
              <w:rPr>
                <w:szCs w:val="40"/>
              </w:rPr>
            </w:pPr>
            <w:r w:rsidRPr="00690BC7">
              <w:t>Экономический</w:t>
            </w:r>
            <w:r>
              <w:rPr>
                <w:b w:val="0"/>
                <w:szCs w:val="40"/>
              </w:rPr>
              <w:br/>
            </w:r>
            <w:r w:rsidRPr="00690BC7">
              <w:rPr>
                <w:szCs w:val="40"/>
              </w:rPr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61AE0" w:rsidP="00761AE0">
            <w:pPr>
              <w:spacing w:before="240" w:line="240" w:lineRule="exact"/>
            </w:pPr>
            <w:r>
              <w:t>Distr.: General</w:t>
            </w:r>
          </w:p>
          <w:p w:rsidR="00761AE0" w:rsidRDefault="008372E0" w:rsidP="00761AE0">
            <w:pPr>
              <w:spacing w:line="240" w:lineRule="exact"/>
            </w:pPr>
            <w:r>
              <w:t xml:space="preserve">19 </w:t>
            </w:r>
            <w:r w:rsidR="00761AE0">
              <w:t>July 2016</w:t>
            </w:r>
          </w:p>
          <w:p w:rsidR="00761AE0" w:rsidRDefault="00761AE0" w:rsidP="00761AE0">
            <w:pPr>
              <w:spacing w:line="240" w:lineRule="exact"/>
            </w:pPr>
          </w:p>
          <w:p w:rsidR="00761AE0" w:rsidRDefault="00761AE0" w:rsidP="00761AE0">
            <w:pPr>
              <w:spacing w:line="240" w:lineRule="exact"/>
            </w:pPr>
            <w:r>
              <w:t>Original: Russian</w:t>
            </w:r>
          </w:p>
        </w:tc>
      </w:tr>
    </w:tbl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  <w:t>Европейская экономическая комиссия</w:t>
      </w:r>
      <w:smartTag w:uri="urn:schemas-microsoft-com:office:smarttags" w:element="City"/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  <w:t>Комитет по внутреннему транспорту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</w:pP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br/>
        <w:t>пищевых продуктов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</w:pPr>
      <w:r w:rsidRPr="00690BC7"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  <w:t>Семьдесят вторая сессия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Женева, </w:t>
      </w:r>
      <w:r w:rsidRPr="002C1874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4</w:t>
      </w: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>–7 октября 2016</w:t>
      </w:r>
      <w:r w:rsidRPr="00690BC7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 года</w:t>
      </w:r>
    </w:p>
    <w:p w:rsidR="00690BC7" w:rsidRPr="002C1874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2C1874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Пункт 5 b) предварительной повестки дня</w:t>
      </w:r>
    </w:p>
    <w:p w:rsidR="008372E0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2C1874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Предложение по поправкам к СПС: </w:t>
      </w:r>
    </w:p>
    <w:p w:rsidR="00690BC7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2C1874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новые предложения</w:t>
      </w:r>
    </w:p>
    <w:p w:rsidR="00690BC7" w:rsidRDefault="00F57388" w:rsidP="00F57388">
      <w:pPr>
        <w:pStyle w:val="HChG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F3788B" w:rsidRPr="00F3788B">
        <w:rPr>
          <w:rFonts w:eastAsia="Calibri"/>
          <w:lang w:val="ru-RU"/>
        </w:rPr>
        <w:t xml:space="preserve">Дополнение СПС положениями о создании базы данных выданных Свидетельств СПС компетентными органами всех Договаривающихся сторон на официальном сайте Секретариата в сети Интернет, а также </w:t>
      </w:r>
      <w:r w:rsidR="00F3788B" w:rsidRPr="00F3788B">
        <w:rPr>
          <w:rFonts w:eastAsia="Calibri"/>
          <w:lang w:val="ru-RU"/>
        </w:rPr>
        <w:br/>
        <w:t>о том, чтобы компетентные органы Договаривающихся сторон публиковали на своих официальных сайтах в сети Интернет перечни всех выданных свидетельств СПС</w:t>
      </w:r>
    </w:p>
    <w:p w:rsidR="00F57388" w:rsidRDefault="00F57388" w:rsidP="00F57388">
      <w:pPr>
        <w:pStyle w:val="H1G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F57388">
        <w:rPr>
          <w:rFonts w:eastAsiaTheme="minorEastAsia"/>
          <w:lang w:val="ru-RU"/>
        </w:rPr>
        <w:t>Представлено Российской Федерацией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57388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E104BA" w:rsidRDefault="00F57388" w:rsidP="00376A89">
            <w:pPr>
              <w:spacing w:before="60" w:after="60"/>
              <w:ind w:left="255"/>
              <w:rPr>
                <w:i/>
                <w:sz w:val="24"/>
              </w:rPr>
            </w:pPr>
            <w:r w:rsidRPr="00E104BA">
              <w:rPr>
                <w:i/>
                <w:sz w:val="24"/>
                <w:lang w:val="ru-RU"/>
              </w:rPr>
              <w:t>РЕЗЮМЕ</w:t>
            </w:r>
          </w:p>
        </w:tc>
      </w:tr>
      <w:tr w:rsidR="00F57388" w:rsidRPr="002C1874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3788B" w:rsidRPr="00F3788B" w:rsidRDefault="00F57388" w:rsidP="00F3788B">
            <w:pPr>
              <w:pStyle w:val="SingleTxtG"/>
              <w:ind w:left="2836" w:hanging="2552"/>
              <w:rPr>
                <w:lang w:val="ru-RU"/>
              </w:rPr>
            </w:pPr>
            <w:r w:rsidRPr="002F144B">
              <w:rPr>
                <w:b/>
                <w:lang w:val="ru-RU"/>
              </w:rPr>
              <w:t>Существо предложения</w:t>
            </w:r>
            <w:r w:rsidRPr="00FA7CBD">
              <w:rPr>
                <w:b/>
                <w:lang w:val="ru-RU"/>
              </w:rPr>
              <w:t>:</w:t>
            </w:r>
            <w:r w:rsidRPr="00FA7CBD">
              <w:rPr>
                <w:b/>
                <w:lang w:val="ru-RU"/>
              </w:rPr>
              <w:tab/>
            </w:r>
            <w:r w:rsidR="00F3788B" w:rsidRPr="00F3788B">
              <w:rPr>
                <w:lang w:val="ru-RU"/>
              </w:rPr>
              <w:t xml:space="preserve">В СПС отсутствуют положения, касающиеся опубликования на официальных сайтах в сети Интернет компетентных органов перечней, выданных этими органами Свидетельств СПС. </w:t>
            </w:r>
          </w:p>
          <w:p w:rsidR="00F57388" w:rsidRPr="00FA7CBD" w:rsidRDefault="00F3788B" w:rsidP="00F3788B">
            <w:pPr>
              <w:pStyle w:val="SingleTxtG"/>
              <w:ind w:left="2836" w:hanging="9"/>
              <w:rPr>
                <w:lang w:val="ru-RU"/>
              </w:rPr>
            </w:pPr>
            <w:r w:rsidRPr="00F3788B">
              <w:rPr>
                <w:lang w:val="ru-RU"/>
              </w:rPr>
              <w:t>Вместе с тем является очевидным, что опубликование перечней всех выданных Свидетельств СПС компетентными органами на своих официальных сайтах в сети Интернет значительно бы облегчило процедуру подтверждения подлинности Свидетельств СПС.</w:t>
            </w:r>
          </w:p>
        </w:tc>
      </w:tr>
      <w:tr w:rsidR="00F57388" w:rsidRPr="002C1874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Предлагаемое решение:</w:t>
            </w:r>
            <w:r w:rsidRPr="00FA7CBD">
              <w:rPr>
                <w:b/>
                <w:lang w:val="ru-RU"/>
              </w:rPr>
              <w:tab/>
            </w:r>
            <w:r w:rsidR="00F3788B" w:rsidRPr="00F3788B">
              <w:rPr>
                <w:lang w:val="ru-RU"/>
              </w:rPr>
              <w:t>Включить в СПС дополнительно абзац 2 в пункт 3 добавления 1 Приложения 1, в котором будет содержаться информация о ведении компетентными органами договаривающихся сторон перечней выданных ими Свидетельств СПС на своих официальных сайтах в сети Интернет.</w:t>
            </w:r>
          </w:p>
        </w:tc>
      </w:tr>
      <w:tr w:rsidR="00F57388" w:rsidRPr="00CD60D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Справочная информация:</w:t>
            </w:r>
            <w:r w:rsidRPr="00FA7CBD">
              <w:rPr>
                <w:b/>
                <w:lang w:val="ru-RU"/>
              </w:rPr>
              <w:tab/>
            </w:r>
            <w:r w:rsidRPr="00F57388">
              <w:rPr>
                <w:lang w:val="ru-RU"/>
              </w:rPr>
              <w:t>Отсутствует.</w:t>
            </w:r>
          </w:p>
        </w:tc>
      </w:tr>
    </w:tbl>
    <w:p w:rsidR="0015631B" w:rsidRPr="00F3788B" w:rsidRDefault="0015631B" w:rsidP="0015631B">
      <w:pPr>
        <w:pStyle w:val="HChG"/>
        <w:rPr>
          <w:lang w:val="ru-RU"/>
        </w:rPr>
      </w:pPr>
      <w:r w:rsidRPr="00F3788B">
        <w:rPr>
          <w:lang w:val="ru-RU"/>
        </w:rPr>
        <w:lastRenderedPageBreak/>
        <w:tab/>
      </w:r>
      <w:r w:rsidRPr="00F3788B">
        <w:rPr>
          <w:lang w:val="ru-RU"/>
        </w:rPr>
        <w:tab/>
        <w:t>Введение</w:t>
      </w:r>
    </w:p>
    <w:p w:rsidR="00F3788B" w:rsidRPr="00F3788B" w:rsidRDefault="00F3788B" w:rsidP="00F3788B">
      <w:pPr>
        <w:pStyle w:val="SingleTxtG"/>
        <w:rPr>
          <w:rFonts w:eastAsiaTheme="minorHAnsi"/>
          <w:lang w:val="ru-RU"/>
        </w:rPr>
      </w:pPr>
      <w:r w:rsidRPr="00F3788B">
        <w:rPr>
          <w:lang w:val="ru-RU"/>
        </w:rPr>
        <w:t>1.</w:t>
      </w:r>
      <w:r w:rsidRPr="00F3788B">
        <w:rPr>
          <w:lang w:val="ru-RU"/>
        </w:rPr>
        <w:tab/>
        <w:t xml:space="preserve">На 71-й сессии WP.11 приняла к сведению предложения, содержащиеся </w:t>
      </w:r>
      <w:r w:rsidRPr="00F3788B">
        <w:rPr>
          <w:lang w:val="ru-RU"/>
        </w:rPr>
        <w:br/>
        <w:t>в документе ECE/</w:t>
      </w:r>
      <w:r w:rsidRPr="00F3788B">
        <w:rPr>
          <w:lang w:val="ru-RU"/>
        </w:rPr>
        <w:fldChar w:fldCharType="begin"/>
      </w:r>
      <w:r w:rsidRPr="00F3788B">
        <w:rPr>
          <w:lang w:val="ru-RU"/>
        </w:rPr>
        <w:instrText xml:space="preserve"> FILLIN  "Введите символ после ЕCE/"  \* MERGEFORMAT </w:instrText>
      </w:r>
      <w:r w:rsidRPr="00F3788B">
        <w:rPr>
          <w:lang w:val="ru-RU"/>
        </w:rPr>
        <w:fldChar w:fldCharType="separate"/>
      </w:r>
      <w:r w:rsidRPr="00F3788B">
        <w:rPr>
          <w:lang w:val="ru-RU"/>
        </w:rPr>
        <w:t>TRANS/WP.11/2015/4</w:t>
      </w:r>
      <w:r w:rsidRPr="00F3788B">
        <w:rPr>
          <w:lang w:val="ru-RU"/>
        </w:rPr>
        <w:fldChar w:fldCharType="end"/>
      </w:r>
      <w:r w:rsidRPr="00F3788B">
        <w:rPr>
          <w:lang w:val="ru-RU"/>
        </w:rPr>
        <w:t xml:space="preserve">, представленном секретариатом, </w:t>
      </w:r>
      <w:r w:rsidRPr="00F3788B">
        <w:rPr>
          <w:lang w:val="ru-RU"/>
        </w:rPr>
        <w:br/>
        <w:t xml:space="preserve">с тем, чтобы создать базу данных типовых сертификатов на публиковали </w:t>
      </w:r>
      <w:r w:rsidRPr="00F3788B">
        <w:rPr>
          <w:lang w:val="ru-RU"/>
        </w:rPr>
        <w:br/>
        <w:t xml:space="preserve">на официальном сайте Секретариата в сети Интернет и рекомендации о том, чтобы компетентные органы опубликовывали на публиковали на своих официальных сайтах в сети Интернет перечни всех выданных свидетельств СПС, с тем чтобы контролирующим органам было легче проверять подлинность свидетельств. </w:t>
      </w:r>
      <w:r w:rsidRPr="00F3788B">
        <w:rPr>
          <w:lang w:val="ru-RU"/>
        </w:rPr>
        <w:br/>
        <w:t>По мнению Российской Федерации, размещение такого перечня на своих официальных сайтах в сети Интернет должно входить в обязанность всех компетентных органов.</w:t>
      </w:r>
    </w:p>
    <w:p w:rsidR="00F3788B" w:rsidRPr="00F3788B" w:rsidRDefault="00F3788B" w:rsidP="00F3788B">
      <w:pPr>
        <w:pStyle w:val="SingleTxtG"/>
        <w:rPr>
          <w:lang w:val="ru-RU"/>
        </w:rPr>
      </w:pPr>
      <w:r w:rsidRPr="00F3788B">
        <w:rPr>
          <w:lang w:val="ru-RU"/>
        </w:rPr>
        <w:t>2.</w:t>
      </w:r>
      <w:r w:rsidRPr="00F3788B">
        <w:rPr>
          <w:lang w:val="ru-RU"/>
        </w:rPr>
        <w:tab/>
        <w:t xml:space="preserve">Если все испытательные станции, выдающие свидетельства СПС, </w:t>
      </w:r>
      <w:r w:rsidRPr="00F3788B">
        <w:rPr>
          <w:lang w:val="ru-RU"/>
        </w:rPr>
        <w:br/>
        <w:t>или компетентные органы опубликовали бы на своих официальных сайтах в сети Интернет перечень выданных свидетельств СПС, то можно было бы без труда проводить проверки с использованием информации других компетентных органов в тех случаях, когда возникают сомнения относительно подлинности какого-либо свидетельства СПС.</w:t>
      </w:r>
    </w:p>
    <w:p w:rsidR="00F3788B" w:rsidRPr="00F3788B" w:rsidRDefault="00F3788B" w:rsidP="00F3788B">
      <w:pPr>
        <w:pStyle w:val="SingleTxtG"/>
        <w:rPr>
          <w:lang w:val="ru-RU"/>
        </w:rPr>
      </w:pPr>
      <w:r w:rsidRPr="00F3788B">
        <w:rPr>
          <w:lang w:val="ru-RU"/>
        </w:rPr>
        <w:t>3.</w:t>
      </w:r>
      <w:r w:rsidRPr="00F3788B">
        <w:rPr>
          <w:lang w:val="ru-RU"/>
        </w:rPr>
        <w:tab/>
        <w:t>Секретариат также мог бы предусмотреть на своем официальном сайте в сети Интернет ссылку на перечни свидетельств, публикуемые испытательными станциями, выдающими свидетельства СПС, или компетентными органами.</w:t>
      </w:r>
    </w:p>
    <w:p w:rsidR="00F3788B" w:rsidRPr="00F3788B" w:rsidRDefault="00F3788B" w:rsidP="00F3788B">
      <w:pPr>
        <w:pStyle w:val="SingleTxtG"/>
        <w:rPr>
          <w:lang w:val="ru-RU"/>
        </w:rPr>
      </w:pPr>
      <w:r w:rsidRPr="00F3788B">
        <w:rPr>
          <w:lang w:val="ru-RU"/>
        </w:rPr>
        <w:t xml:space="preserve">4. </w:t>
      </w:r>
      <w:r w:rsidRPr="00F3788B">
        <w:rPr>
          <w:lang w:val="ru-RU"/>
        </w:rPr>
        <w:tab/>
        <w:t>В связи с вышеизложенным Российская Федерация подготовила официальный документ по данному вопросу, который выносит на обсуждение 72-й сессии WP.11.</w:t>
      </w:r>
    </w:p>
    <w:p w:rsidR="0015631B" w:rsidRDefault="00F3788B" w:rsidP="00F3788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3788B">
        <w:rPr>
          <w:lang w:val="ru-RU"/>
        </w:rPr>
        <w:t>Предложение для голосования</w:t>
      </w:r>
    </w:p>
    <w:p w:rsidR="00F3788B" w:rsidRPr="008372E0" w:rsidRDefault="00F3788B" w:rsidP="00F3788B">
      <w:pPr>
        <w:pStyle w:val="SingleTxtG"/>
        <w:rPr>
          <w:spacing w:val="-2"/>
          <w:lang w:val="ru-RU"/>
        </w:rPr>
      </w:pPr>
      <w:r w:rsidRPr="008372E0">
        <w:rPr>
          <w:spacing w:val="-2"/>
          <w:lang w:val="ru-RU"/>
        </w:rPr>
        <w:t xml:space="preserve">5. </w:t>
      </w:r>
      <w:r w:rsidRPr="008372E0">
        <w:rPr>
          <w:spacing w:val="-2"/>
          <w:lang w:val="ru-RU"/>
        </w:rPr>
        <w:tab/>
        <w:t>Включить в СПС дополнительно абзац 2 в пункт 3 добавления 1 Приложения 1: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lang w:val="ru-RU"/>
        </w:rPr>
        <w:t>«</w:t>
      </w:r>
      <w:r w:rsidRPr="00F3788B">
        <w:rPr>
          <w:u w:val="single"/>
          <w:lang w:val="ru-RU"/>
        </w:rPr>
        <w:t xml:space="preserve">Компетентные органы Договаривающихся сторон публикуют на своих официальных сайтах в сети Интернет перечни выданных ими свидетельств СПС. Опубликование перечня осуществляется на официальном языке Договаривающейся стороны </w:t>
      </w:r>
      <w:r w:rsidRPr="00F3788B">
        <w:rPr>
          <w:u w:val="single"/>
          <w:lang w:val="ru-RU"/>
        </w:rPr>
        <w:br/>
        <w:t>и на английском языке. В перечень вносится следующая информация: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1. Номер выданного свидетельства СПС</w:t>
      </w:r>
      <w:bookmarkStart w:id="0" w:name="_GoBack"/>
      <w:bookmarkEnd w:id="0"/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2. Тип транспортного средства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3. Идентификационный номер транспортного средства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4. Буквенное обозначение транспортного средства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5. Номер (а) протокола (ов) испытаний транспортного средства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6.Дата окончания срока действия свидетельства СПС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7. Информация о выдаче дубликата свидетельства СПС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u w:val="single"/>
          <w:lang w:val="ru-RU"/>
        </w:rPr>
        <w:t>8. Сокращенное наименование организации, получившей свидетельство СПС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lang w:val="ru-RU"/>
        </w:rPr>
        <w:t>Ссылки на актуальные перечни свидетельств, публикуемые компетентными органами Договаривающихся сторон, выдающими свидетельства СПС, размещены на официальном сайте Секретариата в сети Интернет».</w:t>
      </w:r>
    </w:p>
    <w:p w:rsidR="00F3788B" w:rsidRPr="00F3788B" w:rsidRDefault="00F3788B" w:rsidP="00F3788B">
      <w:pPr>
        <w:pStyle w:val="HChG"/>
        <w:rPr>
          <w:lang w:val="ru-RU"/>
        </w:rPr>
      </w:pPr>
      <w:r w:rsidRPr="00F3788B">
        <w:rPr>
          <w:lang w:val="ru-RU"/>
        </w:rPr>
        <w:lastRenderedPageBreak/>
        <w:tab/>
      </w:r>
      <w:r w:rsidRPr="00F3788B">
        <w:rPr>
          <w:lang w:val="ru-RU"/>
        </w:rPr>
        <w:tab/>
        <w:t>Издержки</w:t>
      </w:r>
    </w:p>
    <w:p w:rsidR="00F3788B" w:rsidRPr="00F3788B" w:rsidRDefault="00F3788B" w:rsidP="00F3788B">
      <w:pPr>
        <w:pStyle w:val="SingleTxtG"/>
        <w:rPr>
          <w:lang w:val="ru-RU"/>
        </w:rPr>
      </w:pPr>
      <w:r w:rsidRPr="00F3788B">
        <w:rPr>
          <w:lang w:val="ru-RU"/>
        </w:rPr>
        <w:t xml:space="preserve">6. </w:t>
      </w:r>
      <w:r w:rsidRPr="00F3788B">
        <w:rPr>
          <w:lang w:val="ru-RU"/>
        </w:rPr>
        <w:tab/>
        <w:t xml:space="preserve">Дополнительные издержки отсутствуют. </w:t>
      </w:r>
    </w:p>
    <w:p w:rsidR="00F3788B" w:rsidRPr="00F3788B" w:rsidRDefault="00F3788B" w:rsidP="00F3788B">
      <w:pPr>
        <w:pStyle w:val="HChG"/>
        <w:rPr>
          <w:lang w:val="ru-RU"/>
        </w:rPr>
      </w:pPr>
      <w:r w:rsidRPr="00F3788B">
        <w:rPr>
          <w:lang w:val="ru-RU"/>
        </w:rPr>
        <w:tab/>
      </w:r>
      <w:r w:rsidRPr="00F3788B">
        <w:rPr>
          <w:lang w:val="ru-RU"/>
        </w:rPr>
        <w:tab/>
        <w:t>Практическая осуществимость</w:t>
      </w:r>
    </w:p>
    <w:p w:rsidR="00F3788B" w:rsidRPr="00F3788B" w:rsidRDefault="00F3788B" w:rsidP="00F3788B">
      <w:pPr>
        <w:pStyle w:val="SingleTxtG"/>
        <w:rPr>
          <w:u w:val="single"/>
          <w:lang w:val="ru-RU"/>
        </w:rPr>
      </w:pPr>
      <w:r w:rsidRPr="00F3788B">
        <w:rPr>
          <w:lang w:val="ru-RU"/>
        </w:rPr>
        <w:t xml:space="preserve">7. </w:t>
      </w:r>
      <w:r w:rsidRPr="00F3788B">
        <w:rPr>
          <w:lang w:val="ru-RU"/>
        </w:rPr>
        <w:tab/>
        <w:t>Реализация указанного требования не является трудоемкой.</w:t>
      </w:r>
    </w:p>
    <w:p w:rsidR="00F3788B" w:rsidRPr="00F3788B" w:rsidRDefault="00F3788B" w:rsidP="00F3788B">
      <w:pPr>
        <w:pStyle w:val="HChG"/>
        <w:rPr>
          <w:lang w:val="ru-RU"/>
        </w:rPr>
      </w:pPr>
      <w:r w:rsidRPr="00F3788B">
        <w:rPr>
          <w:lang w:val="ru-RU"/>
        </w:rPr>
        <w:tab/>
      </w:r>
      <w:r w:rsidRPr="00F3788B">
        <w:rPr>
          <w:lang w:val="ru-RU"/>
        </w:rPr>
        <w:tab/>
        <w:t>Возможность обеспечения применения</w:t>
      </w:r>
    </w:p>
    <w:p w:rsidR="00F3788B" w:rsidRPr="00F3788B" w:rsidRDefault="00F3788B" w:rsidP="00F3788B">
      <w:pPr>
        <w:pStyle w:val="SingleTxtG"/>
        <w:rPr>
          <w:lang w:val="ru-RU"/>
        </w:rPr>
      </w:pPr>
      <w:r w:rsidRPr="00F3788B">
        <w:rPr>
          <w:lang w:val="ru-RU"/>
        </w:rPr>
        <w:t xml:space="preserve">8. </w:t>
      </w:r>
      <w:r w:rsidRPr="00F3788B">
        <w:rPr>
          <w:lang w:val="ru-RU"/>
        </w:rPr>
        <w:tab/>
        <w:t>Не предвидится никаких проблем с реализацией данного предложения.</w:t>
      </w:r>
    </w:p>
    <w:p w:rsidR="00A6129C" w:rsidRPr="0015631B" w:rsidRDefault="0015631B" w:rsidP="0015631B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A6129C" w:rsidRPr="0015631B" w:rsidSect="00761AE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E0" w:rsidRDefault="00761AE0"/>
  </w:endnote>
  <w:endnote w:type="continuationSeparator" w:id="0">
    <w:p w:rsidR="00761AE0" w:rsidRDefault="00761AE0"/>
  </w:endnote>
  <w:endnote w:type="continuationNotice" w:id="1">
    <w:p w:rsidR="00761AE0" w:rsidRDefault="0076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sz w:val="18"/>
      </w:rPr>
    </w:pP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8372E0">
      <w:rPr>
        <w:b/>
        <w:noProof/>
        <w:sz w:val="18"/>
      </w:rPr>
      <w:t>2</w:t>
    </w:r>
    <w:r w:rsidRPr="00761A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b/>
        <w:sz w:val="18"/>
      </w:rPr>
    </w:pPr>
    <w:r>
      <w:tab/>
    </w: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8372E0">
      <w:rPr>
        <w:b/>
        <w:noProof/>
        <w:sz w:val="18"/>
      </w:rPr>
      <w:t>3</w:t>
    </w:r>
    <w:r w:rsidRPr="00761A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E0" w:rsidRPr="000B175B" w:rsidRDefault="00761A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1AE0" w:rsidRPr="00FC68B7" w:rsidRDefault="00761A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1AE0" w:rsidRDefault="00761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F3788B">
    <w:pPr>
      <w:pStyle w:val="Header"/>
    </w:pPr>
    <w:r>
      <w:t>ECE/TRANS/WP.11/2016/10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F3788B" w:rsidP="00761AE0">
    <w:pPr>
      <w:pStyle w:val="Header"/>
      <w:jc w:val="right"/>
    </w:pPr>
    <w:r>
      <w:t>ECE/TRANS/WP.11/2016/10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D83C9C"/>
    <w:multiLevelType w:val="hybridMultilevel"/>
    <w:tmpl w:val="44084EE6"/>
    <w:lvl w:ilvl="0" w:tplc="2FE4C9CC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ru-RU" w:vendorID="64" w:dllVersion="131078" w:nlCheck="1" w:checkStyle="0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0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5631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86B4D"/>
    <w:rsid w:val="002C1874"/>
    <w:rsid w:val="002C4357"/>
    <w:rsid w:val="002D4643"/>
    <w:rsid w:val="002E0674"/>
    <w:rsid w:val="002F175C"/>
    <w:rsid w:val="00302E18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90BC7"/>
    <w:rsid w:val="006A2530"/>
    <w:rsid w:val="006C3589"/>
    <w:rsid w:val="006D37AF"/>
    <w:rsid w:val="006D51D0"/>
    <w:rsid w:val="006D5FB9"/>
    <w:rsid w:val="006E564B"/>
    <w:rsid w:val="006E7191"/>
    <w:rsid w:val="00703577"/>
    <w:rsid w:val="007048FD"/>
    <w:rsid w:val="00705894"/>
    <w:rsid w:val="0072632A"/>
    <w:rsid w:val="00726728"/>
    <w:rsid w:val="007327D5"/>
    <w:rsid w:val="00761AE0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372E0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684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F31E5F"/>
    <w:rsid w:val="00F3788B"/>
    <w:rsid w:val="00F57388"/>
    <w:rsid w:val="00F6100A"/>
    <w:rsid w:val="00F93781"/>
    <w:rsid w:val="00FA7D6D"/>
    <w:rsid w:val="00FB613B"/>
    <w:rsid w:val="00FC68B7"/>
    <w:rsid w:val="00FD3F98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BA00F08"/>
  <w15:docId w15:val="{DFEDCEAF-A9D6-40BD-899A-798223B8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Ch">
    <w:name w:val="_ H _Ch"/>
    <w:basedOn w:val="Normal"/>
    <w:next w:val="Normal"/>
    <w:qFormat/>
    <w:rsid w:val="00690BC7"/>
    <w:pPr>
      <w:keepNext/>
      <w:keepLines/>
      <w:spacing w:line="300" w:lineRule="exact"/>
      <w:outlineLvl w:val="0"/>
    </w:pPr>
    <w:rPr>
      <w:rFonts w:eastAsiaTheme="minorEastAsia"/>
      <w:b/>
      <w:spacing w:val="-2"/>
      <w:w w:val="103"/>
      <w:kern w:val="14"/>
      <w:sz w:val="28"/>
      <w:szCs w:val="22"/>
      <w:lang w:val="ru-RU" w:eastAsia="zh-CN"/>
    </w:rPr>
  </w:style>
  <w:style w:type="paragraph" w:customStyle="1" w:styleId="XLarge">
    <w:name w:val="XLarge"/>
    <w:basedOn w:val="Normal"/>
    <w:qFormat/>
    <w:rsid w:val="00690BC7"/>
    <w:pPr>
      <w:keepNext/>
      <w:keepLines/>
      <w:tabs>
        <w:tab w:val="right" w:leader="dot" w:pos="360"/>
      </w:tabs>
      <w:spacing w:line="390" w:lineRule="exact"/>
      <w:outlineLvl w:val="0"/>
    </w:pPr>
    <w:rPr>
      <w:rFonts w:eastAsiaTheme="minorEastAsia"/>
      <w:b/>
      <w:spacing w:val="-4"/>
      <w:w w:val="98"/>
      <w:kern w:val="14"/>
      <w:sz w:val="40"/>
      <w:szCs w:val="22"/>
      <w:lang w:val="ru-RU" w:eastAsia="zh-CN"/>
    </w:rPr>
  </w:style>
  <w:style w:type="character" w:customStyle="1" w:styleId="SingleTxtGChar">
    <w:name w:val="_ Single Txt_G Char"/>
    <w:link w:val="SingleTxtG"/>
    <w:rsid w:val="00F5738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C1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1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ECE/ADN/36</cp:lastModifiedBy>
  <cp:revision>5</cp:revision>
  <cp:lastPrinted>2009-10-26T10:59:00Z</cp:lastPrinted>
  <dcterms:created xsi:type="dcterms:W3CDTF">2016-07-01T15:49:00Z</dcterms:created>
  <dcterms:modified xsi:type="dcterms:W3CDTF">2016-07-19T15:28:00Z</dcterms:modified>
</cp:coreProperties>
</file>