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64" w:rsidRPr="00065C2E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napToGrid/>
          <w:szCs w:val="24"/>
          <w:lang w:val="de-DE" w:eastAsia="de-DE"/>
        </w:rPr>
      </w:pPr>
      <w:bookmarkStart w:id="0" w:name="_GoBack"/>
      <w:bookmarkEnd w:id="0"/>
      <w:r w:rsidRPr="00065C2E">
        <w:rPr>
          <w:rFonts w:ascii="Arial" w:hAnsi="Arial"/>
          <w:noProof/>
          <w:snapToGrid/>
          <w:lang w:eastAsia="en-GB"/>
        </w:rPr>
        <w:drawing>
          <wp:anchor distT="0" distB="0" distL="114300" distR="114300" simplePos="0" relativeHeight="251659776" behindDoc="0" locked="0" layoutInCell="1" allowOverlap="1" wp14:anchorId="3F39C762" wp14:editId="26A2CD2D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C2E">
        <w:rPr>
          <w:rFonts w:ascii="Arial" w:eastAsia="Arial" w:hAnsi="Arial" w:cs="Arial"/>
          <w:bCs/>
          <w:snapToGrid/>
          <w:szCs w:val="24"/>
          <w:lang w:val="de-DE" w:eastAsia="de-DE"/>
        </w:rPr>
        <w:t>CCNR-ZKR/ADN/WP.15/AC.2/5</w:t>
      </w:r>
      <w:r w:rsidR="00736231" w:rsidRPr="00065C2E">
        <w:rPr>
          <w:rFonts w:ascii="Arial" w:eastAsia="Arial" w:hAnsi="Arial" w:cs="Arial"/>
          <w:bCs/>
          <w:snapToGrid/>
          <w:szCs w:val="24"/>
          <w:lang w:val="de-DE" w:eastAsia="de-DE"/>
        </w:rPr>
        <w:t>7</w:t>
      </w:r>
    </w:p>
    <w:p w:rsidR="006D3464" w:rsidRPr="00065C2E" w:rsidRDefault="006D3464" w:rsidP="006D346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en-US" w:bidi="fr-FR"/>
        </w:rPr>
      </w:pPr>
      <w:r w:rsidRPr="00065C2E">
        <w:rPr>
          <w:rFonts w:ascii="Arial" w:hAnsi="Arial"/>
          <w:lang w:val="en-US" w:bidi="fr-FR"/>
        </w:rPr>
        <w:t>CCNR-ZKR/ADN/WP.15/AC.2/5</w:t>
      </w:r>
      <w:r w:rsidR="00736231" w:rsidRPr="00065C2E">
        <w:rPr>
          <w:rFonts w:ascii="Arial" w:hAnsi="Arial"/>
          <w:lang w:val="en-US" w:bidi="fr-FR"/>
        </w:rPr>
        <w:t>7</w:t>
      </w:r>
      <w:r w:rsidRPr="00065C2E">
        <w:rPr>
          <w:rFonts w:ascii="Arial" w:hAnsi="Arial"/>
          <w:lang w:val="en-US" w:bidi="fr-FR"/>
        </w:rPr>
        <w:t xml:space="preserve"> Add.1</w:t>
      </w:r>
    </w:p>
    <w:p w:rsidR="006D3464" w:rsidRPr="00065C2E" w:rsidRDefault="006D3464" w:rsidP="006D346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065C2E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6D3464" w:rsidRPr="00065C2E" w:rsidRDefault="00AB0007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 w:rsidRPr="00065C2E">
        <w:rPr>
          <w:rFonts w:ascii="Arial" w:eastAsia="Arial" w:hAnsi="Arial" w:cs="Arial"/>
          <w:snapToGrid/>
          <w:szCs w:val="24"/>
          <w:lang w:val="de-DE" w:eastAsia="de-DE"/>
        </w:rPr>
        <w:t>1</w:t>
      </w:r>
      <w:r w:rsidR="00736231" w:rsidRPr="00065C2E">
        <w:rPr>
          <w:rFonts w:ascii="Arial" w:eastAsia="Arial" w:hAnsi="Arial" w:cs="Arial"/>
          <w:snapToGrid/>
          <w:szCs w:val="24"/>
          <w:lang w:val="de-DE" w:eastAsia="de-DE"/>
        </w:rPr>
        <w:t>6</w:t>
      </w:r>
      <w:r w:rsidRPr="00065C2E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736231" w:rsidRPr="00065C2E">
        <w:rPr>
          <w:rFonts w:ascii="Arial" w:eastAsia="Arial" w:hAnsi="Arial" w:cs="Arial"/>
          <w:snapToGrid/>
          <w:szCs w:val="24"/>
          <w:lang w:val="de-DE" w:eastAsia="de-DE"/>
        </w:rPr>
        <w:t>November</w:t>
      </w:r>
      <w:r w:rsidRPr="00065C2E">
        <w:rPr>
          <w:rFonts w:ascii="Arial" w:eastAsia="Arial" w:hAnsi="Arial" w:cs="Arial"/>
          <w:snapToGrid/>
          <w:szCs w:val="24"/>
          <w:lang w:val="de-DE" w:eastAsia="de-DE"/>
        </w:rPr>
        <w:t xml:space="preserve"> 2015</w:t>
      </w:r>
    </w:p>
    <w:p w:rsidR="006D3464" w:rsidRPr="00065C2E" w:rsidRDefault="006D3464" w:rsidP="006D346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065C2E">
        <w:rPr>
          <w:rFonts w:ascii="Arial" w:eastAsia="Arial" w:hAnsi="Arial" w:cs="Arial"/>
          <w:snapToGrid/>
          <w:sz w:val="16"/>
          <w:szCs w:val="24"/>
          <w:lang w:val="de-DE" w:eastAsia="de-DE"/>
        </w:rPr>
        <w:t>Or.  ENGLISCH</w:t>
      </w:r>
    </w:p>
    <w:p w:rsidR="006D3464" w:rsidRPr="00065C2E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065C2E" w:rsidRDefault="006D3464" w:rsidP="006D346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6D3464" w:rsidRPr="00065C2E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GEMEINSAME EXPERTENTAGUNG FÜR DIE DEM ÜBEREINKOMMEN ÜBER DIE INTERNATIONALE BEFÖRDERUNG VON GEFÄHRLICHEN GÜTERN AUF BINNENWASSERSTRASSEN</w:t>
      </w:r>
    </w:p>
    <w:p w:rsidR="006D3464" w:rsidRPr="00065C2E" w:rsidRDefault="006D3464" w:rsidP="006D3464">
      <w:pPr>
        <w:suppressAutoHyphens w:val="0"/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BEIGEFÜGTE VERORDNUNG (ADN)</w:t>
      </w:r>
    </w:p>
    <w:p w:rsidR="006D3464" w:rsidRPr="00065C2E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(SICHERHEITSAUSSCHUSS)</w:t>
      </w:r>
    </w:p>
    <w:p w:rsidR="006D3464" w:rsidRPr="00065C2E" w:rsidRDefault="006D3464" w:rsidP="006D3464">
      <w:pPr>
        <w:tabs>
          <w:tab w:val="left" w:pos="2977"/>
        </w:tabs>
        <w:suppressAutoHyphens w:val="0"/>
        <w:spacing w:line="240" w:lineRule="auto"/>
        <w:ind w:left="4111" w:right="-2"/>
        <w:rPr>
          <w:rFonts w:ascii="Arial" w:hAnsi="Arial" w:cs="Arial"/>
          <w:sz w:val="16"/>
          <w:szCs w:val="16"/>
          <w:lang w:val="de-DE"/>
        </w:rPr>
      </w:pPr>
      <w:r w:rsidRPr="00065C2E">
        <w:rPr>
          <w:rFonts w:ascii="Arial" w:hAnsi="Arial" w:cs="Arial"/>
          <w:sz w:val="16"/>
          <w:szCs w:val="16"/>
          <w:lang w:val="de-DE"/>
        </w:rPr>
        <w:t>(27. Tagung, Genf, 2</w:t>
      </w:r>
      <w:r w:rsidR="00736231" w:rsidRPr="00065C2E">
        <w:rPr>
          <w:rFonts w:ascii="Arial" w:hAnsi="Arial" w:cs="Arial"/>
          <w:sz w:val="16"/>
          <w:szCs w:val="16"/>
          <w:lang w:val="de-DE"/>
        </w:rPr>
        <w:t>5</w:t>
      </w:r>
      <w:r w:rsidRPr="00065C2E">
        <w:rPr>
          <w:rFonts w:ascii="Arial" w:hAnsi="Arial" w:cs="Arial"/>
          <w:sz w:val="16"/>
          <w:szCs w:val="16"/>
          <w:lang w:val="de-DE"/>
        </w:rPr>
        <w:t>. bis 2</w:t>
      </w:r>
      <w:r w:rsidR="00736231" w:rsidRPr="00065C2E">
        <w:rPr>
          <w:rFonts w:ascii="Arial" w:hAnsi="Arial" w:cs="Arial"/>
          <w:sz w:val="16"/>
          <w:szCs w:val="16"/>
          <w:lang w:val="de-DE"/>
        </w:rPr>
        <w:t>9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. </w:t>
      </w:r>
      <w:r w:rsidR="00736231" w:rsidRPr="00065C2E">
        <w:rPr>
          <w:rFonts w:ascii="Arial" w:hAnsi="Arial" w:cs="Arial"/>
          <w:sz w:val="16"/>
          <w:szCs w:val="16"/>
          <w:lang w:val="de-DE"/>
        </w:rPr>
        <w:t>Januar</w:t>
      </w:r>
      <w:r w:rsidRPr="00065C2E">
        <w:rPr>
          <w:rFonts w:ascii="Arial" w:hAnsi="Arial" w:cs="Arial"/>
          <w:sz w:val="16"/>
          <w:szCs w:val="16"/>
          <w:lang w:val="de-DE"/>
        </w:rPr>
        <w:t xml:space="preserve"> 201</w:t>
      </w:r>
      <w:r w:rsidR="00736231" w:rsidRPr="00065C2E">
        <w:rPr>
          <w:rFonts w:ascii="Arial" w:hAnsi="Arial" w:cs="Arial"/>
          <w:sz w:val="16"/>
          <w:szCs w:val="16"/>
          <w:lang w:val="de-DE"/>
        </w:rPr>
        <w:t>6</w:t>
      </w:r>
      <w:r w:rsidRPr="00065C2E">
        <w:rPr>
          <w:rFonts w:ascii="Arial" w:hAnsi="Arial" w:cs="Arial"/>
          <w:sz w:val="16"/>
          <w:szCs w:val="16"/>
          <w:lang w:val="de-DE"/>
        </w:rPr>
        <w:t>)</w:t>
      </w:r>
    </w:p>
    <w:p w:rsidR="00D25F52" w:rsidRPr="00065C2E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sz w:val="16"/>
          <w:szCs w:val="24"/>
          <w:lang w:val="de-DE"/>
        </w:rPr>
      </w:pPr>
      <w:r w:rsidRPr="00065C2E">
        <w:rPr>
          <w:rFonts w:ascii="Arial" w:hAnsi="Arial"/>
          <w:noProof/>
          <w:sz w:val="16"/>
          <w:szCs w:val="24"/>
          <w:lang w:val="de-DE"/>
        </w:rPr>
        <w:t>Punkt 1 der vorläufigen Tagesordnung</w:t>
      </w:r>
    </w:p>
    <w:p w:rsidR="00D25F52" w:rsidRPr="00065C2E" w:rsidRDefault="00D25F52" w:rsidP="006D3464">
      <w:pPr>
        <w:tabs>
          <w:tab w:val="left" w:pos="2977"/>
        </w:tabs>
        <w:spacing w:line="240" w:lineRule="auto"/>
        <w:ind w:left="4111"/>
        <w:rPr>
          <w:rFonts w:ascii="Arial" w:hAnsi="Arial"/>
          <w:b/>
          <w:sz w:val="16"/>
          <w:szCs w:val="24"/>
          <w:lang w:val="de-DE"/>
        </w:rPr>
      </w:pPr>
      <w:r w:rsidRPr="00065C2E">
        <w:rPr>
          <w:rFonts w:ascii="Arial" w:hAnsi="Arial"/>
          <w:b/>
          <w:noProof/>
          <w:sz w:val="16"/>
          <w:szCs w:val="24"/>
          <w:lang w:val="de-DE"/>
        </w:rPr>
        <w:t>Annahme der Tagesordnung</w:t>
      </w: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rPr>
          <w:rFonts w:ascii="SimSun" w:eastAsia="SimSun"/>
          <w:szCs w:val="24"/>
          <w:lang w:val="de-DE"/>
        </w:rPr>
      </w:pPr>
    </w:p>
    <w:p w:rsidR="00D25F52" w:rsidRPr="00065C2E" w:rsidRDefault="00D25F52">
      <w:pPr>
        <w:spacing w:line="240" w:lineRule="auto"/>
        <w:jc w:val="center"/>
        <w:outlineLvl w:val="0"/>
        <w:rPr>
          <w:rFonts w:ascii="SimSun" w:eastAsia="SimSun"/>
          <w:sz w:val="28"/>
          <w:szCs w:val="24"/>
          <w:lang w:val="de-DE"/>
        </w:rPr>
      </w:pPr>
      <w:r w:rsidRPr="00065C2E">
        <w:rPr>
          <w:noProof/>
          <w:sz w:val="26"/>
          <w:szCs w:val="26"/>
          <w:lang w:val="de-DE"/>
        </w:rPr>
        <w:t xml:space="preserve">VORLÄUFIGE TAGESORDNUNG DER </w:t>
      </w:r>
      <w:r w:rsidR="007B0CA1" w:rsidRPr="00065C2E">
        <w:rPr>
          <w:noProof/>
          <w:sz w:val="26"/>
          <w:szCs w:val="26"/>
          <w:lang w:val="de-DE"/>
        </w:rPr>
        <w:t>ACHT</w:t>
      </w:r>
      <w:r w:rsidR="006D3464" w:rsidRPr="00065C2E">
        <w:rPr>
          <w:noProof/>
          <w:sz w:val="26"/>
          <w:szCs w:val="26"/>
          <w:lang w:val="de-DE"/>
        </w:rPr>
        <w:t>UNDZWANZIGSTEN SITZUNG</w:t>
      </w:r>
      <w:r w:rsidRPr="00065C2E">
        <w:rPr>
          <w:rFonts w:ascii="SimSun" w:eastAsia="SimSun"/>
          <w:noProof/>
          <w:szCs w:val="24"/>
          <w:vertAlign w:val="superscript"/>
          <w:lang w:val="de-DE"/>
        </w:rPr>
        <w:footnoteReference w:id="2"/>
      </w:r>
    </w:p>
    <w:p w:rsidR="00D25F52" w:rsidRPr="00065C2E" w:rsidRDefault="00D25F52">
      <w:pPr>
        <w:jc w:val="center"/>
        <w:rPr>
          <w:sz w:val="24"/>
          <w:szCs w:val="24"/>
          <w:lang w:val="de-DE"/>
        </w:rPr>
      </w:pPr>
      <w:r w:rsidRPr="00065C2E">
        <w:rPr>
          <w:noProof/>
          <w:sz w:val="24"/>
          <w:szCs w:val="24"/>
          <w:lang w:val="de-DE"/>
        </w:rPr>
        <w:t>die in Genf, Palais des Nations,</w:t>
      </w:r>
    </w:p>
    <w:p w:rsidR="006D3464" w:rsidRPr="00065C2E" w:rsidRDefault="00D25F52" w:rsidP="00C22B81">
      <w:pPr>
        <w:jc w:val="center"/>
        <w:rPr>
          <w:snapToGrid/>
          <w:lang w:val="de-DE" w:eastAsia="en-US"/>
        </w:rPr>
      </w:pPr>
      <w:r w:rsidRPr="00065C2E">
        <w:rPr>
          <w:noProof/>
          <w:sz w:val="24"/>
          <w:szCs w:val="24"/>
          <w:lang w:val="de-DE"/>
        </w:rPr>
        <w:t>von Montag, 2</w:t>
      </w:r>
      <w:r w:rsidR="00736231" w:rsidRPr="00065C2E">
        <w:rPr>
          <w:noProof/>
          <w:sz w:val="24"/>
          <w:szCs w:val="24"/>
          <w:lang w:val="de-DE"/>
        </w:rPr>
        <w:t>5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736231" w:rsidRPr="00065C2E">
        <w:rPr>
          <w:noProof/>
          <w:sz w:val="24"/>
          <w:szCs w:val="24"/>
          <w:lang w:val="de-DE"/>
        </w:rPr>
        <w:t>Januar</w:t>
      </w:r>
      <w:r w:rsidRPr="00065C2E">
        <w:rPr>
          <w:noProof/>
          <w:sz w:val="24"/>
          <w:szCs w:val="24"/>
          <w:lang w:val="de-DE"/>
        </w:rPr>
        <w:t xml:space="preserve"> 201</w:t>
      </w:r>
      <w:r w:rsidR="00736231" w:rsidRPr="00065C2E">
        <w:rPr>
          <w:noProof/>
          <w:sz w:val="24"/>
          <w:szCs w:val="24"/>
          <w:lang w:val="de-DE"/>
        </w:rPr>
        <w:t>6</w:t>
      </w:r>
      <w:r w:rsidRPr="00065C2E">
        <w:rPr>
          <w:noProof/>
          <w:sz w:val="24"/>
          <w:szCs w:val="24"/>
          <w:lang w:val="de-DE"/>
        </w:rPr>
        <w:t>, 10.00 Uhr, bis Freitag, 2</w:t>
      </w:r>
      <w:r w:rsidR="00736231" w:rsidRPr="00065C2E">
        <w:rPr>
          <w:noProof/>
          <w:sz w:val="24"/>
          <w:szCs w:val="24"/>
          <w:lang w:val="de-DE"/>
        </w:rPr>
        <w:t>9</w:t>
      </w:r>
      <w:r w:rsidRPr="00065C2E">
        <w:rPr>
          <w:noProof/>
          <w:sz w:val="24"/>
          <w:szCs w:val="24"/>
          <w:lang w:val="de-DE"/>
        </w:rPr>
        <w:t xml:space="preserve">. </w:t>
      </w:r>
      <w:r w:rsidR="00736231" w:rsidRPr="00065C2E">
        <w:rPr>
          <w:noProof/>
          <w:sz w:val="24"/>
          <w:szCs w:val="24"/>
          <w:lang w:val="de-DE"/>
        </w:rPr>
        <w:t>Januar</w:t>
      </w:r>
      <w:r w:rsidRPr="00065C2E">
        <w:rPr>
          <w:noProof/>
          <w:sz w:val="24"/>
          <w:szCs w:val="24"/>
          <w:lang w:val="de-DE"/>
        </w:rPr>
        <w:t xml:space="preserve"> 201</w:t>
      </w:r>
      <w:r w:rsidR="00736231" w:rsidRPr="00065C2E">
        <w:rPr>
          <w:noProof/>
          <w:sz w:val="24"/>
          <w:szCs w:val="24"/>
          <w:lang w:val="de-DE"/>
        </w:rPr>
        <w:t>6</w:t>
      </w:r>
      <w:r w:rsidRPr="00065C2E">
        <w:rPr>
          <w:noProof/>
          <w:sz w:val="24"/>
          <w:szCs w:val="24"/>
          <w:lang w:val="de-DE"/>
        </w:rPr>
        <w:t>, 12.00 Uhr, stattfindet</w:t>
      </w:r>
    </w:p>
    <w:p w:rsidR="00D25F52" w:rsidRPr="00065C2E" w:rsidRDefault="00D25F52">
      <w:pPr>
        <w:pStyle w:val="H1G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szCs w:val="24"/>
          <w:lang w:val="de-DE"/>
        </w:rPr>
        <w:tab/>
      </w:r>
      <w:r w:rsidRPr="00065C2E">
        <w:rPr>
          <w:noProof/>
          <w:szCs w:val="24"/>
          <w:lang w:val="de-DE"/>
        </w:rPr>
        <w:t>Addendum</w:t>
      </w:r>
    </w:p>
    <w:p w:rsidR="00D25F52" w:rsidRPr="00065C2E" w:rsidRDefault="00D25F52">
      <w:pPr>
        <w:pStyle w:val="H1G"/>
        <w:spacing w:line="280" w:lineRule="exact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szCs w:val="24"/>
          <w:lang w:val="de-DE"/>
        </w:rPr>
        <w:tab/>
        <w:t>Liste der Unterlagen gemäß Tagesordnungspunkten und Anmerkungen</w:t>
      </w:r>
    </w:p>
    <w:p w:rsidR="00D25F52" w:rsidRPr="00065C2E" w:rsidRDefault="00D25F52" w:rsidP="00AB0007">
      <w:pPr>
        <w:pStyle w:val="H23G"/>
        <w:numPr>
          <w:ilvl w:val="0"/>
          <w:numId w:val="34"/>
        </w:numPr>
        <w:rPr>
          <w:szCs w:val="24"/>
          <w:lang w:val="de-DE"/>
        </w:rPr>
      </w:pPr>
      <w:r w:rsidRPr="00065C2E">
        <w:rPr>
          <w:szCs w:val="24"/>
          <w:lang w:val="de-DE"/>
        </w:rPr>
        <w:t>Genehmigung der Tagesordnung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736231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065C2E">
              <w:rPr>
                <w:lang w:val="en-US"/>
              </w:rPr>
              <w:t>ECE/TRANS/WP.15/AC.2/5</w:t>
            </w:r>
            <w:r w:rsidR="00736231" w:rsidRPr="00065C2E">
              <w:rPr>
                <w:lang w:val="en-US"/>
              </w:rPr>
              <w:t>7</w:t>
            </w:r>
            <w:r w:rsidRPr="00065C2E">
              <w:rPr>
                <w:lang w:val="en-US"/>
              </w:rPr>
              <w:t xml:space="preserve"> (Sekretariat)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  <w:r w:rsidRPr="00065C2E">
              <w:rPr>
                <w:lang w:val="de-DE"/>
              </w:rPr>
              <w:t>Vorläufige Tagesordnung</w:t>
            </w:r>
          </w:p>
        </w:tc>
      </w:tr>
      <w:tr w:rsidR="00AB0007" w:rsidRPr="00C22B81" w:rsidTr="003C569F">
        <w:tc>
          <w:tcPr>
            <w:tcW w:w="4676" w:type="dxa"/>
            <w:shd w:val="clear" w:color="auto" w:fill="auto"/>
          </w:tcPr>
          <w:p w:rsidR="00AB0007" w:rsidRPr="00065C2E" w:rsidRDefault="00AB0007" w:rsidP="00736231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065C2E">
              <w:rPr>
                <w:lang w:val="en-US"/>
              </w:rPr>
              <w:t>ECE/TRANS/WP.15/AC.2/5</w:t>
            </w:r>
            <w:r w:rsidR="00736231" w:rsidRPr="00065C2E">
              <w:rPr>
                <w:lang w:val="en-US"/>
              </w:rPr>
              <w:t>7</w:t>
            </w:r>
            <w:r w:rsidRPr="00065C2E">
              <w:rPr>
                <w:lang w:val="en-US"/>
              </w:rPr>
              <w:t>/Add.1 (Sekretariat)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F85F08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65C2E">
              <w:rPr>
                <w:lang w:val="de-DE"/>
              </w:rPr>
              <w:t>Liste der Unterlagen gemäß Tagesordnungs</w:t>
            </w:r>
            <w:r w:rsidR="006D0A0B" w:rsidRPr="00065C2E">
              <w:rPr>
                <w:lang w:val="de-DE"/>
              </w:rPr>
              <w:softHyphen/>
            </w:r>
            <w:r w:rsidRPr="00065C2E">
              <w:rPr>
                <w:lang w:val="de-DE"/>
              </w:rPr>
              <w:t>punkten und Anmerkungen</w:t>
            </w:r>
          </w:p>
        </w:tc>
      </w:tr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65C2E">
              <w:rPr>
                <w:lang w:val="de-DE"/>
              </w:rPr>
              <w:t>Hintergrunddokumente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3C569F">
            <w:pPr>
              <w:pStyle w:val="SingleTxtG"/>
              <w:spacing w:before="40"/>
              <w:ind w:left="113"/>
              <w:rPr>
                <w:lang w:val="de-DE"/>
              </w:rPr>
            </w:pPr>
          </w:p>
        </w:tc>
      </w:tr>
      <w:tr w:rsidR="00AB0007" w:rsidRPr="00065C2E" w:rsidTr="003C569F">
        <w:tc>
          <w:tcPr>
            <w:tcW w:w="4676" w:type="dxa"/>
            <w:shd w:val="clear" w:color="auto" w:fill="auto"/>
          </w:tcPr>
          <w:p w:rsidR="00AB0007" w:rsidRPr="00065C2E" w:rsidRDefault="00AB0007" w:rsidP="007B0CA1">
            <w:pPr>
              <w:pStyle w:val="SingleTxtG"/>
              <w:spacing w:before="40"/>
              <w:ind w:right="140"/>
              <w:rPr>
                <w:lang w:val="de-DE"/>
              </w:rPr>
            </w:pPr>
            <w:r w:rsidRPr="00065C2E">
              <w:rPr>
                <w:lang w:val="de-DE"/>
              </w:rPr>
              <w:t>ECE/TRANS/243, Teil. I und II</w:t>
            </w:r>
            <w:r w:rsidR="00736231" w:rsidRPr="00065C2E">
              <w:rPr>
                <w:lang w:val="de-DE"/>
              </w:rPr>
              <w:t xml:space="preserve"> und Corr.</w:t>
            </w:r>
            <w:r w:rsidR="007B0CA1" w:rsidRPr="00065C2E">
              <w:rPr>
                <w:lang w:val="de-DE"/>
              </w:rPr>
              <w:t> </w:t>
            </w:r>
            <w:r w:rsidR="00736231" w:rsidRPr="00065C2E">
              <w:rPr>
                <w:lang w:val="de-DE"/>
              </w:rPr>
              <w:t>1-3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6D0A0B">
            <w:pPr>
              <w:pStyle w:val="SingleTxtG"/>
              <w:spacing w:before="40"/>
              <w:ind w:left="113" w:right="708"/>
              <w:rPr>
                <w:lang w:val="de-DE"/>
              </w:rPr>
            </w:pPr>
            <w:r w:rsidRPr="00065C2E">
              <w:rPr>
                <w:lang w:val="de-DE"/>
              </w:rPr>
              <w:t>ADN 2015</w:t>
            </w:r>
            <w:r w:rsidR="00736231" w:rsidRPr="00065C2E">
              <w:rPr>
                <w:lang w:val="de-DE"/>
              </w:rPr>
              <w:t xml:space="preserve"> (konsolidierter </w:t>
            </w:r>
            <w:r w:rsidR="006D0A0B" w:rsidRPr="00065C2E">
              <w:rPr>
                <w:lang w:val="de-DE"/>
              </w:rPr>
              <w:t>T</w:t>
            </w:r>
            <w:r w:rsidR="00736231" w:rsidRPr="00065C2E">
              <w:rPr>
                <w:lang w:val="de-DE"/>
              </w:rPr>
              <w:t>ext)</w:t>
            </w:r>
          </w:p>
        </w:tc>
      </w:tr>
      <w:tr w:rsidR="00AB0007" w:rsidRPr="00C22B81" w:rsidTr="003C569F">
        <w:tc>
          <w:tcPr>
            <w:tcW w:w="4676" w:type="dxa"/>
            <w:shd w:val="clear" w:color="auto" w:fill="auto"/>
          </w:tcPr>
          <w:p w:rsidR="00AB0007" w:rsidRPr="00065C2E" w:rsidRDefault="00AB0007" w:rsidP="00736231">
            <w:pPr>
              <w:pStyle w:val="SingleTxtG"/>
              <w:spacing w:before="40"/>
              <w:ind w:right="0"/>
              <w:rPr>
                <w:lang w:val="de-DE"/>
              </w:rPr>
            </w:pPr>
            <w:r w:rsidRPr="00065C2E">
              <w:rPr>
                <w:lang w:val="de-DE"/>
              </w:rPr>
              <w:t>ECE/TRANS/WP.15/AC.2/5</w:t>
            </w:r>
            <w:r w:rsidR="00736231" w:rsidRPr="00065C2E">
              <w:rPr>
                <w:lang w:val="de-DE"/>
              </w:rPr>
              <w:t>6</w:t>
            </w:r>
          </w:p>
        </w:tc>
        <w:tc>
          <w:tcPr>
            <w:tcW w:w="3829" w:type="dxa"/>
            <w:shd w:val="clear" w:color="auto" w:fill="auto"/>
          </w:tcPr>
          <w:p w:rsidR="00AB0007" w:rsidRPr="00065C2E" w:rsidRDefault="00AB0007" w:rsidP="00736231">
            <w:pPr>
              <w:pStyle w:val="SingleTxtG"/>
              <w:spacing w:before="40"/>
              <w:ind w:left="113" w:right="113"/>
              <w:rPr>
                <w:lang w:val="de-DE"/>
              </w:rPr>
            </w:pPr>
            <w:r w:rsidRPr="00065C2E">
              <w:rPr>
                <w:lang w:val="de-DE"/>
              </w:rPr>
              <w:t xml:space="preserve">Protokoll über die </w:t>
            </w:r>
            <w:r w:rsidR="00736231" w:rsidRPr="00065C2E">
              <w:rPr>
                <w:lang w:val="de-DE"/>
              </w:rPr>
              <w:t>sieben</w:t>
            </w:r>
            <w:r w:rsidRPr="00065C2E">
              <w:rPr>
                <w:lang w:val="de-DE"/>
              </w:rPr>
              <w:t>undzwanzigste Sitzung des ADN-Sicherheitsausschusses</w:t>
            </w:r>
          </w:p>
        </w:tc>
      </w:tr>
    </w:tbl>
    <w:p w:rsidR="00E23524" w:rsidRPr="00065C2E" w:rsidRDefault="00736231" w:rsidP="00E23524">
      <w:pPr>
        <w:pStyle w:val="H23G"/>
        <w:rPr>
          <w:szCs w:val="24"/>
          <w:lang w:val="de-DE"/>
        </w:rPr>
      </w:pPr>
      <w:r w:rsidRPr="00065C2E">
        <w:rPr>
          <w:snapToGrid/>
          <w:lang w:val="de-DE" w:eastAsia="en-US"/>
        </w:rPr>
        <w:tab/>
        <w:t>2.</w:t>
      </w:r>
      <w:r w:rsidRPr="00065C2E">
        <w:rPr>
          <w:snapToGrid/>
          <w:lang w:val="de-DE" w:eastAsia="en-US"/>
        </w:rPr>
        <w:tab/>
      </w:r>
      <w:r w:rsidR="00E23524" w:rsidRPr="00065C2E">
        <w:rPr>
          <w:szCs w:val="24"/>
          <w:lang w:val="de-DE"/>
        </w:rPr>
        <w:t>Wahl des Büros für das Jahr 2016</w:t>
      </w:r>
    </w:p>
    <w:p w:rsidR="00E23524" w:rsidRPr="00065C2E" w:rsidRDefault="00E23524" w:rsidP="00E23524">
      <w:pPr>
        <w:pStyle w:val="SingleTxtG"/>
        <w:rPr>
          <w:szCs w:val="24"/>
          <w:lang w:val="de-DE"/>
        </w:rPr>
      </w:pPr>
      <w:r w:rsidRPr="00065C2E">
        <w:rPr>
          <w:szCs w:val="24"/>
          <w:lang w:val="de-DE"/>
        </w:rPr>
        <w:tab/>
        <w:t>Der Sicherheitsausschuss ist aufgefordert, für seine Sitzungen im Jahr 2016 einen Vorsitzenden und einen stellvertretenden Vorsitzenden zu wählen.</w:t>
      </w:r>
    </w:p>
    <w:p w:rsidR="00CE335E" w:rsidRPr="00065C2E" w:rsidRDefault="00CE335E">
      <w:pPr>
        <w:suppressAutoHyphens w:val="0"/>
        <w:spacing w:line="240" w:lineRule="auto"/>
        <w:rPr>
          <w:b/>
          <w:snapToGrid/>
          <w:lang w:val="de-DE" w:eastAsia="en-US"/>
        </w:rPr>
      </w:pPr>
      <w:r w:rsidRPr="00065C2E">
        <w:rPr>
          <w:snapToGrid/>
          <w:lang w:val="de-DE" w:eastAsia="en-US"/>
        </w:rPr>
        <w:br w:type="page"/>
      </w:r>
    </w:p>
    <w:p w:rsidR="00CA31F7" w:rsidRPr="00065C2E" w:rsidRDefault="00736231" w:rsidP="00CA31F7">
      <w:pPr>
        <w:pStyle w:val="H23G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lastRenderedPageBreak/>
        <w:tab/>
        <w:t>3.</w:t>
      </w:r>
      <w:r w:rsidRPr="00065C2E">
        <w:rPr>
          <w:snapToGrid/>
          <w:lang w:val="de-DE" w:eastAsia="en-US"/>
        </w:rPr>
        <w:tab/>
      </w:r>
      <w:r w:rsidR="00CA31F7" w:rsidRPr="00065C2E">
        <w:rPr>
          <w:snapToGrid/>
          <w:lang w:val="de-DE" w:eastAsia="en-US"/>
        </w:rPr>
        <w:t>Fragen im Zusammenhang mit den Arbeiten der Organe der Vereinten Nationen oder anderer Organisationen</w:t>
      </w:r>
    </w:p>
    <w:p w:rsidR="00CA31F7" w:rsidRPr="00065C2E" w:rsidRDefault="00CA31F7" w:rsidP="00CA31F7">
      <w:pPr>
        <w:spacing w:after="120"/>
        <w:ind w:left="1134" w:right="1134" w:firstLine="558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Der Sicherheitsausschuss könnte sich über die Tätigkeiten anderer Organe und Organisationen informieren, die seine Arbeit betreffen.</w:t>
      </w:r>
    </w:p>
    <w:p w:rsidR="00736231" w:rsidRPr="00065C2E" w:rsidRDefault="00A40468" w:rsidP="00512C4D">
      <w:pPr>
        <w:spacing w:after="120"/>
        <w:ind w:left="1134" w:right="1134" w:firstLine="558"/>
        <w:jc w:val="both"/>
        <w:rPr>
          <w:snapToGrid/>
          <w:lang w:val="de-DE" w:eastAsia="en-US"/>
        </w:rPr>
      </w:pPr>
      <w:r w:rsidRPr="00065C2E">
        <w:rPr>
          <w:snapToGrid/>
          <w:w w:val="103"/>
          <w:lang w:val="de-DE" w:eastAsia="en-US"/>
        </w:rPr>
        <w:t>Der Sicherheitsausschuss wird über die v</w:t>
      </w:r>
      <w:r w:rsidR="00512C4D" w:rsidRPr="00065C2E">
        <w:rPr>
          <w:snapToGrid/>
          <w:w w:val="103"/>
          <w:lang w:val="de-DE" w:eastAsia="en-US"/>
        </w:rPr>
        <w:t>om Sekretariat der UN-ECE durchge</w:t>
      </w:r>
      <w:r w:rsidRPr="00065C2E">
        <w:rPr>
          <w:snapToGrid/>
          <w:w w:val="103"/>
          <w:lang w:val="de-DE" w:eastAsia="en-US"/>
        </w:rPr>
        <w:t>führ</w:t>
      </w:r>
      <w:r w:rsidR="00512C4D" w:rsidRPr="00065C2E">
        <w:rPr>
          <w:snapToGrid/>
          <w:w w:val="103"/>
          <w:lang w:val="de-DE" w:eastAsia="en-US"/>
        </w:rPr>
        <w:t>t</w:t>
      </w:r>
      <w:r w:rsidRPr="00065C2E">
        <w:rPr>
          <w:snapToGrid/>
          <w:w w:val="103"/>
          <w:lang w:val="de-DE" w:eastAsia="en-US"/>
        </w:rPr>
        <w:t>e Bewertung der globalen und regionalen Auswirkungen der UN-ECE-</w:t>
      </w:r>
      <w:r w:rsidR="00512C4D" w:rsidRPr="00065C2E">
        <w:rPr>
          <w:snapToGrid/>
          <w:w w:val="103"/>
          <w:lang w:val="de-DE" w:eastAsia="en-US"/>
        </w:rPr>
        <w:t>Regelungen</w:t>
      </w:r>
      <w:r w:rsidRPr="00065C2E">
        <w:rPr>
          <w:snapToGrid/>
          <w:w w:val="103"/>
          <w:lang w:val="de-DE" w:eastAsia="en-US"/>
        </w:rPr>
        <w:t xml:space="preserve"> und </w:t>
      </w:r>
      <w:r w:rsidR="00512C4D" w:rsidRPr="00065C2E">
        <w:rPr>
          <w:snapToGrid/>
          <w:w w:val="103"/>
          <w:lang w:val="de-DE" w:eastAsia="en-US"/>
        </w:rPr>
        <w:t xml:space="preserve">der </w:t>
      </w:r>
      <w:r w:rsidRPr="00065C2E">
        <w:rPr>
          <w:snapToGrid/>
          <w:w w:val="103"/>
          <w:lang w:val="de-DE" w:eastAsia="en-US"/>
        </w:rPr>
        <w:t xml:space="preserve">UN-Empfehlungen </w:t>
      </w:r>
      <w:r w:rsidR="00512C4D" w:rsidRPr="00065C2E">
        <w:rPr>
          <w:snapToGrid/>
          <w:w w:val="103"/>
          <w:lang w:val="de-DE" w:eastAsia="en-US"/>
        </w:rPr>
        <w:t>für</w:t>
      </w:r>
      <w:r w:rsidRPr="00065C2E">
        <w:rPr>
          <w:snapToGrid/>
          <w:w w:val="103"/>
          <w:lang w:val="de-DE" w:eastAsia="en-US"/>
        </w:rPr>
        <w:t xml:space="preserve"> die Beförderung </w:t>
      </w:r>
      <w:r w:rsidR="00512C4D" w:rsidRPr="00065C2E">
        <w:rPr>
          <w:snapToGrid/>
          <w:w w:val="103"/>
          <w:lang w:val="de-DE" w:eastAsia="en-US"/>
        </w:rPr>
        <w:t>gefährlicher Güter informiert werden.</w:t>
      </w:r>
    </w:p>
    <w:p w:rsidR="00CA31F7" w:rsidRPr="00065C2E" w:rsidRDefault="00736231" w:rsidP="00512C4D">
      <w:pPr>
        <w:pStyle w:val="H23G"/>
        <w:rPr>
          <w:szCs w:val="24"/>
          <w:lang w:val="de-DE"/>
        </w:rPr>
      </w:pPr>
      <w:r w:rsidRPr="00065C2E">
        <w:rPr>
          <w:snapToGrid/>
          <w:lang w:val="de-DE" w:eastAsia="en-US"/>
        </w:rPr>
        <w:tab/>
        <w:t>4.</w:t>
      </w:r>
      <w:r w:rsidRPr="00065C2E">
        <w:rPr>
          <w:snapToGrid/>
          <w:lang w:val="de-DE" w:eastAsia="en-US"/>
        </w:rPr>
        <w:tab/>
      </w:r>
      <w:r w:rsidR="00CA31F7" w:rsidRPr="00065C2E">
        <w:rPr>
          <w:szCs w:val="24"/>
          <w:lang w:val="de-DE"/>
        </w:rPr>
        <w:t>Durchführung des Europäischen Übereinkommens über die internationale Beförderung von gefährlichen Gütern auf Binnenwasserstraßen (ADN)</w:t>
      </w:r>
    </w:p>
    <w:p w:rsidR="00CA31F7" w:rsidRPr="00065C2E" w:rsidRDefault="00CA31F7" w:rsidP="00CA31F7">
      <w:pPr>
        <w:pStyle w:val="SingleTxtG"/>
        <w:rPr>
          <w:szCs w:val="24"/>
          <w:lang w:val="de-DE"/>
        </w:rPr>
      </w:pPr>
      <w:r w:rsidRPr="00065C2E">
        <w:rPr>
          <w:szCs w:val="24"/>
          <w:lang w:val="de-DE"/>
        </w:rPr>
        <w:tab/>
      </w:r>
      <w:r w:rsidRPr="00065C2E">
        <w:rPr>
          <w:noProof/>
          <w:szCs w:val="24"/>
          <w:lang w:val="de-DE"/>
        </w:rPr>
        <w:t>a)</w:t>
      </w:r>
      <w:r w:rsidRPr="00065C2E">
        <w:rPr>
          <w:szCs w:val="24"/>
          <w:lang w:val="de-DE"/>
        </w:rPr>
        <w:tab/>
        <w:t>Status des ADN</w:t>
      </w:r>
    </w:p>
    <w:p w:rsidR="00CA31F7" w:rsidRPr="00065C2E" w:rsidRDefault="00CA31F7" w:rsidP="00CA31F7">
      <w:pPr>
        <w:pStyle w:val="SingleTxtG"/>
        <w:rPr>
          <w:szCs w:val="24"/>
          <w:lang w:val="de-DE"/>
        </w:rPr>
      </w:pPr>
      <w:r w:rsidRPr="00065C2E">
        <w:rPr>
          <w:szCs w:val="24"/>
          <w:lang w:val="de-DE"/>
        </w:rPr>
        <w:tab/>
        <w:t>Der Sicherheitsausschuss wird über den Status des ADN informiert werden.</w:t>
      </w:r>
    </w:p>
    <w:p w:rsidR="00CA31F7" w:rsidRPr="00065C2E" w:rsidRDefault="00CA31F7" w:rsidP="00CA31F7">
      <w:pPr>
        <w:pStyle w:val="SingleTxtG"/>
        <w:rPr>
          <w:szCs w:val="24"/>
          <w:lang w:val="en-US"/>
        </w:rPr>
      </w:pPr>
      <w:r w:rsidRPr="00065C2E">
        <w:rPr>
          <w:szCs w:val="24"/>
          <w:lang w:val="de-DE"/>
        </w:rPr>
        <w:tab/>
      </w:r>
      <w:r w:rsidRPr="00065C2E">
        <w:rPr>
          <w:noProof/>
          <w:szCs w:val="24"/>
          <w:lang w:val="en-US"/>
        </w:rPr>
        <w:t>b)</w:t>
      </w:r>
      <w:r w:rsidRPr="00065C2E">
        <w:rPr>
          <w:szCs w:val="24"/>
          <w:lang w:val="en-US"/>
        </w:rPr>
        <w:tab/>
        <w:t>Ausnahmegenehmigungen, Abweichungen und Gleichwertigkeiten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36231" w:rsidRPr="006B5D2B" w:rsidTr="00512C4D">
        <w:tc>
          <w:tcPr>
            <w:tcW w:w="4912" w:type="dxa"/>
            <w:shd w:val="clear" w:color="auto" w:fill="auto"/>
          </w:tcPr>
          <w:p w:rsidR="00736231" w:rsidRPr="00065C2E" w:rsidRDefault="00736231" w:rsidP="00CA31F7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INF.02 (</w:t>
            </w:r>
            <w:r w:rsidR="00CA31F7" w:rsidRPr="00065C2E">
              <w:rPr>
                <w:snapToGrid/>
                <w:lang w:eastAsia="en-US"/>
              </w:rPr>
              <w:t>Niederlande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190C5F" w:rsidP="006B5D2B">
            <w:pPr>
              <w:spacing w:before="40" w:after="120"/>
              <w:ind w:left="113" w:right="113"/>
              <w:jc w:val="both"/>
              <w:rPr>
                <w:lang w:val="de-DE"/>
              </w:rPr>
            </w:pPr>
            <w:r w:rsidRPr="00065C2E">
              <w:rPr>
                <w:szCs w:val="24"/>
                <w:lang w:val="de-DE"/>
              </w:rPr>
              <w:t>Ausnahmegenehmigungen</w:t>
            </w:r>
            <w:r w:rsidRPr="00065C2E">
              <w:rPr>
                <w:lang w:val="de-DE"/>
              </w:rPr>
              <w:t xml:space="preserve"> für UN</w:t>
            </w:r>
            <w:r w:rsidR="006B5D2B">
              <w:rPr>
                <w:lang w:val="de-DE"/>
              </w:rPr>
              <w:t>­</w:t>
            </w:r>
            <w:r w:rsidRPr="00065C2E">
              <w:rPr>
                <w:lang w:val="de-DE"/>
              </w:rPr>
              <w:t>Nr.</w:t>
            </w:r>
            <w:r w:rsidR="006B5D2B">
              <w:rPr>
                <w:lang w:val="de-DE"/>
              </w:rPr>
              <w:t> </w:t>
            </w:r>
            <w:r w:rsidR="00736231" w:rsidRPr="00065C2E">
              <w:rPr>
                <w:lang w:val="de-DE"/>
              </w:rPr>
              <w:t xml:space="preserve">2187 </w:t>
            </w:r>
            <w:r w:rsidRPr="00065C2E">
              <w:rPr>
                <w:lang w:val="de-DE"/>
              </w:rPr>
              <w:t>und</w:t>
            </w:r>
            <w:r w:rsidR="00736231" w:rsidRPr="00065C2E">
              <w:rPr>
                <w:lang w:val="de-DE"/>
              </w:rPr>
              <w:t xml:space="preserve"> UN</w:t>
            </w:r>
            <w:r w:rsidRPr="00065C2E">
              <w:rPr>
                <w:lang w:val="de-DE"/>
              </w:rPr>
              <w:t>-</w:t>
            </w:r>
            <w:r w:rsidR="00736231" w:rsidRPr="00065C2E">
              <w:rPr>
                <w:lang w:val="de-DE"/>
              </w:rPr>
              <w:t>N</w:t>
            </w:r>
            <w:r w:rsidRPr="00065C2E">
              <w:rPr>
                <w:lang w:val="de-DE"/>
              </w:rPr>
              <w:t>r.</w:t>
            </w:r>
            <w:r w:rsidR="00736231" w:rsidRPr="00065C2E">
              <w:rPr>
                <w:lang w:val="de-DE"/>
              </w:rPr>
              <w:t xml:space="preserve"> 3295</w:t>
            </w:r>
          </w:p>
        </w:tc>
      </w:tr>
      <w:tr w:rsidR="00736231" w:rsidRPr="00C22B81" w:rsidTr="00512C4D">
        <w:tc>
          <w:tcPr>
            <w:tcW w:w="4912" w:type="dxa"/>
            <w:shd w:val="clear" w:color="auto" w:fill="auto"/>
          </w:tcPr>
          <w:p w:rsidR="00736231" w:rsidRPr="00065C2E" w:rsidRDefault="00736231" w:rsidP="00CA31F7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INF.03 (</w:t>
            </w:r>
            <w:r w:rsidR="00CA31F7" w:rsidRPr="00065C2E">
              <w:rPr>
                <w:snapToGrid/>
                <w:lang w:val="de-DE" w:eastAsia="en-US"/>
              </w:rPr>
              <w:t>Niederlande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512C4D" w:rsidP="00E7412E">
            <w:pPr>
              <w:spacing w:before="40" w:after="120"/>
              <w:ind w:left="113" w:right="113"/>
              <w:jc w:val="both"/>
              <w:rPr>
                <w:lang w:val="de-DE"/>
              </w:rPr>
            </w:pPr>
            <w:r w:rsidRPr="00065C2E">
              <w:rPr>
                <w:lang w:val="de-DE"/>
              </w:rPr>
              <w:t>Befristete Abweichung für das Motor</w:t>
            </w:r>
            <w:r w:rsidR="00E7412E" w:rsidRPr="00065C2E">
              <w:rPr>
                <w:lang w:val="de-DE"/>
              </w:rPr>
              <w:softHyphen/>
            </w:r>
            <w:r w:rsidRPr="00065C2E">
              <w:rPr>
                <w:lang w:val="de-DE"/>
              </w:rPr>
              <w:t>tankschiff CHEMGAS 851</w:t>
            </w:r>
          </w:p>
        </w:tc>
      </w:tr>
    </w:tbl>
    <w:p w:rsidR="00A45C4A" w:rsidRPr="00065C2E" w:rsidRDefault="00A45C4A" w:rsidP="00512C4D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Etwaige</w:t>
      </w:r>
      <w:r w:rsidR="008038B3" w:rsidRPr="00065C2E">
        <w:rPr>
          <w:snapToGrid/>
          <w:lang w:val="de-DE" w:eastAsia="en-US"/>
        </w:rPr>
        <w:t xml:space="preserve"> weitere, nach </w:t>
      </w:r>
      <w:r w:rsidR="006F2310" w:rsidRPr="00065C2E">
        <w:rPr>
          <w:snapToGrid/>
          <w:lang w:val="de-DE" w:eastAsia="en-US"/>
        </w:rPr>
        <w:t>der Verteilung</w:t>
      </w:r>
      <w:r w:rsidR="008038B3" w:rsidRPr="00065C2E">
        <w:rPr>
          <w:snapToGrid/>
          <w:lang w:val="de-DE" w:eastAsia="en-US"/>
        </w:rPr>
        <w:t xml:space="preserve"> der vorläufigen Tagesordnung,</w:t>
      </w:r>
      <w:r w:rsidRPr="00065C2E">
        <w:rPr>
          <w:snapToGrid/>
          <w:lang w:val="de-DE" w:eastAsia="en-US"/>
        </w:rPr>
        <w:t xml:space="preserve"> </w:t>
      </w:r>
      <w:r w:rsidR="008038B3" w:rsidRPr="00065C2E">
        <w:rPr>
          <w:snapToGrid/>
          <w:lang w:val="de-DE" w:eastAsia="en-US"/>
        </w:rPr>
        <w:t xml:space="preserve">im Sekretariat </w:t>
      </w:r>
      <w:r w:rsidRPr="00065C2E">
        <w:rPr>
          <w:snapToGrid/>
          <w:lang w:val="de-DE" w:eastAsia="en-US"/>
        </w:rPr>
        <w:t>eingegangene Vorschläge für Sondergenehmigungen oder Abweichungen werden als informelle Dokumente verteilt werden.</w:t>
      </w:r>
    </w:p>
    <w:p w:rsidR="00736231" w:rsidRPr="00065C2E" w:rsidRDefault="00736231" w:rsidP="00736231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(c)</w:t>
      </w:r>
      <w:r w:rsidRPr="00065C2E">
        <w:rPr>
          <w:snapToGrid/>
          <w:lang w:val="de-DE" w:eastAsia="en-US"/>
        </w:rPr>
        <w:tab/>
      </w:r>
      <w:r w:rsidR="00A45C4A" w:rsidRPr="00065C2E">
        <w:rPr>
          <w:snapToGrid/>
          <w:lang w:val="de-DE" w:eastAsia="en-US"/>
        </w:rPr>
        <w:t>Auslegung der dem ADN beigefügten Verordnung</w:t>
      </w:r>
    </w:p>
    <w:p w:rsidR="00656ECE" w:rsidRPr="00065C2E" w:rsidRDefault="00736231" w:rsidP="00656ECE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656ECE" w:rsidRPr="00065C2E">
        <w:rPr>
          <w:snapToGrid/>
          <w:lang w:val="de-DE" w:eastAsia="en-US"/>
        </w:rPr>
        <w:t>Der Sicherheitsausschuss ist aufgefordert, über die Auslegung etwaiger mehrdeutig oder unklar empfundener Vorschriften der dem ADN beigefügten Verordnung zu beraten.</w:t>
      </w:r>
    </w:p>
    <w:p w:rsidR="00736231" w:rsidRPr="00065C2E" w:rsidRDefault="00736231" w:rsidP="00736231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  <w:t>(d)</w:t>
      </w:r>
      <w:r w:rsidRPr="00065C2E">
        <w:rPr>
          <w:snapToGrid/>
          <w:lang w:val="de-DE" w:eastAsia="en-US"/>
        </w:rPr>
        <w:tab/>
      </w:r>
      <w:r w:rsidR="00656ECE" w:rsidRPr="00065C2E">
        <w:rPr>
          <w:snapToGrid/>
          <w:lang w:val="de-DE" w:eastAsia="en-US"/>
        </w:rPr>
        <w:t>Sachkundigenausbildung</w:t>
      </w:r>
    </w:p>
    <w:p w:rsidR="00736231" w:rsidRPr="00065C2E" w:rsidRDefault="00736231" w:rsidP="00F35C53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512C4D" w:rsidRPr="00065C2E">
        <w:rPr>
          <w:snapToGrid/>
          <w:lang w:val="de-DE" w:eastAsia="en-US"/>
        </w:rPr>
        <w:t xml:space="preserve">Der Sicherheitsausschuss könnte die Informationen Deutschlands über anerkannte ADN-Schulungskurse (ECE/TRANS/WP.15/AC.2/2016/19) </w:t>
      </w:r>
      <w:r w:rsidR="00F35C53" w:rsidRPr="00065C2E">
        <w:rPr>
          <w:snapToGrid/>
          <w:lang w:val="de-DE" w:eastAsia="en-US"/>
        </w:rPr>
        <w:t xml:space="preserve">und die von Belgien eingereichten Änderungsvorschläge zur </w:t>
      </w:r>
      <w:r w:rsidR="00F35C53" w:rsidRPr="00065C2E">
        <w:rPr>
          <w:color w:val="000000"/>
          <w:lang w:val="de-DE"/>
        </w:rPr>
        <w:t>Richtlinie für die Verwendung des Fragenkatalogs</w:t>
      </w:r>
      <w:r w:rsidR="00F35C53" w:rsidRPr="00065C2E">
        <w:rPr>
          <w:snapToGrid/>
          <w:lang w:val="de-DE" w:eastAsia="en-US"/>
        </w:rPr>
        <w:t xml:space="preserve"> für die Prüfung von ADN-Sachkundigen (ECE/TRANS/WP.15/AC.2/2016/27) prüfen</w:t>
      </w:r>
      <w:r w:rsidR="00E7412E" w:rsidRPr="00065C2E">
        <w:rPr>
          <w:snapToGrid/>
          <w:lang w:val="de-DE" w:eastAsia="en-US"/>
        </w:rPr>
        <w:t>.</w:t>
      </w:r>
    </w:p>
    <w:p w:rsidR="00736231" w:rsidRPr="00065C2E" w:rsidRDefault="00F35C53" w:rsidP="00F35C53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color w:val="000000"/>
          <w:lang w:val="de-DE"/>
        </w:rPr>
        <w:t>Vorschläge, die nach der Herausgabe dieser vorläufigen Tagesordnung eingereicht werden, werden als informelle Dokumente veröffentlicht.</w:t>
      </w:r>
    </w:p>
    <w:p w:rsidR="004218B4" w:rsidRPr="00065C2E" w:rsidRDefault="00736231" w:rsidP="00F35C53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F35C53" w:rsidRPr="00065C2E">
        <w:rPr>
          <w:snapToGrid/>
          <w:lang w:val="de-DE" w:eastAsia="en-US"/>
        </w:rPr>
        <w:t>e)</w:t>
      </w:r>
      <w:r w:rsidRPr="00065C2E">
        <w:rPr>
          <w:snapToGrid/>
          <w:lang w:val="de-DE" w:eastAsia="en-US"/>
        </w:rPr>
        <w:tab/>
      </w:r>
      <w:r w:rsidR="004218B4" w:rsidRPr="00065C2E">
        <w:rPr>
          <w:snapToGrid/>
          <w:lang w:val="de-DE" w:eastAsia="en-US"/>
        </w:rPr>
        <w:t>Fragen im Zusammenhang mit Klassifikationsgesellschaften</w:t>
      </w:r>
    </w:p>
    <w:p w:rsidR="00736231" w:rsidRPr="00065C2E" w:rsidRDefault="004218B4" w:rsidP="00F35C53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  <w:t xml:space="preserve">Die Liste der von den ADN-Vertragsparteien anerkannten Klassifikationsgesellschaften kann über folgende Internetadresse abgerufen werden: </w:t>
      </w:r>
      <w:r w:rsidR="00736231" w:rsidRPr="00065C2E">
        <w:rPr>
          <w:snapToGrid/>
          <w:lang w:val="de-DE" w:eastAsia="en-US"/>
        </w:rPr>
        <w:t xml:space="preserve">www.unece.org/trans/danger/publi/adn/adnclassifications.html. </w:t>
      </w:r>
      <w:r w:rsidR="00F35C53" w:rsidRPr="00065C2E">
        <w:rPr>
          <w:snapToGrid/>
          <w:lang w:val="de-DE" w:eastAsia="en-US"/>
        </w:rPr>
        <w:t>Seit der letzten Sitzung des Sicherheitsausschusses wurden dem Sekretariat keine neuen Anerkennungen von Klassifikationsgesellschaften mitgeteilt.</w:t>
      </w:r>
    </w:p>
    <w:p w:rsidR="00736231" w:rsidRPr="00065C2E" w:rsidRDefault="00736231" w:rsidP="00862D3B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F35C53" w:rsidRPr="00065C2E">
        <w:rPr>
          <w:snapToGrid/>
          <w:lang w:val="de-DE" w:eastAsia="en-US"/>
        </w:rPr>
        <w:t>Wie vom Sicherheitsausschuss in seiner siebenundzwanzigste</w:t>
      </w:r>
      <w:r w:rsidR="00862D3B" w:rsidRPr="00065C2E">
        <w:rPr>
          <w:snapToGrid/>
          <w:lang w:val="de-DE" w:eastAsia="en-US"/>
        </w:rPr>
        <w:t>n</w:t>
      </w:r>
      <w:r w:rsidR="00F35C53" w:rsidRPr="00065C2E">
        <w:rPr>
          <w:snapToGrid/>
          <w:lang w:val="de-DE" w:eastAsia="en-US"/>
        </w:rPr>
        <w:t xml:space="preserve"> Sitzung festgestellt (ECE/TRANS/WP.15/AC.2/56, Abs. 8-10), ist der von den Empfohlenen ADN-Klassifikationsgesellschaften erbrachte Nachweis der Zertifizierung nach der Norm EN</w:t>
      </w:r>
      <w:r w:rsidR="007B0CA1" w:rsidRPr="00065C2E">
        <w:rPr>
          <w:snapToGrid/>
          <w:lang w:val="de-DE" w:eastAsia="en-US"/>
        </w:rPr>
        <w:t> </w:t>
      </w:r>
      <w:r w:rsidR="00F35C53" w:rsidRPr="00065C2E">
        <w:rPr>
          <w:snapToGrid/>
          <w:lang w:val="de-DE" w:eastAsia="en-US"/>
        </w:rPr>
        <w:t>ISO/IEC 17020: 2012 nicht ausreichend und muss bis zur achtundzwanzigsten Sitzung des Sicherheitsausschusses ergänzt werden. Hiervon ausgenommen ist Shipping Register of Ukraine.</w:t>
      </w:r>
    </w:p>
    <w:p w:rsidR="006F2310" w:rsidRPr="00065C2E" w:rsidRDefault="00736231" w:rsidP="00862D3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lastRenderedPageBreak/>
        <w:tab/>
        <w:t>5.</w:t>
      </w:r>
      <w:r w:rsidRPr="00065C2E">
        <w:rPr>
          <w:b/>
          <w:snapToGrid/>
          <w:lang w:val="de-DE" w:eastAsia="en-US"/>
        </w:rPr>
        <w:tab/>
      </w:r>
      <w:r w:rsidR="006F2310" w:rsidRPr="00065C2E">
        <w:rPr>
          <w:b/>
          <w:snapToGrid/>
          <w:lang w:val="de-DE" w:eastAsia="en-US"/>
        </w:rPr>
        <w:t>Vorschläge für Änderungen der dem ADN beigefügten Verordnung</w:t>
      </w:r>
    </w:p>
    <w:p w:rsidR="006F2310" w:rsidRPr="00065C2E" w:rsidRDefault="006F2310" w:rsidP="006F231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a)</w:t>
      </w:r>
      <w:r w:rsidRPr="00065C2E">
        <w:rPr>
          <w:snapToGrid/>
          <w:lang w:val="de-DE" w:eastAsia="en-US"/>
        </w:rPr>
        <w:tab/>
        <w:t>Arbeiten der Gemeinsamen RID/ADR/ADN-Tagung</w:t>
      </w:r>
    </w:p>
    <w:p w:rsidR="00736231" w:rsidRPr="00065C2E" w:rsidRDefault="00F35C53" w:rsidP="00862D3B">
      <w:pPr>
        <w:spacing w:after="120"/>
        <w:ind w:left="1134" w:right="1134" w:firstLine="567"/>
        <w:jc w:val="both"/>
        <w:rPr>
          <w:snapToGrid/>
          <w:spacing w:val="-3"/>
          <w:lang w:val="de-DE" w:eastAsia="en-US"/>
        </w:rPr>
      </w:pPr>
      <w:r w:rsidRPr="00065C2E">
        <w:rPr>
          <w:snapToGrid/>
          <w:lang w:val="de-DE" w:eastAsia="en-US"/>
        </w:rPr>
        <w:t>Der Sicherheitsaussch</w:t>
      </w:r>
      <w:r w:rsidR="008230C7" w:rsidRPr="00065C2E">
        <w:rPr>
          <w:snapToGrid/>
          <w:lang w:val="de-DE" w:eastAsia="en-US"/>
        </w:rPr>
        <w:t>u</w:t>
      </w:r>
      <w:r w:rsidRPr="00065C2E">
        <w:rPr>
          <w:snapToGrid/>
          <w:lang w:val="de-DE" w:eastAsia="en-US"/>
        </w:rPr>
        <w:t xml:space="preserve">ss könnte die von der Gemeinsamen RID/ADR/ADN-Tagung auf der Grundlage von Vorschlägen der Ad-hoc-Arbeitsgruppe „Harmonisierung von RID/ADR/ADN mit den UN-Empfehlungen für die Beförderung gefährlicher Güter“ angenommenen Änderungsentwürfe, die auch das ADN betreffen, </w:t>
      </w:r>
      <w:r w:rsidR="002519A6" w:rsidRPr="00065C2E">
        <w:rPr>
          <w:snapToGrid/>
          <w:lang w:val="de-DE" w:eastAsia="en-US"/>
        </w:rPr>
        <w:t xml:space="preserve">(ECE/TRANS/WP.15/AC.2/2016/1) </w:t>
      </w:r>
      <w:r w:rsidRPr="00065C2E">
        <w:rPr>
          <w:snapToGrid/>
          <w:lang w:val="de-DE" w:eastAsia="en-US"/>
        </w:rPr>
        <w:t>sowie die in der neunundneunzigsten Sitzung der Arbeitsgruppe „Beförderung gefährlicher Güter“ (WP.15) (9.</w:t>
      </w:r>
      <w:r w:rsidR="00862D3B" w:rsidRPr="00065C2E">
        <w:rPr>
          <w:snapToGrid/>
          <w:lang w:val="de-DE" w:eastAsia="en-US"/>
        </w:rPr>
        <w:t xml:space="preserve"> bis </w:t>
      </w:r>
      <w:r w:rsidRPr="00065C2E">
        <w:rPr>
          <w:snapToGrid/>
          <w:lang w:val="de-DE" w:eastAsia="en-US"/>
        </w:rPr>
        <w:t>13. November 2015</w:t>
      </w:r>
      <w:r w:rsidR="008230C7" w:rsidRPr="00065C2E">
        <w:rPr>
          <w:snapToGrid/>
          <w:lang w:val="de-DE" w:eastAsia="en-US"/>
        </w:rPr>
        <w:t>) vorgeschlagenen Änderungen und Berichtigungen (siehe</w:t>
      </w:r>
      <w:r w:rsidR="002519A6" w:rsidRPr="00065C2E">
        <w:rPr>
          <w:snapToGrid/>
          <w:lang w:val="de-DE" w:eastAsia="en-US"/>
        </w:rPr>
        <w:t xml:space="preserve"> ECE/TRANS/WP.15/230 und Add.1)</w:t>
      </w:r>
      <w:r w:rsidRPr="00065C2E">
        <w:rPr>
          <w:snapToGrid/>
          <w:lang w:val="de-DE" w:eastAsia="en-US"/>
        </w:rPr>
        <w:t xml:space="preserve"> </w:t>
      </w:r>
      <w:r w:rsidR="002519A6" w:rsidRPr="00065C2E">
        <w:rPr>
          <w:snapToGrid/>
          <w:lang w:val="de-DE" w:eastAsia="en-US"/>
        </w:rPr>
        <w:t>prüfen.</w:t>
      </w:r>
    </w:p>
    <w:p w:rsidR="00736231" w:rsidRPr="00065C2E" w:rsidRDefault="008230C7" w:rsidP="00862D3B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Die Gemeinsame RID/ADR/ADN-Tagung hielt ihre Herbstsitzung 2015 vom 15. bis 25. September 2015 in Genf ab. Das Protokoll dieser Sitzung ist in den Dokumenten ECE/TRANS/WP.15/AC.1/140 und Adds. 1 und 2 enthalten.</w:t>
      </w:r>
      <w:r w:rsidR="00736231" w:rsidRPr="00065C2E">
        <w:rPr>
          <w:snapToGrid/>
          <w:lang w:val="de-DE" w:eastAsia="en-US"/>
        </w:rPr>
        <w:t xml:space="preserve"> </w:t>
      </w:r>
    </w:p>
    <w:p w:rsidR="00736231" w:rsidRPr="00065C2E" w:rsidRDefault="008230C7" w:rsidP="00862D3B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 xml:space="preserve">Weitere von der Gemeinsamen Tagung und der Arbeitsgruppe WP.15 2014 und 2015 angenommene Änderungsvorschläge mit Bedeutung für das ADN sind in Dokument ECE/TRANS/WP.15/AC.2/2016/16 </w:t>
      </w:r>
      <w:r w:rsidR="00862D3B" w:rsidRPr="00065C2E">
        <w:rPr>
          <w:snapToGrid/>
          <w:lang w:val="de-DE" w:eastAsia="en-US"/>
        </w:rPr>
        <w:t>enthalten</w:t>
      </w:r>
      <w:r w:rsidRPr="00065C2E">
        <w:rPr>
          <w:snapToGrid/>
          <w:lang w:val="de-DE" w:eastAsia="en-US"/>
        </w:rPr>
        <w:t>.</w:t>
      </w:r>
    </w:p>
    <w:p w:rsidR="006F2310" w:rsidRPr="00065C2E" w:rsidRDefault="008230C7" w:rsidP="00862D3B">
      <w:pPr>
        <w:spacing w:after="120"/>
        <w:ind w:left="2268" w:right="1134" w:hanging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b)</w:t>
      </w:r>
      <w:r w:rsidR="006F2310" w:rsidRPr="00065C2E">
        <w:rPr>
          <w:snapToGrid/>
          <w:lang w:val="de-DE" w:eastAsia="en-US"/>
        </w:rPr>
        <w:tab/>
        <w:t>Weitere Änderungsvorschläge</w:t>
      </w:r>
    </w:p>
    <w:p w:rsidR="006F2310" w:rsidRPr="00065C2E" w:rsidRDefault="006F2310" w:rsidP="006F2310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Folgende Änderungsvorschläge wurden eingereicht: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ECE/TRANS/WP.15/AC.2/2016/2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051882" w:rsidP="00051882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 xml:space="preserve">Vorschlag für Ergänzung der Tabelle C 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0B11FE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ECE/TRANS/WP.15/AC.2/2016/2/Corr.1 (</w:t>
            </w:r>
            <w:r w:rsidR="000B11FE" w:rsidRPr="00065C2E">
              <w:rPr>
                <w:snapToGrid/>
                <w:lang w:val="de-DE" w:eastAsia="en-US"/>
              </w:rPr>
              <w:t>ZKR</w:t>
            </w:r>
            <w:r w:rsidRPr="00065C2E">
              <w:rPr>
                <w:snapToGrid/>
                <w:lang w:val="de-DE" w:eastAsia="en-US"/>
              </w:rPr>
              <w:t>) (</w:t>
            </w:r>
            <w:r w:rsidR="000B11FE" w:rsidRPr="00065C2E">
              <w:rPr>
                <w:snapToGrid/>
                <w:lang w:val="de-DE" w:eastAsia="en-US"/>
              </w:rPr>
              <w:t>Nur Französisch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051882" w:rsidP="00736231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Vorschlag für Ergänzung der Tabelle C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ECE/TRANS/WP.15/AC.2/2016/3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051882" w:rsidP="00736231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Hinweis zur Einstufung von Floatern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ECE/TRANS/WP.15/AC.2/2016/4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BA7EAD" w:rsidP="00BA7EAD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Zuweisung von Untergruppen in der Explosionsgruppe II B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ECE/TRANS/WP.15/AC.2/2016/5 (</w:t>
            </w:r>
            <w:r w:rsidR="000B11FE" w:rsidRPr="00065C2E">
              <w:rPr>
                <w:snapToGrid/>
                <w:lang w:val="de-DE" w:eastAsia="en-US"/>
              </w:rPr>
              <w:t>Österreich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BA7EAD" w:rsidP="00BA7EAD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9.3.1.14 – Intaktstabilitätsanforderungen für</w:t>
            </w:r>
            <w:r w:rsidR="006F2310" w:rsidRPr="00065C2E">
              <w:rPr>
                <w:bCs/>
                <w:snapToGrid/>
                <w:lang w:val="de-DE" w:eastAsia="en-US"/>
              </w:rPr>
              <w:t xml:space="preserve"> </w:t>
            </w:r>
            <w:r w:rsidRPr="00065C2E">
              <w:rPr>
                <w:bCs/>
                <w:snapToGrid/>
                <w:lang w:val="de-DE" w:eastAsia="en-US"/>
              </w:rPr>
              <w:t>Tankschiffe des Typs G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ECE/TRANS/WP.15/AC.2/2016/6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A2535D" w:rsidP="00736231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Vorschlag für Ergänzung der Tabelle C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ECE/TRANS/WP.15/AC.2/2016/7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A2535D" w:rsidP="00A2535D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Textvorschläge für Erläuterungen zur Tabelle C und zur Spalte (5) Gefahren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ECE/TRANS/WP.15/AC.2/2016/8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D30EE7" w:rsidP="00D30EE7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zCs w:val="24"/>
                <w:lang w:val="de-DE" w:eastAsia="en-US"/>
              </w:rPr>
              <w:t>Vorschläge für Formulierung und Zuordnung der Bemerkungen 35 und 36 der Tabelle C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ECE/TRANS/WP.15/AC.2/2016/9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357A4A" w:rsidP="00357A4A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Nachführung des Dampfdruckkriteriums für umweltgefährliche Stoffe der Gruppe N1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ECE/TRANS/WP.15/AC.2/2016/10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357A4A" w:rsidP="00357A4A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Abschnitt 8.3.1 ADN – Personen an Bord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ECE/TRANS/WP.15/AC.2/2016/11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61451D" w:rsidP="00D51E7A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iCs/>
                <w:snapToGrid/>
                <w:lang w:val="de-DE" w:eastAsia="en-US"/>
              </w:rPr>
              <w:t>Unterabschnitt 1.16.2.5 ADN – Amtshilfe bei der Ausstellung der Zulassungs</w:t>
            </w:r>
            <w:r w:rsidR="0065771A" w:rsidRPr="00065C2E">
              <w:rPr>
                <w:bCs/>
                <w:iCs/>
                <w:snapToGrid/>
                <w:lang w:val="de-DE" w:eastAsia="en-US"/>
              </w:rPr>
              <w:softHyphen/>
            </w:r>
            <w:r w:rsidRPr="00065C2E">
              <w:rPr>
                <w:bCs/>
                <w:iCs/>
                <w:snapToGrid/>
                <w:lang w:val="de-DE" w:eastAsia="en-US"/>
              </w:rPr>
              <w:t>zeugnisse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736231">
            <w:pPr>
              <w:spacing w:before="40" w:after="120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ECE/TRANS/WP.15/AC.2/2016/12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D51E7A" w:rsidP="0065771A">
            <w:pPr>
              <w:spacing w:before="40" w:after="120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 xml:space="preserve">Absatz 1.4.2.2.1 c) ADN </w:t>
            </w:r>
            <w:r w:rsidR="0065771A" w:rsidRPr="00065C2E">
              <w:rPr>
                <w:snapToGrid/>
                <w:lang w:val="de-DE" w:eastAsia="en-US"/>
              </w:rPr>
              <w:t>–</w:t>
            </w:r>
            <w:r w:rsidRPr="00065C2E">
              <w:rPr>
                <w:snapToGrid/>
                <w:lang w:val="de-DE" w:eastAsia="en-US"/>
              </w:rPr>
              <w:t xml:space="preserve"> Pflichten des Beförderers</w:t>
            </w:r>
          </w:p>
        </w:tc>
      </w:tr>
      <w:tr w:rsidR="00736231" w:rsidRPr="00065C2E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lastRenderedPageBreak/>
              <w:t>ECE/TRANS/WP.15/AC.2/2016/13 (</w:t>
            </w:r>
            <w:r w:rsidR="000B11FE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D51E7A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Änderung 1.6.7.4.2 ADN – Stoffbe</w:t>
            </w:r>
            <w:r w:rsidR="00DF1593" w:rsidRPr="00065C2E">
              <w:rPr>
                <w:snapToGrid/>
                <w:lang w:eastAsia="en-US"/>
              </w:rPr>
              <w:softHyphen/>
            </w:r>
            <w:r w:rsidRPr="00065C2E">
              <w:rPr>
                <w:snapToGrid/>
                <w:lang w:eastAsia="en-US"/>
              </w:rPr>
              <w:t>zogene Übergangsfristen</w:t>
            </w:r>
          </w:p>
        </w:tc>
      </w:tr>
      <w:tr w:rsidR="00736231" w:rsidRPr="00065C2E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ECE/TRANS/WP.15/AC.2/2016/14 (</w:t>
            </w:r>
            <w:r w:rsidR="000B11FE" w:rsidRPr="00065C2E">
              <w:rPr>
                <w:snapToGrid/>
                <w:szCs w:val="24"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883669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 xml:space="preserve">Unterabschnitt 7.2.4.9 ADN </w:t>
            </w:r>
            <w:r w:rsidR="0065771A" w:rsidRPr="00065C2E">
              <w:rPr>
                <w:bCs/>
                <w:snapToGrid/>
                <w:lang w:val="de-DE" w:eastAsia="en-US"/>
              </w:rPr>
              <w:t>–</w:t>
            </w:r>
            <w:r w:rsidRPr="00065C2E">
              <w:rPr>
                <w:bCs/>
                <w:snapToGrid/>
                <w:lang w:val="de-DE" w:eastAsia="en-US"/>
              </w:rPr>
              <w:t xml:space="preserve"> Umladen</w:t>
            </w:r>
            <w:r w:rsidRPr="00065C2E">
              <w:rPr>
                <w:bCs/>
                <w:snapToGrid/>
                <w:lang w:val="fr-FR" w:eastAsia="en-US"/>
              </w:rPr>
              <w:t xml:space="preserve"> 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ECE/TRANS/WP.15/AC.2/2016/15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883669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Absatz 7.2.4.16.9 b) ADN – Entspannen der Ladetanks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ECE/TRANS/WP.15/AC.2/2016/17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6F2310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Abschnitt 8.2.2 ADN – Besondere Vorschriften für die Schulung der Sachkundigen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ECE/TRANS/WP.15/AC.2/2016/18 (</w:t>
            </w:r>
            <w:r w:rsidR="000B11FE" w:rsidRPr="00065C2E">
              <w:rPr>
                <w:snapToGrid/>
                <w:lang w:val="de-DE" w:eastAsia="en-US"/>
              </w:rPr>
              <w:t>Deutschland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6F2310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Abschnitt 1.4.3 ADN, Pflichten des Befüllers und des Entladers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3552ED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ECE/TRANS/WP.15/AC.2/2016/20 (Frankreich im Namen der informellen Korrespondenz-Arbeitsgruppe)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715614" w:rsidP="00CE335E">
            <w:pPr>
              <w:spacing w:before="40" w:after="120" w:line="240" w:lineRule="auto"/>
              <w:ind w:left="113" w:right="113"/>
              <w:jc w:val="both"/>
              <w:rPr>
                <w:bCs/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V</w:t>
            </w:r>
            <w:r w:rsidR="003552ED" w:rsidRPr="00065C2E">
              <w:rPr>
                <w:bCs/>
                <w:snapToGrid/>
                <w:lang w:val="de-DE" w:eastAsia="en-US"/>
              </w:rPr>
              <w:t>orschläge zu</w:t>
            </w:r>
            <w:r w:rsidRPr="00065C2E">
              <w:rPr>
                <w:bCs/>
                <w:snapToGrid/>
                <w:lang w:val="de-DE" w:eastAsia="en-US"/>
              </w:rPr>
              <w:t>r Änderung des</w:t>
            </w:r>
            <w:r w:rsidR="003552ED" w:rsidRPr="00065C2E">
              <w:rPr>
                <w:bCs/>
                <w:snapToGrid/>
                <w:lang w:val="de-DE" w:eastAsia="en-US"/>
              </w:rPr>
              <w:t xml:space="preserve"> Kapitel</w:t>
            </w:r>
            <w:r w:rsidRPr="00065C2E">
              <w:rPr>
                <w:bCs/>
                <w:snapToGrid/>
                <w:lang w:val="de-DE" w:eastAsia="en-US"/>
              </w:rPr>
              <w:t>s</w:t>
            </w:r>
            <w:r w:rsidR="003552ED" w:rsidRPr="00065C2E">
              <w:rPr>
                <w:bCs/>
                <w:snapToGrid/>
                <w:lang w:val="de-DE" w:eastAsia="en-US"/>
              </w:rPr>
              <w:t xml:space="preserve"> 1.16 und </w:t>
            </w:r>
            <w:r w:rsidRPr="00065C2E">
              <w:rPr>
                <w:bCs/>
                <w:snapToGrid/>
                <w:lang w:val="de-DE" w:eastAsia="en-US"/>
              </w:rPr>
              <w:t xml:space="preserve">des </w:t>
            </w:r>
            <w:r w:rsidR="003552ED" w:rsidRPr="00065C2E">
              <w:rPr>
                <w:bCs/>
                <w:snapToGrid/>
                <w:lang w:val="de-DE" w:eastAsia="en-US"/>
              </w:rPr>
              <w:t>Absatz</w:t>
            </w:r>
            <w:r w:rsidRPr="00065C2E">
              <w:rPr>
                <w:bCs/>
                <w:snapToGrid/>
                <w:lang w:val="de-DE" w:eastAsia="en-US"/>
              </w:rPr>
              <w:t>es</w:t>
            </w:r>
            <w:r w:rsidR="003552ED" w:rsidRPr="00065C2E">
              <w:rPr>
                <w:bCs/>
                <w:snapToGrid/>
                <w:lang w:val="de-DE" w:eastAsia="en-US"/>
              </w:rPr>
              <w:t xml:space="preserve"> 9.3.X.8.1 – Vorschläge für Folge- und zusätzliche Änderungen</w:t>
            </w:r>
          </w:p>
        </w:tc>
      </w:tr>
      <w:tr w:rsidR="00736231" w:rsidRPr="00065C2E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 xml:space="preserve">ECE/TRANS/WP.15/AC.2/2016/22 (EBU, ERSTU </w:t>
            </w:r>
            <w:r w:rsidR="000B11FE" w:rsidRPr="00065C2E">
              <w:rPr>
                <w:snapToGrid/>
                <w:lang w:val="de-DE" w:eastAsia="en-US"/>
              </w:rPr>
              <w:t>und</w:t>
            </w:r>
            <w:r w:rsidRPr="00065C2E">
              <w:rPr>
                <w:snapToGrid/>
                <w:lang w:val="de-DE" w:eastAsia="en-US"/>
              </w:rPr>
              <w:t xml:space="preserve"> ESO)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051882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eastAsia="en-US"/>
              </w:rPr>
            </w:pPr>
            <w:r w:rsidRPr="00065C2E">
              <w:rPr>
                <w:bCs/>
                <w:snapToGrid/>
                <w:lang w:eastAsia="en-US"/>
              </w:rPr>
              <w:t>Bauwerkstoffe</w:t>
            </w:r>
          </w:p>
        </w:tc>
      </w:tr>
      <w:tr w:rsidR="00736231" w:rsidRPr="00065C2E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ECE/TRANS/WP.15/AC.2/2015/25/Rev.1 (</w:t>
            </w:r>
            <w:r w:rsidR="000B11FE" w:rsidRPr="00065C2E">
              <w:rPr>
                <w:snapToGrid/>
                <w:lang w:val="de-DE" w:eastAsia="en-US"/>
              </w:rPr>
              <w:t>Empfohlene ADN-Klassifikationsgesellschaften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0B11FE" w:rsidP="00CE335E">
            <w:pPr>
              <w:spacing w:before="40" w:after="120" w:line="240" w:lineRule="auto"/>
              <w:ind w:left="113" w:right="113"/>
              <w:jc w:val="both"/>
              <w:rPr>
                <w:snapToGrid/>
                <w:lang w:eastAsia="en-US"/>
              </w:rPr>
            </w:pPr>
            <w:r w:rsidRPr="00065C2E">
              <w:rPr>
                <w:bCs/>
                <w:snapToGrid/>
                <w:lang w:eastAsia="en-US"/>
              </w:rPr>
              <w:t>Druckluftanlage an Deck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ECE/TRANS/WP.15/AC.2/2016/23 (</w:t>
            </w:r>
            <w:r w:rsidR="000B11FE" w:rsidRPr="00065C2E">
              <w:rPr>
                <w:snapToGrid/>
                <w:lang w:eastAsia="en-US"/>
              </w:rPr>
              <w:t>Niederlande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3552ED" w:rsidP="00CE335E">
            <w:pPr>
              <w:spacing w:before="40" w:after="120" w:line="240" w:lineRule="auto"/>
              <w:ind w:left="113" w:right="113"/>
              <w:jc w:val="both"/>
              <w:rPr>
                <w:bCs/>
                <w:snapToGrid/>
                <w:lang w:val="de-DE" w:eastAsia="en-US"/>
              </w:rPr>
            </w:pPr>
            <w:r w:rsidRPr="00065C2E">
              <w:rPr>
                <w:lang w:val="de-DE"/>
              </w:rPr>
              <w:t>Vorschlag zur Änderung und Klarstellung der Sondervorschrift 803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065C2E">
              <w:rPr>
                <w:snapToGrid/>
                <w:lang w:val="de-DE" w:eastAsia="en-US"/>
              </w:rPr>
              <w:t>ECE/TRANS/WP.15/AC.2/2016/24 (</w:t>
            </w:r>
            <w:r w:rsidR="000B11FE" w:rsidRPr="00065C2E">
              <w:rPr>
                <w:snapToGrid/>
                <w:lang w:val="de-DE" w:eastAsia="en-US"/>
              </w:rPr>
              <w:t>Niederlande und</w:t>
            </w:r>
            <w:r w:rsidRPr="00065C2E">
              <w:rPr>
                <w:snapToGrid/>
                <w:lang w:val="de-DE" w:eastAsia="en-US"/>
              </w:rPr>
              <w:t xml:space="preserve"> </w:t>
            </w:r>
            <w:r w:rsidR="000B11FE" w:rsidRPr="00065C2E">
              <w:rPr>
                <w:snapToGrid/>
                <w:lang w:val="de-DE" w:eastAsia="en-US"/>
              </w:rPr>
              <w:t>Frankreich</w:t>
            </w:r>
            <w:r w:rsidRPr="00065C2E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65771A" w:rsidP="00CE335E">
            <w:pPr>
              <w:spacing w:before="40" w:after="120" w:line="240" w:lineRule="auto"/>
              <w:ind w:left="113" w:right="113"/>
              <w:jc w:val="both"/>
              <w:rPr>
                <w:bCs/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>V</w:t>
            </w:r>
            <w:r w:rsidR="00715614" w:rsidRPr="00065C2E">
              <w:rPr>
                <w:bCs/>
                <w:snapToGrid/>
                <w:lang w:val="de-DE" w:eastAsia="en-US"/>
              </w:rPr>
              <w:t>orschlag zu</w:t>
            </w:r>
            <w:r w:rsidRPr="00065C2E">
              <w:rPr>
                <w:bCs/>
                <w:snapToGrid/>
                <w:lang w:val="de-DE" w:eastAsia="en-US"/>
              </w:rPr>
              <w:t>r Änderung des</w:t>
            </w:r>
            <w:r w:rsidR="00715614" w:rsidRPr="00065C2E">
              <w:rPr>
                <w:bCs/>
                <w:snapToGrid/>
                <w:lang w:val="de-DE" w:eastAsia="en-US"/>
              </w:rPr>
              <w:t xml:space="preserve"> Abschnitt</w:t>
            </w:r>
            <w:r w:rsidRPr="00065C2E">
              <w:rPr>
                <w:bCs/>
                <w:snapToGrid/>
                <w:lang w:val="de-DE" w:eastAsia="en-US"/>
              </w:rPr>
              <w:t>s</w:t>
            </w:r>
            <w:r w:rsidR="00715614" w:rsidRPr="00065C2E">
              <w:rPr>
                <w:bCs/>
                <w:snapToGrid/>
                <w:lang w:val="de-DE" w:eastAsia="en-US"/>
              </w:rPr>
              <w:t xml:space="preserve"> 7.2.4.25.5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065C2E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ECE/TRANS/WP.15/AC.2/2016/26 (FuelsEurope)</w:t>
            </w:r>
          </w:p>
        </w:tc>
        <w:tc>
          <w:tcPr>
            <w:tcW w:w="3593" w:type="dxa"/>
            <w:shd w:val="clear" w:color="auto" w:fill="auto"/>
          </w:tcPr>
          <w:p w:rsidR="00736231" w:rsidRPr="00C22B81" w:rsidRDefault="0065771A" w:rsidP="00C22B81">
            <w:pPr>
              <w:spacing w:before="40" w:after="120" w:line="240" w:lineRule="auto"/>
              <w:ind w:left="113" w:right="113"/>
              <w:jc w:val="both"/>
              <w:rPr>
                <w:bCs/>
                <w:snapToGrid/>
                <w:lang w:val="de-DE" w:eastAsia="en-US"/>
              </w:rPr>
            </w:pPr>
            <w:r w:rsidRPr="00065C2E">
              <w:rPr>
                <w:bCs/>
                <w:snapToGrid/>
                <w:lang w:val="de-DE" w:eastAsia="en-US"/>
              </w:rPr>
              <w:t xml:space="preserve">Vorschlag für eine Befreiung von der Anforderung des Absatzes </w:t>
            </w:r>
            <w:r w:rsidRPr="00065C2E">
              <w:rPr>
                <w:color w:val="000000"/>
                <w:lang w:val="de-DE"/>
              </w:rPr>
              <w:t>7.2.4.25.5 zur Abfuhr von Gas/Luft-Gemischen an Land beim Laden schwerer Heizöle (UN</w:t>
            </w:r>
            <w:r w:rsidR="00C22B81">
              <w:rPr>
                <w:color w:val="000000"/>
                <w:lang w:val="de-DE"/>
              </w:rPr>
              <w:t>­</w:t>
            </w:r>
            <w:r w:rsidRPr="00065C2E">
              <w:rPr>
                <w:color w:val="000000"/>
                <w:lang w:val="de-DE"/>
              </w:rPr>
              <w:t>Nr.</w:t>
            </w:r>
            <w:r w:rsidR="00C22B81">
              <w:rPr>
                <w:color w:val="000000"/>
                <w:lang w:val="de-DE"/>
              </w:rPr>
              <w:t> </w:t>
            </w:r>
            <w:r w:rsidRPr="00065C2E">
              <w:rPr>
                <w:color w:val="000000"/>
                <w:lang w:val="de-DE"/>
              </w:rPr>
              <w:t>3082)</w:t>
            </w:r>
          </w:p>
        </w:tc>
      </w:tr>
      <w:tr w:rsidR="00736231" w:rsidRPr="00C22B81" w:rsidTr="0065771A">
        <w:tc>
          <w:tcPr>
            <w:tcW w:w="4912" w:type="dxa"/>
            <w:shd w:val="clear" w:color="auto" w:fill="auto"/>
          </w:tcPr>
          <w:p w:rsidR="00736231" w:rsidRPr="00C22B81" w:rsidRDefault="00736231" w:rsidP="00CE335E">
            <w:pPr>
              <w:spacing w:before="40" w:after="120" w:line="240" w:lineRule="auto"/>
              <w:ind w:left="1134"/>
              <w:jc w:val="both"/>
              <w:rPr>
                <w:snapToGrid/>
                <w:lang w:val="de-DE" w:eastAsia="en-US"/>
              </w:rPr>
            </w:pPr>
            <w:r w:rsidRPr="00C22B81">
              <w:rPr>
                <w:snapToGrid/>
                <w:lang w:val="de-DE" w:eastAsia="en-US"/>
              </w:rPr>
              <w:t>INF.04/Rev.1 (</w:t>
            </w:r>
            <w:r w:rsidR="000B11FE" w:rsidRPr="00C22B81">
              <w:rPr>
                <w:snapToGrid/>
                <w:lang w:val="de-DE" w:eastAsia="en-US"/>
              </w:rPr>
              <w:t>Frankreich</w:t>
            </w:r>
            <w:r w:rsidRPr="00C22B81">
              <w:rPr>
                <w:snapToGrid/>
                <w:lang w:val="de-DE"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C22B81" w:rsidRDefault="00762D00" w:rsidP="00CE335E">
            <w:pPr>
              <w:spacing w:before="40" w:after="120" w:line="240" w:lineRule="auto"/>
              <w:ind w:left="113" w:right="113"/>
              <w:jc w:val="both"/>
              <w:rPr>
                <w:bCs/>
                <w:snapToGrid/>
                <w:lang w:val="de-DE" w:eastAsia="en-US"/>
              </w:rPr>
            </w:pPr>
            <w:r w:rsidRPr="00C22B81">
              <w:rPr>
                <w:bCs/>
                <w:snapToGrid/>
                <w:lang w:val="de-DE" w:eastAsia="en-US"/>
              </w:rPr>
              <w:t>Korrekturvorschläge für</w:t>
            </w:r>
            <w:r w:rsidR="00736231" w:rsidRPr="00C22B81">
              <w:rPr>
                <w:bCs/>
                <w:snapToGrid/>
                <w:lang w:val="de-DE" w:eastAsia="en-US"/>
              </w:rPr>
              <w:t xml:space="preserve"> ADN 2017</w:t>
            </w:r>
          </w:p>
        </w:tc>
      </w:tr>
    </w:tbl>
    <w:p w:rsidR="00736231" w:rsidRPr="00065C2E" w:rsidRDefault="0065771A" w:rsidP="0065771A">
      <w:pPr>
        <w:spacing w:before="120"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c)</w:t>
      </w:r>
      <w:r w:rsidR="00736231" w:rsidRPr="00065C2E">
        <w:rPr>
          <w:snapToGrid/>
          <w:lang w:val="de-DE" w:eastAsia="en-US"/>
        </w:rPr>
        <w:tab/>
      </w:r>
      <w:r w:rsidRPr="00065C2E">
        <w:rPr>
          <w:color w:val="000000"/>
          <w:lang w:val="de-DE"/>
        </w:rPr>
        <w:t>Überprüfung der bei den vorhergehenden Sitzungen angenommenen Änderungen</w:t>
      </w:r>
    </w:p>
    <w:p w:rsidR="00736231" w:rsidRPr="00065C2E" w:rsidRDefault="0065771A" w:rsidP="0065771A">
      <w:pPr>
        <w:spacing w:after="120"/>
        <w:ind w:left="1134" w:right="1134" w:firstLine="567"/>
        <w:jc w:val="both"/>
        <w:rPr>
          <w:snapToGrid/>
          <w:lang w:eastAsia="en-US"/>
        </w:rPr>
      </w:pPr>
      <w:r w:rsidRPr="00065C2E">
        <w:rPr>
          <w:color w:val="000000"/>
          <w:lang w:val="de-DE"/>
        </w:rPr>
        <w:t xml:space="preserve">Der Sicherheitsausschuss könnte ferner die während seiner vorangegangenen Sitzungen im Hinblick auf eine Inkraftsetzung zum 1. Januar 2017 beschlossenen Änderungen prüfen </w:t>
      </w:r>
      <w:r w:rsidRPr="00065C2E">
        <w:rPr>
          <w:snapToGrid/>
          <w:lang w:val="de-DE" w:eastAsia="en-US"/>
        </w:rPr>
        <w:t>(ECE/ADN/2016/1).</w:t>
      </w:r>
    </w:p>
    <w:p w:rsidR="00736231" w:rsidRPr="00065C2E" w:rsidRDefault="00736231" w:rsidP="0065771A">
      <w:pPr>
        <w:keepNext/>
        <w:keepLines/>
        <w:tabs>
          <w:tab w:val="right" w:pos="851"/>
        </w:tabs>
        <w:spacing w:before="120" w:after="100" w:line="240" w:lineRule="exact"/>
        <w:ind w:right="1134"/>
        <w:rPr>
          <w:b/>
          <w:snapToGrid/>
          <w:lang w:eastAsia="en-US"/>
        </w:rPr>
      </w:pPr>
      <w:r w:rsidRPr="00065C2E">
        <w:rPr>
          <w:b/>
          <w:snapToGrid/>
          <w:lang w:eastAsia="en-US"/>
        </w:rPr>
        <w:tab/>
        <w:t>6.</w:t>
      </w:r>
      <w:r w:rsidRPr="00065C2E">
        <w:rPr>
          <w:b/>
          <w:snapToGrid/>
          <w:lang w:eastAsia="en-US"/>
        </w:rPr>
        <w:tab/>
      </w:r>
      <w:r w:rsidR="006F2310" w:rsidRPr="00065C2E">
        <w:rPr>
          <w:b/>
          <w:snapToGrid/>
          <w:lang w:val="de-DE" w:eastAsia="en-US"/>
        </w:rPr>
        <w:t>Berichte informeller Arbeitsgruppen</w:t>
      </w:r>
    </w:p>
    <w:tbl>
      <w:tblPr>
        <w:tblW w:w="85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3593"/>
      </w:tblGrid>
      <w:tr w:rsidR="00736231" w:rsidRPr="00C22B81" w:rsidTr="003D3BD7">
        <w:tc>
          <w:tcPr>
            <w:tcW w:w="4912" w:type="dxa"/>
            <w:shd w:val="clear" w:color="auto" w:fill="auto"/>
          </w:tcPr>
          <w:p w:rsidR="00736231" w:rsidRPr="00065C2E" w:rsidRDefault="00736231" w:rsidP="006F2310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ECE/TRANS/WP.15/AC.2/2016/21 (</w:t>
            </w:r>
            <w:r w:rsidR="006F2310" w:rsidRPr="00065C2E">
              <w:rPr>
                <w:snapToGrid/>
                <w:lang w:eastAsia="en-US"/>
              </w:rPr>
              <w:t>ZKR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736231" w:rsidRPr="00065C2E" w:rsidRDefault="00D314AB" w:rsidP="0065771A">
            <w:pPr>
              <w:spacing w:before="40" w:after="120"/>
              <w:ind w:left="113" w:right="113"/>
              <w:jc w:val="both"/>
              <w:rPr>
                <w:lang w:val="de-DE"/>
              </w:rPr>
            </w:pPr>
            <w:r w:rsidRPr="00065C2E">
              <w:rPr>
                <w:lang w:val="de-DE"/>
              </w:rPr>
              <w:t>Bericht</w:t>
            </w:r>
            <w:r w:rsidR="001567EB" w:rsidRPr="00065C2E">
              <w:rPr>
                <w:lang w:val="de-DE"/>
              </w:rPr>
              <w:t xml:space="preserve"> über die 10. Sitzung der Informellen Arbeitsgruppe „Explosions</w:t>
            </w:r>
            <w:r w:rsidR="00B81F5E" w:rsidRPr="00065C2E">
              <w:rPr>
                <w:lang w:val="de-DE"/>
              </w:rPr>
              <w:softHyphen/>
            </w:r>
            <w:r w:rsidR="001567EB" w:rsidRPr="00065C2E">
              <w:rPr>
                <w:lang w:val="de-DE"/>
              </w:rPr>
              <w:t>schutz auf Binnentankschiffen</w:t>
            </w:r>
          </w:p>
        </w:tc>
      </w:tr>
      <w:tr w:rsidR="00736231" w:rsidRPr="00C22B81" w:rsidTr="003D3BD7">
        <w:tc>
          <w:tcPr>
            <w:tcW w:w="4912" w:type="dxa"/>
            <w:shd w:val="clear" w:color="auto" w:fill="auto"/>
          </w:tcPr>
          <w:p w:rsidR="00736231" w:rsidRPr="00065C2E" w:rsidRDefault="00736231" w:rsidP="006F2310">
            <w:pPr>
              <w:spacing w:before="40" w:after="120"/>
              <w:ind w:left="1134"/>
              <w:jc w:val="both"/>
              <w:rPr>
                <w:snapToGrid/>
                <w:lang w:eastAsia="en-US"/>
              </w:rPr>
            </w:pPr>
            <w:r w:rsidRPr="00065C2E">
              <w:rPr>
                <w:snapToGrid/>
                <w:lang w:eastAsia="en-US"/>
              </w:rPr>
              <w:t>ECE/TRANS/WP.15/AC.2/2016/25 (</w:t>
            </w:r>
            <w:r w:rsidR="006F2310" w:rsidRPr="00065C2E">
              <w:rPr>
                <w:snapToGrid/>
                <w:lang w:eastAsia="en-US"/>
              </w:rPr>
              <w:t>Niederlande</w:t>
            </w:r>
            <w:r w:rsidRPr="00065C2E">
              <w:rPr>
                <w:snapToGrid/>
                <w:lang w:eastAsia="en-US"/>
              </w:rPr>
              <w:t>)</w:t>
            </w:r>
          </w:p>
        </w:tc>
        <w:tc>
          <w:tcPr>
            <w:tcW w:w="3593" w:type="dxa"/>
            <w:shd w:val="clear" w:color="auto" w:fill="auto"/>
          </w:tcPr>
          <w:p w:rsidR="00D314AB" w:rsidRPr="00065C2E" w:rsidRDefault="00D314AB" w:rsidP="00D314AB">
            <w:pPr>
              <w:spacing w:before="40" w:after="120"/>
              <w:ind w:left="113" w:right="113"/>
              <w:jc w:val="both"/>
              <w:rPr>
                <w:lang w:val="de-DE"/>
              </w:rPr>
            </w:pPr>
            <w:r w:rsidRPr="00065C2E">
              <w:rPr>
                <w:lang w:val="de-DE"/>
              </w:rPr>
              <w:t>Bericht über die vierte Sitzung der informellen Arbeitsgruppe „Entgasen von Ladetanks“</w:t>
            </w:r>
          </w:p>
        </w:tc>
      </w:tr>
    </w:tbl>
    <w:p w:rsidR="006F2310" w:rsidRPr="00065C2E" w:rsidRDefault="006F2310" w:rsidP="006F2310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Berichte informeller Arbeitsgruppen, die nach der Verteilung dieser erläuterten Tagesordnung eingehen, werden als informelle Dokumente vorgelegt.</w:t>
      </w:r>
    </w:p>
    <w:p w:rsidR="00736231" w:rsidRPr="00065C2E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lastRenderedPageBreak/>
        <w:tab/>
        <w:t>7.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Arbeitsprogramm und Sitzungsplan</w:t>
      </w:r>
    </w:p>
    <w:p w:rsidR="00D314AB" w:rsidRPr="00065C2E" w:rsidRDefault="00D314AB" w:rsidP="00D314AB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  <w:t>Die sechzehnte Sitzung des ADN-Verwaltungsausschusses findet am 29. Januar 2016 ab 12.00 Uhr statt. Die neunundzwanzigste Sitzung des ADN-Sicherheitsausschusses findet voraussichtlich vom 22. bis 26. August 2016 in Genf statt. Die siebzehnte Sitzung des ADN-Verwaltungsausschusses ist für den 26. August 2016 anberaumt. Letzter Termin für die Einreichung von Dokumenten für diese Sitzungen ist der 27. Ma</w:t>
      </w:r>
      <w:r w:rsidR="00065C2E" w:rsidRPr="00065C2E">
        <w:rPr>
          <w:snapToGrid/>
          <w:lang w:val="de-DE" w:eastAsia="en-US"/>
        </w:rPr>
        <w:t>i</w:t>
      </w:r>
      <w:r w:rsidRPr="00065C2E">
        <w:rPr>
          <w:snapToGrid/>
          <w:lang w:val="de-DE" w:eastAsia="en-US"/>
        </w:rPr>
        <w:t xml:space="preserve"> 2016.</w:t>
      </w:r>
    </w:p>
    <w:p w:rsidR="00736231" w:rsidRPr="00065C2E" w:rsidRDefault="00736231" w:rsidP="00736231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  <w:t>8.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Verschiedenes</w:t>
      </w:r>
    </w:p>
    <w:p w:rsidR="00736231" w:rsidRPr="00065C2E" w:rsidRDefault="00736231" w:rsidP="00B81F5E">
      <w:pPr>
        <w:spacing w:after="120"/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B81F5E" w:rsidRPr="00065C2E">
        <w:rPr>
          <w:snapToGrid/>
          <w:lang w:val="de-DE" w:eastAsia="en-US"/>
        </w:rPr>
        <w:t>Der Sicherheitsausschuss wird gebeten, alle sonstigen relevanten Fragen unter diesem Tagesordnungspunkt zu erörtern.</w:t>
      </w:r>
    </w:p>
    <w:p w:rsidR="00736231" w:rsidRPr="00065C2E" w:rsidRDefault="00736231" w:rsidP="00862D3B">
      <w:pPr>
        <w:ind w:left="1134" w:right="1134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ab/>
      </w:r>
      <w:r w:rsidR="00B81F5E" w:rsidRPr="00065C2E">
        <w:rPr>
          <w:snapToGrid/>
          <w:lang w:val="de-DE" w:eastAsia="en-US"/>
        </w:rPr>
        <w:t xml:space="preserve">Der Vertreter der European Bulk Oil Traders' Association (EBOTA) wurde auf der siebenundzwanzigsten Sitzung gebeten, weitere Unterlagen </w:t>
      </w:r>
      <w:r w:rsidR="00862D3B" w:rsidRPr="00065C2E">
        <w:rPr>
          <w:snapToGrid/>
          <w:lang w:val="de-DE" w:eastAsia="en-US"/>
        </w:rPr>
        <w:t>im Zusammenhang</w:t>
      </w:r>
      <w:r w:rsidR="00B81F5E" w:rsidRPr="00065C2E">
        <w:rPr>
          <w:snapToGrid/>
          <w:lang w:val="de-DE" w:eastAsia="en-US"/>
        </w:rPr>
        <w:t xml:space="preserve"> mit seinem Antrag auf Teilnahme als Nichtregierungsor</w:t>
      </w:r>
      <w:r w:rsidR="00862D3B" w:rsidRPr="00065C2E">
        <w:rPr>
          <w:snapToGrid/>
          <w:lang w:val="de-DE" w:eastAsia="en-US"/>
        </w:rPr>
        <w:t>g</w:t>
      </w:r>
      <w:r w:rsidR="00B81F5E" w:rsidRPr="00065C2E">
        <w:rPr>
          <w:snapToGrid/>
          <w:lang w:val="de-DE" w:eastAsia="en-US"/>
        </w:rPr>
        <w:t xml:space="preserve">anisation </w:t>
      </w:r>
      <w:r w:rsidR="00862D3B" w:rsidRPr="00065C2E">
        <w:rPr>
          <w:snapToGrid/>
          <w:lang w:val="de-DE" w:eastAsia="en-US"/>
        </w:rPr>
        <w:t>vorzulegen.</w:t>
      </w:r>
    </w:p>
    <w:p w:rsidR="00736231" w:rsidRPr="00065C2E" w:rsidRDefault="00736231" w:rsidP="00862D3B">
      <w:pPr>
        <w:keepNext/>
        <w:keepLines/>
        <w:tabs>
          <w:tab w:val="right" w:pos="851"/>
        </w:tabs>
        <w:spacing w:before="220" w:after="100" w:line="240" w:lineRule="exact"/>
        <w:ind w:left="1134" w:right="1134" w:hanging="1134"/>
        <w:rPr>
          <w:b/>
          <w:snapToGrid/>
          <w:lang w:val="de-DE" w:eastAsia="en-US"/>
        </w:rPr>
      </w:pPr>
      <w:r w:rsidRPr="00065C2E">
        <w:rPr>
          <w:b/>
          <w:snapToGrid/>
          <w:lang w:val="de-DE" w:eastAsia="en-US"/>
        </w:rPr>
        <w:tab/>
        <w:t>9.</w:t>
      </w:r>
      <w:r w:rsidRPr="00065C2E">
        <w:rPr>
          <w:b/>
          <w:snapToGrid/>
          <w:lang w:val="de-DE" w:eastAsia="en-US"/>
        </w:rPr>
        <w:tab/>
      </w:r>
      <w:r w:rsidR="00D314AB" w:rsidRPr="00065C2E">
        <w:rPr>
          <w:b/>
          <w:snapToGrid/>
          <w:lang w:val="de-DE" w:eastAsia="en-US"/>
        </w:rPr>
        <w:t>Genehmigung des Sitzungsprotokolls</w:t>
      </w:r>
    </w:p>
    <w:p w:rsidR="00D314AB" w:rsidRPr="00065C2E" w:rsidRDefault="00D314AB" w:rsidP="00D314AB">
      <w:pPr>
        <w:spacing w:after="120"/>
        <w:ind w:left="1134" w:right="1134" w:firstLine="567"/>
        <w:jc w:val="both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 xml:space="preserve">Der Sicherheitsausschuss wird gebeten, das Protokoll über seine </w:t>
      </w:r>
      <w:r w:rsidR="00957981" w:rsidRPr="00065C2E">
        <w:rPr>
          <w:snapToGrid/>
          <w:lang w:val="de-DE" w:eastAsia="en-US"/>
        </w:rPr>
        <w:t>acht</w:t>
      </w:r>
      <w:r w:rsidR="009236AA" w:rsidRPr="00065C2E">
        <w:rPr>
          <w:snapToGrid/>
          <w:lang w:val="de-DE" w:eastAsia="en-US"/>
        </w:rPr>
        <w:t>und</w:t>
      </w:r>
      <w:r w:rsidRPr="00065C2E">
        <w:rPr>
          <w:snapToGrid/>
          <w:lang w:val="de-DE" w:eastAsia="en-US"/>
        </w:rPr>
        <w:t>zwanzigste Sitzung auf der Grundlage eines Sekretariatsentwurfs zu genehmigen.</w:t>
      </w:r>
    </w:p>
    <w:p w:rsidR="00D314AB" w:rsidRPr="00065C2E" w:rsidRDefault="00D314AB" w:rsidP="00736231">
      <w:pPr>
        <w:spacing w:line="240" w:lineRule="auto"/>
        <w:ind w:left="1134" w:right="1134"/>
        <w:jc w:val="both"/>
        <w:rPr>
          <w:snapToGrid/>
          <w:lang w:val="de-DE" w:eastAsia="en-US"/>
        </w:rPr>
      </w:pPr>
    </w:p>
    <w:p w:rsidR="00736231" w:rsidRPr="000B11FE" w:rsidRDefault="00736231" w:rsidP="00736231">
      <w:pPr>
        <w:spacing w:before="240"/>
        <w:ind w:left="1134" w:right="1134"/>
        <w:jc w:val="center"/>
        <w:rPr>
          <w:snapToGrid/>
          <w:lang w:val="de-DE" w:eastAsia="en-US"/>
        </w:rPr>
      </w:pPr>
      <w:r w:rsidRPr="00065C2E">
        <w:rPr>
          <w:snapToGrid/>
          <w:lang w:val="de-DE" w:eastAsia="en-US"/>
        </w:rPr>
        <w:t>***</w:t>
      </w:r>
    </w:p>
    <w:sectPr w:rsidR="00736231" w:rsidRPr="000B11FE" w:rsidSect="002A1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7" w:h="16840" w:code="9"/>
      <w:pgMar w:top="1701" w:right="1134" w:bottom="204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F5" w:rsidRDefault="003B42F5">
      <w:pPr>
        <w:rPr>
          <w:szCs w:val="24"/>
        </w:rPr>
      </w:pPr>
    </w:p>
  </w:endnote>
  <w:endnote w:type="continuationSeparator" w:id="0">
    <w:p w:rsidR="003B42F5" w:rsidRDefault="003B42F5">
      <w:pPr>
        <w:rPr>
          <w:szCs w:val="24"/>
        </w:rPr>
      </w:pPr>
    </w:p>
  </w:endnote>
  <w:endnote w:type="continuationNotice" w:id="1">
    <w:p w:rsidR="003B42F5" w:rsidRDefault="003B42F5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9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/adn_wp15_ac2_5</w:t>
    </w:r>
    <w:r w:rsidR="00736231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_5</w:t>
    </w:r>
    <w:r w:rsidR="00736231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F0" w:rsidRPr="00722F79" w:rsidRDefault="00722F79" w:rsidP="00722F79">
    <w:pPr>
      <w:tabs>
        <w:tab w:val="center" w:pos="4536"/>
        <w:tab w:val="right" w:pos="9072"/>
      </w:tabs>
      <w:suppressAutoHyphens w:val="0"/>
      <w:spacing w:line="240" w:lineRule="auto"/>
      <w:jc w:val="right"/>
    </w:pPr>
    <w:r w:rsidRPr="00722F79">
      <w:rPr>
        <w:rFonts w:ascii="Arial" w:hAnsi="Arial"/>
        <w:noProof/>
        <w:sz w:val="12"/>
        <w:szCs w:val="24"/>
      </w:rPr>
      <w:t>mm_</w:t>
    </w:r>
    <w:r>
      <w:rPr>
        <w:rFonts w:ascii="Arial" w:hAnsi="Arial"/>
        <w:noProof/>
        <w:sz w:val="12"/>
        <w:szCs w:val="24"/>
      </w:rPr>
      <w:t>ba</w:t>
    </w:r>
    <w:r w:rsidRPr="00722F79">
      <w:rPr>
        <w:rFonts w:ascii="Arial" w:hAnsi="Arial"/>
        <w:noProof/>
        <w:sz w:val="12"/>
        <w:szCs w:val="24"/>
      </w:rPr>
      <w:t>/adn_wp15_ac2_5</w:t>
    </w:r>
    <w:r w:rsidR="00736231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_5</w:t>
    </w:r>
    <w:r w:rsidR="00736231">
      <w:rPr>
        <w:rFonts w:ascii="Arial" w:hAnsi="Arial"/>
        <w:noProof/>
        <w:sz w:val="12"/>
        <w:szCs w:val="24"/>
      </w:rPr>
      <w:t>7</w:t>
    </w:r>
    <w:r w:rsidRPr="00722F79">
      <w:rPr>
        <w:rFonts w:ascii="Arial" w:hAnsi="Arial"/>
        <w:noProof/>
        <w:sz w:val="12"/>
        <w:szCs w:val="24"/>
      </w:rPr>
      <w:t>_add1_de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F5" w:rsidRDefault="003B42F5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3B42F5" w:rsidRDefault="003B42F5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3B42F5" w:rsidRDefault="003B42F5">
      <w:pPr>
        <w:rPr>
          <w:szCs w:val="24"/>
        </w:rPr>
      </w:pPr>
    </w:p>
  </w:footnote>
  <w:footnote w:id="2">
    <w:p w:rsidR="007454F0" w:rsidRPr="00103287" w:rsidRDefault="007454F0">
      <w:pPr>
        <w:pStyle w:val="Footer"/>
        <w:ind w:left="284" w:hanging="284"/>
        <w:jc w:val="both"/>
        <w:rPr>
          <w:sz w:val="18"/>
          <w:szCs w:val="24"/>
          <w:lang w:val="de-DE"/>
        </w:rPr>
      </w:pPr>
      <w:r w:rsidRPr="00762D00">
        <w:rPr>
          <w:rStyle w:val="FootnoteReference"/>
          <w:szCs w:val="24"/>
        </w:rPr>
        <w:footnoteRef/>
      </w:r>
      <w:r w:rsidRPr="00762D00">
        <w:rPr>
          <w:sz w:val="18"/>
          <w:szCs w:val="24"/>
          <w:lang w:val="de-DE"/>
        </w:rPr>
        <w:tab/>
      </w:r>
      <w:r w:rsidRPr="00762D00">
        <w:rPr>
          <w:noProof/>
          <w:sz w:val="18"/>
          <w:szCs w:val="24"/>
          <w:lang w:val="de-DE"/>
        </w:rPr>
        <w:t xml:space="preserve">Von der UN-ECE in Englisch, Französisch und Russisch unter Aktenzeichen </w:t>
      </w:r>
      <w:r w:rsidR="000D02EA" w:rsidRPr="00762D00">
        <w:rPr>
          <w:noProof/>
          <w:sz w:val="18"/>
          <w:szCs w:val="24"/>
          <w:lang w:val="de-DE"/>
        </w:rPr>
        <w:t>ECE/</w:t>
      </w:r>
      <w:r w:rsidRPr="00762D00">
        <w:rPr>
          <w:noProof/>
          <w:sz w:val="18"/>
          <w:szCs w:val="24"/>
          <w:lang w:val="de-DE"/>
        </w:rPr>
        <w:t>TRANS/WP.15/AC.2/5</w:t>
      </w:r>
      <w:r w:rsidR="00736231" w:rsidRPr="00762D00">
        <w:rPr>
          <w:noProof/>
          <w:sz w:val="18"/>
          <w:szCs w:val="24"/>
          <w:lang w:val="de-DE"/>
        </w:rPr>
        <w:t>7</w:t>
      </w:r>
      <w:r w:rsidRPr="00762D00">
        <w:rPr>
          <w:noProof/>
          <w:sz w:val="18"/>
          <w:szCs w:val="24"/>
          <w:lang w:val="de-DE"/>
        </w:rPr>
        <w:t xml:space="preserve"> und 5</w:t>
      </w:r>
      <w:r w:rsidR="00736231" w:rsidRPr="00762D00">
        <w:rPr>
          <w:noProof/>
          <w:sz w:val="18"/>
          <w:szCs w:val="24"/>
          <w:lang w:val="de-DE"/>
        </w:rPr>
        <w:t>7</w:t>
      </w:r>
      <w:r w:rsidRPr="00762D00">
        <w:rPr>
          <w:noProof/>
          <w:sz w:val="18"/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9" w:rsidRPr="00722F79" w:rsidRDefault="00722F79" w:rsidP="00722F79">
    <w:pPr>
      <w:spacing w:line="240" w:lineRule="auto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CCNR-ZKR/ADN/WP.15/AC.2/5</w:t>
    </w:r>
    <w:r w:rsidR="00736231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5</w:t>
    </w:r>
    <w:r w:rsidR="00736231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69062F">
      <w:rPr>
        <w:rFonts w:ascii="Arial" w:hAnsi="Arial"/>
        <w:noProof/>
        <w:snapToGrid/>
        <w:sz w:val="16"/>
        <w:szCs w:val="24"/>
        <w:lang w:val="de-DE"/>
      </w:rPr>
      <w:t>4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79" w:rsidRPr="00722F79" w:rsidRDefault="00722F79" w:rsidP="00722F79">
    <w:pPr>
      <w:spacing w:line="240" w:lineRule="auto"/>
      <w:jc w:val="right"/>
      <w:rPr>
        <w:rFonts w:ascii="SimSun" w:eastAsia="SimSun"/>
        <w:snapToGrid/>
        <w:sz w:val="16"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>CCNR-ZKR/ADN/WP.15/AC.2/5</w:t>
    </w:r>
    <w:r w:rsidR="00736231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 und 5</w:t>
    </w:r>
    <w:r w:rsidR="00736231">
      <w:rPr>
        <w:rFonts w:ascii="Arial" w:hAnsi="Arial"/>
        <w:noProof/>
        <w:snapToGrid/>
        <w:sz w:val="16"/>
        <w:szCs w:val="24"/>
        <w:lang w:val="de-DE"/>
      </w:rPr>
      <w:t>7</w:t>
    </w:r>
    <w:r w:rsidRPr="00722F79">
      <w:rPr>
        <w:rFonts w:ascii="Arial" w:hAnsi="Arial"/>
        <w:noProof/>
        <w:snapToGrid/>
        <w:sz w:val="16"/>
        <w:szCs w:val="24"/>
        <w:lang w:val="de-DE"/>
      </w:rPr>
      <w:t>/Add.1</w:t>
    </w:r>
  </w:p>
  <w:p w:rsidR="00722F79" w:rsidRPr="00722F79" w:rsidRDefault="00722F79" w:rsidP="00722F79">
    <w:pPr>
      <w:spacing w:line="240" w:lineRule="auto"/>
      <w:jc w:val="right"/>
      <w:rPr>
        <w:snapToGrid/>
        <w:szCs w:val="24"/>
        <w:lang w:val="de-DE"/>
      </w:rPr>
    </w:pPr>
    <w:r w:rsidRPr="00722F79">
      <w:rPr>
        <w:rFonts w:ascii="Arial" w:hAnsi="Arial"/>
        <w:noProof/>
        <w:snapToGrid/>
        <w:sz w:val="16"/>
        <w:szCs w:val="24"/>
        <w:lang w:val="de-DE"/>
      </w:rPr>
      <w:t xml:space="preserve">Seite </w:t>
    </w:r>
    <w:r w:rsidRPr="00722F79">
      <w:rPr>
        <w:rFonts w:ascii="Arial" w:hAnsi="Arial"/>
        <w:noProof/>
        <w:snapToGrid/>
        <w:sz w:val="16"/>
        <w:szCs w:val="24"/>
      </w:rPr>
      <w:fldChar w:fldCharType="begin"/>
    </w:r>
    <w:r w:rsidRPr="00722F79">
      <w:rPr>
        <w:rFonts w:ascii="Arial" w:hAnsi="Arial"/>
        <w:noProof/>
        <w:snapToGrid/>
        <w:sz w:val="16"/>
        <w:szCs w:val="24"/>
        <w:lang w:val="de-DE"/>
      </w:rPr>
      <w:instrText xml:space="preserve"> PAGE </w:instrText>
    </w:r>
    <w:r w:rsidRPr="00722F79">
      <w:rPr>
        <w:rFonts w:ascii="Arial" w:hAnsi="Arial"/>
        <w:noProof/>
        <w:snapToGrid/>
        <w:sz w:val="16"/>
        <w:szCs w:val="24"/>
      </w:rPr>
      <w:fldChar w:fldCharType="separate"/>
    </w:r>
    <w:r w:rsidR="0069062F">
      <w:rPr>
        <w:rFonts w:ascii="Arial" w:hAnsi="Arial"/>
        <w:noProof/>
        <w:snapToGrid/>
        <w:sz w:val="16"/>
        <w:szCs w:val="24"/>
        <w:lang w:val="de-DE"/>
      </w:rPr>
      <w:t>5</w:t>
    </w:r>
    <w:r w:rsidRPr="00722F79">
      <w:rPr>
        <w:rFonts w:ascii="Arial" w:hAnsi="Arial"/>
        <w:noProof/>
        <w:snapToGrid/>
        <w:sz w:val="16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2E" w:rsidRDefault="00E7412E" w:rsidP="009236A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D"/>
    <w:multiLevelType w:val="multi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FFFF7E"/>
    <w:multiLevelType w:val="multi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7F"/>
    <w:multiLevelType w:val="multilevel"/>
    <w:tmpl w:val="5B7AE49A"/>
    <w:lvl w:ilvl="0">
      <w:start w:val="1"/>
      <w:numFmt w:val="decimal"/>
      <w:pStyle w:val="Bullet1G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FFFFF80"/>
    <w:multiLevelType w:val="multi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FFFFFF81"/>
    <w:multiLevelType w:val="multi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FFFFFF82"/>
    <w:multiLevelType w:val="multi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BFE69506"/>
    <w:lvl w:ilvl="0">
      <w:start w:val="1"/>
      <w:numFmt w:val="bullet"/>
      <w:pStyle w:val="ParaNo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multilevel"/>
    <w:tmpl w:val="8BFE3A64"/>
    <w:lvl w:ilvl="0">
      <w:start w:val="1"/>
      <w:numFmt w:val="decimal"/>
      <w:pStyle w:val="Bullet2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FFFFFF89"/>
    <w:multiLevelType w:val="multi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0F9B4E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F44705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711DA5"/>
    <w:multiLevelType w:val="hybridMultilevel"/>
    <w:tmpl w:val="441A0EC4"/>
    <w:lvl w:ilvl="0" w:tplc="CBE00F7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A6E1B18"/>
    <w:multiLevelType w:val="hybridMultilevel"/>
    <w:tmpl w:val="42E4BAAA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2124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8"/>
  </w:num>
  <w:num w:numId="22">
    <w:abstractNumId w:val="14"/>
  </w:num>
  <w:num w:numId="23">
    <w:abstractNumId w:val="10"/>
  </w:num>
  <w:num w:numId="24">
    <w:abstractNumId w:val="19"/>
  </w:num>
  <w:num w:numId="25">
    <w:abstractNumId w:val="22"/>
  </w:num>
  <w:num w:numId="26">
    <w:abstractNumId w:val="23"/>
  </w:num>
  <w:num w:numId="27">
    <w:abstractNumId w:val="17"/>
  </w:num>
  <w:num w:numId="28">
    <w:abstractNumId w:val="13"/>
  </w:num>
  <w:num w:numId="29">
    <w:abstractNumId w:val="11"/>
  </w:num>
  <w:num w:numId="30">
    <w:abstractNumId w:val="21"/>
  </w:num>
  <w:num w:numId="31">
    <w:abstractNumId w:val="20"/>
  </w:num>
  <w:num w:numId="32">
    <w:abstractNumId w:val="15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5769"/>
    <w:rsid w:val="000108AF"/>
    <w:rsid w:val="00015580"/>
    <w:rsid w:val="00022E06"/>
    <w:rsid w:val="00044483"/>
    <w:rsid w:val="00045FBD"/>
    <w:rsid w:val="00046B1F"/>
    <w:rsid w:val="00050F6B"/>
    <w:rsid w:val="00051882"/>
    <w:rsid w:val="00057E97"/>
    <w:rsid w:val="0006034F"/>
    <w:rsid w:val="00065C2E"/>
    <w:rsid w:val="00067568"/>
    <w:rsid w:val="00072C8C"/>
    <w:rsid w:val="000733B5"/>
    <w:rsid w:val="000740CA"/>
    <w:rsid w:val="000815FA"/>
    <w:rsid w:val="00081815"/>
    <w:rsid w:val="00091ED0"/>
    <w:rsid w:val="00092CAC"/>
    <w:rsid w:val="000931C0"/>
    <w:rsid w:val="000B0595"/>
    <w:rsid w:val="000B11FE"/>
    <w:rsid w:val="000B175B"/>
    <w:rsid w:val="000B3A0F"/>
    <w:rsid w:val="000B4EF7"/>
    <w:rsid w:val="000B6A35"/>
    <w:rsid w:val="000C00AB"/>
    <w:rsid w:val="000C15EE"/>
    <w:rsid w:val="000C2C03"/>
    <w:rsid w:val="000C2D2E"/>
    <w:rsid w:val="000D02EA"/>
    <w:rsid w:val="000D1BBA"/>
    <w:rsid w:val="000E0415"/>
    <w:rsid w:val="00100FD9"/>
    <w:rsid w:val="00103287"/>
    <w:rsid w:val="00105FA9"/>
    <w:rsid w:val="001103AA"/>
    <w:rsid w:val="00116117"/>
    <w:rsid w:val="0011666B"/>
    <w:rsid w:val="00117725"/>
    <w:rsid w:val="001405B1"/>
    <w:rsid w:val="00143CDC"/>
    <w:rsid w:val="0014628B"/>
    <w:rsid w:val="001468B2"/>
    <w:rsid w:val="00147248"/>
    <w:rsid w:val="001567EB"/>
    <w:rsid w:val="001649A3"/>
    <w:rsid w:val="00165F3A"/>
    <w:rsid w:val="0017296C"/>
    <w:rsid w:val="0017595C"/>
    <w:rsid w:val="00175C4B"/>
    <w:rsid w:val="00175D78"/>
    <w:rsid w:val="00184196"/>
    <w:rsid w:val="00190C5F"/>
    <w:rsid w:val="001911D3"/>
    <w:rsid w:val="001921F0"/>
    <w:rsid w:val="001927DB"/>
    <w:rsid w:val="00192D87"/>
    <w:rsid w:val="00195BDC"/>
    <w:rsid w:val="001A6FC7"/>
    <w:rsid w:val="001B4B04"/>
    <w:rsid w:val="001B4CB9"/>
    <w:rsid w:val="001B5DBC"/>
    <w:rsid w:val="001C4030"/>
    <w:rsid w:val="001C4A0F"/>
    <w:rsid w:val="001C6663"/>
    <w:rsid w:val="001C7895"/>
    <w:rsid w:val="001D0C8C"/>
    <w:rsid w:val="001D1419"/>
    <w:rsid w:val="001D26DF"/>
    <w:rsid w:val="001D3A03"/>
    <w:rsid w:val="001D7539"/>
    <w:rsid w:val="001E3377"/>
    <w:rsid w:val="001E4940"/>
    <w:rsid w:val="001E6E7E"/>
    <w:rsid w:val="001E7B67"/>
    <w:rsid w:val="001F5030"/>
    <w:rsid w:val="00202DA8"/>
    <w:rsid w:val="0021067C"/>
    <w:rsid w:val="00211E0B"/>
    <w:rsid w:val="0021364D"/>
    <w:rsid w:val="002247E8"/>
    <w:rsid w:val="00230D7B"/>
    <w:rsid w:val="00235B68"/>
    <w:rsid w:val="00235DD0"/>
    <w:rsid w:val="00240DD0"/>
    <w:rsid w:val="002424F5"/>
    <w:rsid w:val="0024772E"/>
    <w:rsid w:val="002519A6"/>
    <w:rsid w:val="00256B43"/>
    <w:rsid w:val="0026285E"/>
    <w:rsid w:val="00262BF9"/>
    <w:rsid w:val="0026302A"/>
    <w:rsid w:val="00265A42"/>
    <w:rsid w:val="00267F5F"/>
    <w:rsid w:val="002731A1"/>
    <w:rsid w:val="00274417"/>
    <w:rsid w:val="002845C1"/>
    <w:rsid w:val="002848A3"/>
    <w:rsid w:val="00286B4D"/>
    <w:rsid w:val="00287C5E"/>
    <w:rsid w:val="002902F9"/>
    <w:rsid w:val="002A1FB0"/>
    <w:rsid w:val="002B0148"/>
    <w:rsid w:val="002C05D8"/>
    <w:rsid w:val="002C2778"/>
    <w:rsid w:val="002C5EF2"/>
    <w:rsid w:val="002D4643"/>
    <w:rsid w:val="002D534E"/>
    <w:rsid w:val="002D547D"/>
    <w:rsid w:val="002D68FF"/>
    <w:rsid w:val="002D6A4D"/>
    <w:rsid w:val="002E05CE"/>
    <w:rsid w:val="002E3A18"/>
    <w:rsid w:val="002E7288"/>
    <w:rsid w:val="002E7924"/>
    <w:rsid w:val="002F175C"/>
    <w:rsid w:val="002F690D"/>
    <w:rsid w:val="00300812"/>
    <w:rsid w:val="00300BA5"/>
    <w:rsid w:val="00302E18"/>
    <w:rsid w:val="00307003"/>
    <w:rsid w:val="003114B0"/>
    <w:rsid w:val="003203E2"/>
    <w:rsid w:val="003229D8"/>
    <w:rsid w:val="003231A4"/>
    <w:rsid w:val="003277AF"/>
    <w:rsid w:val="00331664"/>
    <w:rsid w:val="00332E99"/>
    <w:rsid w:val="00344A8C"/>
    <w:rsid w:val="00344EC6"/>
    <w:rsid w:val="00347AF5"/>
    <w:rsid w:val="003508B2"/>
    <w:rsid w:val="00352709"/>
    <w:rsid w:val="003552ED"/>
    <w:rsid w:val="00357A4A"/>
    <w:rsid w:val="003619B5"/>
    <w:rsid w:val="003640AE"/>
    <w:rsid w:val="00365763"/>
    <w:rsid w:val="00371178"/>
    <w:rsid w:val="0037304E"/>
    <w:rsid w:val="003816D7"/>
    <w:rsid w:val="003908C1"/>
    <w:rsid w:val="003922DD"/>
    <w:rsid w:val="00392E47"/>
    <w:rsid w:val="003A3A0E"/>
    <w:rsid w:val="003A4397"/>
    <w:rsid w:val="003A6810"/>
    <w:rsid w:val="003B13B0"/>
    <w:rsid w:val="003B42F5"/>
    <w:rsid w:val="003B5B01"/>
    <w:rsid w:val="003B6C2C"/>
    <w:rsid w:val="003C083F"/>
    <w:rsid w:val="003C2CC4"/>
    <w:rsid w:val="003C5B97"/>
    <w:rsid w:val="003C632B"/>
    <w:rsid w:val="003C64D1"/>
    <w:rsid w:val="003D4B23"/>
    <w:rsid w:val="003E6C3C"/>
    <w:rsid w:val="004007E0"/>
    <w:rsid w:val="00405889"/>
    <w:rsid w:val="00405A13"/>
    <w:rsid w:val="00410C89"/>
    <w:rsid w:val="004163FF"/>
    <w:rsid w:val="00416D9D"/>
    <w:rsid w:val="00417D70"/>
    <w:rsid w:val="004218B4"/>
    <w:rsid w:val="00422E03"/>
    <w:rsid w:val="00426B9B"/>
    <w:rsid w:val="00430595"/>
    <w:rsid w:val="00430695"/>
    <w:rsid w:val="004325CB"/>
    <w:rsid w:val="00432707"/>
    <w:rsid w:val="00434F66"/>
    <w:rsid w:val="00442A83"/>
    <w:rsid w:val="00443582"/>
    <w:rsid w:val="0045495B"/>
    <w:rsid w:val="00457F3D"/>
    <w:rsid w:val="004663A4"/>
    <w:rsid w:val="0047699E"/>
    <w:rsid w:val="00477906"/>
    <w:rsid w:val="0048397A"/>
    <w:rsid w:val="00485CBB"/>
    <w:rsid w:val="004866B7"/>
    <w:rsid w:val="00491CBB"/>
    <w:rsid w:val="00496DEA"/>
    <w:rsid w:val="004A11BF"/>
    <w:rsid w:val="004A470F"/>
    <w:rsid w:val="004A631C"/>
    <w:rsid w:val="004B1E32"/>
    <w:rsid w:val="004C0276"/>
    <w:rsid w:val="004C2461"/>
    <w:rsid w:val="004C7462"/>
    <w:rsid w:val="004D197E"/>
    <w:rsid w:val="004D6461"/>
    <w:rsid w:val="004E19BD"/>
    <w:rsid w:val="004E4C8C"/>
    <w:rsid w:val="004E77B2"/>
    <w:rsid w:val="004F6AFB"/>
    <w:rsid w:val="00504524"/>
    <w:rsid w:val="00504B2D"/>
    <w:rsid w:val="00512C4D"/>
    <w:rsid w:val="00520030"/>
    <w:rsid w:val="0052136D"/>
    <w:rsid w:val="00524EA1"/>
    <w:rsid w:val="0052775E"/>
    <w:rsid w:val="005301B6"/>
    <w:rsid w:val="00537F71"/>
    <w:rsid w:val="005420F2"/>
    <w:rsid w:val="005628B6"/>
    <w:rsid w:val="0056600D"/>
    <w:rsid w:val="00572B32"/>
    <w:rsid w:val="005919A2"/>
    <w:rsid w:val="005941EC"/>
    <w:rsid w:val="0059724D"/>
    <w:rsid w:val="005A6214"/>
    <w:rsid w:val="005B3DB3"/>
    <w:rsid w:val="005B4E13"/>
    <w:rsid w:val="005C342F"/>
    <w:rsid w:val="005D356C"/>
    <w:rsid w:val="005D7100"/>
    <w:rsid w:val="005E25A1"/>
    <w:rsid w:val="005F216E"/>
    <w:rsid w:val="005F4A1C"/>
    <w:rsid w:val="005F7B75"/>
    <w:rsid w:val="006001EE"/>
    <w:rsid w:val="00605042"/>
    <w:rsid w:val="00607D49"/>
    <w:rsid w:val="00610FBC"/>
    <w:rsid w:val="00611FC4"/>
    <w:rsid w:val="0061359B"/>
    <w:rsid w:val="006135CE"/>
    <w:rsid w:val="0061451D"/>
    <w:rsid w:val="006176FB"/>
    <w:rsid w:val="0062388D"/>
    <w:rsid w:val="00633142"/>
    <w:rsid w:val="006349C5"/>
    <w:rsid w:val="00640B26"/>
    <w:rsid w:val="00642652"/>
    <w:rsid w:val="00647CCA"/>
    <w:rsid w:val="00652D0A"/>
    <w:rsid w:val="00656ECE"/>
    <w:rsid w:val="0065771A"/>
    <w:rsid w:val="0066181B"/>
    <w:rsid w:val="0066191F"/>
    <w:rsid w:val="00662BB6"/>
    <w:rsid w:val="0066488C"/>
    <w:rsid w:val="00676606"/>
    <w:rsid w:val="00681D15"/>
    <w:rsid w:val="00684C21"/>
    <w:rsid w:val="0069062F"/>
    <w:rsid w:val="00692692"/>
    <w:rsid w:val="006A2530"/>
    <w:rsid w:val="006A69ED"/>
    <w:rsid w:val="006A73C4"/>
    <w:rsid w:val="006B3FFD"/>
    <w:rsid w:val="006B5D2B"/>
    <w:rsid w:val="006B6921"/>
    <w:rsid w:val="006C3589"/>
    <w:rsid w:val="006C78A2"/>
    <w:rsid w:val="006D0A0B"/>
    <w:rsid w:val="006D345C"/>
    <w:rsid w:val="006D3464"/>
    <w:rsid w:val="006D37AF"/>
    <w:rsid w:val="006D51D0"/>
    <w:rsid w:val="006D5FB9"/>
    <w:rsid w:val="006D6303"/>
    <w:rsid w:val="006E0FEF"/>
    <w:rsid w:val="006E564B"/>
    <w:rsid w:val="006E7191"/>
    <w:rsid w:val="006F0890"/>
    <w:rsid w:val="006F2310"/>
    <w:rsid w:val="00703577"/>
    <w:rsid w:val="00705894"/>
    <w:rsid w:val="00706E9A"/>
    <w:rsid w:val="007124FE"/>
    <w:rsid w:val="00715614"/>
    <w:rsid w:val="00721027"/>
    <w:rsid w:val="007217C4"/>
    <w:rsid w:val="00722F79"/>
    <w:rsid w:val="00724080"/>
    <w:rsid w:val="0072632A"/>
    <w:rsid w:val="00727DE0"/>
    <w:rsid w:val="007309EC"/>
    <w:rsid w:val="007327D5"/>
    <w:rsid w:val="007352A8"/>
    <w:rsid w:val="00736231"/>
    <w:rsid w:val="007365BA"/>
    <w:rsid w:val="00736F82"/>
    <w:rsid w:val="00742A4B"/>
    <w:rsid w:val="007454F0"/>
    <w:rsid w:val="00762564"/>
    <w:rsid w:val="007629C8"/>
    <w:rsid w:val="00762D00"/>
    <w:rsid w:val="00766488"/>
    <w:rsid w:val="0077047D"/>
    <w:rsid w:val="00771A4B"/>
    <w:rsid w:val="0078063F"/>
    <w:rsid w:val="0078197F"/>
    <w:rsid w:val="00785BAC"/>
    <w:rsid w:val="00796796"/>
    <w:rsid w:val="007A7144"/>
    <w:rsid w:val="007B0CA1"/>
    <w:rsid w:val="007B6BA5"/>
    <w:rsid w:val="007C3390"/>
    <w:rsid w:val="007C4F4B"/>
    <w:rsid w:val="007C5431"/>
    <w:rsid w:val="007D22F7"/>
    <w:rsid w:val="007E01E9"/>
    <w:rsid w:val="007E20A3"/>
    <w:rsid w:val="007E299B"/>
    <w:rsid w:val="007E63F3"/>
    <w:rsid w:val="007E7463"/>
    <w:rsid w:val="007F4B56"/>
    <w:rsid w:val="007F6611"/>
    <w:rsid w:val="00802CB2"/>
    <w:rsid w:val="008038B3"/>
    <w:rsid w:val="00805F02"/>
    <w:rsid w:val="00807FFC"/>
    <w:rsid w:val="008118DA"/>
    <w:rsid w:val="00811920"/>
    <w:rsid w:val="008122AF"/>
    <w:rsid w:val="0081358A"/>
    <w:rsid w:val="00815AD0"/>
    <w:rsid w:val="00817A1E"/>
    <w:rsid w:val="008230C7"/>
    <w:rsid w:val="008242D7"/>
    <w:rsid w:val="008257B1"/>
    <w:rsid w:val="00832334"/>
    <w:rsid w:val="00843767"/>
    <w:rsid w:val="00844847"/>
    <w:rsid w:val="008449E1"/>
    <w:rsid w:val="0084592C"/>
    <w:rsid w:val="00850ABB"/>
    <w:rsid w:val="00852014"/>
    <w:rsid w:val="008524ED"/>
    <w:rsid w:val="00857508"/>
    <w:rsid w:val="00862D3B"/>
    <w:rsid w:val="008679D9"/>
    <w:rsid w:val="00872852"/>
    <w:rsid w:val="00874960"/>
    <w:rsid w:val="0088008B"/>
    <w:rsid w:val="00881C5B"/>
    <w:rsid w:val="00883669"/>
    <w:rsid w:val="0088773D"/>
    <w:rsid w:val="008878DE"/>
    <w:rsid w:val="00894427"/>
    <w:rsid w:val="008964FB"/>
    <w:rsid w:val="0089757F"/>
    <w:rsid w:val="008979B1"/>
    <w:rsid w:val="008A3DE0"/>
    <w:rsid w:val="008A46EA"/>
    <w:rsid w:val="008A49BF"/>
    <w:rsid w:val="008A6B25"/>
    <w:rsid w:val="008A6C4F"/>
    <w:rsid w:val="008B116C"/>
    <w:rsid w:val="008B2335"/>
    <w:rsid w:val="008B2BE9"/>
    <w:rsid w:val="008B4048"/>
    <w:rsid w:val="008C0E0C"/>
    <w:rsid w:val="008C5303"/>
    <w:rsid w:val="008D4AF2"/>
    <w:rsid w:val="008D5335"/>
    <w:rsid w:val="008D77EB"/>
    <w:rsid w:val="008E0678"/>
    <w:rsid w:val="008F31D2"/>
    <w:rsid w:val="009011F7"/>
    <w:rsid w:val="00902F49"/>
    <w:rsid w:val="009121CF"/>
    <w:rsid w:val="00914CCF"/>
    <w:rsid w:val="009223CA"/>
    <w:rsid w:val="009236AA"/>
    <w:rsid w:val="009266B2"/>
    <w:rsid w:val="00933994"/>
    <w:rsid w:val="009375C2"/>
    <w:rsid w:val="00940F93"/>
    <w:rsid w:val="00941201"/>
    <w:rsid w:val="00942076"/>
    <w:rsid w:val="00943D53"/>
    <w:rsid w:val="00950DF5"/>
    <w:rsid w:val="00951B84"/>
    <w:rsid w:val="00957981"/>
    <w:rsid w:val="009609CD"/>
    <w:rsid w:val="009760F3"/>
    <w:rsid w:val="00976CFB"/>
    <w:rsid w:val="00981486"/>
    <w:rsid w:val="009933EB"/>
    <w:rsid w:val="009A0830"/>
    <w:rsid w:val="009A0E8D"/>
    <w:rsid w:val="009A7A57"/>
    <w:rsid w:val="009B26E7"/>
    <w:rsid w:val="009B6927"/>
    <w:rsid w:val="009C1705"/>
    <w:rsid w:val="009C6EED"/>
    <w:rsid w:val="009D086B"/>
    <w:rsid w:val="009D0A72"/>
    <w:rsid w:val="009D6AC5"/>
    <w:rsid w:val="009E015B"/>
    <w:rsid w:val="009E6DCF"/>
    <w:rsid w:val="009F6480"/>
    <w:rsid w:val="00A00697"/>
    <w:rsid w:val="00A00A3F"/>
    <w:rsid w:val="00A01489"/>
    <w:rsid w:val="00A04F9C"/>
    <w:rsid w:val="00A0608C"/>
    <w:rsid w:val="00A07F53"/>
    <w:rsid w:val="00A2439D"/>
    <w:rsid w:val="00A2535D"/>
    <w:rsid w:val="00A27734"/>
    <w:rsid w:val="00A3026E"/>
    <w:rsid w:val="00A338F1"/>
    <w:rsid w:val="00A34E4B"/>
    <w:rsid w:val="00A35BE0"/>
    <w:rsid w:val="00A40468"/>
    <w:rsid w:val="00A45C4A"/>
    <w:rsid w:val="00A46317"/>
    <w:rsid w:val="00A52B86"/>
    <w:rsid w:val="00A567BB"/>
    <w:rsid w:val="00A63559"/>
    <w:rsid w:val="00A708E8"/>
    <w:rsid w:val="00A72F22"/>
    <w:rsid w:val="00A7360F"/>
    <w:rsid w:val="00A73F09"/>
    <w:rsid w:val="00A748A6"/>
    <w:rsid w:val="00A769F4"/>
    <w:rsid w:val="00A77391"/>
    <w:rsid w:val="00A776B4"/>
    <w:rsid w:val="00A94361"/>
    <w:rsid w:val="00A94463"/>
    <w:rsid w:val="00AA105B"/>
    <w:rsid w:val="00AA293C"/>
    <w:rsid w:val="00AA2EC2"/>
    <w:rsid w:val="00AB0007"/>
    <w:rsid w:val="00AB2DE5"/>
    <w:rsid w:val="00AC4838"/>
    <w:rsid w:val="00AC6051"/>
    <w:rsid w:val="00AF623B"/>
    <w:rsid w:val="00B02445"/>
    <w:rsid w:val="00B238F2"/>
    <w:rsid w:val="00B30179"/>
    <w:rsid w:val="00B421C1"/>
    <w:rsid w:val="00B45EA0"/>
    <w:rsid w:val="00B55C71"/>
    <w:rsid w:val="00B56E4A"/>
    <w:rsid w:val="00B56E9C"/>
    <w:rsid w:val="00B62F09"/>
    <w:rsid w:val="00B64B1F"/>
    <w:rsid w:val="00B65508"/>
    <w:rsid w:val="00B6553F"/>
    <w:rsid w:val="00B74429"/>
    <w:rsid w:val="00B77D05"/>
    <w:rsid w:val="00B8064E"/>
    <w:rsid w:val="00B81206"/>
    <w:rsid w:val="00B81E12"/>
    <w:rsid w:val="00B81F5E"/>
    <w:rsid w:val="00B8321F"/>
    <w:rsid w:val="00B9477C"/>
    <w:rsid w:val="00BA7EAD"/>
    <w:rsid w:val="00BB6619"/>
    <w:rsid w:val="00BC15E4"/>
    <w:rsid w:val="00BC3FA0"/>
    <w:rsid w:val="00BC74E9"/>
    <w:rsid w:val="00BD06D5"/>
    <w:rsid w:val="00BD3218"/>
    <w:rsid w:val="00BD745C"/>
    <w:rsid w:val="00BE3DF1"/>
    <w:rsid w:val="00BE4504"/>
    <w:rsid w:val="00BF0266"/>
    <w:rsid w:val="00BF68A8"/>
    <w:rsid w:val="00C11A03"/>
    <w:rsid w:val="00C149CE"/>
    <w:rsid w:val="00C224A9"/>
    <w:rsid w:val="00C22B81"/>
    <w:rsid w:val="00C22C0C"/>
    <w:rsid w:val="00C40C4E"/>
    <w:rsid w:val="00C4527F"/>
    <w:rsid w:val="00C463DD"/>
    <w:rsid w:val="00C4724C"/>
    <w:rsid w:val="00C6049D"/>
    <w:rsid w:val="00C629A0"/>
    <w:rsid w:val="00C64629"/>
    <w:rsid w:val="00C70455"/>
    <w:rsid w:val="00C745C3"/>
    <w:rsid w:val="00C80765"/>
    <w:rsid w:val="00C95511"/>
    <w:rsid w:val="00C95FEC"/>
    <w:rsid w:val="00C96113"/>
    <w:rsid w:val="00C96DF2"/>
    <w:rsid w:val="00CA31F7"/>
    <w:rsid w:val="00CB3E03"/>
    <w:rsid w:val="00CB6AE4"/>
    <w:rsid w:val="00CB7DD8"/>
    <w:rsid w:val="00CC5004"/>
    <w:rsid w:val="00CC534B"/>
    <w:rsid w:val="00CD4AA6"/>
    <w:rsid w:val="00CD4BB1"/>
    <w:rsid w:val="00CE2D3D"/>
    <w:rsid w:val="00CE335E"/>
    <w:rsid w:val="00CE4A8F"/>
    <w:rsid w:val="00CF727F"/>
    <w:rsid w:val="00D00E41"/>
    <w:rsid w:val="00D02054"/>
    <w:rsid w:val="00D03F3E"/>
    <w:rsid w:val="00D12DF2"/>
    <w:rsid w:val="00D17CE1"/>
    <w:rsid w:val="00D2031B"/>
    <w:rsid w:val="00D20F81"/>
    <w:rsid w:val="00D248B6"/>
    <w:rsid w:val="00D25F52"/>
    <w:rsid w:val="00D25FE2"/>
    <w:rsid w:val="00D26453"/>
    <w:rsid w:val="00D274FF"/>
    <w:rsid w:val="00D30EE7"/>
    <w:rsid w:val="00D314AB"/>
    <w:rsid w:val="00D43252"/>
    <w:rsid w:val="00D45BBD"/>
    <w:rsid w:val="00D46B23"/>
    <w:rsid w:val="00D47EEA"/>
    <w:rsid w:val="00D51E7A"/>
    <w:rsid w:val="00D53BD6"/>
    <w:rsid w:val="00D55BAE"/>
    <w:rsid w:val="00D64C5D"/>
    <w:rsid w:val="00D67D40"/>
    <w:rsid w:val="00D75766"/>
    <w:rsid w:val="00D773DF"/>
    <w:rsid w:val="00D777F1"/>
    <w:rsid w:val="00D8661C"/>
    <w:rsid w:val="00D866D2"/>
    <w:rsid w:val="00D901E4"/>
    <w:rsid w:val="00D9240A"/>
    <w:rsid w:val="00D95303"/>
    <w:rsid w:val="00D978C6"/>
    <w:rsid w:val="00DA3C1C"/>
    <w:rsid w:val="00DA48CD"/>
    <w:rsid w:val="00DB2AD8"/>
    <w:rsid w:val="00DB2E2E"/>
    <w:rsid w:val="00DB3775"/>
    <w:rsid w:val="00DC3666"/>
    <w:rsid w:val="00DD113C"/>
    <w:rsid w:val="00DD7770"/>
    <w:rsid w:val="00DF1593"/>
    <w:rsid w:val="00E03DAA"/>
    <w:rsid w:val="00E0452A"/>
    <w:rsid w:val="00E046DF"/>
    <w:rsid w:val="00E10663"/>
    <w:rsid w:val="00E148C5"/>
    <w:rsid w:val="00E16E3D"/>
    <w:rsid w:val="00E17EEF"/>
    <w:rsid w:val="00E23524"/>
    <w:rsid w:val="00E24E17"/>
    <w:rsid w:val="00E27346"/>
    <w:rsid w:val="00E32F07"/>
    <w:rsid w:val="00E5328E"/>
    <w:rsid w:val="00E659A4"/>
    <w:rsid w:val="00E71BC8"/>
    <w:rsid w:val="00E71F52"/>
    <w:rsid w:val="00E7260F"/>
    <w:rsid w:val="00E73F5D"/>
    <w:rsid w:val="00E7412E"/>
    <w:rsid w:val="00E77E4E"/>
    <w:rsid w:val="00E96630"/>
    <w:rsid w:val="00EB19FD"/>
    <w:rsid w:val="00EB2AFD"/>
    <w:rsid w:val="00EB3AFE"/>
    <w:rsid w:val="00EB73FB"/>
    <w:rsid w:val="00EC30CE"/>
    <w:rsid w:val="00ED6993"/>
    <w:rsid w:val="00ED7A2A"/>
    <w:rsid w:val="00EF1D7F"/>
    <w:rsid w:val="00F01FBE"/>
    <w:rsid w:val="00F06AC2"/>
    <w:rsid w:val="00F17FBC"/>
    <w:rsid w:val="00F27F73"/>
    <w:rsid w:val="00F31E5F"/>
    <w:rsid w:val="00F32262"/>
    <w:rsid w:val="00F35C53"/>
    <w:rsid w:val="00F50B83"/>
    <w:rsid w:val="00F6100A"/>
    <w:rsid w:val="00F62EF2"/>
    <w:rsid w:val="00F74CA9"/>
    <w:rsid w:val="00F85F08"/>
    <w:rsid w:val="00F93781"/>
    <w:rsid w:val="00FA2EC4"/>
    <w:rsid w:val="00FB4A79"/>
    <w:rsid w:val="00FB613B"/>
    <w:rsid w:val="00FC68B7"/>
    <w:rsid w:val="00FD3F98"/>
    <w:rsid w:val="00FE106A"/>
    <w:rsid w:val="00FE36C5"/>
    <w:rsid w:val="00FE7F75"/>
    <w:rsid w:val="00FF145D"/>
    <w:rsid w:val="00FF43BA"/>
    <w:rsid w:val="00FF4E05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</w:rPr>
  </w:style>
  <w:style w:type="character" w:styleId="HTMLCode">
    <w:name w:val="HTML Code"/>
    <w:semiHidden/>
    <w:rPr>
      <w:rFonts w:ascii="Courier New" w:hAnsi="Courier New"/>
      <w:sz w:val="20"/>
    </w:rPr>
  </w:style>
  <w:style w:type="character" w:styleId="HTMLDefinition">
    <w:name w:val="HTML Definition"/>
    <w:semiHidden/>
    <w:rPr>
      <w:i/>
    </w:rPr>
  </w:style>
  <w:style w:type="character" w:styleId="HTMLKeyboard">
    <w:name w:val="HTML Keyboard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</w:rPr>
  </w:style>
  <w:style w:type="character" w:styleId="HTMLVariable">
    <w:name w:val="HTML Variable"/>
    <w:semiHidden/>
    <w:rPr>
      <w:i/>
    </w:rPr>
  </w:style>
  <w:style w:type="character" w:styleId="Hyperlink">
    <w:name w:val="Hyperlink"/>
    <w:semiHidden/>
    <w:rPr>
      <w:color w:val="auto"/>
      <w:u w:val="non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snapToGrid w:val="0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snapToGrid w:val="0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">
    <w:name w:val="Table Grid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styleId="TableList7">
    <w:name w:val="Table List 7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2">
    <w:name w:val="Table Web 2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3">
    <w:name w:val="Table Web 3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pPr>
      <w:numPr>
        <w:numId w:val="23"/>
      </w:numPr>
    </w:pPr>
  </w:style>
  <w:style w:type="numbering" w:styleId="1ai">
    <w:name w:val="Outline List 1"/>
    <w:basedOn w:val="NoList"/>
    <w:pPr>
      <w:numPr>
        <w:numId w:val="22"/>
      </w:numPr>
    </w:pPr>
  </w:style>
  <w:style w:type="numbering" w:styleId="111111">
    <w:name w:val="Outline List 2"/>
    <w:basedOn w:val="NoList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45C4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5C4A"/>
    <w:rPr>
      <w:snapToGrid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45C4A"/>
    <w:rPr>
      <w:b/>
      <w:bCs/>
      <w:snapToGrid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line="240" w:lineRule="atLeast"/>
    </w:pPr>
    <w:rPr>
      <w:snapToGrid w:val="0"/>
      <w:lang w:val="en-GB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pPr>
      <w:numPr>
        <w:numId w:val="17"/>
      </w:numPr>
      <w:tabs>
        <w:tab w:val="num" w:pos="0"/>
      </w:tabs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4"/>
      </w:numPr>
      <w:tabs>
        <w:tab w:val="num" w:pos="1701"/>
      </w:tabs>
      <w:spacing w:after="120"/>
      <w:ind w:left="1701" w:right="1134" w:hanging="170"/>
      <w:jc w:val="both"/>
    </w:pPr>
  </w:style>
  <w:style w:type="paragraph" w:styleId="EndnoteText">
    <w:name w:val="endnote text"/>
    <w:aliases w:val="2_G"/>
    <w:basedOn w:val="FootnoteText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5"/>
      </w:numPr>
      <w:tabs>
        <w:tab w:val="clear" w:pos="360"/>
        <w:tab w:val="num" w:pos="2268"/>
      </w:tabs>
      <w:spacing w:after="120"/>
      <w:ind w:left="2268" w:right="1134" w:hanging="17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semiHidden/>
    <w:rPr>
      <w:rFonts w:cs="Times New Roman"/>
    </w:rPr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</w:rPr>
  </w:style>
  <w:style w:type="character" w:styleId="HTMLCode">
    <w:name w:val="HTML Code"/>
    <w:semiHidden/>
    <w:rPr>
      <w:rFonts w:ascii="Courier New" w:hAnsi="Courier New"/>
      <w:sz w:val="20"/>
    </w:rPr>
  </w:style>
  <w:style w:type="character" w:styleId="HTMLDefinition">
    <w:name w:val="HTML Definition"/>
    <w:semiHidden/>
    <w:rPr>
      <w:i/>
    </w:rPr>
  </w:style>
  <w:style w:type="character" w:styleId="HTMLKeyboard">
    <w:name w:val="HTML Keyboard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/>
    </w:rPr>
  </w:style>
  <w:style w:type="character" w:styleId="HTMLTypewriter">
    <w:name w:val="HTML Typewriter"/>
    <w:semiHidden/>
    <w:rPr>
      <w:rFonts w:ascii="Courier New" w:hAnsi="Courier New"/>
      <w:sz w:val="20"/>
    </w:rPr>
  </w:style>
  <w:style w:type="character" w:styleId="HTMLVariable">
    <w:name w:val="HTML Variable"/>
    <w:semiHidden/>
    <w:rPr>
      <w:i/>
    </w:rPr>
  </w:style>
  <w:style w:type="character" w:styleId="Hyperlink">
    <w:name w:val="Hyperlink"/>
    <w:semiHidden/>
    <w:rPr>
      <w:color w:val="auto"/>
      <w:u w:val="non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semiHidden/>
    <w:pPr>
      <w:numPr>
        <w:numId w:val="4"/>
      </w:numPr>
      <w:tabs>
        <w:tab w:val="clear" w:pos="1209"/>
        <w:tab w:val="num" w:pos="643"/>
      </w:tabs>
      <w:ind w:left="643"/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semiHidden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snapToGrid w:val="0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snapToGrid w:val="0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4">
    <w:name w:val="Table Grid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6">
    <w:name w:val="Table Grid 6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4">
    <w:name w:val="Table List 4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5">
    <w:name w:val="Table List 5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6">
    <w:name w:val="Table List 6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</w:style>
  <w:style w:type="table" w:styleId="TableList7">
    <w:name w:val="Table List 7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8">
    <w:name w:val="Table List 8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3">
    <w:name w:val="Table Simple 3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pPr>
      <w:suppressAutoHyphens/>
      <w:spacing w:line="240" w:lineRule="atLeast"/>
    </w:pPr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2">
    <w:name w:val="Table Web 2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Web3">
    <w:name w:val="Table Web 3"/>
    <w:basedOn w:val="TableNormal"/>
    <w:semiHidden/>
    <w:pPr>
      <w:suppressAutoHyphens/>
      <w:spacing w:line="240" w:lineRule="atLeast"/>
    </w:pPr>
    <w:rPr>
      <w:snapToGrid w:val="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ocked/>
    <w:rPr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1">
    <w:name w:val="Car Car1"/>
    <w:locked/>
    <w:rPr>
      <w:lang w:val="en-GB"/>
    </w:rPr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pPr>
      <w:numPr>
        <w:numId w:val="23"/>
      </w:numPr>
    </w:pPr>
  </w:style>
  <w:style w:type="numbering" w:styleId="1ai">
    <w:name w:val="Outline List 1"/>
    <w:basedOn w:val="NoList"/>
    <w:pPr>
      <w:numPr>
        <w:numId w:val="22"/>
      </w:numPr>
    </w:pPr>
  </w:style>
  <w:style w:type="numbering" w:styleId="111111">
    <w:name w:val="Outline List 2"/>
    <w:basedOn w:val="NoList"/>
    <w:pPr>
      <w:numPr>
        <w:numId w:val="21"/>
      </w:numPr>
    </w:pPr>
  </w:style>
  <w:style w:type="paragraph" w:styleId="CommentSubject">
    <w:name w:val="annotation subject"/>
    <w:basedOn w:val="CommentText"/>
    <w:next w:val="CommentText"/>
    <w:link w:val="CommentSubjectChar"/>
    <w:rsid w:val="00A45C4A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45C4A"/>
    <w:rPr>
      <w:snapToGrid w:val="0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45C4A"/>
    <w:rPr>
      <w:b/>
      <w:bCs/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EC54-35B9-4697-B7C2-53BDC6F9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2</cp:revision>
  <cp:lastPrinted>2015-12-14T10:11:00Z</cp:lastPrinted>
  <dcterms:created xsi:type="dcterms:W3CDTF">2015-12-14T10:37:00Z</dcterms:created>
  <dcterms:modified xsi:type="dcterms:W3CDTF">2015-12-14T10:37:00Z</dcterms:modified>
</cp:coreProperties>
</file>