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D748F1">
                <w:t>TRANS/WP.15/AC.2/2016/40</w:t>
              </w:r>
            </w:fldSimple>
            <w:r w:rsidR="001A2A0F">
              <w:t xml:space="preserve">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800103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D748F1">
                <w:t>8 June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800103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Pr="00C25A4A" w:rsidRDefault="00A658DB" w:rsidP="00E41D0E">
      <w:pPr>
        <w:spacing w:before="120" w:after="120"/>
        <w:rPr>
          <w:b/>
          <w:sz w:val="28"/>
          <w:szCs w:val="28"/>
        </w:rPr>
      </w:pPr>
      <w:r w:rsidRPr="00C25A4A">
        <w:rPr>
          <w:b/>
          <w:sz w:val="28"/>
          <w:szCs w:val="28"/>
        </w:rPr>
        <w:t>Европейская экономическая комиссия</w:t>
      </w:r>
    </w:p>
    <w:p w:rsidR="001A2A0F" w:rsidRDefault="00D748F1" w:rsidP="00E41D0E">
      <w:pPr>
        <w:spacing w:before="120" w:after="120"/>
        <w:rPr>
          <w:sz w:val="28"/>
          <w:szCs w:val="28"/>
          <w:lang w:bidi="ru-RU"/>
        </w:rPr>
      </w:pPr>
      <w:r w:rsidRPr="001A2A0F">
        <w:rPr>
          <w:sz w:val="28"/>
          <w:szCs w:val="28"/>
          <w:lang w:bidi="ru-RU"/>
        </w:rPr>
        <w:t>Комитет по внутреннему транспорту</w:t>
      </w:r>
    </w:p>
    <w:p w:rsidR="001A2A0F" w:rsidRPr="00C25A4A" w:rsidRDefault="00D748F1" w:rsidP="001A2A0F">
      <w:pPr>
        <w:spacing w:after="120"/>
        <w:rPr>
          <w:b/>
          <w:sz w:val="24"/>
          <w:szCs w:val="24"/>
          <w:lang w:bidi="ru-RU"/>
        </w:rPr>
      </w:pPr>
      <w:r w:rsidRPr="00C25A4A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1A2A0F" w:rsidRPr="001A2A0F" w:rsidRDefault="00D748F1" w:rsidP="001A2A0F">
      <w:pPr>
        <w:rPr>
          <w:b/>
          <w:lang w:bidi="ru-RU"/>
        </w:rPr>
      </w:pPr>
      <w:r w:rsidRPr="001A2A0F">
        <w:rPr>
          <w:b/>
          <w:lang w:bidi="ru-RU"/>
        </w:rPr>
        <w:t xml:space="preserve">Совместное совещание экспертов по Правилам, </w:t>
      </w:r>
      <w:r w:rsidRPr="001A2A0F">
        <w:rPr>
          <w:b/>
          <w:lang w:bidi="ru-RU"/>
        </w:rPr>
        <w:br/>
        <w:t xml:space="preserve">прилагаемым к Европейскому соглашению </w:t>
      </w:r>
      <w:r w:rsidRPr="001A2A0F">
        <w:rPr>
          <w:b/>
          <w:lang w:bidi="ru-RU"/>
        </w:rPr>
        <w:br/>
        <w:t xml:space="preserve">о международной перевозке опасных грузов </w:t>
      </w:r>
      <w:r w:rsidRPr="001A2A0F">
        <w:rPr>
          <w:b/>
          <w:lang w:bidi="ru-RU"/>
        </w:rPr>
        <w:br/>
        <w:t xml:space="preserve">по внутренним водным путям (ВОПОГ) </w:t>
      </w:r>
      <w:r w:rsidRPr="001A2A0F">
        <w:rPr>
          <w:b/>
          <w:lang w:bidi="ru-RU"/>
        </w:rPr>
        <w:br/>
        <w:t>(Комитет по вопросам безопасности ВОПОГ)</w:t>
      </w:r>
    </w:p>
    <w:p w:rsidR="00D748F1" w:rsidRPr="001A2A0F" w:rsidRDefault="00D748F1" w:rsidP="00E41D0E">
      <w:pPr>
        <w:spacing w:before="120"/>
        <w:rPr>
          <w:b/>
          <w:lang w:bidi="ru-RU"/>
        </w:rPr>
      </w:pPr>
      <w:r w:rsidRPr="001A2A0F">
        <w:rPr>
          <w:b/>
          <w:lang w:bidi="ru-RU"/>
        </w:rPr>
        <w:t>Двадцать девятая сессия</w:t>
      </w:r>
    </w:p>
    <w:p w:rsidR="00D748F1" w:rsidRPr="00906E67" w:rsidRDefault="00D748F1" w:rsidP="001A2A0F">
      <w:pPr>
        <w:rPr>
          <w:lang w:bidi="ru-RU"/>
        </w:rPr>
      </w:pPr>
      <w:r w:rsidRPr="00906E67">
        <w:rPr>
          <w:lang w:bidi="ru-RU"/>
        </w:rPr>
        <w:t>Женева, 22–2</w:t>
      </w:r>
      <w:r>
        <w:rPr>
          <w:lang w:bidi="ru-RU"/>
        </w:rPr>
        <w:t>5</w:t>
      </w:r>
      <w:r w:rsidRPr="00906E67">
        <w:rPr>
          <w:lang w:bidi="ru-RU"/>
        </w:rPr>
        <w:t xml:space="preserve"> августа 2016 года</w:t>
      </w:r>
    </w:p>
    <w:p w:rsidR="00D748F1" w:rsidRPr="00906E67" w:rsidRDefault="00D748F1" w:rsidP="001A2A0F">
      <w:pPr>
        <w:rPr>
          <w:lang w:bidi="ru-RU"/>
        </w:rPr>
      </w:pPr>
      <w:r w:rsidRPr="00906E67">
        <w:rPr>
          <w:lang w:bidi="ru-RU"/>
        </w:rPr>
        <w:t xml:space="preserve">Пункт </w:t>
      </w:r>
      <w:r w:rsidRPr="00906E67">
        <w:t xml:space="preserve">4 </w:t>
      </w:r>
      <w:r w:rsidRPr="0013653F">
        <w:t>b</w:t>
      </w:r>
      <w:r w:rsidRPr="00906E67">
        <w:t>)</w:t>
      </w:r>
      <w:r w:rsidRPr="00906E67">
        <w:rPr>
          <w:lang w:bidi="ru-RU"/>
        </w:rPr>
        <w:t xml:space="preserve"> предварительной повестки дня</w:t>
      </w:r>
    </w:p>
    <w:p w:rsidR="00D748F1" w:rsidRPr="001A2A0F" w:rsidRDefault="00D748F1" w:rsidP="001A2A0F">
      <w:pPr>
        <w:rPr>
          <w:b/>
        </w:rPr>
      </w:pPr>
      <w:r w:rsidRPr="001A2A0F">
        <w:rPr>
          <w:b/>
        </w:rPr>
        <w:t xml:space="preserve">Предложения о внесении поправок в Правила, </w:t>
      </w:r>
      <w:r w:rsidR="001A2A0F" w:rsidRPr="001A2A0F">
        <w:rPr>
          <w:b/>
        </w:rPr>
        <w:br/>
      </w:r>
      <w:r w:rsidRPr="001A2A0F">
        <w:rPr>
          <w:b/>
        </w:rPr>
        <w:t>прилагаемые к ВОПОГ:</w:t>
      </w:r>
      <w:r w:rsidR="001A2A0F" w:rsidRPr="001A2A0F">
        <w:rPr>
          <w:b/>
        </w:rPr>
        <w:t xml:space="preserve"> </w:t>
      </w:r>
      <w:r w:rsidRPr="001A2A0F">
        <w:rPr>
          <w:b/>
        </w:rPr>
        <w:t>другие предложения</w:t>
      </w:r>
    </w:p>
    <w:p w:rsidR="00D748F1" w:rsidRPr="00FE08FD" w:rsidRDefault="00D748F1" w:rsidP="001A2A0F">
      <w:pPr>
        <w:pStyle w:val="HChGR"/>
      </w:pPr>
      <w:r w:rsidRPr="0025466E">
        <w:tab/>
      </w:r>
      <w:r w:rsidRPr="0025466E">
        <w:tab/>
        <w:t>Подтверждение достаточной остойчивости неповрежденного судна</w:t>
      </w:r>
    </w:p>
    <w:p w:rsidR="00D748F1" w:rsidRPr="0025466E" w:rsidRDefault="00D748F1" w:rsidP="001A2A0F">
      <w:pPr>
        <w:pStyle w:val="HChGR"/>
      </w:pPr>
      <w:r w:rsidRPr="0025466E">
        <w:tab/>
      </w:r>
      <w:r w:rsidRPr="0025466E">
        <w:tab/>
      </w:r>
      <w:r>
        <w:t>Разработка</w:t>
      </w:r>
      <w:r w:rsidRPr="0025466E">
        <w:t xml:space="preserve"> </w:t>
      </w:r>
      <w:r>
        <w:t>брошюр</w:t>
      </w:r>
      <w:r w:rsidRPr="0025466E">
        <w:t xml:space="preserve"> </w:t>
      </w:r>
      <w:r>
        <w:t>по</w:t>
      </w:r>
      <w:r w:rsidRPr="0025466E">
        <w:t xml:space="preserve"> </w:t>
      </w:r>
      <w:r>
        <w:t>остойчивости</w:t>
      </w:r>
      <w:r w:rsidRPr="0025466E">
        <w:t xml:space="preserve"> </w:t>
      </w:r>
      <w:r>
        <w:t>и</w:t>
      </w:r>
      <w:r w:rsidRPr="0025466E">
        <w:t xml:space="preserve"> </w:t>
      </w:r>
      <w:r>
        <w:t>программ</w:t>
      </w:r>
      <w:r w:rsidRPr="0025466E">
        <w:t xml:space="preserve"> </w:t>
      </w:r>
      <w:r>
        <w:t>обеспечения</w:t>
      </w:r>
      <w:r w:rsidRPr="0025466E">
        <w:t xml:space="preserve"> </w:t>
      </w:r>
      <w:r>
        <w:t>остойчивости</w:t>
      </w:r>
    </w:p>
    <w:p w:rsidR="00D748F1" w:rsidRPr="004F0401" w:rsidRDefault="00D748F1" w:rsidP="001A2A0F">
      <w:pPr>
        <w:pStyle w:val="H1GR"/>
      </w:pPr>
      <w:r w:rsidRPr="0025466E">
        <w:tab/>
      </w:r>
      <w:r w:rsidRPr="0025466E">
        <w:tab/>
      </w:r>
      <w:r w:rsidRPr="00834E2C">
        <w:t xml:space="preserve">Передано совместно Европейским союзом речного </w:t>
      </w:r>
      <w:r w:rsidR="004F0401" w:rsidRPr="004F0401">
        <w:br/>
      </w:r>
      <w:r w:rsidRPr="00834E2C">
        <w:t xml:space="preserve">судоходства (ЕСРС), Европейским союзом речного </w:t>
      </w:r>
      <w:r w:rsidR="004F0401" w:rsidRPr="004F0401">
        <w:br/>
      </w:r>
      <w:r w:rsidRPr="00834E2C">
        <w:t>и прибрежного транспорта (ЕСРПТ) и Европейской организацией судоводителей (</w:t>
      </w:r>
      <w:r w:rsidRPr="00B0406C">
        <w:t>EO</w:t>
      </w:r>
      <w:r w:rsidRPr="00834E2C">
        <w:t>С)</w:t>
      </w:r>
      <w:r w:rsidRPr="004F0401">
        <w:rPr>
          <w:b w:val="0"/>
          <w:noProof/>
          <w:snapToGrid w:val="0"/>
          <w:sz w:val="20"/>
          <w:vertAlign w:val="superscript"/>
          <w:lang w:val="fr-FR" w:eastAsia="fr-FR"/>
        </w:rPr>
        <w:footnoteReference w:id="1"/>
      </w:r>
      <w:r w:rsidRPr="004F0401">
        <w:rPr>
          <w:b w:val="0"/>
          <w:sz w:val="20"/>
          <w:vertAlign w:val="superscript"/>
        </w:rPr>
        <w:t>,</w:t>
      </w:r>
      <w:r w:rsidRPr="00834E2C">
        <w:t xml:space="preserve"> </w:t>
      </w:r>
      <w:r w:rsidRPr="004F0401">
        <w:rPr>
          <w:rStyle w:val="FootnoteReference"/>
          <w:b w:val="0"/>
          <w:sz w:val="20"/>
        </w:rPr>
        <w:footnoteReference w:id="2"/>
      </w:r>
    </w:p>
    <w:p w:rsidR="00D748F1" w:rsidRPr="00182720" w:rsidRDefault="00D748F1" w:rsidP="00182720">
      <w:pPr>
        <w:pStyle w:val="SingleTxtGR"/>
      </w:pPr>
      <w:r w:rsidRPr="00182720">
        <w:t>1.</w:t>
      </w:r>
      <w:r w:rsidRPr="00182720">
        <w:tab/>
        <w:t>В пунктах 9.3.1.13.3, 9.3.2.13.3 и 9.3.3.13.3 ВОПОГ содержатся предписания, касающиеся брошюр по остойчивости и приборов контроля загрузки.</w:t>
      </w:r>
    </w:p>
    <w:p w:rsidR="00110F1C" w:rsidRDefault="00110F1C">
      <w:pPr>
        <w:spacing w:line="240" w:lineRule="auto"/>
      </w:pPr>
      <w:r>
        <w:br w:type="page"/>
      </w:r>
    </w:p>
    <w:p w:rsidR="00D748F1" w:rsidRPr="00182720" w:rsidRDefault="00D748F1" w:rsidP="00182720">
      <w:pPr>
        <w:pStyle w:val="SingleTxtGR"/>
      </w:pPr>
      <w:r w:rsidRPr="00182720">
        <w:lastRenderedPageBreak/>
        <w:t>2.</w:t>
      </w:r>
      <w:r w:rsidRPr="00182720">
        <w:tab/>
        <w:t>В отступление от требований подраздела 1.16.1.3 ВОПОГ временные свидетельства о допущении могут быть выданы только один раз на шесть месяцев в 2015 году или на четыре месяца в течение последующих лет, с тем чтобы можно было представить подтверждение остойчивости неповрежденного судна в соответствии с пунктами 9.3.1.13.3, 9.3.2.13.3 и 9.3.3.13.3 ВОПОГ для целей возобновления свидетельства о допущении.</w:t>
      </w:r>
    </w:p>
    <w:p w:rsidR="00D748F1" w:rsidRPr="00182720" w:rsidRDefault="00D748F1" w:rsidP="00182720">
      <w:pPr>
        <w:pStyle w:val="SingleTxtGR"/>
      </w:pPr>
      <w:r w:rsidRPr="00182720">
        <w:tab/>
        <w:t>Данные положения предусмотрены в многосторонних соглашениях</w:t>
      </w:r>
      <w:r w:rsidR="00877E0C">
        <w:rPr>
          <w:lang w:val="en-US"/>
        </w:rPr>
        <w:t> </w:t>
      </w:r>
      <w:r w:rsidRPr="00182720">
        <w:t>MV</w:t>
      </w:r>
      <w:r w:rsidR="00877E0C">
        <w:rPr>
          <w:lang w:val="en-US"/>
        </w:rPr>
        <w:t> </w:t>
      </w:r>
      <w:r w:rsidRPr="00182720">
        <w:t>014 и MV 015, которые будут действовать до 31 декабря 2019 года.</w:t>
      </w:r>
    </w:p>
    <w:p w:rsidR="00D748F1" w:rsidRPr="00182720" w:rsidRDefault="00D748F1" w:rsidP="00182720">
      <w:pPr>
        <w:pStyle w:val="SingleTxtGR"/>
      </w:pPr>
      <w:r w:rsidRPr="00182720">
        <w:t>3.</w:t>
      </w:r>
      <w:r w:rsidRPr="00182720">
        <w:tab/>
        <w:t>Как оказалось, несмотря на напряженные дискуссии и тщательный анализ, проведенные в ходе подготовки указанных соглашений, время, которое потребуется для разработки брошюр по остойчивости и программ обеспечения остойчивости, было во многом недооценено.</w:t>
      </w:r>
    </w:p>
    <w:p w:rsidR="00A658DB" w:rsidRPr="00182720" w:rsidRDefault="00D748F1" w:rsidP="00182720">
      <w:pPr>
        <w:pStyle w:val="SingleTxtGR"/>
      </w:pPr>
      <w:r w:rsidRPr="00182720">
        <w:t>4.</w:t>
      </w:r>
      <w:r w:rsidRPr="00182720">
        <w:tab/>
        <w:t xml:space="preserve">По этой причине европейские организации в сфере внутреннего судоходства ходатайствуют о том, чтобы </w:t>
      </w:r>
      <w:r w:rsidRPr="000E4E63">
        <w:rPr>
          <w:u w:val="single"/>
        </w:rPr>
        <w:t>на 2016 год и все последующие годы</w:t>
      </w:r>
      <w:r w:rsidRPr="00182720">
        <w:t xml:space="preserve"> в случае одноразовой выдачи сроки действия временных свидетельств о допущении, упомянутые в многосторонних соглашениях MV 014 и MV 015, были увеличены до </w:t>
      </w:r>
      <w:r w:rsidR="00C25A4A">
        <w:rPr>
          <w:b/>
        </w:rPr>
        <w:t>шести</w:t>
      </w:r>
      <w:r w:rsidRPr="000E4E63">
        <w:rPr>
          <w:b/>
        </w:rPr>
        <w:t xml:space="preserve"> месяцев</w:t>
      </w:r>
      <w:r w:rsidRPr="00182720">
        <w:t>, с тем чтобы при возобновлении свидетельства о допущении можно было представить подтверждение остойчивости неповрежденного судна в соответствии с пунктами 9.3.1.13.3, 9.3.2.13.3 и 9.3.3.13.3 ВОПОГ.</w:t>
      </w:r>
    </w:p>
    <w:p w:rsidR="00182720" w:rsidRPr="00877E0C" w:rsidRDefault="00877E0C" w:rsidP="00877E0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82720" w:rsidRPr="00877E0C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F1" w:rsidRDefault="00D748F1" w:rsidP="00B471C5">
      <w:r>
        <w:separator/>
      </w:r>
    </w:p>
  </w:endnote>
  <w:endnote w:type="continuationSeparator" w:id="0">
    <w:p w:rsidR="00D748F1" w:rsidRDefault="00D748F1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00103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AC648F">
      <w:rPr>
        <w:lang w:val="en-US"/>
      </w:rPr>
      <w:t>09290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AC648F">
            <w:rPr>
              <w:lang w:val="en-US"/>
            </w:rPr>
            <w:t>09290</w:t>
          </w:r>
          <w:r w:rsidRPr="001C3ABC">
            <w:rPr>
              <w:lang w:val="en-US"/>
            </w:rPr>
            <w:t xml:space="preserve"> (R)</w:t>
          </w:r>
          <w:r w:rsidR="00AC648F">
            <w:rPr>
              <w:lang w:val="en-US"/>
            </w:rPr>
            <w:t xml:space="preserve">   240616  240616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AC648F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2/2016/4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6/4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AC648F" w:rsidRDefault="00AC648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C648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C648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C648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AC648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C648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AC648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C648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AC648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C648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F1" w:rsidRPr="009141DC" w:rsidRDefault="00D748F1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748F1" w:rsidRPr="00D1261C" w:rsidRDefault="00D748F1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748F1" w:rsidRPr="00834E2C" w:rsidRDefault="00D748F1" w:rsidP="00D748F1">
      <w:pPr>
        <w:pStyle w:val="FootnoteText"/>
        <w:rPr>
          <w:lang w:val="ru-RU"/>
        </w:rPr>
      </w:pPr>
      <w:r>
        <w:rPr>
          <w:szCs w:val="24"/>
        </w:rPr>
        <w:tab/>
      </w:r>
      <w:r w:rsidRPr="00F337B3">
        <w:rPr>
          <w:rStyle w:val="FootnoteReference"/>
          <w:szCs w:val="24"/>
        </w:rPr>
        <w:footnoteRef/>
      </w:r>
      <w:r w:rsidRPr="00834E2C">
        <w:rPr>
          <w:szCs w:val="24"/>
          <w:lang w:val="ru-RU"/>
        </w:rPr>
        <w:tab/>
      </w:r>
      <w:r>
        <w:rPr>
          <w:lang w:val="ru-RU"/>
        </w:rPr>
        <w:t>Р</w:t>
      </w:r>
      <w:r w:rsidRPr="00B35A79">
        <w:rPr>
          <w:lang w:val="ru-RU"/>
        </w:rPr>
        <w:t>аспространено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на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немецком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языке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Центральной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комиссией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судоходства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по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Рейну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под</w:t>
      </w:r>
      <w:r>
        <w:rPr>
          <w:lang w:val="en-US"/>
        </w:rPr>
        <w:t> </w:t>
      </w:r>
      <w:r w:rsidRPr="00B35A79">
        <w:rPr>
          <w:lang w:val="ru-RU"/>
        </w:rPr>
        <w:t>условным</w:t>
      </w:r>
      <w:r w:rsidRPr="00834E2C">
        <w:rPr>
          <w:lang w:val="ru-RU"/>
        </w:rPr>
        <w:t xml:space="preserve"> </w:t>
      </w:r>
      <w:r w:rsidRPr="00B35A79">
        <w:rPr>
          <w:lang w:val="ru-RU"/>
        </w:rPr>
        <w:t>обозначением</w:t>
      </w:r>
      <w:r w:rsidRPr="00834E2C">
        <w:rPr>
          <w:lang w:val="ru-RU"/>
        </w:rPr>
        <w:t xml:space="preserve"> </w:t>
      </w:r>
      <w:r w:rsidRPr="00834E2C">
        <w:t>CCNR</w:t>
      </w:r>
      <w:r w:rsidRPr="00834E2C">
        <w:rPr>
          <w:lang w:val="ru-RU"/>
        </w:rPr>
        <w:t>/</w:t>
      </w:r>
      <w:r w:rsidRPr="00834E2C">
        <w:t>ZKR</w:t>
      </w:r>
      <w:r w:rsidRPr="00834E2C">
        <w:rPr>
          <w:lang w:val="ru-RU"/>
        </w:rPr>
        <w:t>/</w:t>
      </w:r>
      <w:r w:rsidRPr="00834E2C">
        <w:t>ADN</w:t>
      </w:r>
      <w:r w:rsidRPr="00834E2C">
        <w:rPr>
          <w:lang w:val="ru-RU"/>
        </w:rPr>
        <w:t>/</w:t>
      </w:r>
      <w:r w:rsidRPr="00834E2C">
        <w:t>WP</w:t>
      </w:r>
      <w:r w:rsidRPr="00834E2C">
        <w:rPr>
          <w:lang w:val="ru-RU"/>
        </w:rPr>
        <w:t>.15/</w:t>
      </w:r>
      <w:r w:rsidRPr="00834E2C">
        <w:t>AC</w:t>
      </w:r>
      <w:r w:rsidRPr="00834E2C">
        <w:rPr>
          <w:lang w:val="ru-RU"/>
        </w:rPr>
        <w:t>.2/2016/</w:t>
      </w:r>
      <w:r>
        <w:rPr>
          <w:lang w:val="ru-RU"/>
        </w:rPr>
        <w:t>40</w:t>
      </w:r>
      <w:r w:rsidRPr="00834E2C">
        <w:rPr>
          <w:noProof/>
          <w:lang w:val="ru-RU"/>
        </w:rPr>
        <w:t>.</w:t>
      </w:r>
    </w:p>
  </w:footnote>
  <w:footnote w:id="2">
    <w:p w:rsidR="004F0401" w:rsidRPr="004F0401" w:rsidRDefault="00D748F1" w:rsidP="00D748F1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834E2C">
        <w:rPr>
          <w:lang w:val="ru-RU"/>
        </w:rPr>
        <w:tab/>
      </w:r>
      <w:r>
        <w:rPr>
          <w:rStyle w:val="FootnoteReference"/>
        </w:rPr>
        <w:footnoteRef/>
      </w:r>
      <w:r w:rsidRPr="0087334B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4F0401" w:rsidRPr="004F0401">
        <w:rPr>
          <w:lang w:val="ru-RU"/>
        </w:rPr>
        <w:br/>
      </w:r>
      <w:r w:rsidRPr="004F0401">
        <w:rPr>
          <w:lang w:val="ru-RU"/>
        </w:rPr>
        <w:t>на 2016–2017 годы (</w:t>
      </w:r>
      <w:r w:rsidRPr="0087334B">
        <w:rPr>
          <w:lang w:val="en-US"/>
        </w:rPr>
        <w:t>ECE</w:t>
      </w:r>
      <w:r w:rsidRPr="004F0401">
        <w:rPr>
          <w:lang w:val="ru-RU"/>
        </w:rPr>
        <w:t>/</w:t>
      </w:r>
      <w:r w:rsidRPr="0087334B">
        <w:rPr>
          <w:lang w:val="en-US"/>
        </w:rPr>
        <w:t>TRANS</w:t>
      </w:r>
      <w:r w:rsidRPr="004F0401">
        <w:rPr>
          <w:lang w:val="ru-RU"/>
        </w:rPr>
        <w:t>/2016/28/</w:t>
      </w:r>
      <w:r w:rsidRPr="0087334B">
        <w:rPr>
          <w:lang w:val="en-US"/>
        </w:rPr>
        <w:t>Add</w:t>
      </w:r>
      <w:r w:rsidRPr="004F0401">
        <w:rPr>
          <w:lang w:val="ru-RU"/>
        </w:rPr>
        <w:t>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AC648F" w:rsidRPr="00565A49">
      <w:t>TRANS/WP.15/AC.</w:t>
    </w:r>
    <w:r w:rsidR="00AC648F">
      <w:t>2/2016/</w:t>
    </w:r>
    <w:r w:rsidR="00AC648F">
      <w:rPr>
        <w:lang w:val="ru-RU"/>
      </w:rPr>
      <w:t>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F1"/>
    <w:rsid w:val="000450D1"/>
    <w:rsid w:val="000B1FD5"/>
    <w:rsid w:val="000E4E63"/>
    <w:rsid w:val="000F2A4F"/>
    <w:rsid w:val="00110F1C"/>
    <w:rsid w:val="00182720"/>
    <w:rsid w:val="001A2A0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4F0401"/>
    <w:rsid w:val="00544379"/>
    <w:rsid w:val="00566944"/>
    <w:rsid w:val="005834DC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00103"/>
    <w:rsid w:val="008717E8"/>
    <w:rsid w:val="00877E0C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C648F"/>
    <w:rsid w:val="00AD7EAD"/>
    <w:rsid w:val="00B35A32"/>
    <w:rsid w:val="00B432C6"/>
    <w:rsid w:val="00B471C5"/>
    <w:rsid w:val="00B6474A"/>
    <w:rsid w:val="00B84784"/>
    <w:rsid w:val="00BE1742"/>
    <w:rsid w:val="00C25A4A"/>
    <w:rsid w:val="00CD579C"/>
    <w:rsid w:val="00D1261C"/>
    <w:rsid w:val="00D26030"/>
    <w:rsid w:val="00D748F1"/>
    <w:rsid w:val="00D75DCE"/>
    <w:rsid w:val="00DD35AC"/>
    <w:rsid w:val="00DD479F"/>
    <w:rsid w:val="00E15E48"/>
    <w:rsid w:val="00E41D0E"/>
    <w:rsid w:val="00E779AB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334BC74-E692-4E81-9BF2-4F008DF2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rsid w:val="00D748F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fr-CH"/>
    </w:rPr>
  </w:style>
  <w:style w:type="paragraph" w:customStyle="1" w:styleId="H1G">
    <w:name w:val="_ H_1_G"/>
    <w:basedOn w:val="Normal"/>
    <w:next w:val="Normal"/>
    <w:link w:val="H1GChar"/>
    <w:rsid w:val="00D748F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fr-CH"/>
    </w:rPr>
  </w:style>
  <w:style w:type="paragraph" w:customStyle="1" w:styleId="SingleTxtG">
    <w:name w:val="_ Single Txt_G"/>
    <w:basedOn w:val="Normal"/>
    <w:link w:val="SingleTxtGChar"/>
    <w:qFormat/>
    <w:rsid w:val="00D748F1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H1GChar">
    <w:name w:val="_ H_1_G Char"/>
    <w:link w:val="H1G"/>
    <w:rsid w:val="00D748F1"/>
    <w:rPr>
      <w:rFonts w:ascii="Times New Roman" w:eastAsia="Times New Roman" w:hAnsi="Times New Roman" w:cs="Times New Roman"/>
      <w:b/>
      <w:sz w:val="24"/>
      <w:szCs w:val="20"/>
      <w:lang w:val="fr-CH"/>
    </w:rPr>
  </w:style>
  <w:style w:type="character" w:customStyle="1" w:styleId="SingleTxtGChar">
    <w:name w:val="_ Single Txt_G Char"/>
    <w:link w:val="SingleTxtG"/>
    <w:rsid w:val="00D748F1"/>
    <w:rPr>
      <w:rFonts w:ascii="Times New Roman" w:eastAsia="Times New Roman" w:hAnsi="Times New Roman" w:cs="Times New Roman"/>
      <w:sz w:val="20"/>
      <w:szCs w:val="20"/>
      <w:lang w:val="fr-CH"/>
    </w:rPr>
  </w:style>
  <w:style w:type="character" w:customStyle="1" w:styleId="HChGChar">
    <w:name w:val="_ H _Ch_G Char"/>
    <w:link w:val="HChG"/>
    <w:locked/>
    <w:rsid w:val="00D748F1"/>
    <w:rPr>
      <w:rFonts w:ascii="Times New Roman" w:eastAsia="Times New Roman" w:hAnsi="Times New Roman" w:cs="Times New Roman"/>
      <w:b/>
      <w:sz w:val="28"/>
      <w:szCs w:val="20"/>
      <w:lang w:val="fr-CH"/>
    </w:rPr>
  </w:style>
  <w:style w:type="paragraph" w:customStyle="1" w:styleId="H1">
    <w:name w:val="_ H_1"/>
    <w:basedOn w:val="Normal"/>
    <w:next w:val="Normal"/>
    <w:qFormat/>
    <w:rsid w:val="00D748F1"/>
    <w:pPr>
      <w:suppressAutoHyphens/>
      <w:spacing w:line="270" w:lineRule="exact"/>
      <w:outlineLvl w:val="0"/>
    </w:pPr>
    <w:rPr>
      <w:rFonts w:eastAsiaTheme="minorHAnsi"/>
      <w:b/>
      <w:sz w:val="24"/>
      <w:szCs w:val="22"/>
    </w:rPr>
  </w:style>
  <w:style w:type="paragraph" w:customStyle="1" w:styleId="HCh">
    <w:name w:val="_ H _Ch"/>
    <w:basedOn w:val="H1"/>
    <w:next w:val="Normal"/>
    <w:qFormat/>
    <w:rsid w:val="00D748F1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D748F1"/>
    <w:pPr>
      <w:keepNext/>
      <w:keepLines/>
      <w:spacing w:line="240" w:lineRule="exact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4A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17F2-0792-40F8-B3E2-1ABBCA82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OICA</cp:lastModifiedBy>
  <cp:revision>2</cp:revision>
  <dcterms:created xsi:type="dcterms:W3CDTF">2016-06-27T15:27:00Z</dcterms:created>
  <dcterms:modified xsi:type="dcterms:W3CDTF">2016-06-27T15:27:00Z</dcterms:modified>
</cp:coreProperties>
</file>