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73" w:rsidRPr="006818D4" w:rsidRDefault="000A1673" w:rsidP="000A1673">
      <w:pPr>
        <w:spacing w:line="240" w:lineRule="auto"/>
        <w:rPr>
          <w:sz w:val="2"/>
          <w:lang w:val="fr-CH"/>
        </w:rPr>
        <w:sectPr w:rsidR="000A1673" w:rsidRPr="006818D4" w:rsidSect="000A167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0A1673" w:rsidRPr="006818D4" w:rsidRDefault="000A1673" w:rsidP="006818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18D4">
        <w:rPr>
          <w:lang w:val="fr-CH"/>
        </w:rPr>
        <w:lastRenderedPageBreak/>
        <w:t>Commission économique pour l</w:t>
      </w:r>
      <w:r w:rsidR="006818D4" w:rsidRPr="006818D4">
        <w:rPr>
          <w:lang w:val="fr-CH"/>
        </w:rPr>
        <w:t>’</w:t>
      </w:r>
      <w:r w:rsidRPr="006818D4">
        <w:rPr>
          <w:lang w:val="fr-CH"/>
        </w:rPr>
        <w:t>Europe</w:t>
      </w:r>
    </w:p>
    <w:p w:rsidR="006818D4" w:rsidRPr="006818D4" w:rsidRDefault="006818D4" w:rsidP="006818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0A1673" w:rsidRPr="006818D4" w:rsidRDefault="000A1673" w:rsidP="006818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6818D4">
        <w:rPr>
          <w:b w:val="0"/>
          <w:bCs/>
          <w:lang w:val="fr-CH"/>
        </w:rPr>
        <w:t>Comité des transports intérieurs</w:t>
      </w:r>
    </w:p>
    <w:p w:rsidR="006818D4" w:rsidRPr="006818D4" w:rsidRDefault="006818D4" w:rsidP="006818D4">
      <w:pPr>
        <w:spacing w:line="120" w:lineRule="exact"/>
        <w:rPr>
          <w:sz w:val="10"/>
          <w:lang w:val="fr-CH"/>
        </w:rPr>
      </w:pPr>
    </w:p>
    <w:p w:rsidR="006818D4" w:rsidRPr="006818D4" w:rsidRDefault="006818D4" w:rsidP="006818D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18D4">
        <w:rPr>
          <w:lang w:val="fr-CH"/>
        </w:rPr>
        <w:t xml:space="preserve">Groupe de travail des transports </w:t>
      </w:r>
      <w:r w:rsidRPr="006818D4">
        <w:rPr>
          <w:lang w:val="fr-CH"/>
        </w:rPr>
        <w:br/>
        <w:t>de marchandises dangereuses</w:t>
      </w:r>
    </w:p>
    <w:p w:rsidR="006818D4" w:rsidRPr="006818D4" w:rsidRDefault="006818D4" w:rsidP="006818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6818D4" w:rsidRPr="006818D4" w:rsidRDefault="006818D4" w:rsidP="006818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18D4">
        <w:rPr>
          <w:lang w:val="fr-CH"/>
        </w:rPr>
        <w:t xml:space="preserve">Réunion commune de la Commission d’experts </w:t>
      </w:r>
      <w:r w:rsidRPr="006818D4">
        <w:rPr>
          <w:lang w:val="fr-CH"/>
        </w:rPr>
        <w:br/>
        <w:t xml:space="preserve">du RID et du Groupe de travail des transports </w:t>
      </w:r>
      <w:r w:rsidRPr="006818D4">
        <w:rPr>
          <w:lang w:val="fr-CH"/>
        </w:rPr>
        <w:br/>
        <w:t>de marchandises dangereuses</w:t>
      </w:r>
    </w:p>
    <w:p w:rsidR="006818D4" w:rsidRPr="006818D4" w:rsidRDefault="006818D4" w:rsidP="006818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18D4">
        <w:rPr>
          <w:lang w:val="fr-CH"/>
        </w:rPr>
        <w:t>Berne, 14-18 mars 2016</w:t>
      </w:r>
    </w:p>
    <w:p w:rsidR="006818D4" w:rsidRPr="006818D4" w:rsidRDefault="006818D4" w:rsidP="006818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18D4">
        <w:rPr>
          <w:lang w:val="fr-CH"/>
        </w:rPr>
        <w:t>Point 5 b) de l’ordre du jour provisoire</w:t>
      </w:r>
    </w:p>
    <w:p w:rsidR="006818D4" w:rsidRPr="006818D4" w:rsidRDefault="006818D4" w:rsidP="006818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18D4">
        <w:rPr>
          <w:lang w:val="fr-CH"/>
        </w:rPr>
        <w:t xml:space="preserve">Propositions d’amendements au RID/ADR/ADN : </w:t>
      </w:r>
      <w:r w:rsidRPr="006818D4">
        <w:rPr>
          <w:lang w:val="fr-CH"/>
        </w:rPr>
        <w:br/>
        <w:t xml:space="preserve">nouvelles propositions </w:t>
      </w:r>
    </w:p>
    <w:p w:rsidR="006818D4" w:rsidRPr="006818D4" w:rsidRDefault="006818D4" w:rsidP="006818D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6818D4" w:rsidRPr="006818D4" w:rsidRDefault="006818D4" w:rsidP="006818D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6818D4" w:rsidRPr="006818D4" w:rsidRDefault="006818D4" w:rsidP="006818D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6818D4" w:rsidRPr="006818D4" w:rsidRDefault="006818D4" w:rsidP="006818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18D4">
        <w:rPr>
          <w:lang w:val="fr-CH"/>
        </w:rPr>
        <w:tab/>
      </w:r>
      <w:r w:rsidRPr="006818D4">
        <w:rPr>
          <w:lang w:val="fr-CH"/>
        </w:rPr>
        <w:tab/>
        <w:t>Transport en vrac selon les codes BK ou VC</w:t>
      </w:r>
    </w:p>
    <w:p w:rsidR="006818D4" w:rsidRPr="006818D4" w:rsidRDefault="006818D4" w:rsidP="006818D4">
      <w:pPr>
        <w:pStyle w:val="SingleTxt"/>
        <w:spacing w:after="0" w:line="120" w:lineRule="exact"/>
        <w:rPr>
          <w:b/>
          <w:sz w:val="10"/>
          <w:lang w:val="fr-CH"/>
        </w:rPr>
      </w:pPr>
    </w:p>
    <w:p w:rsidR="006818D4" w:rsidRPr="006818D4" w:rsidRDefault="006818D4" w:rsidP="006818D4">
      <w:pPr>
        <w:pStyle w:val="SingleTxt"/>
        <w:spacing w:after="0" w:line="120" w:lineRule="exact"/>
        <w:rPr>
          <w:b/>
          <w:sz w:val="10"/>
          <w:lang w:val="fr-CH"/>
        </w:rPr>
      </w:pPr>
    </w:p>
    <w:p w:rsidR="006818D4" w:rsidRPr="006818D4" w:rsidRDefault="006818D4" w:rsidP="006818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18D4">
        <w:rPr>
          <w:lang w:val="fr-CH"/>
        </w:rPr>
        <w:tab/>
      </w:r>
      <w:r w:rsidRPr="006818D4">
        <w:rPr>
          <w:lang w:val="fr-CH"/>
        </w:rPr>
        <w:tab/>
        <w:t>Communication du Gouvernement espagnol</w:t>
      </w:r>
      <w:r w:rsidRPr="006818D4">
        <w:rPr>
          <w:rStyle w:val="FootnoteReference"/>
          <w:b w:val="0"/>
          <w:bCs/>
          <w:sz w:val="20"/>
          <w:szCs w:val="20"/>
          <w:lang w:val="fr-CH"/>
        </w:rPr>
        <w:footnoteReference w:id="1"/>
      </w:r>
      <w:r w:rsidRPr="006818D4">
        <w:rPr>
          <w:b w:val="0"/>
          <w:bCs/>
          <w:sz w:val="20"/>
          <w:szCs w:val="20"/>
          <w:vertAlign w:val="superscript"/>
          <w:lang w:val="fr-CH"/>
        </w:rPr>
        <w:t>, </w:t>
      </w:r>
      <w:r w:rsidRPr="006818D4">
        <w:rPr>
          <w:rStyle w:val="FootnoteReference"/>
          <w:b w:val="0"/>
          <w:bCs/>
          <w:sz w:val="20"/>
          <w:szCs w:val="20"/>
          <w:lang w:val="fr-CH"/>
        </w:rPr>
        <w:footnoteReference w:id="2"/>
      </w:r>
    </w:p>
    <w:p w:rsidR="000A1673" w:rsidRPr="006818D4" w:rsidRDefault="000A1673" w:rsidP="006818D4">
      <w:pPr>
        <w:pStyle w:val="SingleTxt"/>
        <w:spacing w:after="0" w:line="120" w:lineRule="exact"/>
        <w:rPr>
          <w:sz w:val="10"/>
          <w:lang w:val="fr-CH"/>
        </w:rPr>
      </w:pPr>
    </w:p>
    <w:p w:rsidR="00302D69" w:rsidRPr="00302D69" w:rsidRDefault="00302D69" w:rsidP="00302D69">
      <w:pPr>
        <w:pStyle w:val="SingleTxt"/>
        <w:spacing w:after="0" w:line="120" w:lineRule="exact"/>
        <w:rPr>
          <w:sz w:val="10"/>
          <w:lang w:val="fr-CH"/>
        </w:rPr>
      </w:pPr>
    </w:p>
    <w:p w:rsidR="006818D4" w:rsidRPr="006818D4" w:rsidRDefault="006818D4" w:rsidP="006818D4">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6818D4" w:rsidRPr="006818D4" w:rsidTr="006818D4">
        <w:tc>
          <w:tcPr>
            <w:tcW w:w="10051" w:type="dxa"/>
            <w:tcBorders>
              <w:top w:val="single" w:sz="2" w:space="0" w:color="auto"/>
            </w:tcBorders>
            <w:shd w:val="clear" w:color="auto" w:fill="auto"/>
          </w:tcPr>
          <w:p w:rsidR="006818D4" w:rsidRPr="006818D4" w:rsidRDefault="006818D4" w:rsidP="00302D69">
            <w:pPr>
              <w:tabs>
                <w:tab w:val="left" w:pos="240"/>
              </w:tabs>
              <w:spacing w:before="240" w:after="120"/>
              <w:jc w:val="both"/>
              <w:rPr>
                <w:i/>
                <w:sz w:val="24"/>
                <w:lang w:val="fr-CH"/>
              </w:rPr>
            </w:pPr>
            <w:r w:rsidRPr="006818D4">
              <w:rPr>
                <w:i/>
                <w:sz w:val="24"/>
                <w:lang w:val="fr-CH"/>
              </w:rPr>
              <w:tab/>
              <w:t>Résumé</w:t>
            </w:r>
          </w:p>
        </w:tc>
      </w:tr>
      <w:tr w:rsidR="006818D4" w:rsidRPr="006818D4" w:rsidTr="006818D4">
        <w:tc>
          <w:tcPr>
            <w:tcW w:w="10051" w:type="dxa"/>
            <w:shd w:val="clear" w:color="auto" w:fill="auto"/>
          </w:tcPr>
          <w:p w:rsidR="006818D4" w:rsidRPr="006818D4" w:rsidRDefault="006818D4" w:rsidP="00302D69">
            <w:pPr>
              <w:pStyle w:val="SingleTxt"/>
              <w:ind w:left="3125" w:hanging="1858"/>
              <w:rPr>
                <w:lang w:val="fr-CH"/>
              </w:rPr>
            </w:pPr>
            <w:r w:rsidRPr="006818D4">
              <w:rPr>
                <w:b/>
                <w:bCs/>
                <w:lang w:val="fr-CH"/>
              </w:rPr>
              <w:t>Contexte :</w:t>
            </w:r>
            <w:r w:rsidRPr="006818D4">
              <w:rPr>
                <w:lang w:val="fr-CH"/>
              </w:rPr>
              <w:tab/>
            </w:r>
            <w:r w:rsidRPr="006818D4">
              <w:rPr>
                <w:lang w:val="fr-CH"/>
              </w:rPr>
              <w:tab/>
            </w:r>
            <w:r w:rsidR="00302D69">
              <w:rPr>
                <w:lang w:val="fr-CH"/>
              </w:rPr>
              <w:tab/>
            </w:r>
            <w:r w:rsidRPr="006818D4">
              <w:rPr>
                <w:lang w:val="fr-CH"/>
              </w:rPr>
              <w:t>Un grand nombre de rubriques ONU affichent un code VC</w:t>
            </w:r>
            <w:r w:rsidR="00302D69">
              <w:rPr>
                <w:lang w:val="fr-CH"/>
              </w:rPr>
              <w:t>,</w:t>
            </w:r>
            <w:r w:rsidRPr="006818D4">
              <w:rPr>
                <w:lang w:val="fr-CH"/>
              </w:rPr>
              <w:t xml:space="preserve"> mais </w:t>
            </w:r>
            <w:proofErr w:type="gramStart"/>
            <w:r w:rsidRPr="006818D4">
              <w:rPr>
                <w:lang w:val="fr-CH"/>
              </w:rPr>
              <w:t>aucun code</w:t>
            </w:r>
            <w:proofErr w:type="gramEnd"/>
            <w:r w:rsidRPr="006818D4">
              <w:rPr>
                <w:lang w:val="fr-CH"/>
              </w:rPr>
              <w:t xml:space="preserve"> BK, alors que l’utilisation des conteneurs pour vrac BK devrait également être possible dans ces cas.</w:t>
            </w:r>
          </w:p>
        </w:tc>
      </w:tr>
      <w:tr w:rsidR="006818D4" w:rsidRPr="006818D4" w:rsidTr="006818D4">
        <w:tc>
          <w:tcPr>
            <w:tcW w:w="10051" w:type="dxa"/>
            <w:shd w:val="clear" w:color="auto" w:fill="auto"/>
          </w:tcPr>
          <w:p w:rsidR="006818D4" w:rsidRPr="006818D4" w:rsidRDefault="006818D4" w:rsidP="00302D69">
            <w:pPr>
              <w:pStyle w:val="SingleTxt"/>
              <w:ind w:left="3125" w:hanging="1858"/>
              <w:rPr>
                <w:lang w:val="fr-CH"/>
              </w:rPr>
            </w:pPr>
            <w:r w:rsidRPr="006818D4">
              <w:rPr>
                <w:b/>
                <w:bCs/>
                <w:lang w:val="fr-CH"/>
              </w:rPr>
              <w:t>Mesure à prendre :</w:t>
            </w:r>
            <w:r w:rsidRPr="006818D4">
              <w:rPr>
                <w:bCs/>
                <w:lang w:val="fr-CH"/>
              </w:rPr>
              <w:tab/>
              <w:t>L</w:t>
            </w:r>
            <w:r w:rsidR="00302D69">
              <w:rPr>
                <w:bCs/>
                <w:lang w:val="fr-CH"/>
              </w:rPr>
              <w:t>a Réunion commune est invitée</w:t>
            </w:r>
            <w:r w:rsidRPr="006818D4">
              <w:rPr>
                <w:bCs/>
                <w:lang w:val="fr-CH"/>
              </w:rPr>
              <w:t xml:space="preserve"> à insérer une </w:t>
            </w:r>
            <w:r w:rsidR="00302D69">
              <w:rPr>
                <w:bCs/>
                <w:lang w:val="fr-CH"/>
              </w:rPr>
              <w:t>n</w:t>
            </w:r>
            <w:r w:rsidRPr="006818D4">
              <w:rPr>
                <w:bCs/>
                <w:lang w:val="fr-CH"/>
              </w:rPr>
              <w:t>ote au 7.3.3.1.</w:t>
            </w:r>
          </w:p>
        </w:tc>
      </w:tr>
      <w:tr w:rsidR="006818D4" w:rsidRPr="006818D4" w:rsidTr="006818D4">
        <w:tc>
          <w:tcPr>
            <w:tcW w:w="10051" w:type="dxa"/>
            <w:tcBorders>
              <w:bottom w:val="single" w:sz="2" w:space="0" w:color="auto"/>
            </w:tcBorders>
            <w:shd w:val="clear" w:color="auto" w:fill="auto"/>
          </w:tcPr>
          <w:p w:rsidR="006818D4" w:rsidRPr="006818D4" w:rsidRDefault="006818D4" w:rsidP="006818D4">
            <w:pPr>
              <w:pStyle w:val="SingleTxt"/>
              <w:rPr>
                <w:lang w:val="fr-CH"/>
              </w:rPr>
            </w:pPr>
          </w:p>
        </w:tc>
      </w:tr>
    </w:tbl>
    <w:p w:rsidR="006818D4" w:rsidRPr="006818D4" w:rsidRDefault="006818D4" w:rsidP="006818D4">
      <w:pPr>
        <w:pStyle w:val="SingleTxt"/>
        <w:spacing w:after="0" w:line="120" w:lineRule="exact"/>
        <w:rPr>
          <w:sz w:val="10"/>
          <w:lang w:val="fr-CH"/>
        </w:rPr>
      </w:pPr>
    </w:p>
    <w:p w:rsidR="006818D4" w:rsidRPr="006818D4" w:rsidRDefault="006818D4" w:rsidP="006818D4">
      <w:pPr>
        <w:pStyle w:val="SingleTxt"/>
        <w:spacing w:after="0" w:line="120" w:lineRule="exact"/>
        <w:rPr>
          <w:sz w:val="10"/>
          <w:lang w:val="fr-CH"/>
        </w:rPr>
      </w:pPr>
    </w:p>
    <w:p w:rsidR="006818D4" w:rsidRPr="006818D4" w:rsidRDefault="006818D4" w:rsidP="006818D4">
      <w:pPr>
        <w:pStyle w:val="SingleTxt"/>
        <w:spacing w:after="0" w:line="120" w:lineRule="exact"/>
        <w:rPr>
          <w:sz w:val="10"/>
          <w:lang w:val="fr-CH"/>
        </w:rPr>
      </w:pPr>
    </w:p>
    <w:p w:rsidR="006818D4" w:rsidRPr="006818D4" w:rsidRDefault="006818D4" w:rsidP="006818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18D4">
        <w:rPr>
          <w:lang w:val="fr-CH"/>
        </w:rPr>
        <w:tab/>
      </w:r>
      <w:r w:rsidRPr="006818D4">
        <w:rPr>
          <w:lang w:val="fr-CH"/>
        </w:rPr>
        <w:tab/>
        <w:t>Introduction</w:t>
      </w:r>
    </w:p>
    <w:p w:rsidR="006818D4" w:rsidRPr="006818D4" w:rsidRDefault="006818D4" w:rsidP="006818D4">
      <w:pPr>
        <w:pStyle w:val="SingleTxt"/>
        <w:spacing w:after="0" w:line="120" w:lineRule="exact"/>
        <w:rPr>
          <w:b/>
          <w:sz w:val="10"/>
          <w:lang w:val="fr-CH"/>
        </w:rPr>
      </w:pPr>
    </w:p>
    <w:p w:rsidR="006818D4" w:rsidRPr="006818D4" w:rsidRDefault="006818D4" w:rsidP="006818D4">
      <w:pPr>
        <w:pStyle w:val="SingleTxt"/>
        <w:spacing w:after="0" w:line="120" w:lineRule="exact"/>
        <w:rPr>
          <w:b/>
          <w:sz w:val="10"/>
          <w:lang w:val="fr-CH"/>
        </w:rPr>
      </w:pPr>
    </w:p>
    <w:p w:rsidR="006818D4" w:rsidRPr="006818D4" w:rsidRDefault="006818D4" w:rsidP="00302D69">
      <w:pPr>
        <w:pStyle w:val="SingleTxt"/>
        <w:numPr>
          <w:ilvl w:val="0"/>
          <w:numId w:val="9"/>
        </w:numPr>
        <w:tabs>
          <w:tab w:val="clear" w:pos="475"/>
          <w:tab w:val="num" w:pos="1742"/>
        </w:tabs>
        <w:ind w:left="1267"/>
        <w:rPr>
          <w:lang w:val="fr-CH"/>
        </w:rPr>
      </w:pPr>
      <w:r w:rsidRPr="006818D4">
        <w:rPr>
          <w:lang w:val="fr-CH"/>
        </w:rPr>
        <w:t>Le transport en vrac est autorisé dans le</w:t>
      </w:r>
      <w:r>
        <w:rPr>
          <w:lang w:val="fr-CH"/>
        </w:rPr>
        <w:t>s conditions fixées au chapitre </w:t>
      </w:r>
      <w:r w:rsidRPr="006818D4">
        <w:rPr>
          <w:lang w:val="fr-CH"/>
        </w:rPr>
        <w:t>7.3 de l’ADR, qui offre le choix entre l’affectation d’un code BK ou d’un code VC.</w:t>
      </w:r>
    </w:p>
    <w:p w:rsidR="006818D4" w:rsidRPr="006818D4" w:rsidRDefault="006818D4" w:rsidP="00302D69">
      <w:pPr>
        <w:pStyle w:val="SingleTxt"/>
        <w:numPr>
          <w:ilvl w:val="0"/>
          <w:numId w:val="9"/>
        </w:numPr>
        <w:tabs>
          <w:tab w:val="clear" w:pos="475"/>
          <w:tab w:val="num" w:pos="1742"/>
        </w:tabs>
        <w:ind w:left="1267"/>
        <w:rPr>
          <w:lang w:val="fr-CH"/>
        </w:rPr>
      </w:pPr>
      <w:r w:rsidRPr="006818D4">
        <w:rPr>
          <w:lang w:val="fr-CH"/>
        </w:rPr>
        <w:t xml:space="preserve">Les conteneurs pour vrac BK sont complètement adaptés au transport intermodal, ce qui n’est pas le cas des véhicules et des conteneurs VC. </w:t>
      </w:r>
      <w:r w:rsidR="00302D69">
        <w:rPr>
          <w:lang w:val="fr-CH"/>
        </w:rPr>
        <w:t>On observe par ailleurs que dans le tableau </w:t>
      </w:r>
      <w:r w:rsidRPr="006818D4">
        <w:rPr>
          <w:lang w:val="fr-CH"/>
        </w:rPr>
        <w:t xml:space="preserve">A </w:t>
      </w:r>
      <w:r w:rsidR="00302D69">
        <w:rPr>
          <w:lang w:val="fr-CH"/>
        </w:rPr>
        <w:t xml:space="preserve">du </w:t>
      </w:r>
      <w:r w:rsidRPr="006818D4">
        <w:rPr>
          <w:lang w:val="fr-CH"/>
        </w:rPr>
        <w:t xml:space="preserve">RID et </w:t>
      </w:r>
      <w:r w:rsidR="00302D69">
        <w:rPr>
          <w:lang w:val="fr-CH"/>
        </w:rPr>
        <w:t>de l’</w:t>
      </w:r>
      <w:r w:rsidRPr="006818D4">
        <w:rPr>
          <w:lang w:val="fr-CH"/>
        </w:rPr>
        <w:t>ADR, de nombreux numéros ONU sont affectés d’un code VC, mais pas d’un code BK.</w:t>
      </w:r>
    </w:p>
    <w:p w:rsidR="006818D4" w:rsidRPr="006818D4" w:rsidRDefault="006818D4" w:rsidP="006818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18D4">
        <w:rPr>
          <w:lang w:val="fr-CH"/>
        </w:rPr>
        <w:lastRenderedPageBreak/>
        <w:tab/>
      </w:r>
      <w:r w:rsidRPr="006818D4">
        <w:rPr>
          <w:lang w:val="fr-CH"/>
        </w:rPr>
        <w:tab/>
        <w:t>Analyse</w:t>
      </w:r>
    </w:p>
    <w:p w:rsidR="006818D4" w:rsidRPr="006818D4" w:rsidRDefault="006818D4" w:rsidP="00302D69">
      <w:pPr>
        <w:pStyle w:val="SingleTxt"/>
        <w:keepNext/>
        <w:spacing w:after="0" w:line="120" w:lineRule="exact"/>
        <w:rPr>
          <w:b/>
          <w:sz w:val="10"/>
          <w:lang w:val="fr-CH"/>
        </w:rPr>
      </w:pPr>
    </w:p>
    <w:p w:rsidR="006818D4" w:rsidRPr="006818D4" w:rsidRDefault="006818D4" w:rsidP="00302D69">
      <w:pPr>
        <w:pStyle w:val="SingleTxt"/>
        <w:keepNext/>
        <w:spacing w:after="0" w:line="120" w:lineRule="exact"/>
        <w:rPr>
          <w:b/>
          <w:sz w:val="10"/>
          <w:lang w:val="fr-CH"/>
        </w:rPr>
      </w:pPr>
    </w:p>
    <w:p w:rsidR="006818D4" w:rsidRPr="006818D4" w:rsidRDefault="006818D4" w:rsidP="00302D69">
      <w:pPr>
        <w:pStyle w:val="SingleTxt"/>
        <w:keepNext/>
        <w:numPr>
          <w:ilvl w:val="0"/>
          <w:numId w:val="9"/>
        </w:numPr>
        <w:tabs>
          <w:tab w:val="clear" w:pos="475"/>
          <w:tab w:val="num" w:pos="1742"/>
        </w:tabs>
        <w:ind w:left="1267"/>
        <w:rPr>
          <w:lang w:val="fr-CH"/>
        </w:rPr>
      </w:pPr>
      <w:r w:rsidRPr="006818D4">
        <w:rPr>
          <w:lang w:val="fr-CH"/>
        </w:rPr>
        <w:t>Les enceintes de rétention BK et VC doivent satisfaire à différentes prescriptions</w:t>
      </w:r>
      <w:r>
        <w:rPr>
          <w:lang w:val="fr-CH"/>
        </w:rPr>
        <w:t> </w:t>
      </w:r>
      <w:r w:rsidRPr="006818D4">
        <w:rPr>
          <w:lang w:val="fr-CH"/>
        </w:rPr>
        <w:t>:</w:t>
      </w:r>
    </w:p>
    <w:p w:rsidR="006818D4" w:rsidRPr="006818D4" w:rsidRDefault="006818D4" w:rsidP="006818D4">
      <w:pPr>
        <w:pStyle w:val="Bullet1"/>
        <w:rPr>
          <w:lang w:val="fr-CH"/>
        </w:rPr>
      </w:pPr>
      <w:r w:rsidRPr="006818D4">
        <w:rPr>
          <w:lang w:val="fr-CH"/>
        </w:rPr>
        <w:t xml:space="preserve">En ce qui concerne les conteneurs pour vrac BK, il est dit au 7.3.2.2. que </w:t>
      </w:r>
      <w:r>
        <w:rPr>
          <w:lang w:val="fr-CH"/>
        </w:rPr>
        <w:t xml:space="preserve">« le </w:t>
      </w:r>
      <w:r w:rsidRPr="006818D4">
        <w:rPr>
          <w:lang w:val="fr-CH"/>
        </w:rPr>
        <w:t>conteneur pour vrac utilisé doit être conforme aux p</w:t>
      </w:r>
      <w:r>
        <w:rPr>
          <w:lang w:val="fr-CH"/>
        </w:rPr>
        <w:t>rescriptions du chapitre </w:t>
      </w:r>
      <w:r w:rsidRPr="006818D4">
        <w:rPr>
          <w:lang w:val="fr-CH"/>
        </w:rPr>
        <w:t>6.11</w:t>
      </w:r>
      <w:r>
        <w:rPr>
          <w:lang w:val="fr-CH"/>
        </w:rPr>
        <w:t> »</w:t>
      </w:r>
      <w:r w:rsidRPr="006818D4">
        <w:rPr>
          <w:lang w:val="fr-CH"/>
        </w:rPr>
        <w:t>;</w:t>
      </w:r>
    </w:p>
    <w:p w:rsidR="006818D4" w:rsidRPr="006818D4" w:rsidRDefault="006818D4" w:rsidP="006818D4">
      <w:pPr>
        <w:pStyle w:val="Bullet1"/>
        <w:rPr>
          <w:lang w:val="fr-CH"/>
        </w:rPr>
      </w:pPr>
      <w:r w:rsidRPr="006818D4">
        <w:rPr>
          <w:lang w:val="fr-CH"/>
        </w:rPr>
        <w:t xml:space="preserve">En ce qui concerne les enceintes de rétention VC, il est indiqué à la deuxième phrase du paragraphe d’introduction du 7.3.3.1 qu’il </w:t>
      </w:r>
      <w:r>
        <w:rPr>
          <w:lang w:val="fr-CH"/>
        </w:rPr>
        <w:t>« </w:t>
      </w:r>
      <w:r w:rsidRPr="006818D4">
        <w:rPr>
          <w:lang w:val="fr-CH"/>
        </w:rPr>
        <w:t>n’est pas nécessaire que les véhicules bâchés, les véhicules couverts, les conteneurs bâchés ou les conteneurs fermés utilisés suivant cette section soient conformes aux</w:t>
      </w:r>
      <w:r>
        <w:rPr>
          <w:lang w:val="fr-CH"/>
        </w:rPr>
        <w:t xml:space="preserve"> prescriptions du chapitre </w:t>
      </w:r>
      <w:r w:rsidRPr="006818D4">
        <w:rPr>
          <w:lang w:val="fr-CH"/>
        </w:rPr>
        <w:t>6.11</w:t>
      </w:r>
      <w:r>
        <w:rPr>
          <w:lang w:val="fr-CH"/>
        </w:rPr>
        <w:t> »</w:t>
      </w:r>
      <w:r w:rsidRPr="006818D4">
        <w:rPr>
          <w:lang w:val="fr-CH"/>
        </w:rPr>
        <w:t>.</w:t>
      </w:r>
    </w:p>
    <w:p w:rsidR="006818D4" w:rsidRPr="006818D4" w:rsidRDefault="006818D4" w:rsidP="006818D4">
      <w:pPr>
        <w:pStyle w:val="SingleTxt"/>
        <w:numPr>
          <w:ilvl w:val="0"/>
          <w:numId w:val="9"/>
        </w:numPr>
        <w:tabs>
          <w:tab w:val="clear" w:pos="475"/>
          <w:tab w:val="num" w:pos="1742"/>
        </w:tabs>
        <w:ind w:left="1267"/>
        <w:rPr>
          <w:lang w:val="fr-CH"/>
        </w:rPr>
      </w:pPr>
      <w:r w:rsidRPr="006818D4">
        <w:rPr>
          <w:lang w:val="fr-CH"/>
        </w:rPr>
        <w:t>Les conteneurs pour vrac BK doivent remplir un ensemble de conditions particulières, à la différence des enceintes de rétention VC (pour véhicules et conteneurs). Il est cependant difficile de savoir s’il est possible d’utiliser un conteneur pour vrac BK chaque fois qu’on peut utiliser un conteneur pour vrac VC.</w:t>
      </w:r>
    </w:p>
    <w:p w:rsidR="006818D4" w:rsidRPr="006818D4" w:rsidRDefault="006818D4" w:rsidP="006818D4">
      <w:pPr>
        <w:pStyle w:val="SingleTxt"/>
        <w:numPr>
          <w:ilvl w:val="0"/>
          <w:numId w:val="9"/>
        </w:numPr>
        <w:tabs>
          <w:tab w:val="clear" w:pos="475"/>
          <w:tab w:val="num" w:pos="1742"/>
        </w:tabs>
        <w:ind w:left="1267"/>
        <w:rPr>
          <w:lang w:val="fr-CH"/>
        </w:rPr>
      </w:pPr>
      <w:r w:rsidRPr="006818D4">
        <w:rPr>
          <w:lang w:val="fr-CH"/>
        </w:rPr>
        <w:t>Au 7.3.3.1, la signification des codes VC1 et VC2 est expliquée de la façon suivante</w:t>
      </w:r>
      <w:r>
        <w:rPr>
          <w:lang w:val="fr-CH"/>
        </w:rPr>
        <w:t> </w:t>
      </w:r>
      <w:r w:rsidRPr="006818D4">
        <w:rPr>
          <w:lang w:val="fr-CH"/>
        </w:rPr>
        <w:t>:</w:t>
      </w:r>
    </w:p>
    <w:p w:rsidR="006818D4" w:rsidRPr="006818D4" w:rsidRDefault="006818D4" w:rsidP="006818D4">
      <w:pPr>
        <w:pStyle w:val="SingleTxt"/>
        <w:rPr>
          <w:lang w:val="fr-CH"/>
        </w:rPr>
      </w:pPr>
      <w:r>
        <w:rPr>
          <w:lang w:val="fr-CH"/>
        </w:rPr>
        <w:t>« </w:t>
      </w:r>
      <w:r w:rsidRPr="006818D4">
        <w:rPr>
          <w:lang w:val="fr-CH"/>
        </w:rPr>
        <w:t>Le transport en vrac dans des véhicules bâchés/couverts, des conteneurs bâchés/fermés ou des conteneurs pour vrac bâchés/fermés est autorisé.</w:t>
      </w:r>
      <w:r>
        <w:rPr>
          <w:lang w:val="fr-CH"/>
        </w:rPr>
        <w:t> ».</w:t>
      </w:r>
    </w:p>
    <w:p w:rsidR="006818D4" w:rsidRPr="006818D4" w:rsidRDefault="006818D4" w:rsidP="006818D4">
      <w:pPr>
        <w:pStyle w:val="SingleTxt"/>
        <w:numPr>
          <w:ilvl w:val="0"/>
          <w:numId w:val="9"/>
        </w:numPr>
        <w:tabs>
          <w:tab w:val="clear" w:pos="475"/>
          <w:tab w:val="num" w:pos="1742"/>
        </w:tabs>
        <w:ind w:left="1267"/>
        <w:rPr>
          <w:lang w:val="fr-CH"/>
        </w:rPr>
      </w:pPr>
      <w:r w:rsidRPr="006818D4">
        <w:rPr>
          <w:lang w:val="fr-CH"/>
        </w:rPr>
        <w:t>Pourtant, le paragraphe introductif du 7.3.3.1 ne mentionne que les véhicules bâchés ou couverts et les conteneurs bâchés ou fermés, seules catégories auxquelles ne s’appliquent pas les prescriptions du 6.11. La troisième catégorie d’enceintes de rétention mentionnée dans la définition des codes VC1 et VC2 est celle des conteneurs pour vrac bâchés ou fermés; or, en l’absence d’indication contraire, la définition du 1.2.1 les englobe, ce qui les soumet aux prescriptions du 6.11. On peut donc considérer que ces conteneurs pour vrac sont identiques aux conteneurs pour vrac BK; aucune o</w:t>
      </w:r>
      <w:r w:rsidRPr="006818D4">
        <w:rPr>
          <w:bCs/>
          <w:lang w:val="fr-CH"/>
        </w:rPr>
        <w:t>bligation</w:t>
      </w:r>
      <w:r w:rsidRPr="006818D4">
        <w:rPr>
          <w:lang w:val="fr-CH"/>
        </w:rPr>
        <w:t xml:space="preserve"> particulière n’est prévue.</w:t>
      </w:r>
    </w:p>
    <w:p w:rsidR="006818D4" w:rsidRPr="006818D4" w:rsidRDefault="006818D4" w:rsidP="006818D4">
      <w:pPr>
        <w:pStyle w:val="SingleTxt"/>
        <w:numPr>
          <w:ilvl w:val="0"/>
          <w:numId w:val="9"/>
        </w:numPr>
        <w:tabs>
          <w:tab w:val="clear" w:pos="475"/>
          <w:tab w:val="num" w:pos="1742"/>
        </w:tabs>
        <w:ind w:left="1267"/>
        <w:rPr>
          <w:lang w:val="fr-CH"/>
        </w:rPr>
      </w:pPr>
      <w:r w:rsidRPr="006818D4">
        <w:rPr>
          <w:lang w:val="fr-CH"/>
        </w:rPr>
        <w:t>Il serait donc possible d’utiliser un conteneu</w:t>
      </w:r>
      <w:r>
        <w:rPr>
          <w:lang w:val="fr-CH"/>
        </w:rPr>
        <w:t>r BK chaque fois que la colonne </w:t>
      </w:r>
      <w:r w:rsidRPr="006818D4">
        <w:rPr>
          <w:lang w:val="fr-CH"/>
        </w:rPr>
        <w:t>17 affiche un code VC, à condition que les dispositions AP pour le transport en vrac soient également remplies.</w:t>
      </w:r>
    </w:p>
    <w:p w:rsidR="006818D4" w:rsidRPr="006818D4" w:rsidRDefault="006818D4" w:rsidP="00302D69">
      <w:pPr>
        <w:pStyle w:val="SingleTxt"/>
        <w:numPr>
          <w:ilvl w:val="0"/>
          <w:numId w:val="9"/>
        </w:numPr>
        <w:tabs>
          <w:tab w:val="clear" w:pos="475"/>
          <w:tab w:val="num" w:pos="1742"/>
        </w:tabs>
        <w:ind w:left="1267"/>
        <w:rPr>
          <w:lang w:val="fr-CH"/>
        </w:rPr>
      </w:pPr>
      <w:r w:rsidRPr="006818D4">
        <w:rPr>
          <w:lang w:val="fr-CH"/>
        </w:rPr>
        <w:t xml:space="preserve">Afin de lever l’incertitude à propos </w:t>
      </w:r>
      <w:r w:rsidR="00302D69">
        <w:rPr>
          <w:lang w:val="fr-CH"/>
        </w:rPr>
        <w:t>de la situation</w:t>
      </w:r>
      <w:r w:rsidRPr="006818D4">
        <w:rPr>
          <w:lang w:val="fr-CH"/>
        </w:rPr>
        <w:t xml:space="preserve"> exposé</w:t>
      </w:r>
      <w:r w:rsidR="00302D69">
        <w:rPr>
          <w:lang w:val="fr-CH"/>
        </w:rPr>
        <w:t>e</w:t>
      </w:r>
      <w:r w:rsidRPr="006818D4">
        <w:rPr>
          <w:lang w:val="fr-CH"/>
        </w:rPr>
        <w:t xml:space="preserve"> précédemment et d’autoriser sans ambiguïté l’utilisation de conteneurs pour vrac BK lorsque les conteneurs pour vrac VC sont autorisés, il est proposé d’insérer au 7.3.3.1 une </w:t>
      </w:r>
      <w:r w:rsidRPr="006818D4">
        <w:rPr>
          <w:iCs/>
          <w:lang w:val="fr-CH"/>
        </w:rPr>
        <w:t>note</w:t>
      </w:r>
      <w:r w:rsidRPr="006818D4">
        <w:rPr>
          <w:lang w:val="fr-CH"/>
        </w:rPr>
        <w:t>, dont le texte est présenté</w:t>
      </w:r>
      <w:r>
        <w:rPr>
          <w:lang w:val="fr-CH"/>
        </w:rPr>
        <w:t xml:space="preserve"> </w:t>
      </w:r>
      <w:r w:rsidR="00302D69" w:rsidRPr="006818D4">
        <w:rPr>
          <w:lang w:val="fr-CH"/>
        </w:rPr>
        <w:t xml:space="preserve">ci-après </w:t>
      </w:r>
      <w:r>
        <w:rPr>
          <w:lang w:val="fr-CH"/>
        </w:rPr>
        <w:t>au paragraphe </w:t>
      </w:r>
      <w:r w:rsidRPr="006818D4">
        <w:rPr>
          <w:lang w:val="fr-CH"/>
        </w:rPr>
        <w:t>10.</w:t>
      </w:r>
    </w:p>
    <w:p w:rsidR="006818D4" w:rsidRPr="006818D4" w:rsidRDefault="006818D4" w:rsidP="006818D4">
      <w:pPr>
        <w:pStyle w:val="SingleTxt"/>
        <w:numPr>
          <w:ilvl w:val="0"/>
          <w:numId w:val="9"/>
        </w:numPr>
        <w:tabs>
          <w:tab w:val="clear" w:pos="475"/>
          <w:tab w:val="num" w:pos="1742"/>
        </w:tabs>
        <w:ind w:left="1267"/>
        <w:rPr>
          <w:lang w:val="fr-CH"/>
        </w:rPr>
      </w:pPr>
      <w:r w:rsidRPr="006818D4">
        <w:rPr>
          <w:lang w:val="fr-CH"/>
        </w:rPr>
        <w:t>Cette modification permettrait de lever le doute au sujet des numéros ONU qui af</w:t>
      </w:r>
      <w:r>
        <w:rPr>
          <w:lang w:val="fr-CH"/>
        </w:rPr>
        <w:t>fichent un code VC à la colonne </w:t>
      </w:r>
      <w:r w:rsidRPr="006818D4">
        <w:rPr>
          <w:lang w:val="fr-CH"/>
        </w:rPr>
        <w:t>17, mais pas de</w:t>
      </w:r>
      <w:r>
        <w:rPr>
          <w:lang w:val="fr-CH"/>
        </w:rPr>
        <w:t xml:space="preserve"> code BK à la colonne </w:t>
      </w:r>
      <w:r w:rsidRPr="006818D4">
        <w:rPr>
          <w:lang w:val="fr-CH"/>
        </w:rPr>
        <w:t>10.</w:t>
      </w:r>
    </w:p>
    <w:p w:rsidR="006818D4" w:rsidRPr="006818D4" w:rsidRDefault="006818D4" w:rsidP="006818D4">
      <w:pPr>
        <w:pStyle w:val="SingleTxt"/>
        <w:spacing w:after="0" w:line="120" w:lineRule="exact"/>
        <w:rPr>
          <w:b/>
          <w:sz w:val="10"/>
          <w:lang w:val="fr-CH"/>
        </w:rPr>
      </w:pPr>
    </w:p>
    <w:p w:rsidR="006818D4" w:rsidRPr="006818D4" w:rsidRDefault="006818D4" w:rsidP="006818D4">
      <w:pPr>
        <w:pStyle w:val="SingleTxt"/>
        <w:spacing w:after="0" w:line="120" w:lineRule="exact"/>
        <w:rPr>
          <w:b/>
          <w:sz w:val="10"/>
          <w:lang w:val="fr-CH"/>
        </w:rPr>
      </w:pPr>
    </w:p>
    <w:p w:rsidR="006818D4" w:rsidRPr="006818D4" w:rsidRDefault="006818D4" w:rsidP="006818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18D4">
        <w:rPr>
          <w:lang w:val="fr-CH"/>
        </w:rPr>
        <w:tab/>
      </w:r>
      <w:r w:rsidRPr="006818D4">
        <w:rPr>
          <w:lang w:val="fr-CH"/>
        </w:rPr>
        <w:tab/>
        <w:t>Proposition</w:t>
      </w:r>
    </w:p>
    <w:p w:rsidR="006818D4" w:rsidRPr="006818D4" w:rsidRDefault="006818D4" w:rsidP="006818D4">
      <w:pPr>
        <w:pStyle w:val="SingleTxt"/>
        <w:spacing w:after="0" w:line="120" w:lineRule="exact"/>
        <w:rPr>
          <w:sz w:val="10"/>
          <w:lang w:val="fr-CH"/>
        </w:rPr>
      </w:pPr>
    </w:p>
    <w:p w:rsidR="006818D4" w:rsidRPr="006818D4" w:rsidRDefault="006818D4" w:rsidP="006818D4">
      <w:pPr>
        <w:pStyle w:val="SingleTxt"/>
        <w:spacing w:after="0" w:line="120" w:lineRule="exact"/>
        <w:rPr>
          <w:sz w:val="10"/>
          <w:lang w:val="fr-CH"/>
        </w:rPr>
      </w:pPr>
    </w:p>
    <w:p w:rsidR="006818D4" w:rsidRPr="006818D4" w:rsidRDefault="00302D69" w:rsidP="00302D69">
      <w:pPr>
        <w:pStyle w:val="SingleTxt"/>
        <w:numPr>
          <w:ilvl w:val="0"/>
          <w:numId w:val="9"/>
        </w:numPr>
        <w:tabs>
          <w:tab w:val="clear" w:pos="475"/>
          <w:tab w:val="num" w:pos="1742"/>
        </w:tabs>
        <w:ind w:left="1267"/>
        <w:rPr>
          <w:lang w:val="fr-CH"/>
        </w:rPr>
      </w:pPr>
      <w:r>
        <w:rPr>
          <w:lang w:val="fr-CH"/>
        </w:rPr>
        <w:t>La R</w:t>
      </w:r>
      <w:r w:rsidR="006818D4" w:rsidRPr="006818D4">
        <w:rPr>
          <w:lang w:val="fr-CH"/>
        </w:rPr>
        <w:t xml:space="preserve">éunion </w:t>
      </w:r>
      <w:r>
        <w:rPr>
          <w:lang w:val="fr-CH"/>
        </w:rPr>
        <w:t>commune est</w:t>
      </w:r>
      <w:r w:rsidR="006818D4" w:rsidRPr="006818D4">
        <w:rPr>
          <w:lang w:val="fr-CH"/>
        </w:rPr>
        <w:t xml:space="preserve"> in</w:t>
      </w:r>
      <w:r>
        <w:rPr>
          <w:lang w:val="fr-CH"/>
        </w:rPr>
        <w:t>vitée</w:t>
      </w:r>
      <w:r w:rsidR="006818D4" w:rsidRPr="006818D4">
        <w:rPr>
          <w:lang w:val="fr-CH"/>
        </w:rPr>
        <w:t xml:space="preserve"> à insérer au 7.3.3.1 </w:t>
      </w:r>
      <w:r w:rsidR="006818D4" w:rsidRPr="006818D4">
        <w:rPr>
          <w:bCs/>
          <w:lang w:val="fr-CH"/>
        </w:rPr>
        <w:t>du RID et de l’ADR</w:t>
      </w:r>
      <w:r w:rsidR="006818D4" w:rsidRPr="006818D4">
        <w:rPr>
          <w:lang w:val="fr-CH"/>
        </w:rPr>
        <w:t xml:space="preserve"> une </w:t>
      </w:r>
      <w:r w:rsidR="006818D4" w:rsidRPr="006818D4">
        <w:rPr>
          <w:iCs/>
          <w:lang w:val="fr-CH"/>
        </w:rPr>
        <w:t>note</w:t>
      </w:r>
      <w:r w:rsidR="006818D4" w:rsidRPr="006818D4">
        <w:rPr>
          <w:lang w:val="fr-CH"/>
        </w:rPr>
        <w:t xml:space="preserve"> qui se lirait comme suit</w:t>
      </w:r>
      <w:r w:rsidR="006818D4">
        <w:rPr>
          <w:lang w:val="fr-CH"/>
        </w:rPr>
        <w:t> </w:t>
      </w:r>
      <w:r w:rsidR="006818D4" w:rsidRPr="006818D4">
        <w:rPr>
          <w:lang w:val="fr-CH"/>
        </w:rPr>
        <w:t>:</w:t>
      </w:r>
    </w:p>
    <w:p w:rsidR="006818D4" w:rsidRPr="006818D4" w:rsidRDefault="006818D4" w:rsidP="006818D4">
      <w:pPr>
        <w:pStyle w:val="SingleTxt"/>
        <w:rPr>
          <w:lang w:val="fr-CH"/>
        </w:rPr>
      </w:pPr>
      <w:r w:rsidRPr="006818D4">
        <w:rPr>
          <w:iCs/>
          <w:lang w:val="fr-CH"/>
        </w:rPr>
        <w:t>« </w:t>
      </w:r>
      <w:r w:rsidRPr="006818D4">
        <w:rPr>
          <w:i/>
          <w:lang w:val="fr-CH"/>
        </w:rPr>
        <w:t>NOTA</w:t>
      </w:r>
      <w:r>
        <w:rPr>
          <w:lang w:val="fr-CH"/>
        </w:rPr>
        <w:t> </w:t>
      </w:r>
      <w:r w:rsidRPr="006818D4">
        <w:rPr>
          <w:lang w:val="fr-CH"/>
        </w:rPr>
        <w:t xml:space="preserve">: Lorsqu’un code VC1 ou VC2 figure dans </w:t>
      </w:r>
      <w:r w:rsidR="00C76C66">
        <w:rPr>
          <w:lang w:val="fr-CH"/>
        </w:rPr>
        <w:t>la colonne 17 du tableau A du chapitre </w:t>
      </w:r>
      <w:r w:rsidRPr="006818D4">
        <w:rPr>
          <w:lang w:val="fr-CH"/>
        </w:rPr>
        <w:t>3.2, il est possible d’utiliser un conteneur pour vrac BK1 ou BK2 pour le transport si les conditions spécifiées au 7.3.3.2 sont en outre remplies.</w:t>
      </w:r>
      <w:r>
        <w:rPr>
          <w:lang w:val="fr-CH"/>
        </w:rPr>
        <w:t> ».</w:t>
      </w:r>
    </w:p>
    <w:p w:rsidR="006818D4" w:rsidRPr="006818D4" w:rsidRDefault="006818D4" w:rsidP="006818D4">
      <w:pPr>
        <w:pStyle w:val="SingleTxt"/>
        <w:rPr>
          <w:lang w:val="fr-CH"/>
        </w:rPr>
      </w:pPr>
      <w:r w:rsidRPr="006818D4">
        <w:rPr>
          <w:lang w:val="fr-CH"/>
        </w:rPr>
        <w:t xml:space="preserve">Le reste </w:t>
      </w:r>
      <w:proofErr w:type="gramStart"/>
      <w:r w:rsidRPr="006818D4">
        <w:rPr>
          <w:lang w:val="fr-CH"/>
        </w:rPr>
        <w:t>du 7.3.3.1 demeure inchangé</w:t>
      </w:r>
      <w:proofErr w:type="gramEnd"/>
      <w:r w:rsidRPr="006818D4">
        <w:rPr>
          <w:lang w:val="fr-CH"/>
        </w:rPr>
        <w:t>.</w:t>
      </w:r>
    </w:p>
    <w:p w:rsidR="006818D4" w:rsidRPr="006818D4" w:rsidRDefault="006818D4" w:rsidP="006818D4">
      <w:pPr>
        <w:pStyle w:val="SingleTxt"/>
        <w:spacing w:after="0" w:line="240" w:lineRule="auto"/>
        <w:rPr>
          <w:lang w:val="fr-CH"/>
        </w:rPr>
      </w:pPr>
      <w:r w:rsidRPr="006818D4">
        <w:rPr>
          <w:noProof/>
          <w:w w:val="100"/>
          <w:lang w:val="en-GB" w:eastAsia="en-GB"/>
        </w:rPr>
        <mc:AlternateContent>
          <mc:Choice Requires="wps">
            <w:drawing>
              <wp:anchor distT="0" distB="0" distL="114300" distR="114300" simplePos="0" relativeHeight="251659264" behindDoc="0" locked="0" layoutInCell="1" allowOverlap="1" wp14:anchorId="67DC4F2D" wp14:editId="09D65F3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818D4" w:rsidRPr="006818D4" w:rsidSect="000A167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ED" w:rsidRDefault="001542ED" w:rsidP="00F3330B">
      <w:pPr>
        <w:spacing w:line="240" w:lineRule="auto"/>
      </w:pPr>
      <w:r>
        <w:separator/>
      </w:r>
    </w:p>
  </w:endnote>
  <w:endnote w:type="continuationSeparator" w:id="0">
    <w:p w:rsidR="001542ED" w:rsidRDefault="001542E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A1673" w:rsidTr="000A1673">
      <w:trPr>
        <w:jc w:val="center"/>
      </w:trPr>
      <w:tc>
        <w:tcPr>
          <w:tcW w:w="5088" w:type="dxa"/>
          <w:shd w:val="clear" w:color="auto" w:fill="auto"/>
        </w:tcPr>
        <w:p w:rsidR="000A1673" w:rsidRPr="000A1673" w:rsidRDefault="000A1673" w:rsidP="000A16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1888">
            <w:rPr>
              <w:b w:val="0"/>
              <w:w w:val="103"/>
              <w:sz w:val="14"/>
            </w:rPr>
            <w:t>GE.15-22666</w:t>
          </w:r>
          <w:r>
            <w:rPr>
              <w:b w:val="0"/>
              <w:w w:val="103"/>
              <w:sz w:val="14"/>
            </w:rPr>
            <w:fldChar w:fldCharType="end"/>
          </w:r>
        </w:p>
      </w:tc>
      <w:tc>
        <w:tcPr>
          <w:tcW w:w="5089" w:type="dxa"/>
          <w:shd w:val="clear" w:color="auto" w:fill="auto"/>
        </w:tcPr>
        <w:p w:rsidR="000A1673" w:rsidRPr="000A1673" w:rsidRDefault="000A1673" w:rsidP="000A1673">
          <w:pPr>
            <w:pStyle w:val="Footer"/>
            <w:rPr>
              <w:w w:val="103"/>
            </w:rPr>
          </w:pPr>
          <w:r>
            <w:rPr>
              <w:w w:val="103"/>
            </w:rPr>
            <w:fldChar w:fldCharType="begin"/>
          </w:r>
          <w:r>
            <w:rPr>
              <w:w w:val="103"/>
            </w:rPr>
            <w:instrText xml:space="preserve"> PAGE  \* Arabic  \* MERGEFORMAT </w:instrText>
          </w:r>
          <w:r>
            <w:rPr>
              <w:w w:val="103"/>
            </w:rPr>
            <w:fldChar w:fldCharType="separate"/>
          </w:r>
          <w:r w:rsidR="000C188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1888">
            <w:rPr>
              <w:noProof/>
              <w:w w:val="103"/>
            </w:rPr>
            <w:t>2</w:t>
          </w:r>
          <w:r>
            <w:rPr>
              <w:w w:val="103"/>
            </w:rPr>
            <w:fldChar w:fldCharType="end"/>
          </w:r>
        </w:p>
      </w:tc>
    </w:tr>
  </w:tbl>
  <w:p w:rsidR="000A1673" w:rsidRPr="000A1673" w:rsidRDefault="000A1673" w:rsidP="000A1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A1673" w:rsidTr="000A1673">
      <w:trPr>
        <w:jc w:val="center"/>
      </w:trPr>
      <w:tc>
        <w:tcPr>
          <w:tcW w:w="5088" w:type="dxa"/>
          <w:shd w:val="clear" w:color="auto" w:fill="auto"/>
        </w:tcPr>
        <w:p w:rsidR="000A1673" w:rsidRPr="000A1673" w:rsidRDefault="000A1673" w:rsidP="000A167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31B4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1888">
            <w:rPr>
              <w:noProof/>
              <w:w w:val="103"/>
            </w:rPr>
            <w:t>2</w:t>
          </w:r>
          <w:r>
            <w:rPr>
              <w:w w:val="103"/>
            </w:rPr>
            <w:fldChar w:fldCharType="end"/>
          </w:r>
        </w:p>
      </w:tc>
      <w:tc>
        <w:tcPr>
          <w:tcW w:w="5089" w:type="dxa"/>
          <w:shd w:val="clear" w:color="auto" w:fill="auto"/>
        </w:tcPr>
        <w:p w:rsidR="000A1673" w:rsidRPr="000A1673" w:rsidRDefault="000A1673" w:rsidP="000A16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1888">
            <w:rPr>
              <w:b w:val="0"/>
              <w:w w:val="103"/>
              <w:sz w:val="14"/>
            </w:rPr>
            <w:t>GE.15-22666</w:t>
          </w:r>
          <w:r>
            <w:rPr>
              <w:b w:val="0"/>
              <w:w w:val="103"/>
              <w:sz w:val="14"/>
            </w:rPr>
            <w:fldChar w:fldCharType="end"/>
          </w:r>
        </w:p>
      </w:tc>
    </w:tr>
  </w:tbl>
  <w:p w:rsidR="000A1673" w:rsidRPr="000A1673" w:rsidRDefault="000A1673" w:rsidP="000A1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73" w:rsidRDefault="000A1673">
    <w:pPr>
      <w:pStyle w:val="Footer"/>
    </w:pPr>
    <w:r>
      <w:rPr>
        <w:noProof/>
        <w:lang w:val="en-GB" w:eastAsia="en-GB"/>
      </w:rPr>
      <w:drawing>
        <wp:anchor distT="0" distB="0" distL="114300" distR="114300" simplePos="0" relativeHeight="251658240" behindDoc="0" locked="0" layoutInCell="1" allowOverlap="1" wp14:anchorId="6F36D042" wp14:editId="24E05BC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0A1673" w:rsidTr="000A1673">
      <w:tc>
        <w:tcPr>
          <w:tcW w:w="3859" w:type="dxa"/>
        </w:tcPr>
        <w:p w:rsidR="000A1673" w:rsidRDefault="000A1673" w:rsidP="000A167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C1888">
            <w:rPr>
              <w:b w:val="0"/>
              <w:sz w:val="20"/>
            </w:rPr>
            <w:t>GE.15-22666 (F)</w:t>
          </w:r>
          <w:r>
            <w:rPr>
              <w:b w:val="0"/>
              <w:sz w:val="20"/>
            </w:rPr>
            <w:fldChar w:fldCharType="end"/>
          </w:r>
          <w:r w:rsidR="006818D4">
            <w:rPr>
              <w:b w:val="0"/>
              <w:sz w:val="20"/>
            </w:rPr>
            <w:t xml:space="preserve">    18</w:t>
          </w:r>
          <w:r>
            <w:rPr>
              <w:b w:val="0"/>
              <w:sz w:val="20"/>
            </w:rPr>
            <w:t>0216    230216</w:t>
          </w:r>
        </w:p>
        <w:p w:rsidR="000A1673" w:rsidRPr="000A1673" w:rsidRDefault="000A1673" w:rsidP="000A167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C1888">
            <w:rPr>
              <w:rFonts w:ascii="Barcode 3 of 9 by request" w:hAnsi="Barcode 3 of 9 by request"/>
              <w:b w:val="0"/>
              <w:spacing w:val="0"/>
              <w:w w:val="100"/>
              <w:sz w:val="24"/>
            </w:rPr>
            <w:t>*1522666*</w:t>
          </w:r>
          <w:r>
            <w:rPr>
              <w:rFonts w:ascii="Barcode 3 of 9 by request" w:hAnsi="Barcode 3 of 9 by request"/>
              <w:b w:val="0"/>
              <w:spacing w:val="0"/>
              <w:w w:val="100"/>
              <w:sz w:val="24"/>
            </w:rPr>
            <w:fldChar w:fldCharType="end"/>
          </w:r>
        </w:p>
      </w:tc>
      <w:tc>
        <w:tcPr>
          <w:tcW w:w="5089" w:type="dxa"/>
        </w:tcPr>
        <w:p w:rsidR="000A1673" w:rsidRDefault="000A1673" w:rsidP="000A1673">
          <w:pPr>
            <w:pStyle w:val="Footer"/>
            <w:spacing w:line="240" w:lineRule="atLeast"/>
            <w:jc w:val="right"/>
            <w:rPr>
              <w:b w:val="0"/>
              <w:sz w:val="20"/>
            </w:rPr>
          </w:pPr>
          <w:r>
            <w:rPr>
              <w:b w:val="0"/>
              <w:noProof/>
              <w:sz w:val="20"/>
              <w:lang w:val="en-GB" w:eastAsia="en-GB"/>
            </w:rPr>
            <w:drawing>
              <wp:inline distT="0" distB="0" distL="0" distR="0" wp14:anchorId="4E2CC49E" wp14:editId="267FC28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A1673" w:rsidRPr="000A1673" w:rsidRDefault="000A1673" w:rsidP="000A167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ED" w:rsidRPr="006818D4" w:rsidRDefault="006818D4" w:rsidP="006818D4">
      <w:pPr>
        <w:pStyle w:val="Footer"/>
        <w:spacing w:after="80"/>
        <w:ind w:left="792"/>
        <w:rPr>
          <w:sz w:val="16"/>
        </w:rPr>
      </w:pPr>
      <w:r w:rsidRPr="006818D4">
        <w:rPr>
          <w:sz w:val="16"/>
        </w:rPr>
        <w:t>__________________</w:t>
      </w:r>
    </w:p>
  </w:footnote>
  <w:footnote w:type="continuationSeparator" w:id="0">
    <w:p w:rsidR="001542ED" w:rsidRPr="006818D4" w:rsidRDefault="006818D4" w:rsidP="006818D4">
      <w:pPr>
        <w:pStyle w:val="Footer"/>
        <w:spacing w:after="80"/>
        <w:ind w:left="792"/>
        <w:rPr>
          <w:sz w:val="16"/>
        </w:rPr>
      </w:pPr>
      <w:r w:rsidRPr="006818D4">
        <w:rPr>
          <w:sz w:val="16"/>
        </w:rPr>
        <w:t>__________________</w:t>
      </w:r>
    </w:p>
  </w:footnote>
  <w:footnote w:id="1">
    <w:p w:rsidR="006818D4" w:rsidRPr="006818D4" w:rsidRDefault="006818D4" w:rsidP="006818D4">
      <w:pPr>
        <w:pStyle w:val="FootnoteText"/>
        <w:tabs>
          <w:tab w:val="right" w:pos="1195"/>
          <w:tab w:val="left" w:pos="1267"/>
          <w:tab w:val="left" w:pos="1742"/>
          <w:tab w:val="left" w:pos="2218"/>
          <w:tab w:val="left" w:pos="2693"/>
        </w:tabs>
        <w:ind w:left="1267" w:right="1260" w:hanging="432"/>
        <w:rPr>
          <w:lang w:val="fr-CH"/>
        </w:rPr>
      </w:pPr>
      <w:r w:rsidRPr="006818D4">
        <w:rPr>
          <w:lang w:val="fr-CH"/>
        </w:rPr>
        <w:tab/>
      </w:r>
      <w:r w:rsidRPr="006818D4">
        <w:rPr>
          <w:rStyle w:val="FootnoteReference"/>
          <w:spacing w:val="4"/>
          <w:lang w:val="fr-CH"/>
        </w:rPr>
        <w:footnoteRef/>
      </w:r>
      <w:r w:rsidRPr="006818D4">
        <w:rPr>
          <w:lang w:val="fr-CH"/>
        </w:rPr>
        <w:tab/>
        <w:t>Conformément au projet de programme de travail du Comité des transports intérieurs pour 2016-2017 (ECE/TRANS/WP.15/2015/19 (9.2)).</w:t>
      </w:r>
    </w:p>
  </w:footnote>
  <w:footnote w:id="2">
    <w:p w:rsidR="006818D4" w:rsidRPr="006818D4" w:rsidRDefault="006818D4" w:rsidP="006818D4">
      <w:pPr>
        <w:pStyle w:val="FootnoteText"/>
        <w:tabs>
          <w:tab w:val="right" w:pos="1195"/>
          <w:tab w:val="left" w:pos="1267"/>
          <w:tab w:val="left" w:pos="1742"/>
          <w:tab w:val="left" w:pos="2218"/>
          <w:tab w:val="left" w:pos="2693"/>
        </w:tabs>
        <w:ind w:left="1267" w:right="1260" w:hanging="432"/>
        <w:rPr>
          <w:lang w:val="fr-CH"/>
        </w:rPr>
      </w:pPr>
      <w:r w:rsidRPr="006818D4">
        <w:rPr>
          <w:lang w:val="fr-CH"/>
        </w:rPr>
        <w:tab/>
      </w:r>
      <w:r w:rsidRPr="006818D4">
        <w:rPr>
          <w:rStyle w:val="FootnoteReference"/>
          <w:spacing w:val="4"/>
          <w:lang w:val="fr-CH"/>
        </w:rPr>
        <w:footnoteRef/>
      </w:r>
      <w:r w:rsidRPr="006818D4">
        <w:rPr>
          <w:lang w:val="fr-CH"/>
        </w:rPr>
        <w:tab/>
        <w:t>Publiée par l’Organisation intergouvernementale pour les transports internationaux ferroviaires (OTIF) sous la cote OTIF/RID/RC/2016/6.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A1673" w:rsidTr="000A1673">
      <w:trPr>
        <w:trHeight w:hRule="exact" w:val="864"/>
        <w:jc w:val="center"/>
      </w:trPr>
      <w:tc>
        <w:tcPr>
          <w:tcW w:w="4882" w:type="dxa"/>
          <w:shd w:val="clear" w:color="auto" w:fill="auto"/>
          <w:vAlign w:val="bottom"/>
        </w:tcPr>
        <w:p w:rsidR="000A1673" w:rsidRPr="000A1673" w:rsidRDefault="000A1673" w:rsidP="000A167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C1888">
            <w:rPr>
              <w:b/>
              <w:color w:val="000000"/>
            </w:rPr>
            <w:t>ECE/TRANS/WP.15/AC.1/2016/6</w:t>
          </w:r>
          <w:r>
            <w:rPr>
              <w:b/>
              <w:color w:val="000000"/>
            </w:rPr>
            <w:fldChar w:fldCharType="end"/>
          </w:r>
        </w:p>
      </w:tc>
      <w:tc>
        <w:tcPr>
          <w:tcW w:w="5089" w:type="dxa"/>
          <w:shd w:val="clear" w:color="auto" w:fill="auto"/>
          <w:vAlign w:val="bottom"/>
        </w:tcPr>
        <w:p w:rsidR="000A1673" w:rsidRDefault="000A1673" w:rsidP="000A1673">
          <w:pPr>
            <w:pStyle w:val="Header"/>
          </w:pPr>
        </w:p>
      </w:tc>
    </w:tr>
  </w:tbl>
  <w:p w:rsidR="000A1673" w:rsidRPr="000A1673" w:rsidRDefault="000A1673" w:rsidP="000A167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A1673" w:rsidTr="000A1673">
      <w:trPr>
        <w:trHeight w:hRule="exact" w:val="864"/>
        <w:jc w:val="center"/>
      </w:trPr>
      <w:tc>
        <w:tcPr>
          <w:tcW w:w="4882" w:type="dxa"/>
          <w:shd w:val="clear" w:color="auto" w:fill="auto"/>
          <w:vAlign w:val="bottom"/>
        </w:tcPr>
        <w:p w:rsidR="000A1673" w:rsidRDefault="000A1673" w:rsidP="000A1673">
          <w:pPr>
            <w:pStyle w:val="Header"/>
          </w:pPr>
        </w:p>
      </w:tc>
      <w:tc>
        <w:tcPr>
          <w:tcW w:w="5089" w:type="dxa"/>
          <w:shd w:val="clear" w:color="auto" w:fill="auto"/>
          <w:vAlign w:val="bottom"/>
        </w:tcPr>
        <w:p w:rsidR="000A1673" w:rsidRPr="000A1673" w:rsidRDefault="000A1673" w:rsidP="000A167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C1888">
            <w:rPr>
              <w:b/>
              <w:color w:val="000000"/>
            </w:rPr>
            <w:t>ECE/TRANS/WP.15/AC.1/2016/6</w:t>
          </w:r>
          <w:r>
            <w:rPr>
              <w:b/>
              <w:color w:val="000000"/>
            </w:rPr>
            <w:fldChar w:fldCharType="end"/>
          </w:r>
        </w:p>
      </w:tc>
    </w:tr>
  </w:tbl>
  <w:p w:rsidR="000A1673" w:rsidRPr="000A1673" w:rsidRDefault="000A1673" w:rsidP="000A167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A1673" w:rsidTr="000A1673">
      <w:trPr>
        <w:trHeight w:hRule="exact" w:val="864"/>
      </w:trPr>
      <w:tc>
        <w:tcPr>
          <w:tcW w:w="1267" w:type="dxa"/>
          <w:tcBorders>
            <w:bottom w:val="single" w:sz="4" w:space="0" w:color="auto"/>
          </w:tcBorders>
          <w:shd w:val="clear" w:color="auto" w:fill="auto"/>
          <w:vAlign w:val="bottom"/>
        </w:tcPr>
        <w:p w:rsidR="000A1673" w:rsidRDefault="000A1673" w:rsidP="000A1673">
          <w:pPr>
            <w:pStyle w:val="Header"/>
            <w:spacing w:after="120"/>
          </w:pPr>
        </w:p>
      </w:tc>
      <w:tc>
        <w:tcPr>
          <w:tcW w:w="2059" w:type="dxa"/>
          <w:tcBorders>
            <w:bottom w:val="single" w:sz="4" w:space="0" w:color="auto"/>
          </w:tcBorders>
          <w:shd w:val="clear" w:color="auto" w:fill="auto"/>
          <w:vAlign w:val="bottom"/>
        </w:tcPr>
        <w:p w:rsidR="000A1673" w:rsidRPr="000A1673" w:rsidRDefault="000A1673" w:rsidP="000A167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A1673" w:rsidRDefault="000A1673" w:rsidP="000A1673">
          <w:pPr>
            <w:pStyle w:val="Header"/>
            <w:spacing w:after="120"/>
          </w:pPr>
        </w:p>
      </w:tc>
      <w:tc>
        <w:tcPr>
          <w:tcW w:w="6653" w:type="dxa"/>
          <w:gridSpan w:val="4"/>
          <w:tcBorders>
            <w:bottom w:val="single" w:sz="4" w:space="0" w:color="auto"/>
          </w:tcBorders>
          <w:shd w:val="clear" w:color="auto" w:fill="auto"/>
          <w:vAlign w:val="bottom"/>
        </w:tcPr>
        <w:p w:rsidR="000A1673" w:rsidRPr="000A1673" w:rsidRDefault="000A1673" w:rsidP="000A1673">
          <w:pPr>
            <w:spacing w:after="80" w:line="240" w:lineRule="auto"/>
            <w:jc w:val="right"/>
            <w:rPr>
              <w:position w:val="-4"/>
            </w:rPr>
          </w:pPr>
          <w:r>
            <w:rPr>
              <w:position w:val="-4"/>
              <w:sz w:val="40"/>
            </w:rPr>
            <w:t>ECE</w:t>
          </w:r>
          <w:r>
            <w:rPr>
              <w:position w:val="-4"/>
            </w:rPr>
            <w:t>/TRANS/WP.15/AC.1/2016/6</w:t>
          </w:r>
        </w:p>
      </w:tc>
    </w:tr>
    <w:tr w:rsidR="000A1673" w:rsidRPr="000A1673" w:rsidTr="000A1673">
      <w:trPr>
        <w:gridAfter w:val="1"/>
        <w:wAfter w:w="18" w:type="dxa"/>
        <w:trHeight w:hRule="exact" w:val="2880"/>
      </w:trPr>
      <w:tc>
        <w:tcPr>
          <w:tcW w:w="1267" w:type="dxa"/>
          <w:tcBorders>
            <w:top w:val="single" w:sz="4" w:space="0" w:color="auto"/>
            <w:bottom w:val="single" w:sz="12" w:space="0" w:color="auto"/>
          </w:tcBorders>
          <w:shd w:val="clear" w:color="auto" w:fill="auto"/>
        </w:tcPr>
        <w:p w:rsidR="000A1673" w:rsidRPr="000A1673" w:rsidRDefault="000A1673" w:rsidP="000A1673">
          <w:pPr>
            <w:pStyle w:val="Header"/>
            <w:spacing w:before="120" w:line="240" w:lineRule="auto"/>
            <w:ind w:left="-72"/>
            <w:jc w:val="center"/>
          </w:pPr>
          <w:r>
            <w:t xml:space="preserve">  </w:t>
          </w:r>
          <w:r>
            <w:rPr>
              <w:noProof/>
              <w:lang w:val="en-GB" w:eastAsia="en-GB"/>
            </w:rPr>
            <w:drawing>
              <wp:inline distT="0" distB="0" distL="0" distR="0" wp14:anchorId="181F9FD1" wp14:editId="1042D6C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A1673" w:rsidRPr="000A1673" w:rsidRDefault="000A1673" w:rsidP="000A167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A1673" w:rsidRPr="000A1673" w:rsidRDefault="000A1673" w:rsidP="000A1673">
          <w:pPr>
            <w:pStyle w:val="Header"/>
            <w:spacing w:before="109"/>
          </w:pPr>
        </w:p>
      </w:tc>
      <w:tc>
        <w:tcPr>
          <w:tcW w:w="3280" w:type="dxa"/>
          <w:tcBorders>
            <w:top w:val="single" w:sz="4" w:space="0" w:color="auto"/>
            <w:bottom w:val="single" w:sz="12" w:space="0" w:color="auto"/>
          </w:tcBorders>
          <w:shd w:val="clear" w:color="auto" w:fill="auto"/>
        </w:tcPr>
        <w:p w:rsidR="000A1673" w:rsidRPr="000B5FBD" w:rsidRDefault="000A1673" w:rsidP="000A1673">
          <w:pPr>
            <w:pStyle w:val="Distribution"/>
            <w:rPr>
              <w:color w:val="000000"/>
              <w:lang w:val="fr-CH"/>
            </w:rPr>
          </w:pPr>
          <w:proofErr w:type="spellStart"/>
          <w:r w:rsidRPr="000B5FBD">
            <w:rPr>
              <w:color w:val="000000"/>
              <w:lang w:val="fr-CH"/>
            </w:rPr>
            <w:t>Distr</w:t>
          </w:r>
          <w:proofErr w:type="spellEnd"/>
          <w:r w:rsidRPr="000B5FBD">
            <w:rPr>
              <w:color w:val="000000"/>
              <w:lang w:val="fr-CH"/>
            </w:rPr>
            <w:t>. générale</w:t>
          </w:r>
        </w:p>
        <w:p w:rsidR="000A1673" w:rsidRPr="000B5FBD" w:rsidRDefault="000A1673" w:rsidP="000A1673">
          <w:pPr>
            <w:pStyle w:val="Publication"/>
            <w:rPr>
              <w:color w:val="000000"/>
              <w:lang w:val="fr-CH"/>
            </w:rPr>
          </w:pPr>
          <w:r w:rsidRPr="000B5FBD">
            <w:rPr>
              <w:color w:val="000000"/>
              <w:lang w:val="fr-CH"/>
            </w:rPr>
            <w:t>22 décembre 2015</w:t>
          </w:r>
        </w:p>
        <w:p w:rsidR="000A1673" w:rsidRPr="000B5FBD" w:rsidRDefault="000A1673" w:rsidP="000A1673">
          <w:pPr>
            <w:rPr>
              <w:lang w:val="fr-CH"/>
            </w:rPr>
          </w:pPr>
          <w:r w:rsidRPr="000B5FBD">
            <w:rPr>
              <w:lang w:val="fr-CH"/>
            </w:rPr>
            <w:t>Français</w:t>
          </w:r>
        </w:p>
        <w:p w:rsidR="000A1673" w:rsidRPr="000B5FBD" w:rsidRDefault="000A1673" w:rsidP="000A1673">
          <w:pPr>
            <w:pStyle w:val="Original"/>
            <w:rPr>
              <w:color w:val="000000"/>
              <w:lang w:val="fr-CH"/>
            </w:rPr>
          </w:pPr>
          <w:r w:rsidRPr="000B5FBD">
            <w:rPr>
              <w:color w:val="000000"/>
              <w:lang w:val="fr-CH"/>
            </w:rPr>
            <w:t>Original : anglais</w:t>
          </w:r>
        </w:p>
      </w:tc>
    </w:tr>
  </w:tbl>
  <w:p w:rsidR="000A1673" w:rsidRPr="000B5FBD" w:rsidRDefault="000A1673" w:rsidP="000A1673">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16823"/>
    <w:multiLevelType w:val="singleLevel"/>
    <w:tmpl w:val="1DE410F4"/>
    <w:lvl w:ilvl="0">
      <w:start w:val="1"/>
      <w:numFmt w:val="decimal"/>
      <w:lvlRestart w:val="0"/>
      <w:lvlText w:val="%1."/>
      <w:lvlJc w:val="left"/>
      <w:pPr>
        <w:tabs>
          <w:tab w:val="num" w:pos="475"/>
        </w:tabs>
        <w:ind w:left="0" w:firstLine="0"/>
      </w:pPr>
      <w:rPr>
        <w:w w:val="100"/>
      </w:rPr>
    </w:lvl>
  </w:abstractNum>
  <w:abstractNum w:abstractNumId="5">
    <w:nsid w:val="24160DDE"/>
    <w:multiLevelType w:val="singleLevel"/>
    <w:tmpl w:val="1DE410F4"/>
    <w:lvl w:ilvl="0">
      <w:start w:val="1"/>
      <w:numFmt w:val="decimal"/>
      <w:lvlRestart w:val="0"/>
      <w:lvlText w:val="%1."/>
      <w:lvlJc w:val="left"/>
      <w:pPr>
        <w:tabs>
          <w:tab w:val="num" w:pos="475"/>
        </w:tabs>
        <w:ind w:left="0" w:firstLine="0"/>
      </w:pPr>
      <w:rPr>
        <w:w w:val="100"/>
      </w:rPr>
    </w:lvl>
  </w:abstractNum>
  <w:abstractNum w:abstractNumId="6">
    <w:nsid w:val="2AB361D6"/>
    <w:multiLevelType w:val="singleLevel"/>
    <w:tmpl w:val="1DE410F4"/>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E1226"/>
    <w:multiLevelType w:val="singleLevel"/>
    <w:tmpl w:val="1DE410F4"/>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66*"/>
    <w:docVar w:name="CreationDt" w:val="2/23/2016 6:22: PM"/>
    <w:docVar w:name="DocCategory" w:val="Doc"/>
    <w:docVar w:name="DocType" w:val="Final"/>
    <w:docVar w:name="DutyStation" w:val="Geneva"/>
    <w:docVar w:name="FooterJN" w:val="GE.15-22666"/>
    <w:docVar w:name="jobn" w:val="GE.15-22666 (F)"/>
    <w:docVar w:name="jobnDT" w:val="GE.15-22666 (F)   230216"/>
    <w:docVar w:name="jobnDTDT" w:val="GE.15-22666 (F)   230216   230216"/>
    <w:docVar w:name="JobNo" w:val="GE.1522666F"/>
    <w:docVar w:name="JobNo2" w:val="GE.1528920F"/>
    <w:docVar w:name="LocalDrive" w:val="0"/>
    <w:docVar w:name="OandT" w:val="N.Morin"/>
    <w:docVar w:name="PaperSize" w:val="A4"/>
    <w:docVar w:name="sss1" w:val="ECE/TRANS/WP.15/AC.1/2016/6"/>
    <w:docVar w:name="sss2" w:val="-"/>
    <w:docVar w:name="Symbol1" w:val="ECE/TRANS/WP.15/AC.1/2016/6"/>
    <w:docVar w:name="Symbol2" w:val="-"/>
  </w:docVars>
  <w:rsids>
    <w:rsidRoot w:val="001542E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673"/>
    <w:rsid w:val="000A18B6"/>
    <w:rsid w:val="000A24DE"/>
    <w:rsid w:val="000A2612"/>
    <w:rsid w:val="000A2DFB"/>
    <w:rsid w:val="000A3AB1"/>
    <w:rsid w:val="000A4A47"/>
    <w:rsid w:val="000A74D1"/>
    <w:rsid w:val="000B0E9A"/>
    <w:rsid w:val="000B1A18"/>
    <w:rsid w:val="000B2CD0"/>
    <w:rsid w:val="000B3ED4"/>
    <w:rsid w:val="000B5AF0"/>
    <w:rsid w:val="000B5FBD"/>
    <w:rsid w:val="000B6B84"/>
    <w:rsid w:val="000B7004"/>
    <w:rsid w:val="000C085A"/>
    <w:rsid w:val="000C1888"/>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42ED"/>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2D69"/>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447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18A5"/>
    <w:rsid w:val="003B411E"/>
    <w:rsid w:val="003B445F"/>
    <w:rsid w:val="003B49BF"/>
    <w:rsid w:val="003B5062"/>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4163"/>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18D4"/>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25D3"/>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E7DB1"/>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3EC6"/>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15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15F4"/>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5BF5"/>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6C66"/>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B5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1B46"/>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4558"/>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A1673"/>
    <w:rPr>
      <w:sz w:val="16"/>
      <w:szCs w:val="16"/>
    </w:rPr>
  </w:style>
  <w:style w:type="paragraph" w:styleId="CommentText">
    <w:name w:val="annotation text"/>
    <w:basedOn w:val="Normal"/>
    <w:link w:val="CommentTextChar"/>
    <w:uiPriority w:val="99"/>
    <w:semiHidden/>
    <w:unhideWhenUsed/>
    <w:rsid w:val="000A1673"/>
    <w:pPr>
      <w:spacing w:line="240" w:lineRule="auto"/>
    </w:pPr>
    <w:rPr>
      <w:szCs w:val="20"/>
    </w:rPr>
  </w:style>
  <w:style w:type="character" w:customStyle="1" w:styleId="CommentTextChar">
    <w:name w:val="Comment Text Char"/>
    <w:basedOn w:val="DefaultParagraphFont"/>
    <w:link w:val="CommentText"/>
    <w:uiPriority w:val="99"/>
    <w:semiHidden/>
    <w:rsid w:val="000A167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A1673"/>
    <w:rPr>
      <w:b/>
      <w:bCs/>
    </w:rPr>
  </w:style>
  <w:style w:type="character" w:customStyle="1" w:styleId="CommentSubjectChar">
    <w:name w:val="Comment Subject Char"/>
    <w:basedOn w:val="CommentTextChar"/>
    <w:link w:val="CommentSubject"/>
    <w:uiPriority w:val="99"/>
    <w:semiHidden/>
    <w:rsid w:val="000A167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A1673"/>
    <w:rPr>
      <w:sz w:val="16"/>
      <w:szCs w:val="16"/>
    </w:rPr>
  </w:style>
  <w:style w:type="paragraph" w:styleId="CommentText">
    <w:name w:val="annotation text"/>
    <w:basedOn w:val="Normal"/>
    <w:link w:val="CommentTextChar"/>
    <w:uiPriority w:val="99"/>
    <w:semiHidden/>
    <w:unhideWhenUsed/>
    <w:rsid w:val="000A1673"/>
    <w:pPr>
      <w:spacing w:line="240" w:lineRule="auto"/>
    </w:pPr>
    <w:rPr>
      <w:szCs w:val="20"/>
    </w:rPr>
  </w:style>
  <w:style w:type="character" w:customStyle="1" w:styleId="CommentTextChar">
    <w:name w:val="Comment Text Char"/>
    <w:basedOn w:val="DefaultParagraphFont"/>
    <w:link w:val="CommentText"/>
    <w:uiPriority w:val="99"/>
    <w:semiHidden/>
    <w:rsid w:val="000A167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A1673"/>
    <w:rPr>
      <w:b/>
      <w:bCs/>
    </w:rPr>
  </w:style>
  <w:style w:type="character" w:customStyle="1" w:styleId="CommentSubjectChar">
    <w:name w:val="Comment Subject Char"/>
    <w:basedOn w:val="CommentTextChar"/>
    <w:link w:val="CommentSubject"/>
    <w:uiPriority w:val="99"/>
    <w:semiHidden/>
    <w:rsid w:val="000A167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2EA8-6544-4FBF-B671-21B03614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barrio-champeau</cp:lastModifiedBy>
  <cp:revision>6</cp:revision>
  <cp:lastPrinted>2016-02-24T09:44:00Z</cp:lastPrinted>
  <dcterms:created xsi:type="dcterms:W3CDTF">2016-02-24T09:18:00Z</dcterms:created>
  <dcterms:modified xsi:type="dcterms:W3CDTF">2016-02-24T09:44:00Z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1522666F</vt:lpwstr>
  </property>
  <property fmtid="{D5CDD505-2E9C-101B-9397-08002B2CF9AE}" pid="3" name="ODSRefJobNo">
    <vt:lpwstr>1528920F</vt:lpwstr>
  </property>
  <property fmtid="{D5CDD505-2E9C-101B-9397-08002B2CF9AE}" pid="4" name="Symbol1">
    <vt:lpwstr>ECE/TRANS/WP.15/AC.1/2016/6</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anglais</vt:lpwstr>
  </property>
  <property fmtid="{D5CDD505-2E9C-101B-9397-08002B2CF9AE}" pid="13" name="Release Date">
    <vt:lpwstr>230216</vt:lpwstr>
  </property>
</Properties>
</file>