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40729" w:rsidTr="00B11BB4">
        <w:trPr>
          <w:cantSplit/>
          <w:trHeight w:hRule="exact" w:val="851"/>
        </w:trPr>
        <w:tc>
          <w:tcPr>
            <w:tcW w:w="1276" w:type="dxa"/>
            <w:tcBorders>
              <w:bottom w:val="single" w:sz="4" w:space="0" w:color="auto"/>
            </w:tcBorders>
            <w:shd w:val="clear" w:color="auto" w:fill="auto"/>
            <w:vAlign w:val="bottom"/>
          </w:tcPr>
          <w:p w:rsidR="00B56E9C" w:rsidRPr="00B40729" w:rsidRDefault="00B56E9C" w:rsidP="00B11BB4">
            <w:pPr>
              <w:spacing w:after="80"/>
              <w:rPr>
                <w:i/>
              </w:rPr>
            </w:pPr>
          </w:p>
        </w:tc>
        <w:tc>
          <w:tcPr>
            <w:tcW w:w="2268" w:type="dxa"/>
            <w:tcBorders>
              <w:bottom w:val="single" w:sz="4" w:space="0" w:color="auto"/>
            </w:tcBorders>
            <w:shd w:val="clear" w:color="auto" w:fill="auto"/>
            <w:vAlign w:val="bottom"/>
          </w:tcPr>
          <w:p w:rsidR="00B56E9C" w:rsidRPr="00B40729" w:rsidRDefault="00B56E9C" w:rsidP="00B11BB4">
            <w:pPr>
              <w:spacing w:after="80" w:line="300" w:lineRule="exact"/>
              <w:rPr>
                <w:b/>
                <w:sz w:val="24"/>
                <w:szCs w:val="24"/>
              </w:rPr>
            </w:pPr>
            <w:r w:rsidRPr="00B40729">
              <w:rPr>
                <w:sz w:val="28"/>
                <w:szCs w:val="28"/>
              </w:rPr>
              <w:t>United Nations</w:t>
            </w:r>
          </w:p>
        </w:tc>
        <w:tc>
          <w:tcPr>
            <w:tcW w:w="6095" w:type="dxa"/>
            <w:gridSpan w:val="2"/>
            <w:tcBorders>
              <w:bottom w:val="single" w:sz="4" w:space="0" w:color="auto"/>
            </w:tcBorders>
            <w:shd w:val="clear" w:color="auto" w:fill="auto"/>
            <w:vAlign w:val="bottom"/>
          </w:tcPr>
          <w:p w:rsidR="00B56E9C" w:rsidRPr="00B40729" w:rsidRDefault="009D2A5B" w:rsidP="00347B74">
            <w:pPr>
              <w:suppressAutoHyphens w:val="0"/>
              <w:spacing w:after="20"/>
              <w:jc w:val="right"/>
            </w:pPr>
            <w:r w:rsidRPr="00B40729">
              <w:rPr>
                <w:sz w:val="40"/>
              </w:rPr>
              <w:t>ECE</w:t>
            </w:r>
            <w:r w:rsidRPr="00B40729">
              <w:t>/TRANS/WP.15/AC.1/201</w:t>
            </w:r>
            <w:r w:rsidR="00C821B8" w:rsidRPr="00B40729">
              <w:t>6</w:t>
            </w:r>
            <w:r w:rsidR="00BF7313" w:rsidRPr="00B40729">
              <w:t>/</w:t>
            </w:r>
            <w:r w:rsidR="00347B74">
              <w:t>10</w:t>
            </w:r>
          </w:p>
        </w:tc>
      </w:tr>
      <w:tr w:rsidR="00B56E9C" w:rsidRPr="00B40729" w:rsidTr="00B11BB4">
        <w:trPr>
          <w:cantSplit/>
          <w:trHeight w:hRule="exact" w:val="2835"/>
        </w:trPr>
        <w:tc>
          <w:tcPr>
            <w:tcW w:w="1276" w:type="dxa"/>
            <w:tcBorders>
              <w:top w:val="single" w:sz="4" w:space="0" w:color="auto"/>
              <w:bottom w:val="single" w:sz="12" w:space="0" w:color="auto"/>
            </w:tcBorders>
            <w:shd w:val="clear" w:color="auto" w:fill="auto"/>
          </w:tcPr>
          <w:p w:rsidR="00B56E9C" w:rsidRPr="00B40729" w:rsidRDefault="00AB141D" w:rsidP="00B11BB4">
            <w:pPr>
              <w:spacing w:before="120"/>
            </w:pPr>
            <w:r>
              <w:rPr>
                <w:noProof/>
                <w:lang w:val="fr-FR" w:eastAsia="fr-FR"/>
              </w:rPr>
              <w:drawing>
                <wp:inline distT="0" distB="0" distL="0" distR="0">
                  <wp:extent cx="70739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40729" w:rsidRDefault="00D773DF" w:rsidP="00B11BB4">
            <w:pPr>
              <w:spacing w:before="120" w:line="420" w:lineRule="exact"/>
              <w:rPr>
                <w:sz w:val="40"/>
                <w:szCs w:val="40"/>
              </w:rPr>
            </w:pPr>
            <w:r w:rsidRPr="00B40729">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Pr="00B40729" w:rsidRDefault="009D2A5B" w:rsidP="00B11BB4">
            <w:pPr>
              <w:suppressAutoHyphens w:val="0"/>
              <w:spacing w:before="240" w:line="240" w:lineRule="exact"/>
            </w:pPr>
            <w:r w:rsidRPr="00B40729">
              <w:t>Distr.: General</w:t>
            </w:r>
          </w:p>
          <w:p w:rsidR="007A08B6" w:rsidRPr="00B40729" w:rsidRDefault="00995497" w:rsidP="00B11BB4">
            <w:pPr>
              <w:suppressAutoHyphens w:val="0"/>
            </w:pPr>
            <w:r>
              <w:t>23</w:t>
            </w:r>
            <w:r w:rsidR="00C821B8" w:rsidRPr="00B40729">
              <w:t xml:space="preserve"> December</w:t>
            </w:r>
            <w:r w:rsidR="003A38FA" w:rsidRPr="00B40729">
              <w:t xml:space="preserve"> 2015</w:t>
            </w:r>
          </w:p>
          <w:p w:rsidR="001A69F3" w:rsidRPr="00B40729" w:rsidRDefault="001A69F3" w:rsidP="00B11BB4">
            <w:pPr>
              <w:suppressAutoHyphens w:val="0"/>
            </w:pPr>
          </w:p>
          <w:p w:rsidR="001A69F3" w:rsidRPr="00B40729" w:rsidRDefault="009D2A5B" w:rsidP="001A69F3">
            <w:pPr>
              <w:suppressAutoHyphens w:val="0"/>
            </w:pPr>
            <w:r w:rsidRPr="00B40729">
              <w:t xml:space="preserve">Original: </w:t>
            </w:r>
            <w:r w:rsidR="001A69F3" w:rsidRPr="00B40729">
              <w:t xml:space="preserve"> English</w:t>
            </w:r>
          </w:p>
          <w:p w:rsidR="00B56E9C" w:rsidRPr="00B40729" w:rsidRDefault="00B56E9C" w:rsidP="00B11BB4">
            <w:pPr>
              <w:suppressAutoHyphens w:val="0"/>
            </w:pPr>
          </w:p>
        </w:tc>
      </w:tr>
    </w:tbl>
    <w:p w:rsidR="00EC106A" w:rsidRPr="00B40729" w:rsidRDefault="00EC106A">
      <w:pPr>
        <w:spacing w:before="120"/>
        <w:rPr>
          <w:b/>
          <w:sz w:val="28"/>
          <w:szCs w:val="28"/>
        </w:rPr>
      </w:pPr>
      <w:r w:rsidRPr="00B40729">
        <w:rPr>
          <w:b/>
          <w:sz w:val="28"/>
          <w:szCs w:val="28"/>
        </w:rPr>
        <w:t>Economic Commission for Europe</w:t>
      </w:r>
    </w:p>
    <w:p w:rsidR="00EC106A" w:rsidRPr="00B40729" w:rsidRDefault="00EC106A">
      <w:pPr>
        <w:spacing w:before="120"/>
        <w:rPr>
          <w:sz w:val="28"/>
          <w:szCs w:val="28"/>
        </w:rPr>
      </w:pPr>
      <w:r w:rsidRPr="00B40729">
        <w:rPr>
          <w:sz w:val="28"/>
          <w:szCs w:val="28"/>
        </w:rPr>
        <w:t>Inland Transport Committee</w:t>
      </w:r>
    </w:p>
    <w:p w:rsidR="00EC106A" w:rsidRPr="00B40729" w:rsidRDefault="00EC106A" w:rsidP="00EC106A">
      <w:pPr>
        <w:spacing w:before="120" w:after="120"/>
        <w:rPr>
          <w:b/>
          <w:sz w:val="24"/>
          <w:szCs w:val="24"/>
        </w:rPr>
      </w:pPr>
      <w:r w:rsidRPr="00B40729">
        <w:rPr>
          <w:b/>
          <w:sz w:val="24"/>
          <w:szCs w:val="24"/>
        </w:rPr>
        <w:t>Working Party on the Transport of Dangerous Goods</w:t>
      </w:r>
    </w:p>
    <w:p w:rsidR="009D2A5B" w:rsidRPr="00B40729" w:rsidRDefault="009D2A5B" w:rsidP="009D2A5B">
      <w:pPr>
        <w:rPr>
          <w:b/>
        </w:rPr>
      </w:pPr>
      <w:r w:rsidRPr="00B40729">
        <w:rPr>
          <w:b/>
        </w:rPr>
        <w:t>Joint Meeting of the RID Committee of Experts and the</w:t>
      </w:r>
    </w:p>
    <w:p w:rsidR="009D2A5B" w:rsidRPr="00B40729" w:rsidRDefault="009D2A5B" w:rsidP="009D2A5B">
      <w:pPr>
        <w:rPr>
          <w:b/>
        </w:rPr>
      </w:pPr>
      <w:r w:rsidRPr="00B40729">
        <w:rPr>
          <w:b/>
        </w:rPr>
        <w:t>Working Party on the Transport of Dangerous Goods</w:t>
      </w:r>
    </w:p>
    <w:p w:rsidR="009D2A5B" w:rsidRPr="00B40729" w:rsidRDefault="0099699F" w:rsidP="00BB7CD1">
      <w:r w:rsidRPr="00B40729">
        <w:t>Bern</w:t>
      </w:r>
      <w:r w:rsidR="00DF1ADF" w:rsidRPr="00B40729">
        <w:t xml:space="preserve">, </w:t>
      </w:r>
      <w:r w:rsidR="00C821B8" w:rsidRPr="00B40729">
        <w:t>14</w:t>
      </w:r>
      <w:r w:rsidRPr="00B40729">
        <w:t xml:space="preserve"> - </w:t>
      </w:r>
      <w:r w:rsidR="00C821B8" w:rsidRPr="00B40729">
        <w:t>18</w:t>
      </w:r>
      <w:r w:rsidR="00BB7CD1" w:rsidRPr="00B40729">
        <w:t xml:space="preserve"> </w:t>
      </w:r>
      <w:r w:rsidRPr="00B40729">
        <w:t>March</w:t>
      </w:r>
      <w:r w:rsidR="002F2240" w:rsidRPr="00B40729">
        <w:t xml:space="preserve"> 201</w:t>
      </w:r>
      <w:r w:rsidR="00C821B8" w:rsidRPr="00B40729">
        <w:t>6</w:t>
      </w:r>
    </w:p>
    <w:p w:rsidR="00E91196" w:rsidRPr="00B40729" w:rsidRDefault="003A38FA" w:rsidP="00BB7CD1">
      <w:pPr>
        <w:rPr>
          <w:b/>
        </w:rPr>
      </w:pPr>
      <w:r w:rsidRPr="00B40729">
        <w:t xml:space="preserve">Item </w:t>
      </w:r>
      <w:r w:rsidR="00347B74">
        <w:t>9</w:t>
      </w:r>
      <w:r w:rsidR="00E91196" w:rsidRPr="00B40729">
        <w:t xml:space="preserve"> of the provisional agenda</w:t>
      </w:r>
    </w:p>
    <w:p w:rsidR="00BF7313" w:rsidRPr="00B40729" w:rsidRDefault="00373B44" w:rsidP="00BB7CD1">
      <w:pPr>
        <w:rPr>
          <w:b/>
        </w:rPr>
      </w:pPr>
      <w:r w:rsidRPr="00B40729">
        <w:rPr>
          <w:b/>
        </w:rPr>
        <w:t>Any other business</w:t>
      </w:r>
    </w:p>
    <w:p w:rsidR="002F2240" w:rsidRPr="00B40729" w:rsidRDefault="009B1518" w:rsidP="0099699F">
      <w:pPr>
        <w:pStyle w:val="HChG"/>
        <w:jc w:val="both"/>
        <w:rPr>
          <w:lang w:val="en-GB"/>
        </w:rPr>
      </w:pPr>
      <w:r w:rsidRPr="00B40729">
        <w:rPr>
          <w:lang w:val="en-GB"/>
        </w:rPr>
        <w:tab/>
      </w:r>
      <w:r w:rsidRPr="00B40729">
        <w:rPr>
          <w:lang w:val="en-GB"/>
        </w:rPr>
        <w:tab/>
      </w:r>
      <w:r w:rsidR="00373B44" w:rsidRPr="00B40729">
        <w:rPr>
          <w:lang w:val="en-GB"/>
        </w:rPr>
        <w:t>Definitions of reference steel and mild steel</w:t>
      </w:r>
    </w:p>
    <w:p w:rsidR="002F2240" w:rsidRDefault="002F2240" w:rsidP="0099699F">
      <w:pPr>
        <w:pStyle w:val="H1G"/>
        <w:jc w:val="both"/>
        <w:rPr>
          <w:b w:val="0"/>
          <w:sz w:val="18"/>
          <w:szCs w:val="18"/>
        </w:rPr>
      </w:pPr>
      <w:r w:rsidRPr="00B40729">
        <w:tab/>
      </w:r>
      <w:r w:rsidRPr="00B40729">
        <w:tab/>
      </w:r>
      <w:r w:rsidR="00E24363" w:rsidRPr="00B40729">
        <w:t xml:space="preserve">Transmitted by the </w:t>
      </w:r>
      <w:r w:rsidR="00373B44" w:rsidRPr="00B40729">
        <w:t>Government of Romania</w:t>
      </w:r>
      <w:r w:rsidR="00143034" w:rsidRPr="006E5117">
        <w:rPr>
          <w:rStyle w:val="Appelnotedebasdep"/>
          <w:b w:val="0"/>
          <w:szCs w:val="18"/>
        </w:rPr>
        <w:footnoteReference w:id="2"/>
      </w:r>
      <w:r w:rsidR="00143034" w:rsidRPr="006E5117">
        <w:rPr>
          <w:b w:val="0"/>
          <w:sz w:val="18"/>
          <w:szCs w:val="18"/>
          <w:vertAlign w:val="superscript"/>
        </w:rPr>
        <w:t>,</w:t>
      </w:r>
      <w:r w:rsidR="00143034" w:rsidRPr="006E5117">
        <w:rPr>
          <w:b w:val="0"/>
          <w:sz w:val="18"/>
          <w:szCs w:val="18"/>
        </w:rPr>
        <w:t xml:space="preserve"> </w:t>
      </w:r>
      <w:r w:rsidR="00143034" w:rsidRPr="006E5117">
        <w:rPr>
          <w:rStyle w:val="Appelnotedebasdep"/>
          <w:b w:val="0"/>
          <w:szCs w:val="18"/>
        </w:rPr>
        <w:footnoteReference w:id="3"/>
      </w:r>
    </w:p>
    <w:p w:rsidR="00B37E98" w:rsidRDefault="00B37E98">
      <w:pPr>
        <w:suppressAutoHyphens w:val="0"/>
        <w:spacing w:line="240" w:lineRule="auto"/>
        <w:rPr>
          <w:b/>
          <w:sz w:val="24"/>
        </w:rPr>
      </w:pPr>
      <w:r>
        <w:rPr>
          <w:b/>
          <w:sz w:val="24"/>
        </w:rPr>
        <w:br w:type="page"/>
      </w:r>
    </w:p>
    <w:p w:rsidR="00B37E98" w:rsidRPr="00B37E98" w:rsidRDefault="00B37E98" w:rsidP="00B37E98"/>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373B44" w:rsidRPr="00B40729" w:rsidTr="00F9198F">
        <w:trPr>
          <w:jc w:val="center"/>
        </w:trPr>
        <w:tc>
          <w:tcPr>
            <w:tcW w:w="9637" w:type="dxa"/>
            <w:shd w:val="clear" w:color="auto" w:fill="auto"/>
          </w:tcPr>
          <w:p w:rsidR="00373B44" w:rsidRPr="00B40729" w:rsidRDefault="00373B44" w:rsidP="00F9198F">
            <w:pPr>
              <w:spacing w:before="240" w:after="120"/>
              <w:ind w:left="255"/>
              <w:rPr>
                <w:i/>
                <w:sz w:val="24"/>
              </w:rPr>
            </w:pPr>
            <w:r w:rsidRPr="00B40729">
              <w:rPr>
                <w:i/>
                <w:sz w:val="24"/>
              </w:rPr>
              <w:t>Summary</w:t>
            </w:r>
          </w:p>
        </w:tc>
      </w:tr>
      <w:tr w:rsidR="00373B44" w:rsidRPr="00B40729" w:rsidTr="00F9198F">
        <w:trPr>
          <w:jc w:val="center"/>
        </w:trPr>
        <w:tc>
          <w:tcPr>
            <w:tcW w:w="9637" w:type="dxa"/>
            <w:shd w:val="clear" w:color="auto" w:fill="auto"/>
          </w:tcPr>
          <w:p w:rsidR="00B31A28" w:rsidRPr="00B40729" w:rsidRDefault="00373B44" w:rsidP="00DA3653">
            <w:pPr>
              <w:pStyle w:val="SingleTxtG"/>
              <w:ind w:left="3401" w:hanging="2267"/>
              <w:rPr>
                <w:lang w:val="en-GB"/>
              </w:rPr>
            </w:pPr>
            <w:r w:rsidRPr="00B40729">
              <w:rPr>
                <w:b/>
                <w:lang w:val="en-GB"/>
              </w:rPr>
              <w:t>Executive summary</w:t>
            </w:r>
            <w:r w:rsidRPr="00B40729">
              <w:rPr>
                <w:lang w:val="en-GB"/>
              </w:rPr>
              <w:t>:</w:t>
            </w:r>
            <w:r w:rsidRPr="00B40729">
              <w:rPr>
                <w:lang w:val="en-GB"/>
              </w:rPr>
              <w:tab/>
              <w:t>The aim</w:t>
            </w:r>
            <w:r w:rsidR="00DA3653" w:rsidRPr="00B40729">
              <w:rPr>
                <w:lang w:val="en-GB"/>
              </w:rPr>
              <w:t xml:space="preserve">s with this document are: </w:t>
            </w:r>
          </w:p>
          <w:p w:rsidR="00B31A28" w:rsidRPr="00B40729" w:rsidRDefault="00DA3653" w:rsidP="00B31A28">
            <w:pPr>
              <w:pStyle w:val="SingleTxtG"/>
              <w:ind w:left="3401"/>
              <w:rPr>
                <w:lang w:val="en-GB"/>
              </w:rPr>
            </w:pPr>
            <w:r w:rsidRPr="00B40729">
              <w:rPr>
                <w:lang w:val="en-GB"/>
              </w:rPr>
              <w:t>1) T</w:t>
            </w:r>
            <w:r w:rsidR="00373B44" w:rsidRPr="00B40729">
              <w:rPr>
                <w:lang w:val="en-GB"/>
              </w:rPr>
              <w:t xml:space="preserve">o </w:t>
            </w:r>
            <w:r w:rsidRPr="00B40729">
              <w:rPr>
                <w:lang w:val="en-GB"/>
              </w:rPr>
              <w:t xml:space="preserve">extend the definition of reference steel in order to cover the </w:t>
            </w:r>
            <w:r w:rsidR="00B31A28" w:rsidRPr="00B40729">
              <w:rPr>
                <w:lang w:val="en-GB"/>
              </w:rPr>
              <w:t>metal</w:t>
            </w:r>
            <w:r w:rsidRPr="00B40729">
              <w:rPr>
                <w:lang w:val="en-GB"/>
              </w:rPr>
              <w:t xml:space="preserve"> </w:t>
            </w:r>
            <w:r w:rsidR="00B31A28" w:rsidRPr="00B40729">
              <w:rPr>
                <w:lang w:val="en-GB"/>
              </w:rPr>
              <w:t>IBCs</w:t>
            </w:r>
            <w:r w:rsidR="00995497">
              <w:rPr>
                <w:lang w:val="en-GB"/>
              </w:rPr>
              <w:t>;</w:t>
            </w:r>
            <w:r w:rsidR="00B31A28" w:rsidRPr="00B40729">
              <w:rPr>
                <w:lang w:val="en-GB"/>
              </w:rPr>
              <w:t xml:space="preserve"> and</w:t>
            </w:r>
          </w:p>
          <w:p w:rsidR="00373B44" w:rsidRPr="00B40729" w:rsidRDefault="00B31A28" w:rsidP="001B0DF0">
            <w:pPr>
              <w:pStyle w:val="SingleTxtG"/>
              <w:ind w:left="3401"/>
              <w:rPr>
                <w:lang w:val="en-GB"/>
              </w:rPr>
            </w:pPr>
            <w:r w:rsidRPr="00B40729">
              <w:rPr>
                <w:lang w:val="en-GB"/>
              </w:rPr>
              <w:t xml:space="preserve">2) To </w:t>
            </w:r>
            <w:r w:rsidR="00DA3653" w:rsidRPr="00B40729">
              <w:rPr>
                <w:lang w:val="en-GB"/>
              </w:rPr>
              <w:t>analyse</w:t>
            </w:r>
            <w:r w:rsidR="00AA7259" w:rsidRPr="00B40729">
              <w:rPr>
                <w:lang w:val="en-GB"/>
              </w:rPr>
              <w:t xml:space="preserve"> whether the limits of the </w:t>
            </w:r>
            <w:r w:rsidR="001B0DF0" w:rsidRPr="00B40729">
              <w:rPr>
                <w:lang w:val="en-GB"/>
              </w:rPr>
              <w:t xml:space="preserve">tensile strength </w:t>
            </w:r>
            <w:r w:rsidR="00AA7259" w:rsidRPr="00B40729">
              <w:rPr>
                <w:lang w:val="en-GB"/>
              </w:rPr>
              <w:t>of mild</w:t>
            </w:r>
            <w:r w:rsidR="00995497">
              <w:rPr>
                <w:lang w:val="en-GB"/>
              </w:rPr>
              <w:t xml:space="preserve"> steel covers the provisions of</w:t>
            </w:r>
            <w:r w:rsidR="00DA3653" w:rsidRPr="00B40729">
              <w:rPr>
                <w:lang w:val="en-GB"/>
              </w:rPr>
              <w:t xml:space="preserve"> Chapters 2</w:t>
            </w:r>
            <w:r w:rsidR="00614E37" w:rsidRPr="00B40729">
              <w:rPr>
                <w:lang w:val="en-GB"/>
              </w:rPr>
              <w:t>.7, 6.4, 6.7 and 6.8 of RID/ADR</w:t>
            </w:r>
            <w:r w:rsidR="00373B44" w:rsidRPr="00B40729">
              <w:rPr>
                <w:lang w:val="en-GB"/>
              </w:rPr>
              <w:t>.</w:t>
            </w:r>
          </w:p>
        </w:tc>
      </w:tr>
      <w:tr w:rsidR="00373B44" w:rsidRPr="00B40729" w:rsidTr="00F9198F">
        <w:trPr>
          <w:jc w:val="center"/>
        </w:trPr>
        <w:tc>
          <w:tcPr>
            <w:tcW w:w="9637" w:type="dxa"/>
            <w:shd w:val="clear" w:color="auto" w:fill="auto"/>
          </w:tcPr>
          <w:p w:rsidR="00373B44" w:rsidRPr="00B40729" w:rsidRDefault="00373B44" w:rsidP="00AA7259">
            <w:pPr>
              <w:spacing w:after="120"/>
              <w:ind w:left="3401" w:right="1133" w:hanging="2268"/>
            </w:pPr>
            <w:r w:rsidRPr="00B40729">
              <w:rPr>
                <w:b/>
              </w:rPr>
              <w:t>Action to be taken</w:t>
            </w:r>
            <w:r w:rsidRPr="00B40729">
              <w:t xml:space="preserve">: </w:t>
            </w:r>
            <w:r w:rsidRPr="00B40729">
              <w:tab/>
            </w:r>
            <w:r w:rsidRPr="00B40729">
              <w:tab/>
              <w:t xml:space="preserve">Amend the </w:t>
            </w:r>
            <w:r w:rsidR="00AA7259" w:rsidRPr="00B40729">
              <w:t xml:space="preserve">definitions of </w:t>
            </w:r>
            <w:r w:rsidR="00AA7259" w:rsidRPr="00B40729">
              <w:rPr>
                <w:i/>
              </w:rPr>
              <w:t xml:space="preserve">“reference steel” </w:t>
            </w:r>
            <w:r w:rsidR="00AA7259" w:rsidRPr="00B40729">
              <w:t xml:space="preserve">and </w:t>
            </w:r>
            <w:r w:rsidR="00AA7259" w:rsidRPr="00B40729">
              <w:rPr>
                <w:i/>
              </w:rPr>
              <w:t xml:space="preserve">“mild steel” </w:t>
            </w:r>
            <w:r w:rsidR="00AA7259" w:rsidRPr="00B40729">
              <w:t>located in section 1.2.1</w:t>
            </w:r>
            <w:r w:rsidRPr="00B40729">
              <w:t>.</w:t>
            </w:r>
          </w:p>
        </w:tc>
      </w:tr>
      <w:tr w:rsidR="00373B44" w:rsidRPr="00B40729" w:rsidTr="00F9198F">
        <w:trPr>
          <w:jc w:val="center"/>
        </w:trPr>
        <w:tc>
          <w:tcPr>
            <w:tcW w:w="9637" w:type="dxa"/>
            <w:shd w:val="clear" w:color="auto" w:fill="auto"/>
          </w:tcPr>
          <w:p w:rsidR="00373B44" w:rsidRPr="00B40729" w:rsidRDefault="00373B44" w:rsidP="00197DC5">
            <w:pPr>
              <w:spacing w:after="120"/>
              <w:ind w:left="3401" w:right="1133" w:hanging="2268"/>
              <w:jc w:val="both"/>
              <w:rPr>
                <w:b/>
              </w:rPr>
            </w:pPr>
            <w:r w:rsidRPr="00B40729">
              <w:rPr>
                <w:b/>
              </w:rPr>
              <w:t>Related documents:</w:t>
            </w:r>
            <w:r w:rsidRPr="00B40729">
              <w:rPr>
                <w:b/>
              </w:rPr>
              <w:tab/>
            </w:r>
            <w:r w:rsidRPr="00B40729">
              <w:rPr>
                <w:b/>
              </w:rPr>
              <w:tab/>
            </w:r>
            <w:r w:rsidR="00995497">
              <w:t xml:space="preserve">Informal document </w:t>
            </w:r>
            <w:r w:rsidR="00595503" w:rsidRPr="00B40729">
              <w:t>INF.35</w:t>
            </w:r>
            <w:r w:rsidR="00995497">
              <w:t xml:space="preserve"> (September 2014 session)</w:t>
            </w:r>
            <w:r w:rsidR="00595503" w:rsidRPr="00B40729">
              <w:t xml:space="preserve">, item 8 of the </w:t>
            </w:r>
            <w:r w:rsidR="00197DC5">
              <w:t>r</w:t>
            </w:r>
            <w:r w:rsidR="00595503" w:rsidRPr="00B40729">
              <w:t xml:space="preserve">eport of the </w:t>
            </w:r>
            <w:r w:rsidR="00C969BA" w:rsidRPr="00B40729">
              <w:t xml:space="preserve">September 2014 session of </w:t>
            </w:r>
            <w:r w:rsidR="00595503" w:rsidRPr="00B40729">
              <w:t xml:space="preserve">Working Group on Tanks of </w:t>
            </w:r>
            <w:r w:rsidR="00C969BA" w:rsidRPr="00B40729">
              <w:t>the</w:t>
            </w:r>
            <w:r w:rsidR="00595503" w:rsidRPr="00B40729">
              <w:t xml:space="preserve"> Joint Meeting (ECE/TRANS/WP.15/AC.1/</w:t>
            </w:r>
            <w:r w:rsidR="00C969BA" w:rsidRPr="00B40729">
              <w:t xml:space="preserve"> </w:t>
            </w:r>
            <w:r w:rsidR="00995497">
              <w:t xml:space="preserve">136/Add.1), informal document </w:t>
            </w:r>
            <w:r w:rsidRPr="00B40729">
              <w:rPr>
                <w:bCs/>
                <w:spacing w:val="-3"/>
                <w:bdr w:val="none" w:sz="0" w:space="0" w:color="auto" w:frame="1"/>
                <w:shd w:val="clear" w:color="auto" w:fill="FFFFFF"/>
              </w:rPr>
              <w:t>INF.30</w:t>
            </w:r>
            <w:r w:rsidR="00995497">
              <w:rPr>
                <w:bCs/>
                <w:spacing w:val="-3"/>
                <w:bdr w:val="none" w:sz="0" w:space="0" w:color="auto" w:frame="1"/>
                <w:shd w:val="clear" w:color="auto" w:fill="FFFFFF"/>
              </w:rPr>
              <w:t xml:space="preserve"> of the forty-seventh session of the United Nations Sub-Committee of </w:t>
            </w:r>
            <w:r w:rsidR="00197DC5">
              <w:rPr>
                <w:bCs/>
                <w:spacing w:val="-3"/>
                <w:bdr w:val="none" w:sz="0" w:space="0" w:color="auto" w:frame="1"/>
                <w:shd w:val="clear" w:color="auto" w:fill="FFFFFF"/>
              </w:rPr>
              <w:t>Experts</w:t>
            </w:r>
            <w:r w:rsidR="00995497">
              <w:rPr>
                <w:bCs/>
                <w:spacing w:val="-3"/>
                <w:bdr w:val="none" w:sz="0" w:space="0" w:color="auto" w:frame="1"/>
                <w:shd w:val="clear" w:color="auto" w:fill="FFFFFF"/>
              </w:rPr>
              <w:t xml:space="preserve"> on the Transport of Dangerous Goods (SCETDG)</w:t>
            </w:r>
            <w:r w:rsidRPr="00B40729">
              <w:rPr>
                <w:bCs/>
                <w:spacing w:val="-3"/>
                <w:bdr w:val="none" w:sz="0" w:space="0" w:color="auto" w:frame="1"/>
                <w:shd w:val="clear" w:color="auto" w:fill="FFFFFF"/>
              </w:rPr>
              <w:t xml:space="preserve">, </w:t>
            </w:r>
            <w:r w:rsidRPr="00B40729">
              <w:t>ST/SG/AC.10/C.3/</w:t>
            </w:r>
            <w:bookmarkStart w:id="0" w:name="_GoBack"/>
            <w:bookmarkEnd w:id="0"/>
            <w:r w:rsidRPr="00B40729">
              <w:t>2015/44</w:t>
            </w:r>
            <w:r w:rsidR="00595503" w:rsidRPr="00B40729">
              <w:t xml:space="preserve">, </w:t>
            </w:r>
            <w:r w:rsidRPr="00B40729">
              <w:t>ST/SG/AC.10/C.3/2015/55</w:t>
            </w:r>
            <w:r w:rsidR="00595503" w:rsidRPr="00B40729">
              <w:t xml:space="preserve"> and </w:t>
            </w:r>
            <w:r w:rsidR="00C969BA" w:rsidRPr="00B40729">
              <w:t xml:space="preserve">para. </w:t>
            </w:r>
            <w:r w:rsidR="00995497">
              <w:t>99 and 100</w:t>
            </w:r>
            <w:r w:rsidR="00C969BA" w:rsidRPr="00B40729">
              <w:t xml:space="preserve"> of the Report of </w:t>
            </w:r>
            <w:r w:rsidR="00995497">
              <w:t>the forty-eighth</w:t>
            </w:r>
            <w:r w:rsidR="00C969BA" w:rsidRPr="00B40729">
              <w:t xml:space="preserve"> session of SCETDG (ST/SG/AC.10/C.3/96)</w:t>
            </w:r>
            <w:r w:rsidRPr="00B40729">
              <w:t>.</w:t>
            </w:r>
          </w:p>
        </w:tc>
      </w:tr>
      <w:tr w:rsidR="00373B44" w:rsidRPr="00B40729" w:rsidTr="00F9198F">
        <w:trPr>
          <w:jc w:val="center"/>
        </w:trPr>
        <w:tc>
          <w:tcPr>
            <w:tcW w:w="9637" w:type="dxa"/>
            <w:shd w:val="clear" w:color="auto" w:fill="auto"/>
          </w:tcPr>
          <w:p w:rsidR="00373B44" w:rsidRPr="00B40729" w:rsidRDefault="00373B44" w:rsidP="00F9198F">
            <w:pPr>
              <w:rPr>
                <w:b/>
              </w:rPr>
            </w:pPr>
          </w:p>
        </w:tc>
      </w:tr>
    </w:tbl>
    <w:p w:rsidR="005626DE" w:rsidRPr="00B40729" w:rsidRDefault="001242DA" w:rsidP="00326F5A">
      <w:pPr>
        <w:pStyle w:val="HChG"/>
        <w:spacing w:line="240" w:lineRule="auto"/>
        <w:rPr>
          <w:spacing w:val="-9"/>
          <w:w w:val="105"/>
          <w:lang w:val="en-GB"/>
        </w:rPr>
      </w:pPr>
      <w:r w:rsidRPr="00B40729">
        <w:rPr>
          <w:lang w:val="en-GB"/>
        </w:rPr>
        <w:tab/>
      </w:r>
      <w:r w:rsidR="00E91196" w:rsidRPr="00B40729">
        <w:rPr>
          <w:w w:val="105"/>
          <w:lang w:val="en-GB"/>
        </w:rPr>
        <w:tab/>
      </w:r>
      <w:r w:rsidR="005A10F5" w:rsidRPr="00B40729">
        <w:rPr>
          <w:w w:val="105"/>
          <w:lang w:val="en-GB"/>
        </w:rPr>
        <w:t>Introduction</w:t>
      </w:r>
    </w:p>
    <w:p w:rsidR="00A95950" w:rsidRPr="00B40729" w:rsidRDefault="00E91196" w:rsidP="002F348D">
      <w:pPr>
        <w:pStyle w:val="SingleTxtG"/>
        <w:spacing w:line="240" w:lineRule="auto"/>
        <w:rPr>
          <w:lang w:val="en-GB"/>
        </w:rPr>
      </w:pPr>
      <w:r w:rsidRPr="00B40729">
        <w:rPr>
          <w:lang w:val="en-GB"/>
        </w:rPr>
        <w:t>1.</w:t>
      </w:r>
      <w:r w:rsidRPr="00B40729">
        <w:rPr>
          <w:lang w:val="en-GB"/>
        </w:rPr>
        <w:tab/>
      </w:r>
      <w:r w:rsidR="00A95950" w:rsidRPr="00B40729">
        <w:rPr>
          <w:lang w:val="en-GB"/>
        </w:rPr>
        <w:t xml:space="preserve">As stipulated in paragraphs </w:t>
      </w:r>
      <w:r w:rsidR="00995497">
        <w:rPr>
          <w:lang w:val="en-GB"/>
        </w:rPr>
        <w:t>99 and 100</w:t>
      </w:r>
      <w:r w:rsidR="00A95950" w:rsidRPr="00B40729">
        <w:rPr>
          <w:lang w:val="en-GB"/>
        </w:rPr>
        <w:t xml:space="preserve"> of the </w:t>
      </w:r>
      <w:r w:rsidR="001036EE" w:rsidRPr="00B40729">
        <w:rPr>
          <w:lang w:val="en-GB"/>
        </w:rPr>
        <w:t xml:space="preserve">Report </w:t>
      </w:r>
      <w:r w:rsidR="00A95950" w:rsidRPr="00B40729">
        <w:rPr>
          <w:lang w:val="en-GB"/>
        </w:rPr>
        <w:t>of the December 2015 session of the Sub-Committee of Experts on the Transport of Dangerous Goods:</w:t>
      </w:r>
    </w:p>
    <w:p w:rsidR="00A95950" w:rsidRPr="00B40729" w:rsidRDefault="00995497" w:rsidP="002F348D">
      <w:pPr>
        <w:pStyle w:val="SingleTxtG"/>
        <w:spacing w:line="240" w:lineRule="auto"/>
        <w:rPr>
          <w:i/>
          <w:lang w:val="en-GB"/>
        </w:rPr>
      </w:pPr>
      <w:r>
        <w:rPr>
          <w:i/>
          <w:lang w:val="en-GB"/>
        </w:rPr>
        <w:t>“99</w:t>
      </w:r>
      <w:r w:rsidR="001036EE" w:rsidRPr="00B40729">
        <w:rPr>
          <w:i/>
          <w:lang w:val="en-GB"/>
        </w:rPr>
        <w:t>.</w:t>
      </w:r>
      <w:r w:rsidR="001036EE" w:rsidRPr="00B40729">
        <w:rPr>
          <w:i/>
          <w:lang w:val="en-GB"/>
        </w:rPr>
        <w:tab/>
        <w:t>The Sub-Committee noted that in RID and ADR, the definitions of “mild steel” and of “reference steel” were located in section 1.2.1 and in Chapter 6.7, while in the Model Regulations they were located in Chapter 6.7. Some delegations were reluctant to</w:t>
      </w:r>
      <w:r w:rsidR="00AA7259" w:rsidRPr="00B40729">
        <w:rPr>
          <w:i/>
          <w:lang w:val="en-GB"/>
        </w:rPr>
        <w:t xml:space="preserve"> </w:t>
      </w:r>
      <w:r w:rsidR="001036EE" w:rsidRPr="00B40729">
        <w:rPr>
          <w:i/>
          <w:lang w:val="en-GB"/>
        </w:rPr>
        <w:t xml:space="preserve">move these definitions to section 1.2.1 because </w:t>
      </w:r>
      <w:r w:rsidR="00AA7259" w:rsidRPr="00B40729">
        <w:rPr>
          <w:i/>
          <w:lang w:val="en-GB"/>
        </w:rPr>
        <w:t>the</w:t>
      </w:r>
      <w:r w:rsidR="001036EE" w:rsidRPr="00B40729">
        <w:rPr>
          <w:i/>
          <w:lang w:val="en-GB"/>
        </w:rPr>
        <w:t xml:space="preserve"> definition of “reference steel” is not the same when applied to IBCs, and the term </w:t>
      </w:r>
      <w:r w:rsidR="00C008C8" w:rsidRPr="00B40729">
        <w:rPr>
          <w:i/>
          <w:lang w:val="en-GB"/>
        </w:rPr>
        <w:t>“</w:t>
      </w:r>
      <w:r w:rsidR="001036EE" w:rsidRPr="00B40729">
        <w:rPr>
          <w:i/>
          <w:lang w:val="en-GB"/>
        </w:rPr>
        <w:t xml:space="preserve">mild steel” is used in other chapters, e.g. Chapter 6.4 and experts for Class 7 should be consulted to check whether the definition in Chapter 6.7 was also </w:t>
      </w:r>
      <w:r w:rsidR="00AA7259" w:rsidRPr="00B40729">
        <w:rPr>
          <w:i/>
          <w:lang w:val="en-GB"/>
        </w:rPr>
        <w:t>appropriate</w:t>
      </w:r>
      <w:r w:rsidR="001036EE" w:rsidRPr="00B40729">
        <w:rPr>
          <w:i/>
          <w:lang w:val="en-GB"/>
        </w:rPr>
        <w:t xml:space="preserve"> in the context of Chapter 6.4.</w:t>
      </w:r>
    </w:p>
    <w:p w:rsidR="001036EE" w:rsidRPr="00B40729" w:rsidRDefault="00995497" w:rsidP="002F348D">
      <w:pPr>
        <w:pStyle w:val="SingleTxtG"/>
        <w:spacing w:line="240" w:lineRule="auto"/>
        <w:rPr>
          <w:i/>
          <w:lang w:val="en-GB"/>
        </w:rPr>
      </w:pPr>
      <w:r>
        <w:rPr>
          <w:i/>
          <w:lang w:val="en-GB"/>
        </w:rPr>
        <w:t>100</w:t>
      </w:r>
      <w:r w:rsidR="001036EE" w:rsidRPr="00B40729">
        <w:rPr>
          <w:i/>
          <w:lang w:val="en-GB"/>
        </w:rPr>
        <w:t>.</w:t>
      </w:r>
      <w:r w:rsidR="001036EE" w:rsidRPr="00B40729">
        <w:rPr>
          <w:i/>
          <w:lang w:val="en-GB"/>
        </w:rPr>
        <w:tab/>
        <w:t>After discussion it was decided not to proceed with the proposed changes at this stage.”.</w:t>
      </w:r>
    </w:p>
    <w:p w:rsidR="00FC7094" w:rsidRPr="00B40729" w:rsidRDefault="00E91196" w:rsidP="002F348D">
      <w:pPr>
        <w:pStyle w:val="SingleTxtG"/>
        <w:spacing w:line="240" w:lineRule="auto"/>
        <w:rPr>
          <w:lang w:val="en-GB"/>
        </w:rPr>
      </w:pPr>
      <w:r w:rsidRPr="00B40729">
        <w:rPr>
          <w:lang w:val="en-GB"/>
        </w:rPr>
        <w:t>2.</w:t>
      </w:r>
      <w:r w:rsidRPr="00B40729">
        <w:rPr>
          <w:lang w:val="en-GB"/>
        </w:rPr>
        <w:tab/>
      </w:r>
      <w:r w:rsidR="00E76671" w:rsidRPr="00B40729">
        <w:rPr>
          <w:lang w:val="en-GB"/>
        </w:rPr>
        <w:t>The current definitions in section 1.2.1 of RID/ADR are:</w:t>
      </w:r>
    </w:p>
    <w:p w:rsidR="00E76671" w:rsidRPr="00B40729" w:rsidRDefault="00E76671" w:rsidP="002F348D">
      <w:pPr>
        <w:pStyle w:val="SingleTxtG"/>
        <w:spacing w:line="240" w:lineRule="auto"/>
        <w:rPr>
          <w:lang w:val="en-GB"/>
        </w:rPr>
      </w:pPr>
      <w:r w:rsidRPr="00B40729">
        <w:rPr>
          <w:i/>
          <w:lang w:val="en-GB"/>
        </w:rPr>
        <w:t xml:space="preserve">"Reference steel" </w:t>
      </w:r>
      <w:r w:rsidRPr="00B40729">
        <w:rPr>
          <w:lang w:val="en-GB"/>
        </w:rPr>
        <w:t>means a steel with a tensile strength of 370 N/mm</w:t>
      </w:r>
      <w:r w:rsidRPr="00B40729">
        <w:rPr>
          <w:vertAlign w:val="superscript"/>
          <w:lang w:val="en-GB"/>
        </w:rPr>
        <w:t>2</w:t>
      </w:r>
      <w:r w:rsidRPr="00B40729">
        <w:rPr>
          <w:lang w:val="en-GB"/>
        </w:rPr>
        <w:t xml:space="preserve"> and an elongation at fracture of 27%;</w:t>
      </w:r>
    </w:p>
    <w:p w:rsidR="00E76671" w:rsidRPr="00B40729" w:rsidRDefault="00E76671" w:rsidP="002F348D">
      <w:pPr>
        <w:pStyle w:val="SingleTxtG"/>
        <w:spacing w:line="240" w:lineRule="auto"/>
        <w:rPr>
          <w:lang w:val="en-GB"/>
        </w:rPr>
      </w:pPr>
      <w:r w:rsidRPr="00B40729">
        <w:rPr>
          <w:i/>
          <w:lang w:val="en-GB"/>
        </w:rPr>
        <w:t>"Mild steel"</w:t>
      </w:r>
      <w:r w:rsidRPr="00B40729">
        <w:rPr>
          <w:lang w:val="en-GB"/>
        </w:rPr>
        <w:t xml:space="preserve"> means a steel having a minimum tensile strength </w:t>
      </w:r>
      <w:r w:rsidRPr="00326F5A">
        <w:rPr>
          <w:u w:val="single"/>
          <w:lang w:val="en-GB"/>
        </w:rPr>
        <w:t>between</w:t>
      </w:r>
      <w:r w:rsidRPr="00B40729">
        <w:rPr>
          <w:lang w:val="en-GB"/>
        </w:rPr>
        <w:t xml:space="preserve"> 360 N/mm</w:t>
      </w:r>
      <w:r w:rsidRPr="00B40729">
        <w:rPr>
          <w:vertAlign w:val="superscript"/>
          <w:lang w:val="en-GB"/>
        </w:rPr>
        <w:t>2</w:t>
      </w:r>
      <w:r w:rsidRPr="00B40729">
        <w:rPr>
          <w:lang w:val="en-GB"/>
        </w:rPr>
        <w:t xml:space="preserve"> and 440 N/mm</w:t>
      </w:r>
      <w:r w:rsidRPr="00B40729">
        <w:rPr>
          <w:vertAlign w:val="superscript"/>
          <w:lang w:val="en-GB"/>
        </w:rPr>
        <w:t>2</w:t>
      </w:r>
      <w:r w:rsidRPr="00B40729">
        <w:rPr>
          <w:lang w:val="en-GB"/>
        </w:rPr>
        <w:t>;</w:t>
      </w:r>
    </w:p>
    <w:p w:rsidR="00E76671" w:rsidRPr="00B40729" w:rsidRDefault="00E76671" w:rsidP="002F348D">
      <w:pPr>
        <w:pStyle w:val="SingleTxtG"/>
        <w:spacing w:line="240" w:lineRule="auto"/>
        <w:rPr>
          <w:lang w:val="en-GB"/>
        </w:rPr>
      </w:pPr>
      <w:r w:rsidRPr="00B40729">
        <w:rPr>
          <w:b/>
          <w:i/>
          <w:lang w:val="en-GB"/>
        </w:rPr>
        <w:t xml:space="preserve">NOTE:  </w:t>
      </w:r>
      <w:r w:rsidRPr="00B40729">
        <w:rPr>
          <w:i/>
          <w:lang w:val="en-GB"/>
        </w:rPr>
        <w:t>For portable tanks, see Chapter 6.7.</w:t>
      </w:r>
      <w:r w:rsidR="00C34DD8">
        <w:rPr>
          <w:i/>
          <w:lang w:val="en-GB"/>
        </w:rPr>
        <w:t>”.</w:t>
      </w:r>
    </w:p>
    <w:p w:rsidR="00E76671" w:rsidRPr="00B40729" w:rsidRDefault="00FC7094" w:rsidP="002F348D">
      <w:pPr>
        <w:pStyle w:val="SingleTxtG"/>
        <w:spacing w:line="240" w:lineRule="auto"/>
        <w:rPr>
          <w:lang w:val="en-GB"/>
        </w:rPr>
      </w:pPr>
      <w:r w:rsidRPr="00B40729">
        <w:rPr>
          <w:lang w:val="en-GB"/>
        </w:rPr>
        <w:t>3.</w:t>
      </w:r>
      <w:r w:rsidRPr="00B40729">
        <w:rPr>
          <w:lang w:val="en-GB"/>
        </w:rPr>
        <w:tab/>
      </w:r>
      <w:r w:rsidR="00E76671" w:rsidRPr="00B40729">
        <w:rPr>
          <w:lang w:val="en-GB"/>
        </w:rPr>
        <w:t>The current definitions in Chapter 6.7 of RID/ADR are:</w:t>
      </w:r>
    </w:p>
    <w:p w:rsidR="00E76671" w:rsidRPr="00B40729" w:rsidRDefault="00E76671" w:rsidP="002F348D">
      <w:pPr>
        <w:pStyle w:val="SingleTxtG"/>
        <w:spacing w:line="240" w:lineRule="auto"/>
        <w:rPr>
          <w:lang w:val="en-GB"/>
        </w:rPr>
      </w:pPr>
      <w:r w:rsidRPr="00B40729">
        <w:rPr>
          <w:i/>
          <w:lang w:val="en-GB"/>
        </w:rPr>
        <w:t>Reference steel</w:t>
      </w:r>
      <w:r w:rsidRPr="00B40729">
        <w:rPr>
          <w:lang w:val="en-GB"/>
        </w:rPr>
        <w:t xml:space="preserve"> means a steel with a tensile strength of 370 N/mm</w:t>
      </w:r>
      <w:r w:rsidRPr="00B40729">
        <w:rPr>
          <w:vertAlign w:val="superscript"/>
          <w:lang w:val="en-GB"/>
        </w:rPr>
        <w:t>2</w:t>
      </w:r>
      <w:r w:rsidRPr="00B40729">
        <w:rPr>
          <w:lang w:val="en-GB"/>
        </w:rPr>
        <w:t xml:space="preserve"> and an elongation at fracture of 27%;</w:t>
      </w:r>
    </w:p>
    <w:p w:rsidR="00E76671" w:rsidRPr="00B40729" w:rsidRDefault="00E76671" w:rsidP="002F348D">
      <w:pPr>
        <w:pStyle w:val="SingleTxtG"/>
        <w:spacing w:line="240" w:lineRule="auto"/>
        <w:rPr>
          <w:lang w:val="en-GB"/>
        </w:rPr>
      </w:pPr>
      <w:r w:rsidRPr="00B40729">
        <w:rPr>
          <w:i/>
          <w:lang w:val="en-GB"/>
        </w:rPr>
        <w:lastRenderedPageBreak/>
        <w:t>Mild steel</w:t>
      </w:r>
      <w:r w:rsidRPr="00B40729">
        <w:rPr>
          <w:lang w:val="en-GB"/>
        </w:rPr>
        <w:t xml:space="preserve"> means a steel with a </w:t>
      </w:r>
      <w:r w:rsidRPr="00B40729">
        <w:rPr>
          <w:u w:val="single"/>
          <w:lang w:val="en-GB"/>
        </w:rPr>
        <w:t>guaranteed minimum</w:t>
      </w:r>
      <w:r w:rsidRPr="00B40729">
        <w:rPr>
          <w:lang w:val="en-GB"/>
        </w:rPr>
        <w:t xml:space="preserve"> tensile strength </w:t>
      </w:r>
      <w:r w:rsidRPr="00326F5A">
        <w:rPr>
          <w:u w:val="single"/>
          <w:lang w:val="en-GB"/>
        </w:rPr>
        <w:t>of</w:t>
      </w:r>
      <w:r w:rsidRPr="00B40729">
        <w:rPr>
          <w:lang w:val="en-GB"/>
        </w:rPr>
        <w:t> 360 N/mm</w:t>
      </w:r>
      <w:r w:rsidRPr="00B40729">
        <w:rPr>
          <w:vertAlign w:val="superscript"/>
          <w:lang w:val="en-GB"/>
        </w:rPr>
        <w:t>2</w:t>
      </w:r>
      <w:r w:rsidRPr="00B40729">
        <w:rPr>
          <w:lang w:val="en-GB"/>
        </w:rPr>
        <w:t xml:space="preserve"> to </w:t>
      </w:r>
      <w:r w:rsidRPr="00326F5A">
        <w:rPr>
          <w:u w:val="single"/>
          <w:lang w:val="en-GB"/>
        </w:rPr>
        <w:t>440</w:t>
      </w:r>
      <w:r w:rsidRPr="00B40729">
        <w:rPr>
          <w:lang w:val="en-GB"/>
        </w:rPr>
        <w:t> N/mm</w:t>
      </w:r>
      <w:r w:rsidRPr="00B40729">
        <w:rPr>
          <w:vertAlign w:val="superscript"/>
          <w:lang w:val="en-GB"/>
        </w:rPr>
        <w:t>2</w:t>
      </w:r>
      <w:r w:rsidRPr="00B40729">
        <w:rPr>
          <w:lang w:val="en-GB"/>
        </w:rPr>
        <w:t xml:space="preserve"> and a </w:t>
      </w:r>
      <w:r w:rsidRPr="00B40729">
        <w:rPr>
          <w:u w:val="single"/>
          <w:lang w:val="en-GB"/>
        </w:rPr>
        <w:t>guaranteed minimum</w:t>
      </w:r>
      <w:r w:rsidRPr="00B40729">
        <w:rPr>
          <w:lang w:val="en-GB"/>
        </w:rPr>
        <w:t xml:space="preserve"> elongation at fracture conforming to 6.7.</w:t>
      </w:r>
      <w:r w:rsidRPr="00B40729">
        <w:rPr>
          <w:u w:val="single"/>
          <w:lang w:val="en-GB"/>
        </w:rPr>
        <w:t>2</w:t>
      </w:r>
      <w:r w:rsidRPr="00B40729">
        <w:rPr>
          <w:lang w:val="en-GB"/>
        </w:rPr>
        <w:t>.3.3.3;</w:t>
      </w:r>
    </w:p>
    <w:p w:rsidR="00E76671" w:rsidRPr="00B40729" w:rsidRDefault="00E76671" w:rsidP="002F348D">
      <w:pPr>
        <w:pStyle w:val="SingleTxtG"/>
        <w:spacing w:line="240" w:lineRule="auto"/>
        <w:rPr>
          <w:lang w:val="en-GB"/>
        </w:rPr>
      </w:pPr>
      <w:r w:rsidRPr="00B40729">
        <w:rPr>
          <w:i/>
          <w:lang w:val="en-GB"/>
        </w:rPr>
        <w:t>Mild steel</w:t>
      </w:r>
      <w:r w:rsidRPr="00B40729">
        <w:rPr>
          <w:lang w:val="en-GB"/>
        </w:rPr>
        <w:t xml:space="preserve"> means a steel with a </w:t>
      </w:r>
      <w:r w:rsidRPr="00B40729">
        <w:rPr>
          <w:u w:val="single"/>
          <w:lang w:val="en-GB"/>
        </w:rPr>
        <w:t>guaranteed minimum</w:t>
      </w:r>
      <w:r w:rsidRPr="00B40729">
        <w:rPr>
          <w:lang w:val="en-GB"/>
        </w:rPr>
        <w:t xml:space="preserve"> tensile strength </w:t>
      </w:r>
      <w:r w:rsidRPr="00326F5A">
        <w:rPr>
          <w:u w:val="single"/>
          <w:lang w:val="en-GB"/>
        </w:rPr>
        <w:t>of</w:t>
      </w:r>
      <w:r w:rsidRPr="00B40729">
        <w:rPr>
          <w:lang w:val="en-GB"/>
        </w:rPr>
        <w:t> 360 N/mm</w:t>
      </w:r>
      <w:r w:rsidRPr="00B40729">
        <w:rPr>
          <w:vertAlign w:val="superscript"/>
          <w:lang w:val="en-GB"/>
        </w:rPr>
        <w:t>2</w:t>
      </w:r>
      <w:r w:rsidRPr="00B40729">
        <w:rPr>
          <w:lang w:val="en-GB"/>
        </w:rPr>
        <w:t xml:space="preserve"> to </w:t>
      </w:r>
      <w:r w:rsidRPr="00326F5A">
        <w:rPr>
          <w:u w:val="single"/>
          <w:lang w:val="en-GB"/>
        </w:rPr>
        <w:t>440</w:t>
      </w:r>
      <w:r w:rsidRPr="00B40729">
        <w:rPr>
          <w:lang w:val="en-GB"/>
        </w:rPr>
        <w:t> N/mm</w:t>
      </w:r>
      <w:r w:rsidRPr="00B40729">
        <w:rPr>
          <w:vertAlign w:val="superscript"/>
          <w:lang w:val="en-GB"/>
        </w:rPr>
        <w:t>2</w:t>
      </w:r>
      <w:r w:rsidRPr="00B40729">
        <w:rPr>
          <w:lang w:val="en-GB"/>
        </w:rPr>
        <w:t xml:space="preserve"> and a </w:t>
      </w:r>
      <w:r w:rsidRPr="00B40729">
        <w:rPr>
          <w:u w:val="single"/>
          <w:lang w:val="en-GB"/>
        </w:rPr>
        <w:t>guaranteed minimum</w:t>
      </w:r>
      <w:r w:rsidRPr="00B40729">
        <w:rPr>
          <w:lang w:val="en-GB"/>
        </w:rPr>
        <w:t xml:space="preserve"> elongation at fracture conforming to 6.7.</w:t>
      </w:r>
      <w:r w:rsidRPr="00B40729">
        <w:rPr>
          <w:u w:val="single"/>
          <w:lang w:val="en-GB"/>
        </w:rPr>
        <w:t>3</w:t>
      </w:r>
      <w:r w:rsidRPr="00B40729">
        <w:rPr>
          <w:lang w:val="en-GB"/>
        </w:rPr>
        <w:t>.3.3.3;</w:t>
      </w:r>
    </w:p>
    <w:p w:rsidR="00E76671" w:rsidRPr="00B40729" w:rsidRDefault="00E76671" w:rsidP="002F348D">
      <w:pPr>
        <w:pStyle w:val="SingleTxtG"/>
        <w:spacing w:line="240" w:lineRule="auto"/>
        <w:rPr>
          <w:lang w:val="en-GB"/>
        </w:rPr>
      </w:pPr>
      <w:r w:rsidRPr="00B40729">
        <w:rPr>
          <w:lang w:val="en-GB"/>
        </w:rPr>
        <w:t>Where the text of 6.7.</w:t>
      </w:r>
      <w:r w:rsidRPr="00B40729">
        <w:rPr>
          <w:u w:val="single"/>
          <w:lang w:val="en-GB"/>
        </w:rPr>
        <w:t>2</w:t>
      </w:r>
      <w:r w:rsidRPr="00B40729">
        <w:rPr>
          <w:lang w:val="en-GB"/>
        </w:rPr>
        <w:t>.3.3.3 and 6.7.</w:t>
      </w:r>
      <w:r w:rsidRPr="00B40729">
        <w:rPr>
          <w:u w:val="single"/>
          <w:lang w:val="en-GB"/>
        </w:rPr>
        <w:t>3</w:t>
      </w:r>
      <w:r w:rsidRPr="00B40729">
        <w:rPr>
          <w:lang w:val="en-GB"/>
        </w:rPr>
        <w:t>.3.3.3 is</w:t>
      </w:r>
      <w:r w:rsidR="00614E37" w:rsidRPr="00B40729">
        <w:rPr>
          <w:lang w:val="en-GB"/>
        </w:rPr>
        <w:t xml:space="preserve"> the same, as follows</w:t>
      </w:r>
      <w:r w:rsidRPr="00B40729">
        <w:rPr>
          <w:lang w:val="en-GB"/>
        </w:rPr>
        <w:t>:</w:t>
      </w:r>
    </w:p>
    <w:p w:rsidR="00E76671" w:rsidRPr="00B40729" w:rsidRDefault="005031B0" w:rsidP="002F348D">
      <w:pPr>
        <w:pStyle w:val="SingleTxtG"/>
        <w:spacing w:line="240" w:lineRule="auto"/>
        <w:rPr>
          <w:lang w:val="en-GB"/>
        </w:rPr>
      </w:pPr>
      <w:r w:rsidRPr="00B40729">
        <w:rPr>
          <w:lang w:val="en-GB"/>
        </w:rPr>
        <w:t>“</w:t>
      </w:r>
      <w:r w:rsidR="00E76671" w:rsidRPr="00B40729">
        <w:rPr>
          <w:lang w:val="en-GB"/>
        </w:rPr>
        <w:t>Steels used in the construction of shells shall have an elongation at fracture, in %, of not less than 10 000/Rm with an absolute minimum of 16% for fine grain steels and 20% for other steels.</w:t>
      </w:r>
      <w:r w:rsidRPr="00B40729">
        <w:rPr>
          <w:lang w:val="en-GB"/>
        </w:rPr>
        <w:t>”.</w:t>
      </w:r>
    </w:p>
    <w:p w:rsidR="00A17AFD" w:rsidRPr="00B40729" w:rsidRDefault="002B3EF3" w:rsidP="002F348D">
      <w:pPr>
        <w:pStyle w:val="SingleTxtG"/>
        <w:spacing w:line="240" w:lineRule="auto"/>
        <w:rPr>
          <w:lang w:val="en-GB"/>
        </w:rPr>
      </w:pPr>
      <w:r w:rsidRPr="00B40729">
        <w:rPr>
          <w:lang w:val="en-GB"/>
        </w:rPr>
        <w:t>4.</w:t>
      </w:r>
      <w:r w:rsidRPr="00B40729">
        <w:rPr>
          <w:lang w:val="en-GB"/>
        </w:rPr>
        <w:tab/>
      </w:r>
      <w:r w:rsidR="00A17AFD" w:rsidRPr="00B40729">
        <w:rPr>
          <w:lang w:val="en-GB"/>
        </w:rPr>
        <w:t>The same condition appears in 6.5.5.1.5 and 6.5.5.1 6 for metal IBCs, as follows:</w:t>
      </w:r>
    </w:p>
    <w:p w:rsidR="00347B74" w:rsidRDefault="00A17AFD" w:rsidP="002F348D">
      <w:pPr>
        <w:pStyle w:val="SingleTxtG"/>
        <w:spacing w:line="240" w:lineRule="auto"/>
        <w:rPr>
          <w:lang w:val="en-GB"/>
        </w:rPr>
      </w:pPr>
      <w:r w:rsidRPr="00B40729">
        <w:rPr>
          <w:lang w:val="en-GB"/>
        </w:rPr>
        <w:t xml:space="preserve">6.5.5.1.5 </w:t>
      </w:r>
      <w:r w:rsidR="009C5137" w:rsidRPr="00B40729">
        <w:rPr>
          <w:lang w:val="en-GB"/>
        </w:rPr>
        <w:t xml:space="preserve">Metal IBCs shall be made of metals which meet the following </w:t>
      </w:r>
      <w:r w:rsidR="00347B74">
        <w:rPr>
          <w:lang w:val="en-GB"/>
        </w:rPr>
        <w:t>requirements:</w:t>
      </w:r>
    </w:p>
    <w:p w:rsidR="00A17AFD" w:rsidRPr="00B40729" w:rsidRDefault="00347B74" w:rsidP="00347B74">
      <w:pPr>
        <w:pStyle w:val="SingleTxtG"/>
        <w:spacing w:line="240" w:lineRule="auto"/>
        <w:ind w:firstLine="567"/>
        <w:rPr>
          <w:lang w:val="en-GB"/>
        </w:rPr>
      </w:pPr>
      <w:r>
        <w:rPr>
          <w:lang w:val="en-GB"/>
        </w:rPr>
        <w:t>a)</w:t>
      </w:r>
      <w:r>
        <w:rPr>
          <w:lang w:val="en-GB"/>
        </w:rPr>
        <w:tab/>
      </w:r>
      <w:r w:rsidR="00A17AFD" w:rsidRPr="00B40729">
        <w:rPr>
          <w:u w:val="single"/>
          <w:lang w:val="en-GB"/>
        </w:rPr>
        <w:t>for steel</w:t>
      </w:r>
      <w:r w:rsidR="00A17AFD" w:rsidRPr="00B40729">
        <w:rPr>
          <w:lang w:val="en-GB"/>
        </w:rPr>
        <w:t xml:space="preserve"> the elongation at fracture, in %, shall not be less than </w:t>
      </w:r>
      <w:r w:rsidR="00197DC5">
        <w:rPr>
          <w:vertAlign w:val="subscript"/>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8.5pt">
            <v:imagedata r:id="rId10" o:title=""/>
          </v:shape>
        </w:pict>
      </w:r>
      <w:r w:rsidR="00A17AFD" w:rsidRPr="00B40729">
        <w:rPr>
          <w:lang w:val="en-GB"/>
        </w:rPr>
        <w:t xml:space="preserve"> with an absolute minimum of 20%; where Rm =</w:t>
      </w:r>
      <w:r w:rsidR="005564E2" w:rsidRPr="00B40729">
        <w:rPr>
          <w:lang w:val="en-GB"/>
        </w:rPr>
        <w:t xml:space="preserve"> </w:t>
      </w:r>
      <w:r w:rsidR="00A17AFD" w:rsidRPr="00B40729">
        <w:rPr>
          <w:lang w:val="en-GB"/>
        </w:rPr>
        <w:t>guaranteed minimum tensile strength of the steel to be used, in N/mm</w:t>
      </w:r>
      <w:r w:rsidR="00A17AFD" w:rsidRPr="00B40729">
        <w:rPr>
          <w:vertAlign w:val="superscript"/>
          <w:lang w:val="en-GB"/>
        </w:rPr>
        <w:t>2</w:t>
      </w:r>
      <w:r w:rsidR="009C5137" w:rsidRPr="00B40729">
        <w:rPr>
          <w:lang w:val="en-GB"/>
        </w:rPr>
        <w:t>, and</w:t>
      </w:r>
    </w:p>
    <w:p w:rsidR="009C5137" w:rsidRPr="00B40729" w:rsidRDefault="00A17AFD" w:rsidP="00347B74">
      <w:pPr>
        <w:pStyle w:val="SingleTxtG"/>
        <w:spacing w:before="120" w:line="240" w:lineRule="auto"/>
        <w:rPr>
          <w:lang w:val="en-GB"/>
        </w:rPr>
      </w:pPr>
      <w:r w:rsidRPr="00B40729">
        <w:rPr>
          <w:lang w:val="en-GB"/>
        </w:rPr>
        <w:t xml:space="preserve">6.5.5.1.6 </w:t>
      </w:r>
      <w:r w:rsidR="009C5137" w:rsidRPr="00B40729">
        <w:rPr>
          <w:i/>
          <w:lang w:val="en-GB"/>
        </w:rPr>
        <w:t>Minimum wall thickness:</w:t>
      </w:r>
    </w:p>
    <w:p w:rsidR="00A17AFD" w:rsidRPr="00B40729" w:rsidRDefault="00347B74" w:rsidP="00347B74">
      <w:pPr>
        <w:pStyle w:val="SingleTxtG"/>
        <w:spacing w:line="240" w:lineRule="auto"/>
        <w:ind w:firstLine="567"/>
        <w:rPr>
          <w:lang w:val="en-GB"/>
        </w:rPr>
      </w:pPr>
      <w:r>
        <w:rPr>
          <w:lang w:val="en-GB"/>
        </w:rPr>
        <w:t>a)</w:t>
      </w:r>
      <w:r>
        <w:rPr>
          <w:lang w:val="en-GB"/>
        </w:rPr>
        <w:tab/>
      </w:r>
      <w:r w:rsidR="00A17AFD" w:rsidRPr="00B40729">
        <w:rPr>
          <w:lang w:val="en-GB"/>
        </w:rPr>
        <w:t xml:space="preserve">for </w:t>
      </w:r>
      <w:r w:rsidR="00A17AFD" w:rsidRPr="00B40729">
        <w:rPr>
          <w:b/>
          <w:u w:val="single"/>
          <w:lang w:val="en-GB"/>
        </w:rPr>
        <w:t>a</w:t>
      </w:r>
      <w:r w:rsidR="00A17AFD" w:rsidRPr="00B40729">
        <w:rPr>
          <w:lang w:val="en-GB"/>
        </w:rPr>
        <w:t xml:space="preserve"> </w:t>
      </w:r>
      <w:r w:rsidR="00A17AFD" w:rsidRPr="00B40729">
        <w:rPr>
          <w:u w:val="single"/>
          <w:lang w:val="en-GB"/>
        </w:rPr>
        <w:t>reference steel</w:t>
      </w:r>
      <w:r w:rsidR="00A17AFD" w:rsidRPr="00B40729">
        <w:rPr>
          <w:lang w:val="en-GB"/>
        </w:rPr>
        <w:t xml:space="preserve"> having a product of Rm </w:t>
      </w:r>
      <w:r w:rsidR="00A17AFD" w:rsidRPr="00B40729">
        <w:rPr>
          <w:lang w:val="en-GB"/>
        </w:rPr>
        <w:sym w:font="Symbol" w:char="00B4"/>
      </w:r>
      <w:r w:rsidR="00A17AFD" w:rsidRPr="00B40729">
        <w:rPr>
          <w:lang w:val="en-GB"/>
        </w:rPr>
        <w:t> A</w:t>
      </w:r>
      <w:r w:rsidR="00A17AFD" w:rsidRPr="00B40729">
        <w:rPr>
          <w:vertAlign w:val="subscript"/>
          <w:lang w:val="en-GB"/>
        </w:rPr>
        <w:t>o</w:t>
      </w:r>
      <w:r w:rsidR="00A17AFD" w:rsidRPr="00B40729">
        <w:rPr>
          <w:lang w:val="en-GB"/>
        </w:rPr>
        <w:t> = 10 000, the wall thickness shall not be less than (...); where:</w:t>
      </w:r>
      <w:r w:rsidR="005564E2" w:rsidRPr="00B40729">
        <w:rPr>
          <w:lang w:val="en-GB"/>
        </w:rPr>
        <w:t xml:space="preserve"> </w:t>
      </w:r>
      <w:r w:rsidR="00A17AFD" w:rsidRPr="00B40729">
        <w:rPr>
          <w:lang w:val="en-GB"/>
        </w:rPr>
        <w:t>A</w:t>
      </w:r>
      <w:r w:rsidR="00A17AFD" w:rsidRPr="00B40729">
        <w:rPr>
          <w:vertAlign w:val="subscript"/>
          <w:lang w:val="en-GB"/>
        </w:rPr>
        <w:t xml:space="preserve">o  </w:t>
      </w:r>
      <w:r w:rsidR="00A17AFD" w:rsidRPr="00B40729">
        <w:rPr>
          <w:lang w:val="en-GB"/>
        </w:rPr>
        <w:t>=</w:t>
      </w:r>
      <w:r w:rsidR="005564E2" w:rsidRPr="00B40729">
        <w:rPr>
          <w:lang w:val="en-GB"/>
        </w:rPr>
        <w:t xml:space="preserve"> </w:t>
      </w:r>
      <w:r w:rsidR="00A17AFD" w:rsidRPr="00B40729">
        <w:rPr>
          <w:lang w:val="en-GB"/>
        </w:rPr>
        <w:t>minimum elongation (as a percentage) of the reference steel to be used on fracture under tensile stress (see 6.5.5.1.5);</w:t>
      </w:r>
    </w:p>
    <w:p w:rsidR="00C24AD1" w:rsidRDefault="002B3EF3" w:rsidP="002F348D">
      <w:pPr>
        <w:pStyle w:val="SingleTxtG"/>
        <w:spacing w:line="240" w:lineRule="auto"/>
        <w:rPr>
          <w:lang w:val="en-GB"/>
        </w:rPr>
      </w:pPr>
      <w:r w:rsidRPr="00B40729">
        <w:rPr>
          <w:lang w:val="en-GB"/>
        </w:rPr>
        <w:t>5</w:t>
      </w:r>
      <w:r w:rsidR="00E76671" w:rsidRPr="00B40729">
        <w:rPr>
          <w:lang w:val="en-GB"/>
        </w:rPr>
        <w:t>.</w:t>
      </w:r>
      <w:r w:rsidR="00E76671" w:rsidRPr="00B40729">
        <w:rPr>
          <w:lang w:val="en-GB"/>
        </w:rPr>
        <w:tab/>
      </w:r>
      <w:r w:rsidR="00C24AD1" w:rsidRPr="00B40729">
        <w:rPr>
          <w:lang w:val="en-GB"/>
        </w:rPr>
        <w:t>It must be said here also that reference steel as defined now is a particular case of mild steel.</w:t>
      </w:r>
    </w:p>
    <w:p w:rsidR="00197DC5" w:rsidRDefault="00C24AD1" w:rsidP="00197DC5">
      <w:pPr>
        <w:pStyle w:val="SingleTxtG"/>
        <w:spacing w:line="240" w:lineRule="auto"/>
        <w:rPr>
          <w:lang w:val="fr-CH"/>
        </w:rPr>
      </w:pPr>
      <w:r>
        <w:rPr>
          <w:lang w:val="en-GB"/>
        </w:rPr>
        <w:t>6.</w:t>
      </w:r>
      <w:r>
        <w:rPr>
          <w:lang w:val="en-GB"/>
        </w:rPr>
        <w:tab/>
      </w:r>
      <w:r w:rsidR="00832E40" w:rsidRPr="00B40729">
        <w:rPr>
          <w:lang w:val="en-GB"/>
        </w:rPr>
        <w:t xml:space="preserve">The proposals </w:t>
      </w:r>
      <w:r w:rsidR="00E76671" w:rsidRPr="00B40729">
        <w:rPr>
          <w:lang w:val="en-GB"/>
        </w:rPr>
        <w:t xml:space="preserve">contained in </w:t>
      </w:r>
      <w:r w:rsidR="00CE43B2" w:rsidRPr="00B40729">
        <w:rPr>
          <w:lang w:val="en-GB"/>
        </w:rPr>
        <w:t>our</w:t>
      </w:r>
      <w:r w:rsidR="00E76671" w:rsidRPr="00B40729">
        <w:rPr>
          <w:lang w:val="en-GB"/>
        </w:rPr>
        <w:t xml:space="preserve"> documents </w:t>
      </w:r>
      <w:r w:rsidR="002F348D">
        <w:rPr>
          <w:lang w:val="en-GB"/>
        </w:rPr>
        <w:t>at</w:t>
      </w:r>
      <w:r w:rsidR="00995497">
        <w:rPr>
          <w:lang w:val="en-GB"/>
        </w:rPr>
        <w:t xml:space="preserve"> the forty-eighth</w:t>
      </w:r>
      <w:r w:rsidR="00CE43B2" w:rsidRPr="00B40729">
        <w:rPr>
          <w:lang w:val="en-GB"/>
        </w:rPr>
        <w:t xml:space="preserve"> session of the SCETDG </w:t>
      </w:r>
      <w:r w:rsidR="00832E40" w:rsidRPr="00B40729">
        <w:rPr>
          <w:lang w:val="en-GB"/>
        </w:rPr>
        <w:t>were:</w:t>
      </w:r>
      <w:r w:rsidR="00197DC5" w:rsidRPr="00197DC5">
        <w:t xml:space="preserve"> </w:t>
      </w:r>
    </w:p>
    <w:p w:rsidR="00197DC5" w:rsidRDefault="00197DC5" w:rsidP="00197DC5">
      <w:pPr>
        <w:pStyle w:val="SingleTxtG"/>
        <w:spacing w:line="240" w:lineRule="auto"/>
        <w:rPr>
          <w:lang w:val="en-GB"/>
        </w:rPr>
      </w:pPr>
      <w:r>
        <w:rPr>
          <w:lang w:val="en-GB"/>
        </w:rPr>
        <w:t>ST/SG/AC.10/C.3/</w:t>
      </w:r>
      <w:r w:rsidRPr="00CD1ACE">
        <w:rPr>
          <w:lang w:val="en-GB"/>
        </w:rPr>
        <w:t>2015/44:</w:t>
      </w:r>
      <w:r>
        <w:rPr>
          <w:lang w:val="en-GB"/>
        </w:rPr>
        <w:t xml:space="preserve"> </w:t>
      </w:r>
    </w:p>
    <w:p w:rsidR="00197DC5" w:rsidRPr="00197DC5" w:rsidRDefault="00197DC5" w:rsidP="00197DC5">
      <w:pPr>
        <w:pStyle w:val="SingleTxtG"/>
        <w:spacing w:line="240" w:lineRule="auto"/>
        <w:ind w:left="1701"/>
        <w:rPr>
          <w:lang w:val="en-GB"/>
        </w:rPr>
      </w:pPr>
      <w:r w:rsidRPr="00197DC5">
        <w:rPr>
          <w:lang w:val="en-GB"/>
        </w:rPr>
        <w:t>Insert the definition “Reference steel” in section 1.2.1, as follows:</w:t>
      </w:r>
      <w:r>
        <w:rPr>
          <w:lang w:val="en-GB"/>
        </w:rPr>
        <w:t xml:space="preserve"> </w:t>
      </w:r>
    </w:p>
    <w:p w:rsidR="00197DC5" w:rsidRPr="00197DC5" w:rsidRDefault="00197DC5" w:rsidP="00197DC5">
      <w:pPr>
        <w:pStyle w:val="SingleTxtG"/>
        <w:spacing w:line="240" w:lineRule="auto"/>
        <w:ind w:left="1701"/>
        <w:rPr>
          <w:lang w:val="en-GB"/>
        </w:rPr>
      </w:pPr>
      <w:r w:rsidRPr="00197DC5">
        <w:rPr>
          <w:lang w:val="en-GB"/>
        </w:rPr>
        <w:t>“Reference steel means a steel with a tensile strength of 370 N/mm2 and an elongation at fracture of 27%;”</w:t>
      </w:r>
    </w:p>
    <w:p w:rsidR="00197DC5" w:rsidRPr="00197DC5" w:rsidRDefault="00197DC5" w:rsidP="00197DC5">
      <w:pPr>
        <w:pStyle w:val="SingleTxtG"/>
        <w:spacing w:line="240" w:lineRule="auto"/>
        <w:ind w:left="1701"/>
        <w:rPr>
          <w:lang w:val="en-GB"/>
        </w:rPr>
      </w:pPr>
      <w:r w:rsidRPr="00197DC5">
        <w:rPr>
          <w:lang w:val="en-GB"/>
        </w:rPr>
        <w:t xml:space="preserve">Note: </w:t>
      </w:r>
      <w:r w:rsidRPr="00197DC5">
        <w:rPr>
          <w:lang w:val="en-GB"/>
        </w:rPr>
        <w:tab/>
        <w:t>For metal IBCs, see 6.5.5.1. and,</w:t>
      </w:r>
    </w:p>
    <w:p w:rsidR="00832E40" w:rsidRDefault="00197DC5" w:rsidP="00197DC5">
      <w:pPr>
        <w:pStyle w:val="SingleTxtG"/>
        <w:spacing w:line="240" w:lineRule="auto"/>
        <w:ind w:left="1701"/>
        <w:rPr>
          <w:lang w:val="en-GB"/>
        </w:rPr>
      </w:pPr>
      <w:r w:rsidRPr="00197DC5">
        <w:rPr>
          <w:lang w:val="en-GB"/>
        </w:rPr>
        <w:t>Delete the definitions of “Reference steel” from 6.7.2.1, 6.7.3.1 and 6.7.4.1.</w:t>
      </w:r>
    </w:p>
    <w:p w:rsidR="00197DC5" w:rsidRDefault="00197DC5" w:rsidP="002F348D">
      <w:pPr>
        <w:pStyle w:val="SingleTxtG"/>
        <w:spacing w:line="240" w:lineRule="auto"/>
        <w:rPr>
          <w:lang w:val="en-GB"/>
        </w:rPr>
      </w:pPr>
      <w:r>
        <w:rPr>
          <w:lang w:val="en-GB"/>
        </w:rPr>
        <w:t>ST/SG/AC.10/C.3/</w:t>
      </w:r>
      <w:r w:rsidRPr="00CD1ACE">
        <w:rPr>
          <w:lang w:val="en-GB"/>
        </w:rPr>
        <w:t>2015/55:</w:t>
      </w:r>
      <w:r>
        <w:rPr>
          <w:lang w:val="en-GB"/>
        </w:rPr>
        <w:t xml:space="preserve"> </w:t>
      </w:r>
    </w:p>
    <w:p w:rsidR="00197DC5" w:rsidRPr="00197DC5" w:rsidRDefault="00197DC5" w:rsidP="00197DC5">
      <w:pPr>
        <w:pStyle w:val="SingleTxtG"/>
        <w:spacing w:line="240" w:lineRule="auto"/>
        <w:ind w:left="1701"/>
        <w:rPr>
          <w:lang w:val="en-GB"/>
        </w:rPr>
      </w:pPr>
      <w:r w:rsidRPr="00197DC5">
        <w:rPr>
          <w:lang w:val="en-GB"/>
        </w:rPr>
        <w:t>Insert the definition “Mild steel” in section 1.2.1, as follows:</w:t>
      </w:r>
    </w:p>
    <w:p w:rsidR="00197DC5" w:rsidRPr="00197DC5" w:rsidRDefault="00197DC5" w:rsidP="00197DC5">
      <w:pPr>
        <w:pStyle w:val="SingleTxtG"/>
        <w:spacing w:line="240" w:lineRule="auto"/>
        <w:ind w:left="1701"/>
        <w:rPr>
          <w:lang w:val="en-GB"/>
        </w:rPr>
      </w:pPr>
      <w:r w:rsidRPr="00197DC5">
        <w:rPr>
          <w:lang w:val="en-GB"/>
        </w:rPr>
        <w:t>"Mild steel means a steel with a minimum tensile strength of 360 N/mm2 to 440 N/mm2";</w:t>
      </w:r>
    </w:p>
    <w:p w:rsidR="00197DC5" w:rsidRPr="00B40729" w:rsidRDefault="00197DC5" w:rsidP="00197DC5">
      <w:pPr>
        <w:pStyle w:val="SingleTxtG"/>
        <w:spacing w:line="240" w:lineRule="auto"/>
        <w:ind w:left="1701"/>
        <w:rPr>
          <w:lang w:val="en-GB"/>
        </w:rPr>
      </w:pPr>
      <w:r w:rsidRPr="00197DC5">
        <w:rPr>
          <w:lang w:val="en-GB"/>
        </w:rPr>
        <w:t>Delete the definitions of “Mild steel” from 6.7.2.1 and 6.7.3.1.</w:t>
      </w:r>
    </w:p>
    <w:p w:rsidR="002B3EF3" w:rsidRPr="00B40729" w:rsidRDefault="00347B74" w:rsidP="00995497">
      <w:pPr>
        <w:pStyle w:val="HChG"/>
        <w:rPr>
          <w:sz w:val="22"/>
        </w:rPr>
      </w:pPr>
      <w:r>
        <w:tab/>
      </w:r>
      <w:r>
        <w:tab/>
      </w:r>
      <w:r w:rsidR="002B3EF3" w:rsidRPr="00B40729">
        <w:t>Reference steel</w:t>
      </w:r>
    </w:p>
    <w:p w:rsidR="001245AF" w:rsidRPr="00B40729" w:rsidRDefault="00C24AD1" w:rsidP="002F348D">
      <w:pPr>
        <w:pStyle w:val="SingleTxtG"/>
        <w:spacing w:before="120" w:line="240" w:lineRule="auto"/>
        <w:rPr>
          <w:lang w:val="en-GB"/>
        </w:rPr>
      </w:pPr>
      <w:r>
        <w:rPr>
          <w:lang w:val="en-GB"/>
        </w:rPr>
        <w:t>7</w:t>
      </w:r>
      <w:r w:rsidR="00832E40" w:rsidRPr="00B40729">
        <w:rPr>
          <w:lang w:val="en-GB"/>
        </w:rPr>
        <w:t>.</w:t>
      </w:r>
      <w:r w:rsidR="00832E40" w:rsidRPr="00B40729">
        <w:rPr>
          <w:lang w:val="en-GB"/>
        </w:rPr>
        <w:tab/>
      </w:r>
      <w:r w:rsidR="001245AF" w:rsidRPr="00B40729">
        <w:rPr>
          <w:lang w:val="en-GB"/>
        </w:rPr>
        <w:t xml:space="preserve">For the </w:t>
      </w:r>
      <w:r w:rsidR="00C033FD" w:rsidRPr="00B40729">
        <w:rPr>
          <w:lang w:val="en-GB"/>
        </w:rPr>
        <w:t xml:space="preserve">defined </w:t>
      </w:r>
      <w:r w:rsidR="001245AF" w:rsidRPr="00B40729">
        <w:rPr>
          <w:lang w:val="en-GB"/>
        </w:rPr>
        <w:t xml:space="preserve">reference steel, the product of the tensile strength </w:t>
      </w:r>
      <w:r w:rsidR="002B3EF3" w:rsidRPr="00B40729">
        <w:rPr>
          <w:lang w:val="en-GB"/>
        </w:rPr>
        <w:t>(</w:t>
      </w:r>
      <w:r w:rsidR="001245AF" w:rsidRPr="00B40729">
        <w:rPr>
          <w:lang w:val="en-GB"/>
        </w:rPr>
        <w:t>370 N/mm</w:t>
      </w:r>
      <w:r w:rsidR="001245AF" w:rsidRPr="00B40729">
        <w:rPr>
          <w:vertAlign w:val="superscript"/>
          <w:lang w:val="en-GB"/>
        </w:rPr>
        <w:t>2</w:t>
      </w:r>
      <w:r w:rsidR="002B3EF3" w:rsidRPr="00B40729">
        <w:rPr>
          <w:lang w:val="en-GB"/>
        </w:rPr>
        <w:t>)</w:t>
      </w:r>
      <w:r w:rsidR="001245AF" w:rsidRPr="00B40729">
        <w:rPr>
          <w:lang w:val="en-GB"/>
        </w:rPr>
        <w:t xml:space="preserve"> and the elongation at fracture </w:t>
      </w:r>
      <w:r w:rsidR="002B3EF3" w:rsidRPr="00B40729">
        <w:rPr>
          <w:lang w:val="en-GB"/>
        </w:rPr>
        <w:t>(</w:t>
      </w:r>
      <w:r w:rsidR="001245AF" w:rsidRPr="00B40729">
        <w:rPr>
          <w:lang w:val="en-GB"/>
        </w:rPr>
        <w:t>27%</w:t>
      </w:r>
      <w:r w:rsidR="002B3EF3" w:rsidRPr="00B40729">
        <w:rPr>
          <w:lang w:val="en-GB"/>
        </w:rPr>
        <w:t>)</w:t>
      </w:r>
      <w:r w:rsidR="00C033FD" w:rsidRPr="00B40729">
        <w:rPr>
          <w:lang w:val="en-GB"/>
        </w:rPr>
        <w:t xml:space="preserve"> </w:t>
      </w:r>
      <w:r w:rsidR="002B3EF3" w:rsidRPr="00B40729">
        <w:rPr>
          <w:lang w:val="en-GB"/>
        </w:rPr>
        <w:t>is equal to 9990 (</w:t>
      </w:r>
      <w:r w:rsidR="00C033FD" w:rsidRPr="00B40729">
        <w:rPr>
          <w:lang w:val="en-GB"/>
        </w:rPr>
        <w:t>370 x 27 = 9990</w:t>
      </w:r>
      <w:r w:rsidR="002B3EF3" w:rsidRPr="00B40729">
        <w:rPr>
          <w:lang w:val="en-GB"/>
        </w:rPr>
        <w:t>)</w:t>
      </w:r>
      <w:r w:rsidR="00C033FD" w:rsidRPr="00B40729">
        <w:rPr>
          <w:lang w:val="en-GB"/>
        </w:rPr>
        <w:t xml:space="preserve"> and differ from the 10000 by 0.1%</w:t>
      </w:r>
      <w:r w:rsidR="002B3EF3" w:rsidRPr="00B40729">
        <w:rPr>
          <w:lang w:val="en-GB"/>
        </w:rPr>
        <w:t>,</w:t>
      </w:r>
      <w:r w:rsidR="00C033FD" w:rsidRPr="00B40729">
        <w:rPr>
          <w:lang w:val="en-GB"/>
        </w:rPr>
        <w:t xml:space="preserve"> which falls within the tolerances (limits of deviation) of any steel characteristics.</w:t>
      </w:r>
    </w:p>
    <w:p w:rsidR="00404792" w:rsidRPr="00B40729" w:rsidRDefault="00C24AD1" w:rsidP="002F348D">
      <w:pPr>
        <w:pStyle w:val="SingleTxtG"/>
        <w:spacing w:before="120" w:line="240" w:lineRule="auto"/>
        <w:rPr>
          <w:lang w:val="en-GB"/>
        </w:rPr>
      </w:pPr>
      <w:r>
        <w:rPr>
          <w:lang w:val="en-GB"/>
        </w:rPr>
        <w:t>8</w:t>
      </w:r>
      <w:r w:rsidR="004D5742" w:rsidRPr="00B40729">
        <w:rPr>
          <w:lang w:val="en-GB"/>
        </w:rPr>
        <w:t>.</w:t>
      </w:r>
      <w:r w:rsidR="004D5742" w:rsidRPr="00B40729">
        <w:rPr>
          <w:lang w:val="en-GB"/>
        </w:rPr>
        <w:tab/>
      </w:r>
      <w:r w:rsidR="00197DC5" w:rsidRPr="00B40729">
        <w:rPr>
          <w:lang w:val="en-GB"/>
        </w:rPr>
        <w:t xml:space="preserve">During the discussions </w:t>
      </w:r>
      <w:r w:rsidR="00197DC5">
        <w:rPr>
          <w:lang w:val="en-GB"/>
        </w:rPr>
        <w:t>the question</w:t>
      </w:r>
      <w:r w:rsidR="00197DC5" w:rsidRPr="00B40729">
        <w:rPr>
          <w:lang w:val="en-GB"/>
        </w:rPr>
        <w:t xml:space="preserve"> whether the definition of reference steel may cover the metal </w:t>
      </w:r>
      <w:r w:rsidR="00197DC5">
        <w:rPr>
          <w:lang w:val="en-GB"/>
        </w:rPr>
        <w:t>IBCs was raised</w:t>
      </w:r>
      <w:r w:rsidR="00197DC5" w:rsidRPr="00B40729">
        <w:rPr>
          <w:lang w:val="en-GB"/>
        </w:rPr>
        <w:t>.</w:t>
      </w:r>
    </w:p>
    <w:p w:rsidR="00AC7E95" w:rsidRPr="00B40729" w:rsidRDefault="00C24AD1" w:rsidP="002F348D">
      <w:pPr>
        <w:pStyle w:val="SingleTxtG"/>
        <w:spacing w:before="120" w:line="240" w:lineRule="auto"/>
        <w:rPr>
          <w:lang w:val="en-GB"/>
        </w:rPr>
      </w:pPr>
      <w:r>
        <w:rPr>
          <w:lang w:val="en-GB"/>
        </w:rPr>
        <w:lastRenderedPageBreak/>
        <w:t>9</w:t>
      </w:r>
      <w:r w:rsidR="00404792" w:rsidRPr="00B40729">
        <w:rPr>
          <w:lang w:val="en-GB"/>
        </w:rPr>
        <w:t>.</w:t>
      </w:r>
      <w:r w:rsidR="00404792" w:rsidRPr="00B40729">
        <w:rPr>
          <w:lang w:val="en-GB"/>
        </w:rPr>
        <w:tab/>
      </w:r>
      <w:r w:rsidR="00197DC5" w:rsidRPr="00B40729">
        <w:rPr>
          <w:lang w:val="en-GB"/>
        </w:rPr>
        <w:t xml:space="preserve">There is a </w:t>
      </w:r>
      <w:r w:rsidR="00197DC5">
        <w:rPr>
          <w:lang w:val="en-GB"/>
        </w:rPr>
        <w:t>difference</w:t>
      </w:r>
      <w:r w:rsidR="00197DC5" w:rsidRPr="00B40729">
        <w:rPr>
          <w:lang w:val="en-GB"/>
        </w:rPr>
        <w:t xml:space="preserve"> here in the fact that in 1.2.1 and 6.7 the reference steel </w:t>
      </w:r>
      <w:r w:rsidR="00197DC5">
        <w:rPr>
          <w:lang w:val="en-GB"/>
        </w:rPr>
        <w:t>is defined as a</w:t>
      </w:r>
      <w:r w:rsidR="00197DC5" w:rsidRPr="00B40729">
        <w:rPr>
          <w:lang w:val="en-GB"/>
        </w:rPr>
        <w:t xml:space="preserve">n unique steel </w:t>
      </w:r>
      <w:r w:rsidR="00197DC5">
        <w:rPr>
          <w:lang w:val="en-GB"/>
        </w:rPr>
        <w:t>while</w:t>
      </w:r>
      <w:r w:rsidR="00197DC5" w:rsidRPr="00B40729">
        <w:rPr>
          <w:lang w:val="en-GB"/>
        </w:rPr>
        <w:t xml:space="preserve"> in 6.5.5.1.6 there is a formula to select </w:t>
      </w:r>
      <w:r w:rsidR="00197DC5" w:rsidRPr="00B40729">
        <w:rPr>
          <w:u w:val="single"/>
          <w:lang w:val="en-GB"/>
        </w:rPr>
        <w:t>a</w:t>
      </w:r>
      <w:r w:rsidR="00197DC5" w:rsidRPr="00B40729">
        <w:rPr>
          <w:lang w:val="en-GB"/>
        </w:rPr>
        <w:t xml:space="preserve"> reference steel </w:t>
      </w:r>
      <w:r w:rsidR="00197DC5">
        <w:rPr>
          <w:lang w:val="en-GB"/>
        </w:rPr>
        <w:t>(</w:t>
      </w:r>
      <w:r w:rsidR="00197DC5" w:rsidRPr="00B40729">
        <w:rPr>
          <w:lang w:val="en-GB"/>
        </w:rPr>
        <w:t>for metal IBCs</w:t>
      </w:r>
      <w:r w:rsidR="00197DC5">
        <w:rPr>
          <w:lang w:val="en-GB"/>
        </w:rPr>
        <w:t>)</w:t>
      </w:r>
      <w:r w:rsidR="00197DC5" w:rsidRPr="00B40729">
        <w:rPr>
          <w:lang w:val="en-GB"/>
        </w:rPr>
        <w:t>.</w:t>
      </w:r>
      <w:r w:rsidR="005564E2" w:rsidRPr="00B40729">
        <w:rPr>
          <w:lang w:val="en-GB"/>
        </w:rPr>
        <w:t xml:space="preserve"> </w:t>
      </w:r>
    </w:p>
    <w:p w:rsidR="00B31A28" w:rsidRPr="00B40729" w:rsidRDefault="00347B74" w:rsidP="00995497">
      <w:pPr>
        <w:pStyle w:val="H1G"/>
      </w:pPr>
      <w:r>
        <w:rPr>
          <w:rFonts w:eastAsia="Calibri"/>
        </w:rPr>
        <w:tab/>
      </w:r>
      <w:r>
        <w:rPr>
          <w:rFonts w:eastAsia="Calibri"/>
        </w:rPr>
        <w:tab/>
      </w:r>
      <w:r w:rsidR="00B31A28" w:rsidRPr="00B40729">
        <w:rPr>
          <w:rFonts w:eastAsia="Calibri"/>
        </w:rPr>
        <w:t>Proposal 1</w:t>
      </w:r>
    </w:p>
    <w:p w:rsidR="00AC7E95" w:rsidRPr="00B40729" w:rsidRDefault="00C24AD1" w:rsidP="002F348D">
      <w:pPr>
        <w:pStyle w:val="SingleTxtG"/>
        <w:spacing w:before="120" w:line="240" w:lineRule="auto"/>
        <w:rPr>
          <w:lang w:val="en-GB"/>
        </w:rPr>
      </w:pPr>
      <w:r>
        <w:rPr>
          <w:lang w:val="en-GB"/>
        </w:rPr>
        <w:t>10</w:t>
      </w:r>
      <w:r w:rsidR="00B31A28" w:rsidRPr="00B40729">
        <w:rPr>
          <w:lang w:val="en-GB"/>
        </w:rPr>
        <w:t>.</w:t>
      </w:r>
      <w:r w:rsidR="00B31A28" w:rsidRPr="00B40729">
        <w:rPr>
          <w:lang w:val="en-GB"/>
        </w:rPr>
        <w:tab/>
      </w:r>
      <w:r w:rsidR="00E4375B" w:rsidRPr="00B40729">
        <w:rPr>
          <w:lang w:val="en-GB"/>
        </w:rPr>
        <w:t xml:space="preserve">Starting from these elements we propose to </w:t>
      </w:r>
      <w:r w:rsidR="005943FA" w:rsidRPr="00B40729">
        <w:rPr>
          <w:lang w:val="en-GB"/>
        </w:rPr>
        <w:t>analyse</w:t>
      </w:r>
      <w:r w:rsidR="00E4375B" w:rsidRPr="00B40729">
        <w:rPr>
          <w:lang w:val="en-GB"/>
        </w:rPr>
        <w:t xml:space="preserve"> the appropriate arrangements in order to extend the definition of reference steel to </w:t>
      </w:r>
      <w:r w:rsidR="005943FA" w:rsidRPr="00B40729">
        <w:rPr>
          <w:lang w:val="en-GB"/>
        </w:rPr>
        <w:t>include</w:t>
      </w:r>
      <w:r w:rsidR="00E4375B" w:rsidRPr="00B40729">
        <w:rPr>
          <w:lang w:val="en-GB"/>
        </w:rPr>
        <w:t xml:space="preserve"> the metal IBCs</w:t>
      </w:r>
      <w:r w:rsidR="00AC7E95" w:rsidRPr="00B40729">
        <w:rPr>
          <w:lang w:val="en-GB"/>
        </w:rPr>
        <w:t xml:space="preserve">. </w:t>
      </w:r>
    </w:p>
    <w:p w:rsidR="00072DE3" w:rsidRPr="00B40729" w:rsidRDefault="00AC7E95" w:rsidP="002F348D">
      <w:pPr>
        <w:pStyle w:val="SingleTxtG"/>
        <w:spacing w:before="120" w:line="240" w:lineRule="auto"/>
        <w:rPr>
          <w:lang w:val="en-GB"/>
        </w:rPr>
      </w:pPr>
      <w:r w:rsidRPr="00B40729">
        <w:rPr>
          <w:lang w:val="en-GB"/>
        </w:rPr>
        <w:t>1</w:t>
      </w:r>
      <w:r w:rsidR="00C24AD1">
        <w:rPr>
          <w:lang w:val="en-GB"/>
        </w:rPr>
        <w:t>1</w:t>
      </w:r>
      <w:r w:rsidRPr="00B40729">
        <w:rPr>
          <w:lang w:val="en-GB"/>
        </w:rPr>
        <w:t>.</w:t>
      </w:r>
      <w:r w:rsidRPr="00B40729">
        <w:rPr>
          <w:lang w:val="en-GB"/>
        </w:rPr>
        <w:tab/>
        <w:t xml:space="preserve">A solution might be to define the reference steel by using the formula of 6.5.5.1.6 with </w:t>
      </w:r>
      <w:r w:rsidR="00113E64" w:rsidRPr="00B40729">
        <w:rPr>
          <w:lang w:val="en-GB"/>
        </w:rPr>
        <w:t xml:space="preserve">the portable tanks case as </w:t>
      </w:r>
      <w:r w:rsidRPr="00B40729">
        <w:rPr>
          <w:lang w:val="en-GB"/>
        </w:rPr>
        <w:t>a particular case.</w:t>
      </w:r>
      <w:r w:rsidR="00072DE3" w:rsidRPr="00B40729">
        <w:rPr>
          <w:lang w:val="en-GB"/>
        </w:rPr>
        <w:t xml:space="preserve"> In this </w:t>
      </w:r>
      <w:r w:rsidR="00113E64" w:rsidRPr="00B40729">
        <w:rPr>
          <w:lang w:val="en-GB"/>
        </w:rPr>
        <w:t>context</w:t>
      </w:r>
      <w:r w:rsidR="00072DE3" w:rsidRPr="00B40729">
        <w:rPr>
          <w:lang w:val="en-GB"/>
        </w:rPr>
        <w:t xml:space="preserve"> the definition </w:t>
      </w:r>
      <w:r w:rsidR="005943FA" w:rsidRPr="00B40729">
        <w:rPr>
          <w:lang w:val="en-GB"/>
        </w:rPr>
        <w:t>may</w:t>
      </w:r>
      <w:r w:rsidR="00072DE3" w:rsidRPr="00B40729">
        <w:rPr>
          <w:lang w:val="en-GB"/>
        </w:rPr>
        <w:t xml:space="preserve"> be:</w:t>
      </w:r>
    </w:p>
    <w:p w:rsidR="00072DE3" w:rsidRPr="00B40729" w:rsidRDefault="00072DE3" w:rsidP="002F348D">
      <w:pPr>
        <w:pStyle w:val="SingleTxtG"/>
        <w:spacing w:before="120" w:line="240" w:lineRule="auto"/>
        <w:rPr>
          <w:lang w:val="en-GB"/>
        </w:rPr>
      </w:pPr>
      <w:r w:rsidRPr="00B40729">
        <w:rPr>
          <w:lang w:val="en-GB"/>
        </w:rPr>
        <w:t>“</w:t>
      </w:r>
      <w:r w:rsidRPr="00B40729">
        <w:rPr>
          <w:i/>
          <w:iCs/>
          <w:lang w:val="en-GB"/>
        </w:rPr>
        <w:t>Reference steel</w:t>
      </w:r>
      <w:r w:rsidR="005943FA" w:rsidRPr="00B40729">
        <w:rPr>
          <w:lang w:val="en-GB"/>
        </w:rPr>
        <w:t>”</w:t>
      </w:r>
      <w:r w:rsidRPr="00B40729">
        <w:rPr>
          <w:i/>
          <w:iCs/>
          <w:lang w:val="en-GB"/>
        </w:rPr>
        <w:t xml:space="preserve"> </w:t>
      </w:r>
      <w:r w:rsidRPr="00B40729">
        <w:rPr>
          <w:lang w:val="en-GB"/>
        </w:rPr>
        <w:t>means a steel for which the product of the tensile strength (in N/mm</w:t>
      </w:r>
      <w:r w:rsidRPr="00B40729">
        <w:rPr>
          <w:vertAlign w:val="superscript"/>
          <w:lang w:val="en-GB"/>
        </w:rPr>
        <w:t>2</w:t>
      </w:r>
      <w:r w:rsidRPr="00B40729">
        <w:rPr>
          <w:lang w:val="en-GB"/>
        </w:rPr>
        <w:t xml:space="preserve">) and the elongation at fracture (in %) is equal to 10 000. For portable tanks </w:t>
      </w:r>
      <w:r w:rsidR="005943FA" w:rsidRPr="00B40729">
        <w:rPr>
          <w:i/>
          <w:lang w:val="en-GB"/>
        </w:rPr>
        <w:t>reference steel</w:t>
      </w:r>
      <w:r w:rsidR="005943FA" w:rsidRPr="00B40729">
        <w:rPr>
          <w:lang w:val="en-GB"/>
        </w:rPr>
        <w:t xml:space="preserve"> means a steel </w:t>
      </w:r>
      <w:r w:rsidRPr="00B40729">
        <w:rPr>
          <w:lang w:val="en-GB"/>
        </w:rPr>
        <w:t>with a tensile strength of 370 N/mm</w:t>
      </w:r>
      <w:r w:rsidRPr="00B40729">
        <w:rPr>
          <w:vertAlign w:val="superscript"/>
          <w:lang w:val="en-GB"/>
        </w:rPr>
        <w:t>2</w:t>
      </w:r>
      <w:r w:rsidRPr="00B40729">
        <w:rPr>
          <w:lang w:val="en-GB"/>
        </w:rPr>
        <w:t xml:space="preserve"> and an elongation at fracture of 27%;</w:t>
      </w:r>
    </w:p>
    <w:p w:rsidR="00AC7E95" w:rsidRPr="00B40729" w:rsidRDefault="00347B74" w:rsidP="00995497">
      <w:pPr>
        <w:pStyle w:val="HChG"/>
      </w:pPr>
      <w:r>
        <w:tab/>
      </w:r>
      <w:r>
        <w:tab/>
      </w:r>
      <w:r w:rsidR="00AC7E95" w:rsidRPr="00B40729">
        <w:t>Mild steel</w:t>
      </w:r>
      <w:r w:rsidR="00B31A28" w:rsidRPr="00B40729">
        <w:tab/>
      </w:r>
    </w:p>
    <w:p w:rsidR="001B0DF0" w:rsidRPr="00B40729" w:rsidRDefault="00AC7E95" w:rsidP="002F348D">
      <w:pPr>
        <w:pStyle w:val="SingleTxtG"/>
        <w:spacing w:before="120" w:line="240" w:lineRule="auto"/>
        <w:rPr>
          <w:lang w:val="en-GB"/>
        </w:rPr>
      </w:pPr>
      <w:r w:rsidRPr="00B40729">
        <w:rPr>
          <w:lang w:val="en-GB"/>
        </w:rPr>
        <w:t>1</w:t>
      </w:r>
      <w:r w:rsidR="00C24AD1">
        <w:rPr>
          <w:lang w:val="en-GB"/>
        </w:rPr>
        <w:t>2</w:t>
      </w:r>
      <w:r w:rsidRPr="00B40729">
        <w:rPr>
          <w:lang w:val="en-GB"/>
        </w:rPr>
        <w:t>.</w:t>
      </w:r>
      <w:r w:rsidRPr="00B40729">
        <w:rPr>
          <w:lang w:val="en-GB"/>
        </w:rPr>
        <w:tab/>
      </w:r>
      <w:r w:rsidR="00197DC5">
        <w:rPr>
          <w:lang w:val="en-GB"/>
        </w:rPr>
        <w:t>An</w:t>
      </w:r>
      <w:r w:rsidR="00197DC5" w:rsidRPr="00B40729">
        <w:rPr>
          <w:lang w:val="en-GB"/>
        </w:rPr>
        <w:t xml:space="preserve"> expert attending the </w:t>
      </w:r>
      <w:r w:rsidR="00197DC5">
        <w:rPr>
          <w:lang w:val="en-GB"/>
        </w:rPr>
        <w:t>forty-eighth</w:t>
      </w:r>
      <w:r w:rsidR="00197DC5" w:rsidRPr="00B40729">
        <w:rPr>
          <w:lang w:val="en-GB"/>
        </w:rPr>
        <w:t xml:space="preserve"> session of the SCETDG expressed the </w:t>
      </w:r>
      <w:r w:rsidR="00197DC5">
        <w:rPr>
          <w:lang w:val="en-GB"/>
        </w:rPr>
        <w:t>opinion to kee</w:t>
      </w:r>
      <w:r w:rsidR="00197DC5" w:rsidRPr="00B40729">
        <w:rPr>
          <w:lang w:val="en-GB"/>
        </w:rPr>
        <w:t xml:space="preserve">p the terms </w:t>
      </w:r>
      <w:r w:rsidR="00197DC5">
        <w:rPr>
          <w:lang w:val="en-GB"/>
        </w:rPr>
        <w:t xml:space="preserve">used to define mild steel </w:t>
      </w:r>
      <w:r w:rsidR="00197DC5" w:rsidRPr="00B40729">
        <w:rPr>
          <w:lang w:val="en-GB"/>
        </w:rPr>
        <w:t>in Chapter 6.7</w:t>
      </w:r>
      <w:r w:rsidR="00197DC5">
        <w:rPr>
          <w:lang w:val="en-GB"/>
        </w:rPr>
        <w:t xml:space="preserve">: </w:t>
      </w:r>
      <w:r w:rsidR="00197DC5" w:rsidRPr="00B40729">
        <w:rPr>
          <w:lang w:val="en-GB"/>
        </w:rPr>
        <w:t>“</w:t>
      </w:r>
      <w:r w:rsidR="00197DC5" w:rsidRPr="00B40729">
        <w:rPr>
          <w:i/>
          <w:u w:val="single"/>
          <w:lang w:val="en-GB"/>
        </w:rPr>
        <w:t>guaranteed minimum</w:t>
      </w:r>
      <w:r w:rsidR="00197DC5" w:rsidRPr="00B40729">
        <w:rPr>
          <w:i/>
          <w:lang w:val="en-GB"/>
        </w:rPr>
        <w:t xml:space="preserve"> tensile strength</w:t>
      </w:r>
      <w:r w:rsidR="00197DC5" w:rsidRPr="00B40729">
        <w:rPr>
          <w:lang w:val="en-GB"/>
        </w:rPr>
        <w:t>” and “</w:t>
      </w:r>
      <w:r w:rsidR="00197DC5" w:rsidRPr="00B40729">
        <w:rPr>
          <w:u w:val="single"/>
          <w:lang w:val="en-GB"/>
        </w:rPr>
        <w:t>g</w:t>
      </w:r>
      <w:r w:rsidR="00197DC5" w:rsidRPr="00B40729">
        <w:rPr>
          <w:i/>
          <w:u w:val="single"/>
          <w:lang w:val="en-GB"/>
        </w:rPr>
        <w:t>uaranteed minimum</w:t>
      </w:r>
      <w:r w:rsidR="00197DC5" w:rsidRPr="00B40729">
        <w:rPr>
          <w:i/>
          <w:lang w:val="en-GB"/>
        </w:rPr>
        <w:t xml:space="preserve"> elongation at fractur</w:t>
      </w:r>
      <w:r w:rsidR="00197DC5" w:rsidRPr="00B40729">
        <w:rPr>
          <w:lang w:val="en-GB"/>
        </w:rPr>
        <w:t>e”.</w:t>
      </w:r>
    </w:p>
    <w:p w:rsidR="00AC7E95" w:rsidRPr="00B40729" w:rsidRDefault="00B40729" w:rsidP="002F348D">
      <w:pPr>
        <w:pStyle w:val="SingleTxtG"/>
        <w:spacing w:before="120" w:line="240" w:lineRule="auto"/>
        <w:rPr>
          <w:lang w:val="en-GB"/>
        </w:rPr>
      </w:pPr>
      <w:r w:rsidRPr="00B40729">
        <w:rPr>
          <w:lang w:val="en-GB"/>
        </w:rPr>
        <w:t>1</w:t>
      </w:r>
      <w:r w:rsidR="00C24AD1">
        <w:rPr>
          <w:lang w:val="en-GB"/>
        </w:rPr>
        <w:t>3</w:t>
      </w:r>
      <w:r w:rsidRPr="00B40729">
        <w:rPr>
          <w:lang w:val="en-GB"/>
        </w:rPr>
        <w:t>.</w:t>
      </w:r>
      <w:r w:rsidRPr="00B40729">
        <w:rPr>
          <w:lang w:val="en-GB"/>
        </w:rPr>
        <w:tab/>
      </w:r>
      <w:r>
        <w:rPr>
          <w:lang w:val="en-GB"/>
        </w:rPr>
        <w:t xml:space="preserve">The analysis of the </w:t>
      </w:r>
      <w:r w:rsidR="006E4BF5" w:rsidRPr="00B40729">
        <w:rPr>
          <w:i/>
          <w:lang w:val="en-GB"/>
        </w:rPr>
        <w:t>mild steel</w:t>
      </w:r>
      <w:r w:rsidR="006E4BF5" w:rsidRPr="00B40729">
        <w:rPr>
          <w:lang w:val="en-GB"/>
        </w:rPr>
        <w:t xml:space="preserve"> definition </w:t>
      </w:r>
      <w:r w:rsidR="00995497">
        <w:rPr>
          <w:lang w:val="en-GB"/>
        </w:rPr>
        <w:t>should</w:t>
      </w:r>
      <w:r w:rsidR="006E4BF5" w:rsidRPr="00B40729">
        <w:rPr>
          <w:lang w:val="en-GB"/>
        </w:rPr>
        <w:t xml:space="preserve"> </w:t>
      </w:r>
      <w:r w:rsidR="00995497" w:rsidRPr="00B40729">
        <w:rPr>
          <w:lang w:val="en-GB"/>
        </w:rPr>
        <w:t xml:space="preserve">also </w:t>
      </w:r>
      <w:r w:rsidR="006E4BF5" w:rsidRPr="00B40729">
        <w:rPr>
          <w:lang w:val="en-GB"/>
        </w:rPr>
        <w:t>include the</w:t>
      </w:r>
      <w:r w:rsidR="001B0DF0" w:rsidRPr="00B40729">
        <w:rPr>
          <w:lang w:val="en-GB"/>
        </w:rPr>
        <w:t xml:space="preserve"> differences </w:t>
      </w:r>
      <w:r w:rsidR="006E4BF5" w:rsidRPr="00B40729">
        <w:rPr>
          <w:lang w:val="en-GB"/>
        </w:rPr>
        <w:t xml:space="preserve">of the limits of the tensile strength used in the various definitions (section 1.2.1, Chapter 6.7 and Chapter 6.8). </w:t>
      </w:r>
    </w:p>
    <w:p w:rsidR="00113E64" w:rsidRDefault="00113E64" w:rsidP="002F348D">
      <w:pPr>
        <w:pStyle w:val="SingleTxtG"/>
        <w:spacing w:before="120" w:line="240" w:lineRule="auto"/>
        <w:rPr>
          <w:lang w:val="en-GB"/>
        </w:rPr>
      </w:pPr>
      <w:r w:rsidRPr="00B40729">
        <w:rPr>
          <w:lang w:val="en-GB"/>
        </w:rPr>
        <w:t>1</w:t>
      </w:r>
      <w:r w:rsidR="00C24AD1">
        <w:rPr>
          <w:lang w:val="en-GB"/>
        </w:rPr>
        <w:t>4</w:t>
      </w:r>
      <w:r w:rsidRPr="00B40729">
        <w:rPr>
          <w:lang w:val="en-GB"/>
        </w:rPr>
        <w:t>.</w:t>
      </w:r>
      <w:r w:rsidRPr="00B40729">
        <w:rPr>
          <w:lang w:val="en-GB"/>
        </w:rPr>
        <w:tab/>
        <w:t xml:space="preserve">The use of a reference to a paragraph in a definition as it is </w:t>
      </w:r>
      <w:r w:rsidR="004A2ADE">
        <w:rPr>
          <w:lang w:val="en-GB"/>
        </w:rPr>
        <w:t xml:space="preserve">used in the </w:t>
      </w:r>
      <w:r w:rsidRPr="00B40729">
        <w:rPr>
          <w:lang w:val="en-GB"/>
        </w:rPr>
        <w:t>defin</w:t>
      </w:r>
      <w:r w:rsidR="004A2ADE">
        <w:rPr>
          <w:lang w:val="en-GB"/>
        </w:rPr>
        <w:t xml:space="preserve">ition of </w:t>
      </w:r>
      <w:r w:rsidRPr="00B40729">
        <w:rPr>
          <w:lang w:val="en-GB"/>
        </w:rPr>
        <w:t xml:space="preserve"> </w:t>
      </w:r>
      <w:r w:rsidRPr="00B40729">
        <w:rPr>
          <w:i/>
          <w:lang w:val="en-GB"/>
        </w:rPr>
        <w:t>mild steel</w:t>
      </w:r>
      <w:r w:rsidRPr="00B40729">
        <w:rPr>
          <w:lang w:val="en-GB"/>
        </w:rPr>
        <w:t xml:space="preserve"> in Chapters 6.7 and 6.8 is not </w:t>
      </w:r>
      <w:r w:rsidR="00995497">
        <w:rPr>
          <w:lang w:val="en-GB"/>
        </w:rPr>
        <w:t>completely correct</w:t>
      </w:r>
      <w:r w:rsidRPr="00B40729">
        <w:rPr>
          <w:lang w:val="en-GB"/>
        </w:rPr>
        <w:t xml:space="preserve"> (e.g. 6.7.</w:t>
      </w:r>
      <w:r w:rsidRPr="00B40729">
        <w:rPr>
          <w:u w:val="single"/>
          <w:lang w:val="en-GB"/>
        </w:rPr>
        <w:t>2</w:t>
      </w:r>
      <w:r w:rsidRPr="00B40729">
        <w:rPr>
          <w:lang w:val="en-GB"/>
        </w:rPr>
        <w:t>.3.3.3, 6.7.</w:t>
      </w:r>
      <w:r w:rsidRPr="00B40729">
        <w:rPr>
          <w:u w:val="single"/>
          <w:lang w:val="en-GB"/>
        </w:rPr>
        <w:t>3</w:t>
      </w:r>
      <w:r w:rsidRPr="00B40729">
        <w:rPr>
          <w:lang w:val="en-GB"/>
        </w:rPr>
        <w:t>.3.3.3 or 6.8.2.1.12).</w:t>
      </w:r>
    </w:p>
    <w:p w:rsidR="00197DC5" w:rsidRPr="00197DC5" w:rsidRDefault="00197DC5" w:rsidP="00197DC5">
      <w:pPr>
        <w:pStyle w:val="HChG"/>
        <w:rPr>
          <w:lang w:val="en-GB"/>
        </w:rPr>
      </w:pPr>
      <w:r>
        <w:rPr>
          <w:lang w:val="fr-CH"/>
        </w:rPr>
        <w:tab/>
      </w:r>
      <w:r>
        <w:rPr>
          <w:lang w:val="fr-CH"/>
        </w:rPr>
        <w:tab/>
      </w:r>
      <w:r w:rsidRPr="00197DC5">
        <w:rPr>
          <w:lang w:val="en-GB"/>
        </w:rPr>
        <w:t xml:space="preserve">Implications of defining mild steel for the tests of </w:t>
      </w:r>
      <w:r>
        <w:rPr>
          <w:lang w:val="en-GB"/>
        </w:rPr>
        <w:t>C</w:t>
      </w:r>
      <w:r w:rsidRPr="00197DC5">
        <w:rPr>
          <w:lang w:val="en-GB"/>
        </w:rPr>
        <w:t>lass 7</w:t>
      </w:r>
    </w:p>
    <w:p w:rsidR="00197DC5" w:rsidRPr="00B40729" w:rsidRDefault="00197DC5" w:rsidP="00197DC5">
      <w:pPr>
        <w:pStyle w:val="SingleTxtG"/>
        <w:spacing w:before="120" w:line="240" w:lineRule="auto"/>
        <w:rPr>
          <w:lang w:val="en-GB"/>
        </w:rPr>
      </w:pPr>
      <w:r>
        <w:rPr>
          <w:lang w:val="en-GB"/>
        </w:rPr>
        <w:t>15.</w:t>
      </w:r>
      <w:r>
        <w:rPr>
          <w:lang w:val="en-GB"/>
        </w:rPr>
        <w:tab/>
        <w:t>Another issue considered by the experts was the one of the consequences of the application of the mild steel definition in the Class 7 tests (</w:t>
      </w:r>
      <w:r w:rsidRPr="00EE6DCE">
        <w:rPr>
          <w:lang w:val="en-GB"/>
        </w:rPr>
        <w:t>2.2.7.2.3.3.5</w:t>
      </w:r>
      <w:r>
        <w:rPr>
          <w:lang w:val="en-GB"/>
        </w:rPr>
        <w:t xml:space="preserve">, </w:t>
      </w:r>
      <w:r w:rsidRPr="00EE6DCE">
        <w:rPr>
          <w:lang w:val="en-GB"/>
        </w:rPr>
        <w:t>6.4.17.2</w:t>
      </w:r>
      <w:r>
        <w:rPr>
          <w:lang w:val="en-GB"/>
        </w:rPr>
        <w:t xml:space="preserve"> and 6.4.20.2) where: </w:t>
      </w:r>
      <w:r w:rsidRPr="004842E4">
        <w:rPr>
          <w:lang w:val="en-GB"/>
        </w:rPr>
        <w:t xml:space="preserve">the steel plate falling from 9 meters or the probe falling from 3 meters over the specimen and the cylindrical bar which strike the specimen or </w:t>
      </w:r>
      <w:r>
        <w:rPr>
          <w:lang w:val="en-GB"/>
        </w:rPr>
        <w:t>is</w:t>
      </w:r>
      <w:r w:rsidRPr="004842E4">
        <w:rPr>
          <w:lang w:val="en-GB"/>
        </w:rPr>
        <w:t xml:space="preserve"> drop onto the specimen, are made of mild steel</w:t>
      </w:r>
      <w:r>
        <w:rPr>
          <w:lang w:val="en-GB"/>
        </w:rPr>
        <w:t>.</w:t>
      </w:r>
    </w:p>
    <w:p w:rsidR="00197DC5" w:rsidRDefault="00197DC5" w:rsidP="00197DC5">
      <w:pPr>
        <w:spacing w:before="120" w:after="120" w:line="240" w:lineRule="auto"/>
        <w:ind w:left="1134" w:right="1134"/>
        <w:jc w:val="both"/>
      </w:pPr>
      <w:r>
        <w:t>16.</w:t>
      </w:r>
      <w:r>
        <w:tab/>
        <w:t xml:space="preserve">In our understanding the mild steel tools (plates and bars), used for the tests described in paragraph 2.2.7.2.3.3.5 and sections 6.4.17 and 6.4.20, </w:t>
      </w:r>
      <w:r w:rsidRPr="00C87A62">
        <w:t>must be primarily solid</w:t>
      </w:r>
      <w:r>
        <w:t xml:space="preserve">. </w:t>
      </w:r>
      <w:r w:rsidRPr="0069138E">
        <w:t xml:space="preserve">This point of view will be </w:t>
      </w:r>
      <w:r>
        <w:t>communicated</w:t>
      </w:r>
      <w:r w:rsidRPr="0069138E">
        <w:t xml:space="preserve"> to the </w:t>
      </w:r>
      <w:r w:rsidRPr="00B40729">
        <w:t>Sub-Committee of Experts on the Transport of Dangerous Goods</w:t>
      </w:r>
      <w:r>
        <w:t>.</w:t>
      </w:r>
    </w:p>
    <w:p w:rsidR="00197DC5" w:rsidRDefault="00197DC5" w:rsidP="00197DC5">
      <w:pPr>
        <w:spacing w:before="120" w:after="120" w:line="240" w:lineRule="auto"/>
        <w:ind w:left="1134" w:right="1134"/>
        <w:jc w:val="both"/>
      </w:pPr>
      <w:r>
        <w:t>We included in the analyses the provisions of the Regulations for the Safe Transport of Radioactive Material - 2012 Edition – SSR-6 supplemented by a hierarchy of Safety Guides, including:</w:t>
      </w:r>
    </w:p>
    <w:p w:rsidR="00197DC5" w:rsidRDefault="00197DC5" w:rsidP="00197DC5">
      <w:pPr>
        <w:numPr>
          <w:ilvl w:val="0"/>
          <w:numId w:val="31"/>
        </w:numPr>
        <w:spacing w:before="120" w:after="120" w:line="240" w:lineRule="auto"/>
        <w:ind w:left="1418" w:right="1134" w:hanging="284"/>
        <w:jc w:val="both"/>
      </w:pPr>
      <w:r>
        <w:t>Advisory Material for the IAEA Regulations for the Safe Transport of Radioactive Material, IAEA Safety Standards Series No. TS-G-1.1 (Rev. 1);</w:t>
      </w:r>
    </w:p>
    <w:p w:rsidR="00197DC5" w:rsidRDefault="00197DC5" w:rsidP="00197DC5">
      <w:pPr>
        <w:numPr>
          <w:ilvl w:val="0"/>
          <w:numId w:val="31"/>
        </w:numPr>
        <w:spacing w:before="120" w:after="120" w:line="240" w:lineRule="auto"/>
        <w:ind w:left="1418" w:right="1134" w:hanging="284"/>
        <w:jc w:val="both"/>
      </w:pPr>
      <w:r>
        <w:t>Planning and Preparing for Emergency Response to Transport Accidents Involving Radioactive Material, IAEA Safety Standards Series No. TS-G-1.2 (ST-3);</w:t>
      </w:r>
    </w:p>
    <w:p w:rsidR="00197DC5" w:rsidRDefault="00197DC5" w:rsidP="00197DC5">
      <w:pPr>
        <w:numPr>
          <w:ilvl w:val="0"/>
          <w:numId w:val="31"/>
        </w:numPr>
        <w:spacing w:before="120" w:after="120" w:line="240" w:lineRule="auto"/>
        <w:ind w:left="1418" w:right="1134" w:hanging="284"/>
        <w:jc w:val="both"/>
      </w:pPr>
      <w:r>
        <w:t>Compliance Assurance for the Safe Transport of Radioactive Material, IAEA Safety Standards Series No. TS-G-1.5;</w:t>
      </w:r>
    </w:p>
    <w:p w:rsidR="00197DC5" w:rsidRDefault="00197DC5" w:rsidP="00197DC5">
      <w:pPr>
        <w:numPr>
          <w:ilvl w:val="0"/>
          <w:numId w:val="31"/>
        </w:numPr>
        <w:spacing w:before="120" w:after="120" w:line="240" w:lineRule="auto"/>
        <w:ind w:left="1418" w:right="1134" w:hanging="284"/>
        <w:jc w:val="both"/>
      </w:pPr>
      <w:r>
        <w:t>The Management System for the Safe Transport of Radioactive Material, IAEA Safety Standards Series No. TS-G-1.4; and</w:t>
      </w:r>
    </w:p>
    <w:p w:rsidR="00197DC5" w:rsidRDefault="00197DC5" w:rsidP="00197DC5">
      <w:pPr>
        <w:pStyle w:val="SingleTxtG"/>
        <w:spacing w:before="120" w:line="240" w:lineRule="auto"/>
        <w:rPr>
          <w:rFonts w:eastAsia="Calibri"/>
          <w:b/>
          <w:sz w:val="28"/>
          <w:lang w:val="en-GB"/>
        </w:rPr>
      </w:pPr>
      <w:r>
        <w:t>Radiation Protection Programmes for the Transport of Radioactive Material, IAEA Safety Standards Series No. TS-G-1.3.</w:t>
      </w:r>
    </w:p>
    <w:p w:rsidR="00197DC5" w:rsidRPr="00197DC5" w:rsidRDefault="00197DC5" w:rsidP="00197DC5">
      <w:pPr>
        <w:pStyle w:val="H1G"/>
        <w:rPr>
          <w:rFonts w:eastAsia="Calibri"/>
        </w:rPr>
      </w:pPr>
      <w:r>
        <w:rPr>
          <w:rFonts w:eastAsia="Calibri"/>
        </w:rPr>
        <w:tab/>
      </w:r>
      <w:r>
        <w:rPr>
          <w:rFonts w:eastAsia="Calibri"/>
        </w:rPr>
        <w:tab/>
      </w:r>
      <w:r w:rsidRPr="00197DC5">
        <w:rPr>
          <w:rFonts w:eastAsia="Calibri"/>
        </w:rPr>
        <w:t>Proposal 2</w:t>
      </w:r>
    </w:p>
    <w:p w:rsidR="00197DC5" w:rsidRDefault="00197DC5" w:rsidP="00197DC5">
      <w:pPr>
        <w:pStyle w:val="HChG"/>
        <w:tabs>
          <w:tab w:val="clear" w:pos="851"/>
        </w:tabs>
        <w:spacing w:before="120" w:after="120" w:line="240" w:lineRule="auto"/>
        <w:ind w:firstLine="0"/>
        <w:jc w:val="both"/>
        <w:rPr>
          <w:b w:val="0"/>
          <w:sz w:val="20"/>
          <w:lang w:val="en-GB"/>
        </w:rPr>
      </w:pPr>
      <w:r w:rsidRPr="00B40729">
        <w:rPr>
          <w:b w:val="0"/>
          <w:sz w:val="20"/>
          <w:lang w:val="en-GB"/>
        </w:rPr>
        <w:t>1</w:t>
      </w:r>
      <w:r>
        <w:rPr>
          <w:b w:val="0"/>
          <w:sz w:val="20"/>
          <w:lang w:val="en-GB"/>
        </w:rPr>
        <w:t>7</w:t>
      </w:r>
      <w:r w:rsidRPr="00B40729">
        <w:rPr>
          <w:b w:val="0"/>
          <w:sz w:val="20"/>
          <w:lang w:val="en-GB"/>
        </w:rPr>
        <w:t>.</w:t>
      </w:r>
      <w:r w:rsidRPr="00B40729">
        <w:rPr>
          <w:b w:val="0"/>
          <w:lang w:val="en-GB"/>
        </w:rPr>
        <w:tab/>
      </w:r>
      <w:r w:rsidRPr="001F3851">
        <w:rPr>
          <w:b w:val="0"/>
          <w:sz w:val="20"/>
          <w:lang w:val="en-GB"/>
        </w:rPr>
        <w:t>In order to improve the definition of mild steel, we</w:t>
      </w:r>
      <w:r>
        <w:rPr>
          <w:b w:val="0"/>
          <w:sz w:val="20"/>
          <w:lang w:val="en-GB"/>
        </w:rPr>
        <w:t xml:space="preserve"> propose to</w:t>
      </w:r>
      <w:r w:rsidRPr="00B40729">
        <w:rPr>
          <w:b w:val="0"/>
          <w:sz w:val="20"/>
          <w:lang w:val="en-GB"/>
        </w:rPr>
        <w:t xml:space="preserve"> analyse whether</w:t>
      </w:r>
      <w:r>
        <w:rPr>
          <w:b w:val="0"/>
          <w:sz w:val="20"/>
          <w:lang w:val="en-GB"/>
        </w:rPr>
        <w:t>:</w:t>
      </w:r>
    </w:p>
    <w:p w:rsidR="00197DC5" w:rsidRDefault="00197DC5" w:rsidP="00197DC5">
      <w:pPr>
        <w:pStyle w:val="HChG"/>
        <w:spacing w:before="120" w:after="120" w:line="240" w:lineRule="auto"/>
        <w:ind w:firstLine="0"/>
        <w:jc w:val="both"/>
        <w:rPr>
          <w:b w:val="0"/>
          <w:sz w:val="20"/>
          <w:lang w:val="en-GB"/>
        </w:rPr>
      </w:pPr>
      <w:r>
        <w:rPr>
          <w:b w:val="0"/>
          <w:sz w:val="20"/>
          <w:lang w:val="en-GB"/>
        </w:rPr>
        <w:tab/>
        <w:t>-</w:t>
      </w:r>
      <w:r w:rsidRPr="00B40729">
        <w:rPr>
          <w:b w:val="0"/>
          <w:sz w:val="20"/>
          <w:lang w:val="en-GB"/>
        </w:rPr>
        <w:t xml:space="preserve"> the limits of the tensile strength of </w:t>
      </w:r>
      <w:r>
        <w:rPr>
          <w:b w:val="0"/>
          <w:sz w:val="20"/>
          <w:lang w:val="en-GB"/>
        </w:rPr>
        <w:t xml:space="preserve">the </w:t>
      </w:r>
      <w:r w:rsidRPr="00B40729">
        <w:rPr>
          <w:b w:val="0"/>
          <w:sz w:val="20"/>
          <w:lang w:val="en-GB"/>
        </w:rPr>
        <w:t>mild steel cover</w:t>
      </w:r>
      <w:r>
        <w:rPr>
          <w:b w:val="0"/>
          <w:sz w:val="20"/>
          <w:lang w:val="en-GB"/>
        </w:rPr>
        <w:t>s</w:t>
      </w:r>
      <w:r w:rsidRPr="00B40729">
        <w:rPr>
          <w:b w:val="0"/>
          <w:sz w:val="20"/>
          <w:lang w:val="en-GB"/>
        </w:rPr>
        <w:t xml:space="preserve"> the provisions of the Chapters 2.7, 6.4, 6.7 and 6.8 of RID/ADR</w:t>
      </w:r>
      <w:r>
        <w:rPr>
          <w:b w:val="0"/>
          <w:sz w:val="20"/>
          <w:lang w:val="en-GB"/>
        </w:rPr>
        <w:t>;</w:t>
      </w:r>
    </w:p>
    <w:p w:rsidR="00197DC5" w:rsidRDefault="00197DC5" w:rsidP="00197DC5">
      <w:pPr>
        <w:spacing w:before="120" w:after="120" w:line="240" w:lineRule="auto"/>
        <w:ind w:left="1134" w:right="1134"/>
        <w:jc w:val="both"/>
      </w:pPr>
      <w:r>
        <w:tab/>
        <w:t xml:space="preserve">- the </w:t>
      </w:r>
      <w:r w:rsidRPr="00B40729">
        <w:t xml:space="preserve">second part of the definition </w:t>
      </w:r>
      <w:r>
        <w:t xml:space="preserve">of 6.7 </w:t>
      </w:r>
      <w:r w:rsidRPr="00B40729">
        <w:t xml:space="preserve">is important to be included or </w:t>
      </w:r>
      <w:r>
        <w:t xml:space="preserve">may </w:t>
      </w:r>
      <w:r w:rsidRPr="00B40729">
        <w:t>remain as independent provision</w:t>
      </w:r>
      <w:r>
        <w:t xml:space="preserve"> where necessary,</w:t>
      </w:r>
    </w:p>
    <w:p w:rsidR="00197DC5" w:rsidRPr="0040573B" w:rsidRDefault="00197DC5" w:rsidP="00197DC5">
      <w:pPr>
        <w:spacing w:before="120" w:after="120" w:line="240" w:lineRule="auto"/>
        <w:ind w:left="1134" w:right="1134"/>
        <w:jc w:val="both"/>
      </w:pPr>
      <w:r>
        <w:tab/>
        <w:t xml:space="preserve">- the various </w:t>
      </w:r>
      <w:r w:rsidRPr="008415CC">
        <w:rPr>
          <w:i/>
        </w:rPr>
        <w:t>tensile strengths</w:t>
      </w:r>
      <w:r w:rsidRPr="008415CC">
        <w:t xml:space="preserve"> and </w:t>
      </w:r>
      <w:r w:rsidRPr="008415CC">
        <w:rPr>
          <w:i/>
        </w:rPr>
        <w:t>elongations at fracture</w:t>
      </w:r>
      <w:r>
        <w:t xml:space="preserve"> </w:t>
      </w:r>
      <w:r w:rsidRPr="00875300">
        <w:t>might</w:t>
      </w:r>
      <w:r>
        <w:t xml:space="preserve"> be covered by generic terms (e.g. in </w:t>
      </w:r>
      <w:r w:rsidRPr="00BA2EDB">
        <w:t>6.8.2.1.12</w:t>
      </w:r>
      <w:r>
        <w:t xml:space="preserve"> is used the term </w:t>
      </w:r>
      <w:r w:rsidRPr="00BA2EDB">
        <w:rPr>
          <w:i/>
        </w:rPr>
        <w:t>determined tensile strength</w:t>
      </w:r>
      <w:r>
        <w:t>).</w:t>
      </w:r>
    </w:p>
    <w:p w:rsidR="00977AD9" w:rsidRPr="00B40729" w:rsidRDefault="00977AD9" w:rsidP="00977AD9">
      <w:pPr>
        <w:pStyle w:val="SingleTxtG"/>
        <w:spacing w:before="240" w:after="0"/>
        <w:jc w:val="center"/>
        <w:rPr>
          <w:u w:val="single"/>
          <w:lang w:val="en-GB"/>
        </w:rPr>
      </w:pPr>
      <w:r w:rsidRPr="00B40729">
        <w:rPr>
          <w:u w:val="single"/>
          <w:lang w:val="en-GB"/>
        </w:rPr>
        <w:tab/>
      </w:r>
      <w:r w:rsidRPr="00B40729">
        <w:rPr>
          <w:u w:val="single"/>
          <w:lang w:val="en-GB"/>
        </w:rPr>
        <w:tab/>
      </w:r>
      <w:r w:rsidRPr="00B40729">
        <w:rPr>
          <w:u w:val="single"/>
          <w:lang w:val="en-GB"/>
        </w:rPr>
        <w:tab/>
      </w:r>
    </w:p>
    <w:sectPr w:rsidR="00977AD9" w:rsidRPr="00B40729" w:rsidSect="009D2A5B">
      <w:headerReference w:type="even" r:id="rId11"/>
      <w:headerReference w:type="default" r:id="rId12"/>
      <w:footerReference w:type="even" r:id="rId13"/>
      <w:footerReference w:type="defaul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D3" w:rsidRDefault="009869D3"/>
  </w:endnote>
  <w:endnote w:type="continuationSeparator" w:id="0">
    <w:p w:rsidR="009869D3" w:rsidRDefault="009869D3"/>
  </w:endnote>
  <w:endnote w:type="continuationNotice" w:id="1">
    <w:p w:rsidR="009869D3" w:rsidRDefault="00986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FA" w:rsidRPr="009D2A5B" w:rsidRDefault="003A38FA" w:rsidP="009D2A5B">
    <w:pPr>
      <w:pStyle w:val="Pieddepage"/>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97DC5">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FA" w:rsidRPr="009D2A5B" w:rsidRDefault="003A38FA" w:rsidP="009D2A5B">
    <w:pPr>
      <w:pStyle w:val="Pieddepage"/>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197DC5">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D3" w:rsidRPr="000B175B" w:rsidRDefault="009869D3" w:rsidP="000B175B">
      <w:pPr>
        <w:tabs>
          <w:tab w:val="right" w:pos="2155"/>
        </w:tabs>
        <w:spacing w:after="80"/>
        <w:ind w:left="680"/>
        <w:rPr>
          <w:u w:val="single"/>
        </w:rPr>
      </w:pPr>
      <w:r>
        <w:rPr>
          <w:u w:val="single"/>
        </w:rPr>
        <w:tab/>
      </w:r>
    </w:p>
  </w:footnote>
  <w:footnote w:type="continuationSeparator" w:id="0">
    <w:p w:rsidR="009869D3" w:rsidRPr="00FC68B7" w:rsidRDefault="009869D3" w:rsidP="00FC68B7">
      <w:pPr>
        <w:tabs>
          <w:tab w:val="left" w:pos="2155"/>
        </w:tabs>
        <w:spacing w:after="80"/>
        <w:ind w:left="680"/>
        <w:rPr>
          <w:u w:val="single"/>
        </w:rPr>
      </w:pPr>
      <w:r>
        <w:rPr>
          <w:u w:val="single"/>
        </w:rPr>
        <w:tab/>
      </w:r>
    </w:p>
  </w:footnote>
  <w:footnote w:type="continuationNotice" w:id="1">
    <w:p w:rsidR="009869D3" w:rsidRDefault="009869D3"/>
  </w:footnote>
  <w:footnote w:id="2">
    <w:p w:rsidR="00143034" w:rsidRPr="006E5117" w:rsidRDefault="00143034" w:rsidP="00143034">
      <w:pPr>
        <w:pStyle w:val="Notedebasdepage"/>
        <w:tabs>
          <w:tab w:val="clear" w:pos="1021"/>
        </w:tabs>
        <w:ind w:left="1418" w:hanging="284"/>
        <w:jc w:val="both"/>
      </w:pPr>
      <w:r>
        <w:rPr>
          <w:rStyle w:val="Appelnotedebasdep"/>
        </w:rPr>
        <w:footnoteRef/>
      </w:r>
      <w:r>
        <w:tab/>
        <w:t>In accordance with the draft programme of work of the Inland Transport Committee for 2016-2017, (ECE/TRANS/WP.15/2015/19 (9.2)).</w:t>
      </w:r>
    </w:p>
  </w:footnote>
  <w:footnote w:id="3">
    <w:p w:rsidR="00143034" w:rsidRPr="00654240" w:rsidRDefault="00143034" w:rsidP="00143034">
      <w:pPr>
        <w:pStyle w:val="Notedebasdepage"/>
        <w:tabs>
          <w:tab w:val="clear" w:pos="1021"/>
        </w:tabs>
        <w:ind w:left="1418" w:hanging="284"/>
        <w:jc w:val="both"/>
        <w:rPr>
          <w:lang w:val="en-US"/>
        </w:rPr>
      </w:pPr>
      <w:r>
        <w:rPr>
          <w:rStyle w:val="Appelnotedebasdep"/>
        </w:rPr>
        <w:footnoteRef/>
      </w:r>
      <w:r>
        <w:tab/>
      </w:r>
      <w:r w:rsidRPr="00F30C99">
        <w:t xml:space="preserve">Circulated by the Intergovernmental Organisation for International Carriage by Rail (OTIF) under the symbol </w:t>
      </w:r>
      <w:r w:rsidRPr="00561474">
        <w:t>OTIF/RID/RC/201</w:t>
      </w:r>
      <w:r>
        <w:t>6</w:t>
      </w:r>
      <w:r w:rsidRPr="00561474">
        <w:t>/</w:t>
      </w:r>
      <w:r w:rsidRPr="00143034">
        <w:rPr>
          <w:lang w:val="en-GB"/>
        </w:rPr>
        <w:t>10</w:t>
      </w:r>
      <w:r w:rsidRPr="00561474">
        <w:t>.</w:t>
      </w:r>
    </w:p>
    <w:p w:rsidR="00143034" w:rsidRPr="006E5117" w:rsidRDefault="00143034" w:rsidP="00143034">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FA" w:rsidRPr="00373B44" w:rsidRDefault="003A38FA" w:rsidP="009D2A5B">
    <w:pPr>
      <w:pStyle w:val="En-tte"/>
      <w:rPr>
        <w:lang w:val="ro-RO"/>
      </w:rPr>
    </w:pPr>
    <w:r w:rsidRPr="009D2A5B">
      <w:t>ECE/TRANS/WP.15/AC.1/201</w:t>
    </w:r>
    <w:r w:rsidR="00373B44">
      <w:rPr>
        <w:lang w:val="ro-RO"/>
      </w:rPr>
      <w:t>6</w:t>
    </w:r>
    <w:r>
      <w:t>/</w:t>
    </w:r>
    <w:r w:rsidR="00347B74">
      <w:rPr>
        <w:lang w:val="ro-RO"/>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FA" w:rsidRPr="00E91196" w:rsidRDefault="003A38FA" w:rsidP="009D2A5B">
    <w:pPr>
      <w:pStyle w:val="En-tte"/>
      <w:jc w:val="right"/>
      <w:rPr>
        <w:lang w:val="fr-CH"/>
      </w:rPr>
    </w:pPr>
    <w:r w:rsidRPr="009D2A5B">
      <w:t>ECE/TRANS/WP.15/AC.1/201</w:t>
    </w:r>
    <w:r w:rsidR="00373B44">
      <w:rPr>
        <w:lang w:val="ro-RO"/>
      </w:rPr>
      <w:t>6</w:t>
    </w:r>
    <w:r>
      <w:t>/</w:t>
    </w:r>
    <w:r w:rsidR="00347B74">
      <w:rPr>
        <w:lang w:val="ro-RO"/>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A55008"/>
    <w:multiLevelType w:val="multilevel"/>
    <w:tmpl w:val="BD5016D4"/>
    <w:name w:val="WW8Num3"/>
    <w:lvl w:ilvl="0">
      <w:start w:val="7"/>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502"/>
        </w:tabs>
        <w:ind w:left="142"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11896B68"/>
    <w:multiLevelType w:val="hybridMultilevel"/>
    <w:tmpl w:val="98A6AA7C"/>
    <w:lvl w:ilvl="0" w:tplc="9D6E22C0">
      <w:numFmt w:val="bullet"/>
      <w:lvlText w:val="-"/>
      <w:lvlJc w:val="left"/>
      <w:pPr>
        <w:ind w:left="1494" w:hanging="360"/>
      </w:pPr>
      <w:rPr>
        <w:rFonts w:ascii="Times New Roman" w:eastAsia="Times New Roman" w:hAnsi="Times New Roman"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6">
    <w:nsid w:val="1D270A9E"/>
    <w:multiLevelType w:val="hybridMultilevel"/>
    <w:tmpl w:val="1568A7CA"/>
    <w:lvl w:ilvl="0" w:tplc="0D5AA0EC">
      <w:numFmt w:val="bullet"/>
      <w:lvlText w:val="-"/>
      <w:lvlJc w:val="left"/>
      <w:pPr>
        <w:ind w:left="2409" w:hanging="360"/>
      </w:pPr>
      <w:rPr>
        <w:rFonts w:ascii="Calibri" w:eastAsia="Calibri" w:hAnsi="Calibri" w:cs="Times New Roman" w:hint="default"/>
        <w:sz w:val="12"/>
      </w:rPr>
    </w:lvl>
    <w:lvl w:ilvl="1" w:tplc="040C0003" w:tentative="1">
      <w:start w:val="1"/>
      <w:numFmt w:val="bullet"/>
      <w:lvlText w:val="o"/>
      <w:lvlJc w:val="left"/>
      <w:pPr>
        <w:ind w:left="3129" w:hanging="360"/>
      </w:pPr>
      <w:rPr>
        <w:rFonts w:ascii="Courier New" w:hAnsi="Courier New" w:cs="Courier New" w:hint="default"/>
      </w:rPr>
    </w:lvl>
    <w:lvl w:ilvl="2" w:tplc="040C0005" w:tentative="1">
      <w:start w:val="1"/>
      <w:numFmt w:val="bullet"/>
      <w:lvlText w:val=""/>
      <w:lvlJc w:val="left"/>
      <w:pPr>
        <w:ind w:left="3849" w:hanging="360"/>
      </w:pPr>
      <w:rPr>
        <w:rFonts w:ascii="Wingdings" w:hAnsi="Wingdings" w:hint="default"/>
      </w:rPr>
    </w:lvl>
    <w:lvl w:ilvl="3" w:tplc="040C0001" w:tentative="1">
      <w:start w:val="1"/>
      <w:numFmt w:val="bullet"/>
      <w:lvlText w:val=""/>
      <w:lvlJc w:val="left"/>
      <w:pPr>
        <w:ind w:left="4569" w:hanging="360"/>
      </w:pPr>
      <w:rPr>
        <w:rFonts w:ascii="Symbol" w:hAnsi="Symbol" w:hint="default"/>
      </w:rPr>
    </w:lvl>
    <w:lvl w:ilvl="4" w:tplc="040C0003" w:tentative="1">
      <w:start w:val="1"/>
      <w:numFmt w:val="bullet"/>
      <w:lvlText w:val="o"/>
      <w:lvlJc w:val="left"/>
      <w:pPr>
        <w:ind w:left="5289" w:hanging="360"/>
      </w:pPr>
      <w:rPr>
        <w:rFonts w:ascii="Courier New" w:hAnsi="Courier New" w:cs="Courier New" w:hint="default"/>
      </w:rPr>
    </w:lvl>
    <w:lvl w:ilvl="5" w:tplc="040C0005" w:tentative="1">
      <w:start w:val="1"/>
      <w:numFmt w:val="bullet"/>
      <w:lvlText w:val=""/>
      <w:lvlJc w:val="left"/>
      <w:pPr>
        <w:ind w:left="6009" w:hanging="360"/>
      </w:pPr>
      <w:rPr>
        <w:rFonts w:ascii="Wingdings" w:hAnsi="Wingdings" w:hint="default"/>
      </w:rPr>
    </w:lvl>
    <w:lvl w:ilvl="6" w:tplc="040C0001" w:tentative="1">
      <w:start w:val="1"/>
      <w:numFmt w:val="bullet"/>
      <w:lvlText w:val=""/>
      <w:lvlJc w:val="left"/>
      <w:pPr>
        <w:ind w:left="6729" w:hanging="360"/>
      </w:pPr>
      <w:rPr>
        <w:rFonts w:ascii="Symbol" w:hAnsi="Symbol" w:hint="default"/>
      </w:rPr>
    </w:lvl>
    <w:lvl w:ilvl="7" w:tplc="040C0003" w:tentative="1">
      <w:start w:val="1"/>
      <w:numFmt w:val="bullet"/>
      <w:lvlText w:val="o"/>
      <w:lvlJc w:val="left"/>
      <w:pPr>
        <w:ind w:left="7449" w:hanging="360"/>
      </w:pPr>
      <w:rPr>
        <w:rFonts w:ascii="Courier New" w:hAnsi="Courier New" w:cs="Courier New" w:hint="default"/>
      </w:rPr>
    </w:lvl>
    <w:lvl w:ilvl="8" w:tplc="040C0005" w:tentative="1">
      <w:start w:val="1"/>
      <w:numFmt w:val="bullet"/>
      <w:lvlText w:val=""/>
      <w:lvlJc w:val="left"/>
      <w:pPr>
        <w:ind w:left="8169" w:hanging="360"/>
      </w:pPr>
      <w:rPr>
        <w:rFonts w:ascii="Wingdings" w:hAnsi="Wingdings" w:hint="default"/>
      </w:rPr>
    </w:lvl>
  </w:abstractNum>
  <w:abstractNum w:abstractNumId="1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99655A"/>
    <w:multiLevelType w:val="hybridMultilevel"/>
    <w:tmpl w:val="C9D0DC54"/>
    <w:lvl w:ilvl="0" w:tplc="163AFFD2">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362B4582"/>
    <w:multiLevelType w:val="hybridMultilevel"/>
    <w:tmpl w:val="98C088B0"/>
    <w:name w:val="List test level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5B6E9E"/>
    <w:multiLevelType w:val="hybridMultilevel"/>
    <w:tmpl w:val="0212C30C"/>
    <w:lvl w:ilvl="0" w:tplc="8500C2F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nsid w:val="37D05BB8"/>
    <w:multiLevelType w:val="hybridMultilevel"/>
    <w:tmpl w:val="CA5E0C1C"/>
    <w:lvl w:ilvl="0" w:tplc="040C000F">
      <w:start w:val="1"/>
      <w:numFmt w:val="decimal"/>
      <w:lvlText w:val="%1."/>
      <w:lvlJc w:val="left"/>
      <w:pPr>
        <w:ind w:left="2061" w:hanging="360"/>
      </w:p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3">
    <w:nsid w:val="3E312935"/>
    <w:multiLevelType w:val="hybridMultilevel"/>
    <w:tmpl w:val="10B0814A"/>
    <w:lvl w:ilvl="0" w:tplc="991EB5BC">
      <w:numFmt w:val="bullet"/>
      <w:lvlText w:val="-"/>
      <w:lvlJc w:val="left"/>
      <w:pPr>
        <w:ind w:left="2268" w:hanging="219"/>
      </w:pPr>
      <w:rPr>
        <w:rFonts w:ascii="Calibri" w:eastAsia="Calibri" w:hAnsi="Calibri" w:cs="Times New Roman" w:hint="default"/>
        <w:sz w:val="12"/>
      </w:rPr>
    </w:lvl>
    <w:lvl w:ilvl="1" w:tplc="040C0003" w:tentative="1">
      <w:start w:val="1"/>
      <w:numFmt w:val="bullet"/>
      <w:lvlText w:val="o"/>
      <w:lvlJc w:val="left"/>
      <w:pPr>
        <w:ind w:left="3129" w:hanging="360"/>
      </w:pPr>
      <w:rPr>
        <w:rFonts w:ascii="Courier New" w:hAnsi="Courier New" w:cs="Courier New" w:hint="default"/>
      </w:rPr>
    </w:lvl>
    <w:lvl w:ilvl="2" w:tplc="040C0005" w:tentative="1">
      <w:start w:val="1"/>
      <w:numFmt w:val="bullet"/>
      <w:lvlText w:val=""/>
      <w:lvlJc w:val="left"/>
      <w:pPr>
        <w:ind w:left="3849" w:hanging="360"/>
      </w:pPr>
      <w:rPr>
        <w:rFonts w:ascii="Wingdings" w:hAnsi="Wingdings" w:hint="default"/>
      </w:rPr>
    </w:lvl>
    <w:lvl w:ilvl="3" w:tplc="040C0001" w:tentative="1">
      <w:start w:val="1"/>
      <w:numFmt w:val="bullet"/>
      <w:lvlText w:val=""/>
      <w:lvlJc w:val="left"/>
      <w:pPr>
        <w:ind w:left="4569" w:hanging="360"/>
      </w:pPr>
      <w:rPr>
        <w:rFonts w:ascii="Symbol" w:hAnsi="Symbol" w:hint="default"/>
      </w:rPr>
    </w:lvl>
    <w:lvl w:ilvl="4" w:tplc="040C0003" w:tentative="1">
      <w:start w:val="1"/>
      <w:numFmt w:val="bullet"/>
      <w:lvlText w:val="o"/>
      <w:lvlJc w:val="left"/>
      <w:pPr>
        <w:ind w:left="5289" w:hanging="360"/>
      </w:pPr>
      <w:rPr>
        <w:rFonts w:ascii="Courier New" w:hAnsi="Courier New" w:cs="Courier New" w:hint="default"/>
      </w:rPr>
    </w:lvl>
    <w:lvl w:ilvl="5" w:tplc="040C0005" w:tentative="1">
      <w:start w:val="1"/>
      <w:numFmt w:val="bullet"/>
      <w:lvlText w:val=""/>
      <w:lvlJc w:val="left"/>
      <w:pPr>
        <w:ind w:left="6009" w:hanging="360"/>
      </w:pPr>
      <w:rPr>
        <w:rFonts w:ascii="Wingdings" w:hAnsi="Wingdings" w:hint="default"/>
      </w:rPr>
    </w:lvl>
    <w:lvl w:ilvl="6" w:tplc="040C0001" w:tentative="1">
      <w:start w:val="1"/>
      <w:numFmt w:val="bullet"/>
      <w:lvlText w:val=""/>
      <w:lvlJc w:val="left"/>
      <w:pPr>
        <w:ind w:left="6729" w:hanging="360"/>
      </w:pPr>
      <w:rPr>
        <w:rFonts w:ascii="Symbol" w:hAnsi="Symbol" w:hint="default"/>
      </w:rPr>
    </w:lvl>
    <w:lvl w:ilvl="7" w:tplc="040C0003" w:tentative="1">
      <w:start w:val="1"/>
      <w:numFmt w:val="bullet"/>
      <w:lvlText w:val="o"/>
      <w:lvlJc w:val="left"/>
      <w:pPr>
        <w:ind w:left="7449" w:hanging="360"/>
      </w:pPr>
      <w:rPr>
        <w:rFonts w:ascii="Courier New" w:hAnsi="Courier New" w:cs="Courier New" w:hint="default"/>
      </w:rPr>
    </w:lvl>
    <w:lvl w:ilvl="8" w:tplc="040C0005" w:tentative="1">
      <w:start w:val="1"/>
      <w:numFmt w:val="bullet"/>
      <w:lvlText w:val=""/>
      <w:lvlJc w:val="left"/>
      <w:pPr>
        <w:ind w:left="8169" w:hanging="360"/>
      </w:pPr>
      <w:rPr>
        <w:rFonts w:ascii="Wingdings" w:hAnsi="Wingdings" w:hint="default"/>
      </w:rPr>
    </w:lvl>
  </w:abstractNum>
  <w:abstractNum w:abstractNumId="24">
    <w:nsid w:val="45B611D6"/>
    <w:multiLevelType w:val="hybridMultilevel"/>
    <w:tmpl w:val="DDB2A07C"/>
    <w:name w:val="heading"/>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58D9359C"/>
    <w:multiLevelType w:val="hybridMultilevel"/>
    <w:tmpl w:val="C3D2C4A0"/>
    <w:lvl w:ilvl="0" w:tplc="BB66C00A">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A23006A"/>
    <w:multiLevelType w:val="hybridMultilevel"/>
    <w:tmpl w:val="1D86EADA"/>
    <w:lvl w:ilvl="0" w:tplc="0D5AA0EC">
      <w:numFmt w:val="bullet"/>
      <w:lvlText w:val="-"/>
      <w:lvlJc w:val="left"/>
      <w:pPr>
        <w:ind w:left="1905" w:hanging="360"/>
      </w:pPr>
      <w:rPr>
        <w:rFonts w:ascii="Calibri" w:eastAsia="Calibri" w:hAnsi="Calibri" w:cs="Times New Roman" w:hint="default"/>
        <w:sz w:val="12"/>
      </w:rPr>
    </w:lvl>
    <w:lvl w:ilvl="1" w:tplc="040C0003" w:tentative="1">
      <w:start w:val="1"/>
      <w:numFmt w:val="bullet"/>
      <w:lvlText w:val="o"/>
      <w:lvlJc w:val="left"/>
      <w:pPr>
        <w:ind w:left="2625" w:hanging="360"/>
      </w:pPr>
      <w:rPr>
        <w:rFonts w:ascii="Courier New" w:hAnsi="Courier New" w:cs="Courier New" w:hint="default"/>
      </w:rPr>
    </w:lvl>
    <w:lvl w:ilvl="2" w:tplc="040C0005" w:tentative="1">
      <w:start w:val="1"/>
      <w:numFmt w:val="bullet"/>
      <w:lvlText w:val=""/>
      <w:lvlJc w:val="left"/>
      <w:pPr>
        <w:ind w:left="3345" w:hanging="360"/>
      </w:pPr>
      <w:rPr>
        <w:rFonts w:ascii="Wingdings" w:hAnsi="Wingdings" w:hint="default"/>
      </w:rPr>
    </w:lvl>
    <w:lvl w:ilvl="3" w:tplc="040C0001" w:tentative="1">
      <w:start w:val="1"/>
      <w:numFmt w:val="bullet"/>
      <w:lvlText w:val=""/>
      <w:lvlJc w:val="left"/>
      <w:pPr>
        <w:ind w:left="4065" w:hanging="360"/>
      </w:pPr>
      <w:rPr>
        <w:rFonts w:ascii="Symbol" w:hAnsi="Symbol" w:hint="default"/>
      </w:rPr>
    </w:lvl>
    <w:lvl w:ilvl="4" w:tplc="040C0003" w:tentative="1">
      <w:start w:val="1"/>
      <w:numFmt w:val="bullet"/>
      <w:lvlText w:val="o"/>
      <w:lvlJc w:val="left"/>
      <w:pPr>
        <w:ind w:left="4785" w:hanging="360"/>
      </w:pPr>
      <w:rPr>
        <w:rFonts w:ascii="Courier New" w:hAnsi="Courier New" w:cs="Courier New" w:hint="default"/>
      </w:rPr>
    </w:lvl>
    <w:lvl w:ilvl="5" w:tplc="040C0005" w:tentative="1">
      <w:start w:val="1"/>
      <w:numFmt w:val="bullet"/>
      <w:lvlText w:val=""/>
      <w:lvlJc w:val="left"/>
      <w:pPr>
        <w:ind w:left="5505" w:hanging="360"/>
      </w:pPr>
      <w:rPr>
        <w:rFonts w:ascii="Wingdings" w:hAnsi="Wingdings" w:hint="default"/>
      </w:rPr>
    </w:lvl>
    <w:lvl w:ilvl="6" w:tplc="040C0001" w:tentative="1">
      <w:start w:val="1"/>
      <w:numFmt w:val="bullet"/>
      <w:lvlText w:val=""/>
      <w:lvlJc w:val="left"/>
      <w:pPr>
        <w:ind w:left="6225" w:hanging="360"/>
      </w:pPr>
      <w:rPr>
        <w:rFonts w:ascii="Symbol" w:hAnsi="Symbol" w:hint="default"/>
      </w:rPr>
    </w:lvl>
    <w:lvl w:ilvl="7" w:tplc="040C0003" w:tentative="1">
      <w:start w:val="1"/>
      <w:numFmt w:val="bullet"/>
      <w:lvlText w:val="o"/>
      <w:lvlJc w:val="left"/>
      <w:pPr>
        <w:ind w:left="6945" w:hanging="360"/>
      </w:pPr>
      <w:rPr>
        <w:rFonts w:ascii="Courier New" w:hAnsi="Courier New" w:cs="Courier New" w:hint="default"/>
      </w:rPr>
    </w:lvl>
    <w:lvl w:ilvl="8" w:tplc="040C0005" w:tentative="1">
      <w:start w:val="1"/>
      <w:numFmt w:val="bullet"/>
      <w:lvlText w:val=""/>
      <w:lvlJc w:val="left"/>
      <w:pPr>
        <w:ind w:left="7665" w:hanging="360"/>
      </w:pPr>
      <w:rPr>
        <w:rFonts w:ascii="Wingdings" w:hAnsi="Wingdings" w:hint="default"/>
      </w:rPr>
    </w:lvl>
  </w:abstractNum>
  <w:abstractNum w:abstractNumId="28">
    <w:nsid w:val="71E66751"/>
    <w:multiLevelType w:val="hybridMultilevel"/>
    <w:tmpl w:val="CB923C00"/>
    <w:lvl w:ilvl="0" w:tplc="6A3AAC24">
      <w:start w:val="1"/>
      <w:numFmt w:val="bullet"/>
      <w:lvlText w:val="−"/>
      <w:lvlJc w:val="left"/>
      <w:pPr>
        <w:ind w:left="1854" w:hanging="360"/>
      </w:pPr>
      <w:rPr>
        <w:rFonts w:ascii="Times New Roman" w:hAnsi="Times New Roman" w:cs="Times New Roman"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26"/>
  </w:num>
  <w:num w:numId="15">
    <w:abstractNumId w:val="14"/>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2"/>
  </w:num>
  <w:num w:numId="20">
    <w:abstractNumId w:val="27"/>
  </w:num>
  <w:num w:numId="21">
    <w:abstractNumId w:val="21"/>
  </w:num>
  <w:num w:numId="22">
    <w:abstractNumId w:val="19"/>
  </w:num>
  <w:num w:numId="23">
    <w:abstractNumId w:val="25"/>
  </w:num>
  <w:num w:numId="24">
    <w:abstractNumId w:val="16"/>
  </w:num>
  <w:num w:numId="25">
    <w:abstractNumId w:val="23"/>
  </w:num>
  <w:num w:numId="26">
    <w:abstractNumId w:val="18"/>
  </w:num>
  <w:num w:numId="27">
    <w:abstractNumId w:val="18"/>
  </w:num>
  <w:num w:numId="28">
    <w:abstractNumId w:val="18"/>
  </w:num>
  <w:num w:numId="29">
    <w:abstractNumId w:val="18"/>
  </w:num>
  <w:num w:numId="30">
    <w:abstractNumId w:val="18"/>
  </w:num>
  <w:num w:numId="31">
    <w:abstractNumId w:val="28"/>
  </w:num>
  <w:num w:numId="3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03B4"/>
    <w:rsid w:val="00001422"/>
    <w:rsid w:val="00020331"/>
    <w:rsid w:val="00037F90"/>
    <w:rsid w:val="00042BD3"/>
    <w:rsid w:val="00046B1F"/>
    <w:rsid w:val="00050F6B"/>
    <w:rsid w:val="000550C7"/>
    <w:rsid w:val="00057E97"/>
    <w:rsid w:val="00072C8C"/>
    <w:rsid w:val="00072DE3"/>
    <w:rsid w:val="000733B5"/>
    <w:rsid w:val="00081815"/>
    <w:rsid w:val="00084E9D"/>
    <w:rsid w:val="000931C0"/>
    <w:rsid w:val="00096682"/>
    <w:rsid w:val="000A10F2"/>
    <w:rsid w:val="000A1318"/>
    <w:rsid w:val="000A1D2A"/>
    <w:rsid w:val="000A369E"/>
    <w:rsid w:val="000B0595"/>
    <w:rsid w:val="000B175B"/>
    <w:rsid w:val="000B179D"/>
    <w:rsid w:val="000B3A0F"/>
    <w:rsid w:val="000B4EF7"/>
    <w:rsid w:val="000B6F1B"/>
    <w:rsid w:val="000C2C03"/>
    <w:rsid w:val="000C2D2E"/>
    <w:rsid w:val="000C4D51"/>
    <w:rsid w:val="000C5079"/>
    <w:rsid w:val="000C588B"/>
    <w:rsid w:val="000C58B1"/>
    <w:rsid w:val="000D1464"/>
    <w:rsid w:val="000D3292"/>
    <w:rsid w:val="000E0415"/>
    <w:rsid w:val="000E5688"/>
    <w:rsid w:val="000E58B4"/>
    <w:rsid w:val="000E7091"/>
    <w:rsid w:val="000E74B9"/>
    <w:rsid w:val="000F4932"/>
    <w:rsid w:val="00101F43"/>
    <w:rsid w:val="001036EE"/>
    <w:rsid w:val="0010533F"/>
    <w:rsid w:val="00105BC0"/>
    <w:rsid w:val="001103AA"/>
    <w:rsid w:val="0011073E"/>
    <w:rsid w:val="00112701"/>
    <w:rsid w:val="00113E64"/>
    <w:rsid w:val="0011666B"/>
    <w:rsid w:val="001242DA"/>
    <w:rsid w:val="001245AF"/>
    <w:rsid w:val="001273F7"/>
    <w:rsid w:val="001320EA"/>
    <w:rsid w:val="00132EDD"/>
    <w:rsid w:val="00141D2E"/>
    <w:rsid w:val="00143034"/>
    <w:rsid w:val="001517BB"/>
    <w:rsid w:val="00155068"/>
    <w:rsid w:val="0015547E"/>
    <w:rsid w:val="00155A03"/>
    <w:rsid w:val="00165A2E"/>
    <w:rsid w:val="00165F3A"/>
    <w:rsid w:val="001855F7"/>
    <w:rsid w:val="00186CF5"/>
    <w:rsid w:val="00197DC5"/>
    <w:rsid w:val="001A69F3"/>
    <w:rsid w:val="001B090E"/>
    <w:rsid w:val="001B0DF0"/>
    <w:rsid w:val="001B13A5"/>
    <w:rsid w:val="001B4B04"/>
    <w:rsid w:val="001B64BA"/>
    <w:rsid w:val="001B70CF"/>
    <w:rsid w:val="001C1FB3"/>
    <w:rsid w:val="001C6663"/>
    <w:rsid w:val="001C774B"/>
    <w:rsid w:val="001C7895"/>
    <w:rsid w:val="001D0C8C"/>
    <w:rsid w:val="001D1419"/>
    <w:rsid w:val="001D26DF"/>
    <w:rsid w:val="001D3A03"/>
    <w:rsid w:val="001D3E68"/>
    <w:rsid w:val="001E0B9E"/>
    <w:rsid w:val="001E7B67"/>
    <w:rsid w:val="001F3851"/>
    <w:rsid w:val="001F7435"/>
    <w:rsid w:val="00202DA8"/>
    <w:rsid w:val="00204AC5"/>
    <w:rsid w:val="002053F8"/>
    <w:rsid w:val="00205AB9"/>
    <w:rsid w:val="0021157B"/>
    <w:rsid w:val="00211E0B"/>
    <w:rsid w:val="002238D9"/>
    <w:rsid w:val="00223C28"/>
    <w:rsid w:val="00225D77"/>
    <w:rsid w:val="00226E92"/>
    <w:rsid w:val="00236F25"/>
    <w:rsid w:val="002516B1"/>
    <w:rsid w:val="002529C7"/>
    <w:rsid w:val="0026733A"/>
    <w:rsid w:val="00267F5F"/>
    <w:rsid w:val="0027596E"/>
    <w:rsid w:val="00277C09"/>
    <w:rsid w:val="00284DD4"/>
    <w:rsid w:val="00284EB0"/>
    <w:rsid w:val="00284F6A"/>
    <w:rsid w:val="00286B4D"/>
    <w:rsid w:val="002A1339"/>
    <w:rsid w:val="002A3A1D"/>
    <w:rsid w:val="002A4522"/>
    <w:rsid w:val="002A603B"/>
    <w:rsid w:val="002B18A1"/>
    <w:rsid w:val="002B3EF3"/>
    <w:rsid w:val="002C4A0D"/>
    <w:rsid w:val="002C5AB9"/>
    <w:rsid w:val="002D37B3"/>
    <w:rsid w:val="002D4643"/>
    <w:rsid w:val="002D4B6C"/>
    <w:rsid w:val="002F175C"/>
    <w:rsid w:val="002F2240"/>
    <w:rsid w:val="002F348D"/>
    <w:rsid w:val="002F37B0"/>
    <w:rsid w:val="002F7C92"/>
    <w:rsid w:val="00302E18"/>
    <w:rsid w:val="00304193"/>
    <w:rsid w:val="0031495B"/>
    <w:rsid w:val="003229D8"/>
    <w:rsid w:val="00325D70"/>
    <w:rsid w:val="00326F5A"/>
    <w:rsid w:val="00333D05"/>
    <w:rsid w:val="00340E64"/>
    <w:rsid w:val="00347B74"/>
    <w:rsid w:val="003525EA"/>
    <w:rsid w:val="00352709"/>
    <w:rsid w:val="00354DF8"/>
    <w:rsid w:val="00371178"/>
    <w:rsid w:val="00373B44"/>
    <w:rsid w:val="003767DC"/>
    <w:rsid w:val="003813D2"/>
    <w:rsid w:val="003825A4"/>
    <w:rsid w:val="003875A3"/>
    <w:rsid w:val="00393BAF"/>
    <w:rsid w:val="003A178D"/>
    <w:rsid w:val="003A38FA"/>
    <w:rsid w:val="003A6810"/>
    <w:rsid w:val="003B5BEE"/>
    <w:rsid w:val="003B6750"/>
    <w:rsid w:val="003C10E7"/>
    <w:rsid w:val="003C19CA"/>
    <w:rsid w:val="003C2CC4"/>
    <w:rsid w:val="003D4B23"/>
    <w:rsid w:val="003E6724"/>
    <w:rsid w:val="003F0A53"/>
    <w:rsid w:val="003F1DAC"/>
    <w:rsid w:val="00404792"/>
    <w:rsid w:val="0040573B"/>
    <w:rsid w:val="00410C89"/>
    <w:rsid w:val="00414A12"/>
    <w:rsid w:val="0041592F"/>
    <w:rsid w:val="00417AD1"/>
    <w:rsid w:val="00422081"/>
    <w:rsid w:val="00422E03"/>
    <w:rsid w:val="00426B9B"/>
    <w:rsid w:val="004325CB"/>
    <w:rsid w:val="00433B3A"/>
    <w:rsid w:val="00442A83"/>
    <w:rsid w:val="00446F18"/>
    <w:rsid w:val="00447671"/>
    <w:rsid w:val="0045381B"/>
    <w:rsid w:val="0045495B"/>
    <w:rsid w:val="00464BBF"/>
    <w:rsid w:val="00467A2D"/>
    <w:rsid w:val="00473C34"/>
    <w:rsid w:val="0048397A"/>
    <w:rsid w:val="004842E4"/>
    <w:rsid w:val="00494C89"/>
    <w:rsid w:val="00495710"/>
    <w:rsid w:val="00495778"/>
    <w:rsid w:val="004A12F2"/>
    <w:rsid w:val="004A2ADE"/>
    <w:rsid w:val="004A362D"/>
    <w:rsid w:val="004A513E"/>
    <w:rsid w:val="004A7584"/>
    <w:rsid w:val="004B2DBF"/>
    <w:rsid w:val="004B3D82"/>
    <w:rsid w:val="004B601E"/>
    <w:rsid w:val="004C0248"/>
    <w:rsid w:val="004C2461"/>
    <w:rsid w:val="004C71D8"/>
    <w:rsid w:val="004C7462"/>
    <w:rsid w:val="004D42B6"/>
    <w:rsid w:val="004D4E04"/>
    <w:rsid w:val="004D53EE"/>
    <w:rsid w:val="004D5742"/>
    <w:rsid w:val="004E0C05"/>
    <w:rsid w:val="004E77B2"/>
    <w:rsid w:val="004E7CB8"/>
    <w:rsid w:val="00500F11"/>
    <w:rsid w:val="005031B0"/>
    <w:rsid w:val="00503DEB"/>
    <w:rsid w:val="00504B2D"/>
    <w:rsid w:val="00507545"/>
    <w:rsid w:val="00511CA4"/>
    <w:rsid w:val="005138A7"/>
    <w:rsid w:val="00515740"/>
    <w:rsid w:val="0052136D"/>
    <w:rsid w:val="005226E3"/>
    <w:rsid w:val="00522B58"/>
    <w:rsid w:val="0052775E"/>
    <w:rsid w:val="00527937"/>
    <w:rsid w:val="00533232"/>
    <w:rsid w:val="00534F52"/>
    <w:rsid w:val="00536A26"/>
    <w:rsid w:val="005420F2"/>
    <w:rsid w:val="00555746"/>
    <w:rsid w:val="005564E2"/>
    <w:rsid w:val="005626DE"/>
    <w:rsid w:val="005628B6"/>
    <w:rsid w:val="005715E8"/>
    <w:rsid w:val="00571B6C"/>
    <w:rsid w:val="00572217"/>
    <w:rsid w:val="00573594"/>
    <w:rsid w:val="0057406D"/>
    <w:rsid w:val="00580343"/>
    <w:rsid w:val="00583C8C"/>
    <w:rsid w:val="00585898"/>
    <w:rsid w:val="00591641"/>
    <w:rsid w:val="00592C49"/>
    <w:rsid w:val="005943FA"/>
    <w:rsid w:val="00594917"/>
    <w:rsid w:val="00595503"/>
    <w:rsid w:val="00597897"/>
    <w:rsid w:val="005A009E"/>
    <w:rsid w:val="005A10F5"/>
    <w:rsid w:val="005A70E0"/>
    <w:rsid w:val="005B3225"/>
    <w:rsid w:val="005B3DB3"/>
    <w:rsid w:val="005B4E13"/>
    <w:rsid w:val="005C539D"/>
    <w:rsid w:val="005D6D90"/>
    <w:rsid w:val="005F502C"/>
    <w:rsid w:val="005F7B75"/>
    <w:rsid w:val="006001EE"/>
    <w:rsid w:val="00605042"/>
    <w:rsid w:val="00605804"/>
    <w:rsid w:val="006064AF"/>
    <w:rsid w:val="00611E5F"/>
    <w:rsid w:val="00611FC4"/>
    <w:rsid w:val="006147C9"/>
    <w:rsid w:val="00614E37"/>
    <w:rsid w:val="00615A8C"/>
    <w:rsid w:val="006176FB"/>
    <w:rsid w:val="006217B9"/>
    <w:rsid w:val="00624A11"/>
    <w:rsid w:val="00625942"/>
    <w:rsid w:val="006348B1"/>
    <w:rsid w:val="00635FFB"/>
    <w:rsid w:val="00636EDC"/>
    <w:rsid w:val="00640B26"/>
    <w:rsid w:val="00641844"/>
    <w:rsid w:val="00642783"/>
    <w:rsid w:val="00645CC9"/>
    <w:rsid w:val="00652D0A"/>
    <w:rsid w:val="00653BAC"/>
    <w:rsid w:val="006623D5"/>
    <w:rsid w:val="00662BB6"/>
    <w:rsid w:val="00667F8F"/>
    <w:rsid w:val="00672F1A"/>
    <w:rsid w:val="00682248"/>
    <w:rsid w:val="00683720"/>
    <w:rsid w:val="00684C21"/>
    <w:rsid w:val="006944AE"/>
    <w:rsid w:val="006A0D16"/>
    <w:rsid w:val="006A2530"/>
    <w:rsid w:val="006A50B7"/>
    <w:rsid w:val="006A64E1"/>
    <w:rsid w:val="006A7D45"/>
    <w:rsid w:val="006B2201"/>
    <w:rsid w:val="006B6B08"/>
    <w:rsid w:val="006C3589"/>
    <w:rsid w:val="006C370C"/>
    <w:rsid w:val="006C6ABE"/>
    <w:rsid w:val="006D37AF"/>
    <w:rsid w:val="006D37F2"/>
    <w:rsid w:val="006D48C2"/>
    <w:rsid w:val="006D51D0"/>
    <w:rsid w:val="006D5297"/>
    <w:rsid w:val="006E4BF5"/>
    <w:rsid w:val="006E564B"/>
    <w:rsid w:val="006E7191"/>
    <w:rsid w:val="00703577"/>
    <w:rsid w:val="00705894"/>
    <w:rsid w:val="00725755"/>
    <w:rsid w:val="0072632A"/>
    <w:rsid w:val="007327D5"/>
    <w:rsid w:val="007335AA"/>
    <w:rsid w:val="00734E9C"/>
    <w:rsid w:val="00735C76"/>
    <w:rsid w:val="007409AD"/>
    <w:rsid w:val="007425DF"/>
    <w:rsid w:val="007611CF"/>
    <w:rsid w:val="0076242B"/>
    <w:rsid w:val="007629C8"/>
    <w:rsid w:val="0077047D"/>
    <w:rsid w:val="00782A61"/>
    <w:rsid w:val="00797F5E"/>
    <w:rsid w:val="007A08B6"/>
    <w:rsid w:val="007B1FC1"/>
    <w:rsid w:val="007B63A9"/>
    <w:rsid w:val="007B6BA5"/>
    <w:rsid w:val="007C0A3F"/>
    <w:rsid w:val="007C3390"/>
    <w:rsid w:val="007C48AD"/>
    <w:rsid w:val="007C4F4B"/>
    <w:rsid w:val="007D1C26"/>
    <w:rsid w:val="007D7FF7"/>
    <w:rsid w:val="007E0073"/>
    <w:rsid w:val="007E01E9"/>
    <w:rsid w:val="007E63F3"/>
    <w:rsid w:val="007E6D37"/>
    <w:rsid w:val="007E7B78"/>
    <w:rsid w:val="007F007D"/>
    <w:rsid w:val="007F2CA0"/>
    <w:rsid w:val="007F6611"/>
    <w:rsid w:val="007F68F8"/>
    <w:rsid w:val="007F7106"/>
    <w:rsid w:val="00802B58"/>
    <w:rsid w:val="00811920"/>
    <w:rsid w:val="00815AD0"/>
    <w:rsid w:val="00821892"/>
    <w:rsid w:val="008242D7"/>
    <w:rsid w:val="008257B1"/>
    <w:rsid w:val="0082760E"/>
    <w:rsid w:val="00832E40"/>
    <w:rsid w:val="008378EA"/>
    <w:rsid w:val="008415CC"/>
    <w:rsid w:val="00843767"/>
    <w:rsid w:val="00845A29"/>
    <w:rsid w:val="008533BD"/>
    <w:rsid w:val="008679D9"/>
    <w:rsid w:val="00871389"/>
    <w:rsid w:val="008716AA"/>
    <w:rsid w:val="00875300"/>
    <w:rsid w:val="00883999"/>
    <w:rsid w:val="00885370"/>
    <w:rsid w:val="00886AD7"/>
    <w:rsid w:val="008878DE"/>
    <w:rsid w:val="008979B1"/>
    <w:rsid w:val="008A512E"/>
    <w:rsid w:val="008A6B25"/>
    <w:rsid w:val="008A6C4F"/>
    <w:rsid w:val="008B2335"/>
    <w:rsid w:val="008C73E3"/>
    <w:rsid w:val="008D19AD"/>
    <w:rsid w:val="008E0678"/>
    <w:rsid w:val="008F0F38"/>
    <w:rsid w:val="00903066"/>
    <w:rsid w:val="009110F4"/>
    <w:rsid w:val="009223CA"/>
    <w:rsid w:val="00924F5C"/>
    <w:rsid w:val="00926C53"/>
    <w:rsid w:val="009371C1"/>
    <w:rsid w:val="00940F93"/>
    <w:rsid w:val="009431F9"/>
    <w:rsid w:val="00956823"/>
    <w:rsid w:val="00960D07"/>
    <w:rsid w:val="009727BF"/>
    <w:rsid w:val="009760F3"/>
    <w:rsid w:val="0097625A"/>
    <w:rsid w:val="00976960"/>
    <w:rsid w:val="00977AD9"/>
    <w:rsid w:val="00977FEC"/>
    <w:rsid w:val="009869D3"/>
    <w:rsid w:val="00994F87"/>
    <w:rsid w:val="00995497"/>
    <w:rsid w:val="0099699F"/>
    <w:rsid w:val="009A0964"/>
    <w:rsid w:val="009A0E8D"/>
    <w:rsid w:val="009A2ADC"/>
    <w:rsid w:val="009B1518"/>
    <w:rsid w:val="009B26E7"/>
    <w:rsid w:val="009B4D77"/>
    <w:rsid w:val="009C454F"/>
    <w:rsid w:val="009C5137"/>
    <w:rsid w:val="009D2A5B"/>
    <w:rsid w:val="009E4D23"/>
    <w:rsid w:val="009E7279"/>
    <w:rsid w:val="009F78CD"/>
    <w:rsid w:val="00A00A3F"/>
    <w:rsid w:val="00A01489"/>
    <w:rsid w:val="00A01941"/>
    <w:rsid w:val="00A12216"/>
    <w:rsid w:val="00A17AFD"/>
    <w:rsid w:val="00A23543"/>
    <w:rsid w:val="00A23D40"/>
    <w:rsid w:val="00A3009E"/>
    <w:rsid w:val="00A3026E"/>
    <w:rsid w:val="00A31303"/>
    <w:rsid w:val="00A316E9"/>
    <w:rsid w:val="00A32617"/>
    <w:rsid w:val="00A338F1"/>
    <w:rsid w:val="00A44E64"/>
    <w:rsid w:val="00A46F57"/>
    <w:rsid w:val="00A5546F"/>
    <w:rsid w:val="00A579C9"/>
    <w:rsid w:val="00A6677D"/>
    <w:rsid w:val="00A72C55"/>
    <w:rsid w:val="00A72F22"/>
    <w:rsid w:val="00A7360F"/>
    <w:rsid w:val="00A748A6"/>
    <w:rsid w:val="00A74B6F"/>
    <w:rsid w:val="00A769F4"/>
    <w:rsid w:val="00A76A7E"/>
    <w:rsid w:val="00A776B4"/>
    <w:rsid w:val="00A932F4"/>
    <w:rsid w:val="00A94361"/>
    <w:rsid w:val="00A95950"/>
    <w:rsid w:val="00A96D8A"/>
    <w:rsid w:val="00AA293C"/>
    <w:rsid w:val="00AA5B9C"/>
    <w:rsid w:val="00AA7259"/>
    <w:rsid w:val="00AA78CE"/>
    <w:rsid w:val="00AB141D"/>
    <w:rsid w:val="00AB449C"/>
    <w:rsid w:val="00AC7E95"/>
    <w:rsid w:val="00AD3665"/>
    <w:rsid w:val="00AE5438"/>
    <w:rsid w:val="00AF25C6"/>
    <w:rsid w:val="00AF3DAD"/>
    <w:rsid w:val="00AF6790"/>
    <w:rsid w:val="00B01087"/>
    <w:rsid w:val="00B024D1"/>
    <w:rsid w:val="00B119A1"/>
    <w:rsid w:val="00B11BB4"/>
    <w:rsid w:val="00B128BC"/>
    <w:rsid w:val="00B13977"/>
    <w:rsid w:val="00B14430"/>
    <w:rsid w:val="00B22BC2"/>
    <w:rsid w:val="00B30179"/>
    <w:rsid w:val="00B31A28"/>
    <w:rsid w:val="00B35496"/>
    <w:rsid w:val="00B37E98"/>
    <w:rsid w:val="00B40729"/>
    <w:rsid w:val="00B408AF"/>
    <w:rsid w:val="00B421C1"/>
    <w:rsid w:val="00B53165"/>
    <w:rsid w:val="00B55C71"/>
    <w:rsid w:val="00B56E4A"/>
    <w:rsid w:val="00B56E5F"/>
    <w:rsid w:val="00B56E9C"/>
    <w:rsid w:val="00B61320"/>
    <w:rsid w:val="00B64B1F"/>
    <w:rsid w:val="00B6553F"/>
    <w:rsid w:val="00B70366"/>
    <w:rsid w:val="00B70F1E"/>
    <w:rsid w:val="00B73D1E"/>
    <w:rsid w:val="00B77D05"/>
    <w:rsid w:val="00B81206"/>
    <w:rsid w:val="00B81E12"/>
    <w:rsid w:val="00B85C81"/>
    <w:rsid w:val="00B912AE"/>
    <w:rsid w:val="00B912BB"/>
    <w:rsid w:val="00BA2EDB"/>
    <w:rsid w:val="00BA760D"/>
    <w:rsid w:val="00BB7CD1"/>
    <w:rsid w:val="00BC2E61"/>
    <w:rsid w:val="00BC3FA0"/>
    <w:rsid w:val="00BC74E9"/>
    <w:rsid w:val="00BD5D88"/>
    <w:rsid w:val="00BE0F9A"/>
    <w:rsid w:val="00BF68A8"/>
    <w:rsid w:val="00BF7313"/>
    <w:rsid w:val="00C008C8"/>
    <w:rsid w:val="00C033FD"/>
    <w:rsid w:val="00C10FE6"/>
    <w:rsid w:val="00C11A03"/>
    <w:rsid w:val="00C140EE"/>
    <w:rsid w:val="00C22C0C"/>
    <w:rsid w:val="00C24AD1"/>
    <w:rsid w:val="00C34DD8"/>
    <w:rsid w:val="00C35DCA"/>
    <w:rsid w:val="00C4527F"/>
    <w:rsid w:val="00C463DD"/>
    <w:rsid w:val="00C4724C"/>
    <w:rsid w:val="00C50079"/>
    <w:rsid w:val="00C505DE"/>
    <w:rsid w:val="00C5361B"/>
    <w:rsid w:val="00C6176A"/>
    <w:rsid w:val="00C629A0"/>
    <w:rsid w:val="00C64629"/>
    <w:rsid w:val="00C6572A"/>
    <w:rsid w:val="00C745C3"/>
    <w:rsid w:val="00C821B8"/>
    <w:rsid w:val="00C865CC"/>
    <w:rsid w:val="00C87A62"/>
    <w:rsid w:val="00C93BA1"/>
    <w:rsid w:val="00C969BA"/>
    <w:rsid w:val="00CA49E1"/>
    <w:rsid w:val="00CA633F"/>
    <w:rsid w:val="00CA7CBB"/>
    <w:rsid w:val="00CB3E03"/>
    <w:rsid w:val="00CB4EA7"/>
    <w:rsid w:val="00CC18B5"/>
    <w:rsid w:val="00CC24D3"/>
    <w:rsid w:val="00CC399E"/>
    <w:rsid w:val="00CC3F16"/>
    <w:rsid w:val="00CC5EC3"/>
    <w:rsid w:val="00CD1ACE"/>
    <w:rsid w:val="00CD56FC"/>
    <w:rsid w:val="00CE43B2"/>
    <w:rsid w:val="00CE4A8F"/>
    <w:rsid w:val="00CF08CE"/>
    <w:rsid w:val="00CF1606"/>
    <w:rsid w:val="00CF1B67"/>
    <w:rsid w:val="00D01A1A"/>
    <w:rsid w:val="00D01D27"/>
    <w:rsid w:val="00D053EC"/>
    <w:rsid w:val="00D11F46"/>
    <w:rsid w:val="00D15979"/>
    <w:rsid w:val="00D17FEB"/>
    <w:rsid w:val="00D2031B"/>
    <w:rsid w:val="00D25FE2"/>
    <w:rsid w:val="00D322F6"/>
    <w:rsid w:val="00D33060"/>
    <w:rsid w:val="00D40452"/>
    <w:rsid w:val="00D43252"/>
    <w:rsid w:val="00D47EEA"/>
    <w:rsid w:val="00D529D3"/>
    <w:rsid w:val="00D547F6"/>
    <w:rsid w:val="00D74781"/>
    <w:rsid w:val="00D77236"/>
    <w:rsid w:val="00D773DF"/>
    <w:rsid w:val="00D82362"/>
    <w:rsid w:val="00D875F9"/>
    <w:rsid w:val="00D9388B"/>
    <w:rsid w:val="00D95303"/>
    <w:rsid w:val="00D978C6"/>
    <w:rsid w:val="00DA0571"/>
    <w:rsid w:val="00DA3653"/>
    <w:rsid w:val="00DA3C1C"/>
    <w:rsid w:val="00DA6AB6"/>
    <w:rsid w:val="00DC048E"/>
    <w:rsid w:val="00DC228E"/>
    <w:rsid w:val="00DD1EBB"/>
    <w:rsid w:val="00DD2DDD"/>
    <w:rsid w:val="00DD4532"/>
    <w:rsid w:val="00DD6FCC"/>
    <w:rsid w:val="00DF1ADF"/>
    <w:rsid w:val="00DF1FDE"/>
    <w:rsid w:val="00E0127E"/>
    <w:rsid w:val="00E03B52"/>
    <w:rsid w:val="00E046DF"/>
    <w:rsid w:val="00E15557"/>
    <w:rsid w:val="00E2047C"/>
    <w:rsid w:val="00E24363"/>
    <w:rsid w:val="00E27346"/>
    <w:rsid w:val="00E36538"/>
    <w:rsid w:val="00E4196D"/>
    <w:rsid w:val="00E43319"/>
    <w:rsid w:val="00E4375B"/>
    <w:rsid w:val="00E45450"/>
    <w:rsid w:val="00E54EE8"/>
    <w:rsid w:val="00E6267D"/>
    <w:rsid w:val="00E63021"/>
    <w:rsid w:val="00E71BC8"/>
    <w:rsid w:val="00E7260F"/>
    <w:rsid w:val="00E73F5D"/>
    <w:rsid w:val="00E76671"/>
    <w:rsid w:val="00E77E4E"/>
    <w:rsid w:val="00E85993"/>
    <w:rsid w:val="00E87763"/>
    <w:rsid w:val="00E91196"/>
    <w:rsid w:val="00E9316B"/>
    <w:rsid w:val="00E9355B"/>
    <w:rsid w:val="00E9554F"/>
    <w:rsid w:val="00E96630"/>
    <w:rsid w:val="00EB094B"/>
    <w:rsid w:val="00EB6903"/>
    <w:rsid w:val="00EB74F8"/>
    <w:rsid w:val="00EC106A"/>
    <w:rsid w:val="00EC25A4"/>
    <w:rsid w:val="00EC5CC8"/>
    <w:rsid w:val="00ED1A65"/>
    <w:rsid w:val="00ED7A2A"/>
    <w:rsid w:val="00EE4DE2"/>
    <w:rsid w:val="00EE6B3A"/>
    <w:rsid w:val="00EE6DCE"/>
    <w:rsid w:val="00EE71D3"/>
    <w:rsid w:val="00EF1D7F"/>
    <w:rsid w:val="00F20E9B"/>
    <w:rsid w:val="00F21316"/>
    <w:rsid w:val="00F31E5F"/>
    <w:rsid w:val="00F369D6"/>
    <w:rsid w:val="00F400F6"/>
    <w:rsid w:val="00F413F2"/>
    <w:rsid w:val="00F41C14"/>
    <w:rsid w:val="00F42094"/>
    <w:rsid w:val="00F44460"/>
    <w:rsid w:val="00F4507C"/>
    <w:rsid w:val="00F47CAB"/>
    <w:rsid w:val="00F60C43"/>
    <w:rsid w:val="00F6100A"/>
    <w:rsid w:val="00F64EC5"/>
    <w:rsid w:val="00F66565"/>
    <w:rsid w:val="00F71A1B"/>
    <w:rsid w:val="00F73C14"/>
    <w:rsid w:val="00F84AFC"/>
    <w:rsid w:val="00F85E9B"/>
    <w:rsid w:val="00F9198F"/>
    <w:rsid w:val="00F93781"/>
    <w:rsid w:val="00FA1303"/>
    <w:rsid w:val="00FA3B96"/>
    <w:rsid w:val="00FB091C"/>
    <w:rsid w:val="00FB3434"/>
    <w:rsid w:val="00FB613B"/>
    <w:rsid w:val="00FC5B5F"/>
    <w:rsid w:val="00FC68B7"/>
    <w:rsid w:val="00FC6F20"/>
    <w:rsid w:val="00FC7094"/>
    <w:rsid w:val="00FE106A"/>
    <w:rsid w:val="00FE5A12"/>
    <w:rsid w:val="00FF1275"/>
    <w:rsid w:val="00FF145D"/>
    <w:rsid w:val="00FF25DF"/>
    <w:rsid w:val="00FF6744"/>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3825A4"/>
    <w:pPr>
      <w:spacing w:line="240" w:lineRule="auto"/>
      <w:outlineLvl w:val="1"/>
    </w:pPr>
  </w:style>
  <w:style w:type="paragraph" w:styleId="Titre3">
    <w:name w:val="heading 3"/>
    <w:basedOn w:val="Normal"/>
    <w:next w:val="Normal"/>
    <w:qFormat/>
    <w:rsid w:val="003825A4"/>
    <w:pPr>
      <w:spacing w:line="240" w:lineRule="auto"/>
      <w:outlineLvl w:val="2"/>
    </w:pPr>
  </w:style>
  <w:style w:type="paragraph" w:styleId="Titre4">
    <w:name w:val="heading 4"/>
    <w:basedOn w:val="Normal"/>
    <w:next w:val="Normal"/>
    <w:qFormat/>
    <w:rsid w:val="003825A4"/>
    <w:pPr>
      <w:spacing w:line="240" w:lineRule="auto"/>
      <w:outlineLvl w:val="3"/>
    </w:pPr>
  </w:style>
  <w:style w:type="paragraph" w:styleId="Titre5">
    <w:name w:val="heading 5"/>
    <w:basedOn w:val="Normal"/>
    <w:next w:val="Normal"/>
    <w:qFormat/>
    <w:rsid w:val="003825A4"/>
    <w:pPr>
      <w:spacing w:line="240" w:lineRule="auto"/>
      <w:outlineLvl w:val="4"/>
    </w:pPr>
  </w:style>
  <w:style w:type="paragraph" w:styleId="Titre6">
    <w:name w:val="heading 6"/>
    <w:basedOn w:val="Normal"/>
    <w:next w:val="Normal"/>
    <w:qFormat/>
    <w:rsid w:val="003825A4"/>
    <w:pPr>
      <w:spacing w:line="240" w:lineRule="auto"/>
      <w:outlineLvl w:val="5"/>
    </w:pPr>
  </w:style>
  <w:style w:type="paragraph" w:styleId="Titre7">
    <w:name w:val="heading 7"/>
    <w:basedOn w:val="Normal"/>
    <w:next w:val="Normal"/>
    <w:qFormat/>
    <w:rsid w:val="003825A4"/>
    <w:pPr>
      <w:spacing w:line="240" w:lineRule="auto"/>
      <w:outlineLvl w:val="6"/>
    </w:pPr>
  </w:style>
  <w:style w:type="paragraph" w:styleId="Titre8">
    <w:name w:val="heading 8"/>
    <w:basedOn w:val="Normal"/>
    <w:next w:val="Normal"/>
    <w:qFormat/>
    <w:rsid w:val="003825A4"/>
    <w:pPr>
      <w:spacing w:line="240" w:lineRule="auto"/>
      <w:outlineLvl w:val="7"/>
    </w:pPr>
  </w:style>
  <w:style w:type="paragraph" w:styleId="Titre9">
    <w:name w:val="heading 9"/>
    <w:basedOn w:val="Normal"/>
    <w:next w:val="Normal"/>
    <w:qFormat/>
    <w:rsid w:val="003825A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3825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3825A4"/>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3825A4"/>
    <w:pPr>
      <w:numPr>
        <w:numId w:val="13"/>
      </w:numPr>
      <w:tabs>
        <w:tab w:val="clear" w:pos="1494"/>
      </w:tabs>
    </w:pPr>
  </w:style>
  <w:style w:type="paragraph" w:customStyle="1" w:styleId="SingleTxtG">
    <w:name w:val="_ Single Txt_G"/>
    <w:basedOn w:val="Normal"/>
    <w:link w:val="SingleTxtGChar"/>
    <w:rsid w:val="003825A4"/>
    <w:pPr>
      <w:spacing w:after="120"/>
      <w:ind w:left="1134" w:right="1134"/>
      <w:jc w:val="both"/>
    </w:pPr>
    <w:rPr>
      <w:lang w:val="x-none"/>
    </w:rPr>
  </w:style>
  <w:style w:type="character" w:styleId="Numrodepage">
    <w:name w:val="page number"/>
    <w:aliases w:val="7_G"/>
    <w:rsid w:val="008979B1"/>
    <w:rPr>
      <w:rFonts w:ascii="Times New Roman" w:hAnsi="Times New Roman"/>
      <w:b/>
      <w:sz w:val="18"/>
    </w:rPr>
  </w:style>
  <w:style w:type="paragraph" w:styleId="Textebrut">
    <w:name w:val="Plain Text"/>
    <w:basedOn w:val="Normal"/>
    <w:link w:val="TextebrutCar"/>
    <w:uiPriority w:val="99"/>
    <w:semiHidden/>
    <w:rsid w:val="003825A4"/>
  </w:style>
  <w:style w:type="paragraph" w:styleId="Corpsdetexte">
    <w:name w:val="Body Text"/>
    <w:basedOn w:val="Normal"/>
    <w:next w:val="Normal"/>
    <w:link w:val="CorpsdetexteCar"/>
    <w:rsid w:val="003825A4"/>
    <w:rPr>
      <w:lang w:val="x-none"/>
    </w:rPr>
  </w:style>
  <w:style w:type="paragraph" w:styleId="Retraitcorpsdetexte">
    <w:name w:val="Body Text Indent"/>
    <w:basedOn w:val="Normal"/>
    <w:semiHidden/>
    <w:rsid w:val="003825A4"/>
    <w:pPr>
      <w:spacing w:after="120"/>
      <w:ind w:left="283"/>
    </w:pPr>
  </w:style>
  <w:style w:type="paragraph" w:styleId="Normalcentr">
    <w:name w:val="Block Text"/>
    <w:basedOn w:val="Normal"/>
    <w:semiHidden/>
    <w:rsid w:val="003825A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3825A4"/>
    <w:rPr>
      <w:sz w:val="6"/>
    </w:rPr>
  </w:style>
  <w:style w:type="paragraph" w:styleId="Commentaire">
    <w:name w:val="annotation text"/>
    <w:basedOn w:val="Normal"/>
    <w:link w:val="CommentaireCar"/>
    <w:uiPriority w:val="99"/>
    <w:rsid w:val="003825A4"/>
  </w:style>
  <w:style w:type="character" w:styleId="Numrodeligne">
    <w:name w:val="line number"/>
    <w:semiHidden/>
    <w:rsid w:val="003825A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3825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825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825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825A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rsid w:val="008A6C4F"/>
    <w:pPr>
      <w:spacing w:after="120"/>
      <w:ind w:left="566"/>
    </w:pPr>
  </w:style>
  <w:style w:type="paragraph" w:styleId="Listecontinue3">
    <w:name w:val="List Continue 3"/>
    <w:basedOn w:val="Normal"/>
    <w:rsid w:val="008A6C4F"/>
    <w:pPr>
      <w:spacing w:after="120"/>
      <w:ind w:left="849"/>
    </w:pPr>
  </w:style>
  <w:style w:type="paragraph" w:styleId="Listecontinue4">
    <w:name w:val="List Continue 4"/>
    <w:basedOn w:val="Normal"/>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8878DE"/>
    <w:pPr>
      <w:spacing w:line="240" w:lineRule="auto"/>
    </w:pPr>
    <w:rPr>
      <w:sz w:val="16"/>
      <w:lang w:val="x-none"/>
    </w:rPr>
  </w:style>
  <w:style w:type="paragraph" w:styleId="En-tte">
    <w:name w:val="header"/>
    <w:aliases w:val="6_G"/>
    <w:basedOn w:val="Normal"/>
    <w:link w:val="En-tteCar"/>
    <w:uiPriority w:val="99"/>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character" w:customStyle="1" w:styleId="SingleTxtGChar">
    <w:name w:val="_ Single Txt_G Char"/>
    <w:link w:val="SingleTxtG"/>
    <w:rsid w:val="00F60C43"/>
    <w:rPr>
      <w:lang w:eastAsia="en-US"/>
    </w:rPr>
  </w:style>
  <w:style w:type="paragraph" w:styleId="Textedebulles">
    <w:name w:val="Balloon Text"/>
    <w:basedOn w:val="Normal"/>
    <w:link w:val="TextedebullesCar"/>
    <w:rsid w:val="001A69F3"/>
    <w:pPr>
      <w:spacing w:line="240" w:lineRule="auto"/>
    </w:pPr>
    <w:rPr>
      <w:rFonts w:ascii="Tahoma" w:hAnsi="Tahoma"/>
      <w:sz w:val="16"/>
      <w:szCs w:val="16"/>
      <w:lang w:val="x-none"/>
    </w:rPr>
  </w:style>
  <w:style w:type="character" w:customStyle="1" w:styleId="TextedebullesCar">
    <w:name w:val="Texte de bulles Car"/>
    <w:link w:val="Textedebulles"/>
    <w:rsid w:val="001A69F3"/>
    <w:rPr>
      <w:rFonts w:ascii="Tahoma" w:hAnsi="Tahoma" w:cs="Tahoma"/>
      <w:sz w:val="16"/>
      <w:szCs w:val="16"/>
      <w:lang w:eastAsia="en-US"/>
    </w:rPr>
  </w:style>
  <w:style w:type="paragraph" w:customStyle="1" w:styleId="List1">
    <w:name w:val="List 1."/>
    <w:basedOn w:val="Normal"/>
    <w:qFormat/>
    <w:rsid w:val="00284EB0"/>
    <w:pPr>
      <w:numPr>
        <w:numId w:val="17"/>
      </w:numPr>
      <w:suppressAutoHyphens w:val="0"/>
      <w:spacing w:before="360" w:after="120" w:line="240" w:lineRule="auto"/>
      <w:jc w:val="both"/>
      <w:outlineLvl w:val="0"/>
    </w:pPr>
    <w:rPr>
      <w:rFonts w:ascii="Arial" w:eastAsia="Calibri" w:hAnsi="Arial"/>
      <w:b/>
      <w:caps/>
      <w:sz w:val="22"/>
    </w:rPr>
  </w:style>
  <w:style w:type="paragraph" w:customStyle="1" w:styleId="List2">
    <w:name w:val="List 2."/>
    <w:basedOn w:val="Normal"/>
    <w:qFormat/>
    <w:rsid w:val="00284EB0"/>
    <w:pPr>
      <w:numPr>
        <w:ilvl w:val="1"/>
        <w:numId w:val="17"/>
      </w:numPr>
      <w:suppressAutoHyphens w:val="0"/>
      <w:spacing w:before="240" w:after="120" w:line="240" w:lineRule="auto"/>
      <w:jc w:val="both"/>
      <w:outlineLvl w:val="1"/>
    </w:pPr>
    <w:rPr>
      <w:rFonts w:ascii="Arial" w:eastAsia="Calibri" w:hAnsi="Arial"/>
      <w:b/>
      <w:sz w:val="22"/>
    </w:rPr>
  </w:style>
  <w:style w:type="paragraph" w:customStyle="1" w:styleId="List3">
    <w:name w:val="List 3."/>
    <w:basedOn w:val="Normal"/>
    <w:qFormat/>
    <w:rsid w:val="00284EB0"/>
    <w:pPr>
      <w:numPr>
        <w:ilvl w:val="2"/>
        <w:numId w:val="17"/>
      </w:numPr>
      <w:suppressAutoHyphens w:val="0"/>
      <w:spacing w:after="120" w:line="240" w:lineRule="auto"/>
      <w:jc w:val="both"/>
    </w:pPr>
    <w:rPr>
      <w:rFonts w:ascii="Arial" w:eastAsia="Calibri" w:hAnsi="Arial"/>
      <w:sz w:val="22"/>
    </w:rPr>
  </w:style>
  <w:style w:type="paragraph" w:customStyle="1" w:styleId="List4">
    <w:name w:val="List 4."/>
    <w:basedOn w:val="Normal"/>
    <w:qFormat/>
    <w:rsid w:val="00284EB0"/>
    <w:pPr>
      <w:numPr>
        <w:ilvl w:val="3"/>
        <w:numId w:val="17"/>
      </w:numPr>
      <w:suppressAutoHyphens w:val="0"/>
      <w:spacing w:after="120" w:line="240" w:lineRule="auto"/>
      <w:jc w:val="both"/>
    </w:pPr>
    <w:rPr>
      <w:rFonts w:ascii="Arial" w:eastAsia="Calibri" w:hAnsi="Arial"/>
      <w:sz w:val="22"/>
    </w:rPr>
  </w:style>
  <w:style w:type="paragraph" w:customStyle="1" w:styleId="List5">
    <w:name w:val="List 5."/>
    <w:basedOn w:val="Normal"/>
    <w:qFormat/>
    <w:rsid w:val="00284EB0"/>
    <w:pPr>
      <w:numPr>
        <w:ilvl w:val="4"/>
        <w:numId w:val="17"/>
      </w:numPr>
      <w:suppressAutoHyphens w:val="0"/>
      <w:spacing w:after="120" w:line="240" w:lineRule="auto"/>
      <w:jc w:val="both"/>
    </w:pPr>
    <w:rPr>
      <w:rFonts w:ascii="Arial" w:eastAsia="Calibri" w:hAnsi="Arial"/>
      <w:sz w:val="22"/>
    </w:rPr>
  </w:style>
  <w:style w:type="paragraph" w:customStyle="1" w:styleId="List6">
    <w:name w:val="List 6."/>
    <w:basedOn w:val="Normal"/>
    <w:qFormat/>
    <w:rsid w:val="00284EB0"/>
    <w:pPr>
      <w:numPr>
        <w:ilvl w:val="5"/>
        <w:numId w:val="17"/>
      </w:numPr>
      <w:suppressAutoHyphens w:val="0"/>
      <w:spacing w:after="120" w:line="240" w:lineRule="auto"/>
      <w:jc w:val="both"/>
    </w:pPr>
    <w:rPr>
      <w:rFonts w:ascii="Arial" w:eastAsia="Calibri" w:hAnsi="Arial"/>
      <w:sz w:val="22"/>
    </w:rPr>
  </w:style>
  <w:style w:type="paragraph" w:customStyle="1" w:styleId="ColorfulList-Accent11">
    <w:name w:val="Colorful List - Accent 11"/>
    <w:basedOn w:val="Normal"/>
    <w:uiPriority w:val="34"/>
    <w:qFormat/>
    <w:rsid w:val="00D547F6"/>
    <w:pPr>
      <w:suppressAutoHyphens w:val="0"/>
      <w:spacing w:after="120" w:line="240" w:lineRule="auto"/>
      <w:ind w:left="720"/>
      <w:contextualSpacing/>
      <w:jc w:val="both"/>
    </w:pPr>
    <w:rPr>
      <w:rFonts w:ascii="Arial" w:eastAsia="Calibri" w:hAnsi="Arial"/>
      <w:sz w:val="22"/>
    </w:rPr>
  </w:style>
  <w:style w:type="character" w:customStyle="1" w:styleId="NotedebasdepageCar">
    <w:name w:val="Note de bas de page Car"/>
    <w:aliases w:val="5_G Car"/>
    <w:link w:val="Notedebasdepage"/>
    <w:rsid w:val="00FC6F20"/>
    <w:rPr>
      <w:sz w:val="18"/>
      <w:lang w:eastAsia="en-US"/>
    </w:rPr>
  </w:style>
  <w:style w:type="character" w:customStyle="1" w:styleId="CommentaireCar">
    <w:name w:val="Commentaire Car"/>
    <w:link w:val="Commentaire"/>
    <w:uiPriority w:val="99"/>
    <w:rsid w:val="0011073E"/>
    <w:rPr>
      <w:lang w:val="en-GB" w:eastAsia="en-US"/>
    </w:rPr>
  </w:style>
  <w:style w:type="paragraph" w:styleId="Objetducommentaire">
    <w:name w:val="annotation subject"/>
    <w:basedOn w:val="Commentaire"/>
    <w:next w:val="Commentaire"/>
    <w:link w:val="ObjetducommentaireCar"/>
    <w:rsid w:val="007E6D37"/>
    <w:rPr>
      <w:b/>
      <w:bCs/>
    </w:rPr>
  </w:style>
  <w:style w:type="character" w:customStyle="1" w:styleId="ObjetducommentaireCar">
    <w:name w:val="Objet du commentaire Car"/>
    <w:link w:val="Objetducommentaire"/>
    <w:rsid w:val="007E6D37"/>
    <w:rPr>
      <w:b/>
      <w:bCs/>
      <w:lang w:val="en-GB" w:eastAsia="en-US"/>
    </w:rPr>
  </w:style>
  <w:style w:type="character" w:customStyle="1" w:styleId="HChGChar">
    <w:name w:val="_ H _Ch_G Char"/>
    <w:link w:val="HChG"/>
    <w:rsid w:val="00FB091C"/>
    <w:rPr>
      <w:b/>
      <w:sz w:val="28"/>
      <w:lang w:eastAsia="en-US"/>
    </w:rPr>
  </w:style>
  <w:style w:type="paragraph" w:customStyle="1" w:styleId="a2">
    <w:name w:val="a2"/>
    <w:basedOn w:val="Titre2"/>
    <w:next w:val="Normal"/>
    <w:uiPriority w:val="99"/>
    <w:rsid w:val="00FB091C"/>
    <w:pPr>
      <w:keepNext/>
      <w:numPr>
        <w:ilvl w:val="1"/>
        <w:numId w:val="18"/>
      </w:numPr>
      <w:tabs>
        <w:tab w:val="left" w:pos="720"/>
      </w:tabs>
      <w:spacing w:before="270" w:after="240" w:line="270" w:lineRule="exact"/>
    </w:pPr>
    <w:rPr>
      <w:rFonts w:ascii="Arial" w:eastAsia="MS Mincho" w:hAnsi="Arial"/>
      <w:b/>
      <w:sz w:val="24"/>
      <w:lang w:eastAsia="fr-FR"/>
    </w:rPr>
  </w:style>
  <w:style w:type="paragraph" w:customStyle="1" w:styleId="a3">
    <w:name w:val="a3"/>
    <w:basedOn w:val="Titre3"/>
    <w:next w:val="Normal"/>
    <w:uiPriority w:val="99"/>
    <w:rsid w:val="00FB091C"/>
    <w:pPr>
      <w:keepNext/>
      <w:numPr>
        <w:ilvl w:val="2"/>
        <w:numId w:val="18"/>
      </w:numPr>
      <w:tabs>
        <w:tab w:val="left" w:pos="640"/>
        <w:tab w:val="left" w:pos="880"/>
      </w:tabs>
      <w:spacing w:before="60" w:after="240" w:line="250" w:lineRule="exact"/>
    </w:pPr>
    <w:rPr>
      <w:rFonts w:ascii="Arial" w:eastAsia="MS Mincho" w:hAnsi="Arial"/>
      <w:b/>
      <w:sz w:val="22"/>
      <w:lang w:eastAsia="fr-FR"/>
    </w:rPr>
  </w:style>
  <w:style w:type="paragraph" w:customStyle="1" w:styleId="a4">
    <w:name w:val="a4"/>
    <w:basedOn w:val="Titre4"/>
    <w:next w:val="Normal"/>
    <w:rsid w:val="00FB091C"/>
    <w:pPr>
      <w:keepNext/>
      <w:numPr>
        <w:ilvl w:val="3"/>
        <w:numId w:val="18"/>
      </w:numPr>
      <w:tabs>
        <w:tab w:val="left" w:pos="880"/>
      </w:tabs>
      <w:spacing w:before="60" w:after="240" w:line="230" w:lineRule="exact"/>
    </w:pPr>
    <w:rPr>
      <w:rFonts w:ascii="Arial" w:eastAsia="MS Mincho" w:hAnsi="Arial"/>
      <w:b/>
      <w:lang w:eastAsia="fr-FR"/>
    </w:rPr>
  </w:style>
  <w:style w:type="paragraph" w:customStyle="1" w:styleId="a5">
    <w:name w:val="a5"/>
    <w:basedOn w:val="Titre5"/>
    <w:next w:val="Normal"/>
    <w:rsid w:val="00FB091C"/>
    <w:pPr>
      <w:keepNext/>
      <w:numPr>
        <w:ilvl w:val="4"/>
        <w:numId w:val="18"/>
      </w:numPr>
      <w:tabs>
        <w:tab w:val="left" w:pos="1140"/>
        <w:tab w:val="left" w:pos="1360"/>
      </w:tabs>
      <w:spacing w:before="60" w:after="240" w:line="230" w:lineRule="exact"/>
    </w:pPr>
    <w:rPr>
      <w:rFonts w:ascii="Arial" w:eastAsia="MS Mincho" w:hAnsi="Arial"/>
      <w:b/>
      <w:lang w:eastAsia="fr-FR"/>
    </w:rPr>
  </w:style>
  <w:style w:type="paragraph" w:customStyle="1" w:styleId="a6">
    <w:name w:val="a6"/>
    <w:basedOn w:val="Titre6"/>
    <w:next w:val="Normal"/>
    <w:rsid w:val="00FB091C"/>
    <w:pPr>
      <w:keepNext/>
      <w:numPr>
        <w:ilvl w:val="5"/>
        <w:numId w:val="18"/>
      </w:numPr>
      <w:tabs>
        <w:tab w:val="left" w:pos="1140"/>
        <w:tab w:val="left" w:pos="1360"/>
      </w:tabs>
      <w:spacing w:before="60" w:after="240" w:line="230" w:lineRule="exact"/>
    </w:pPr>
    <w:rPr>
      <w:rFonts w:ascii="Arial" w:eastAsia="MS Mincho" w:hAnsi="Arial"/>
      <w:b/>
      <w:lang w:eastAsia="fr-FR"/>
    </w:rPr>
  </w:style>
  <w:style w:type="paragraph" w:customStyle="1" w:styleId="ANNEX">
    <w:name w:val="ANNEX"/>
    <w:basedOn w:val="Normal"/>
    <w:next w:val="Normal"/>
    <w:uiPriority w:val="99"/>
    <w:rsid w:val="00FB091C"/>
    <w:pPr>
      <w:keepNext/>
      <w:pageBreakBefore/>
      <w:numPr>
        <w:numId w:val="18"/>
      </w:numPr>
      <w:suppressAutoHyphens w:val="0"/>
      <w:spacing w:after="760" w:line="310" w:lineRule="exact"/>
      <w:jc w:val="center"/>
      <w:outlineLvl w:val="0"/>
    </w:pPr>
    <w:rPr>
      <w:rFonts w:ascii="Arial" w:eastAsia="MS Mincho" w:hAnsi="Arial"/>
      <w:b/>
      <w:sz w:val="28"/>
      <w:lang w:eastAsia="fr-FR"/>
    </w:rPr>
  </w:style>
  <w:style w:type="paragraph" w:customStyle="1" w:styleId="Figuretitle">
    <w:name w:val="Figure title"/>
    <w:basedOn w:val="Normal"/>
    <w:next w:val="Normal"/>
    <w:uiPriority w:val="99"/>
    <w:rsid w:val="00FB091C"/>
    <w:pPr>
      <w:spacing w:before="220" w:after="220" w:line="230" w:lineRule="atLeast"/>
      <w:jc w:val="center"/>
    </w:pPr>
    <w:rPr>
      <w:rFonts w:ascii="Arial" w:eastAsia="MS Mincho" w:hAnsi="Arial"/>
      <w:b/>
      <w:lang w:eastAsia="fr-FR"/>
    </w:rPr>
  </w:style>
  <w:style w:type="paragraph" w:customStyle="1" w:styleId="Tabletitle">
    <w:name w:val="Table title"/>
    <w:basedOn w:val="Normal"/>
    <w:next w:val="Normal"/>
    <w:rsid w:val="00FB091C"/>
    <w:pPr>
      <w:keepNext/>
      <w:spacing w:before="120" w:after="120" w:line="230" w:lineRule="exact"/>
      <w:jc w:val="center"/>
    </w:pPr>
    <w:rPr>
      <w:rFonts w:ascii="Arial" w:eastAsia="MS Mincho" w:hAnsi="Arial"/>
      <w:b/>
      <w:lang w:eastAsia="fr-FR"/>
    </w:rPr>
  </w:style>
  <w:style w:type="character" w:customStyle="1" w:styleId="En-tteCar">
    <w:name w:val="En-tête Car"/>
    <w:aliases w:val="6_G Car"/>
    <w:link w:val="En-tte"/>
    <w:uiPriority w:val="99"/>
    <w:rsid w:val="00FB091C"/>
    <w:rPr>
      <w:b/>
      <w:sz w:val="18"/>
      <w:lang w:eastAsia="en-US"/>
    </w:rPr>
  </w:style>
  <w:style w:type="character" w:customStyle="1" w:styleId="CorpsdetexteCar">
    <w:name w:val="Corps de texte Car"/>
    <w:link w:val="Corpsdetexte"/>
    <w:rsid w:val="00FB091C"/>
    <w:rPr>
      <w:lang w:eastAsia="en-US"/>
    </w:rPr>
  </w:style>
  <w:style w:type="paragraph" w:customStyle="1" w:styleId="Tabletext10">
    <w:name w:val="Table text (10)"/>
    <w:basedOn w:val="Normal"/>
    <w:uiPriority w:val="99"/>
    <w:rsid w:val="00FB091C"/>
    <w:pPr>
      <w:suppressAutoHyphens w:val="0"/>
      <w:spacing w:before="60" w:after="60" w:line="230" w:lineRule="atLeast"/>
      <w:jc w:val="both"/>
    </w:pPr>
    <w:rPr>
      <w:rFonts w:ascii="Arial" w:hAnsi="Arial"/>
      <w:lang w:eastAsia="en-GB"/>
    </w:rPr>
  </w:style>
  <w:style w:type="character" w:customStyle="1" w:styleId="PieddepageCar">
    <w:name w:val="Pied de page Car"/>
    <w:aliases w:val="3_G Car"/>
    <w:link w:val="Pieddepage"/>
    <w:uiPriority w:val="99"/>
    <w:rsid w:val="00FB091C"/>
    <w:rPr>
      <w:sz w:val="16"/>
      <w:lang w:eastAsia="en-US"/>
    </w:rPr>
  </w:style>
  <w:style w:type="paragraph" w:customStyle="1" w:styleId="Note">
    <w:name w:val="Note"/>
    <w:basedOn w:val="Normal"/>
    <w:next w:val="Normal"/>
    <w:uiPriority w:val="99"/>
    <w:rsid w:val="00FB091C"/>
    <w:pPr>
      <w:tabs>
        <w:tab w:val="left" w:pos="960"/>
      </w:tabs>
      <w:suppressAutoHyphens w:val="0"/>
      <w:spacing w:after="240" w:line="210" w:lineRule="atLeast"/>
      <w:jc w:val="both"/>
    </w:pPr>
    <w:rPr>
      <w:rFonts w:ascii="Arial" w:hAnsi="Arial"/>
      <w:sz w:val="18"/>
      <w:lang w:eastAsia="en-GB"/>
    </w:rPr>
  </w:style>
  <w:style w:type="character" w:customStyle="1" w:styleId="TextebrutCar">
    <w:name w:val="Texte brut Car"/>
    <w:link w:val="Textebrut"/>
    <w:uiPriority w:val="99"/>
    <w:semiHidden/>
    <w:rsid w:val="00555746"/>
    <w:rPr>
      <w:rFonts w:cs="Courier New"/>
      <w:lang w:val="en-GB" w:eastAsia="en-US"/>
    </w:rPr>
  </w:style>
  <w:style w:type="paragraph" w:styleId="Paragraphedeliste">
    <w:name w:val="List Paragraph"/>
    <w:basedOn w:val="Normal"/>
    <w:uiPriority w:val="34"/>
    <w:qFormat/>
    <w:rsid w:val="0057406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3825A4"/>
    <w:pPr>
      <w:spacing w:line="240" w:lineRule="auto"/>
      <w:outlineLvl w:val="1"/>
    </w:pPr>
  </w:style>
  <w:style w:type="paragraph" w:styleId="Titre3">
    <w:name w:val="heading 3"/>
    <w:basedOn w:val="Normal"/>
    <w:next w:val="Normal"/>
    <w:qFormat/>
    <w:rsid w:val="003825A4"/>
    <w:pPr>
      <w:spacing w:line="240" w:lineRule="auto"/>
      <w:outlineLvl w:val="2"/>
    </w:pPr>
  </w:style>
  <w:style w:type="paragraph" w:styleId="Titre4">
    <w:name w:val="heading 4"/>
    <w:basedOn w:val="Normal"/>
    <w:next w:val="Normal"/>
    <w:qFormat/>
    <w:rsid w:val="003825A4"/>
    <w:pPr>
      <w:spacing w:line="240" w:lineRule="auto"/>
      <w:outlineLvl w:val="3"/>
    </w:pPr>
  </w:style>
  <w:style w:type="paragraph" w:styleId="Titre5">
    <w:name w:val="heading 5"/>
    <w:basedOn w:val="Normal"/>
    <w:next w:val="Normal"/>
    <w:qFormat/>
    <w:rsid w:val="003825A4"/>
    <w:pPr>
      <w:spacing w:line="240" w:lineRule="auto"/>
      <w:outlineLvl w:val="4"/>
    </w:pPr>
  </w:style>
  <w:style w:type="paragraph" w:styleId="Titre6">
    <w:name w:val="heading 6"/>
    <w:basedOn w:val="Normal"/>
    <w:next w:val="Normal"/>
    <w:qFormat/>
    <w:rsid w:val="003825A4"/>
    <w:pPr>
      <w:spacing w:line="240" w:lineRule="auto"/>
      <w:outlineLvl w:val="5"/>
    </w:pPr>
  </w:style>
  <w:style w:type="paragraph" w:styleId="Titre7">
    <w:name w:val="heading 7"/>
    <w:basedOn w:val="Normal"/>
    <w:next w:val="Normal"/>
    <w:qFormat/>
    <w:rsid w:val="003825A4"/>
    <w:pPr>
      <w:spacing w:line="240" w:lineRule="auto"/>
      <w:outlineLvl w:val="6"/>
    </w:pPr>
  </w:style>
  <w:style w:type="paragraph" w:styleId="Titre8">
    <w:name w:val="heading 8"/>
    <w:basedOn w:val="Normal"/>
    <w:next w:val="Normal"/>
    <w:qFormat/>
    <w:rsid w:val="003825A4"/>
    <w:pPr>
      <w:spacing w:line="240" w:lineRule="auto"/>
      <w:outlineLvl w:val="7"/>
    </w:pPr>
  </w:style>
  <w:style w:type="paragraph" w:styleId="Titre9">
    <w:name w:val="heading 9"/>
    <w:basedOn w:val="Normal"/>
    <w:next w:val="Normal"/>
    <w:qFormat/>
    <w:rsid w:val="003825A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3825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3825A4"/>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3825A4"/>
    <w:pPr>
      <w:numPr>
        <w:numId w:val="13"/>
      </w:numPr>
      <w:tabs>
        <w:tab w:val="clear" w:pos="1494"/>
      </w:tabs>
    </w:pPr>
  </w:style>
  <w:style w:type="paragraph" w:customStyle="1" w:styleId="SingleTxtG">
    <w:name w:val="_ Single Txt_G"/>
    <w:basedOn w:val="Normal"/>
    <w:link w:val="SingleTxtGChar"/>
    <w:rsid w:val="003825A4"/>
    <w:pPr>
      <w:spacing w:after="120"/>
      <w:ind w:left="1134" w:right="1134"/>
      <w:jc w:val="both"/>
    </w:pPr>
    <w:rPr>
      <w:lang w:val="x-none"/>
    </w:rPr>
  </w:style>
  <w:style w:type="character" w:styleId="Numrodepage">
    <w:name w:val="page number"/>
    <w:aliases w:val="7_G"/>
    <w:rsid w:val="008979B1"/>
    <w:rPr>
      <w:rFonts w:ascii="Times New Roman" w:hAnsi="Times New Roman"/>
      <w:b/>
      <w:sz w:val="18"/>
    </w:rPr>
  </w:style>
  <w:style w:type="paragraph" w:styleId="Textebrut">
    <w:name w:val="Plain Text"/>
    <w:basedOn w:val="Normal"/>
    <w:link w:val="TextebrutCar"/>
    <w:uiPriority w:val="99"/>
    <w:semiHidden/>
    <w:rsid w:val="003825A4"/>
  </w:style>
  <w:style w:type="paragraph" w:styleId="Corpsdetexte">
    <w:name w:val="Body Text"/>
    <w:basedOn w:val="Normal"/>
    <w:next w:val="Normal"/>
    <w:link w:val="CorpsdetexteCar"/>
    <w:rsid w:val="003825A4"/>
    <w:rPr>
      <w:lang w:val="x-none"/>
    </w:rPr>
  </w:style>
  <w:style w:type="paragraph" w:styleId="Retraitcorpsdetexte">
    <w:name w:val="Body Text Indent"/>
    <w:basedOn w:val="Normal"/>
    <w:semiHidden/>
    <w:rsid w:val="003825A4"/>
    <w:pPr>
      <w:spacing w:after="120"/>
      <w:ind w:left="283"/>
    </w:pPr>
  </w:style>
  <w:style w:type="paragraph" w:styleId="Normalcentr">
    <w:name w:val="Block Text"/>
    <w:basedOn w:val="Normal"/>
    <w:semiHidden/>
    <w:rsid w:val="003825A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3825A4"/>
    <w:rPr>
      <w:sz w:val="6"/>
    </w:rPr>
  </w:style>
  <w:style w:type="paragraph" w:styleId="Commentaire">
    <w:name w:val="annotation text"/>
    <w:basedOn w:val="Normal"/>
    <w:link w:val="CommentaireCar"/>
    <w:uiPriority w:val="99"/>
    <w:rsid w:val="003825A4"/>
  </w:style>
  <w:style w:type="character" w:styleId="Numrodeligne">
    <w:name w:val="line number"/>
    <w:semiHidden/>
    <w:rsid w:val="003825A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3825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825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825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825A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rsid w:val="008A6C4F"/>
    <w:pPr>
      <w:spacing w:after="120"/>
      <w:ind w:left="566"/>
    </w:pPr>
  </w:style>
  <w:style w:type="paragraph" w:styleId="Listecontinue3">
    <w:name w:val="List Continue 3"/>
    <w:basedOn w:val="Normal"/>
    <w:rsid w:val="008A6C4F"/>
    <w:pPr>
      <w:spacing w:after="120"/>
      <w:ind w:left="849"/>
    </w:pPr>
  </w:style>
  <w:style w:type="paragraph" w:styleId="Listecontinue4">
    <w:name w:val="List Continue 4"/>
    <w:basedOn w:val="Normal"/>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8878DE"/>
    <w:pPr>
      <w:spacing w:line="240" w:lineRule="auto"/>
    </w:pPr>
    <w:rPr>
      <w:sz w:val="16"/>
      <w:lang w:val="x-none"/>
    </w:rPr>
  </w:style>
  <w:style w:type="paragraph" w:styleId="En-tte">
    <w:name w:val="header"/>
    <w:aliases w:val="6_G"/>
    <w:basedOn w:val="Normal"/>
    <w:link w:val="En-tteCar"/>
    <w:uiPriority w:val="99"/>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character" w:customStyle="1" w:styleId="SingleTxtGChar">
    <w:name w:val="_ Single Txt_G Char"/>
    <w:link w:val="SingleTxtG"/>
    <w:rsid w:val="00F60C43"/>
    <w:rPr>
      <w:lang w:eastAsia="en-US"/>
    </w:rPr>
  </w:style>
  <w:style w:type="paragraph" w:styleId="Textedebulles">
    <w:name w:val="Balloon Text"/>
    <w:basedOn w:val="Normal"/>
    <w:link w:val="TextedebullesCar"/>
    <w:rsid w:val="001A69F3"/>
    <w:pPr>
      <w:spacing w:line="240" w:lineRule="auto"/>
    </w:pPr>
    <w:rPr>
      <w:rFonts w:ascii="Tahoma" w:hAnsi="Tahoma"/>
      <w:sz w:val="16"/>
      <w:szCs w:val="16"/>
      <w:lang w:val="x-none"/>
    </w:rPr>
  </w:style>
  <w:style w:type="character" w:customStyle="1" w:styleId="TextedebullesCar">
    <w:name w:val="Texte de bulles Car"/>
    <w:link w:val="Textedebulles"/>
    <w:rsid w:val="001A69F3"/>
    <w:rPr>
      <w:rFonts w:ascii="Tahoma" w:hAnsi="Tahoma" w:cs="Tahoma"/>
      <w:sz w:val="16"/>
      <w:szCs w:val="16"/>
      <w:lang w:eastAsia="en-US"/>
    </w:rPr>
  </w:style>
  <w:style w:type="paragraph" w:customStyle="1" w:styleId="List1">
    <w:name w:val="List 1."/>
    <w:basedOn w:val="Normal"/>
    <w:qFormat/>
    <w:rsid w:val="00284EB0"/>
    <w:pPr>
      <w:numPr>
        <w:numId w:val="17"/>
      </w:numPr>
      <w:suppressAutoHyphens w:val="0"/>
      <w:spacing w:before="360" w:after="120" w:line="240" w:lineRule="auto"/>
      <w:jc w:val="both"/>
      <w:outlineLvl w:val="0"/>
    </w:pPr>
    <w:rPr>
      <w:rFonts w:ascii="Arial" w:eastAsia="Calibri" w:hAnsi="Arial"/>
      <w:b/>
      <w:caps/>
      <w:sz w:val="22"/>
    </w:rPr>
  </w:style>
  <w:style w:type="paragraph" w:customStyle="1" w:styleId="List2">
    <w:name w:val="List 2."/>
    <w:basedOn w:val="Normal"/>
    <w:qFormat/>
    <w:rsid w:val="00284EB0"/>
    <w:pPr>
      <w:numPr>
        <w:ilvl w:val="1"/>
        <w:numId w:val="17"/>
      </w:numPr>
      <w:suppressAutoHyphens w:val="0"/>
      <w:spacing w:before="240" w:after="120" w:line="240" w:lineRule="auto"/>
      <w:jc w:val="both"/>
      <w:outlineLvl w:val="1"/>
    </w:pPr>
    <w:rPr>
      <w:rFonts w:ascii="Arial" w:eastAsia="Calibri" w:hAnsi="Arial"/>
      <w:b/>
      <w:sz w:val="22"/>
    </w:rPr>
  </w:style>
  <w:style w:type="paragraph" w:customStyle="1" w:styleId="List3">
    <w:name w:val="List 3."/>
    <w:basedOn w:val="Normal"/>
    <w:qFormat/>
    <w:rsid w:val="00284EB0"/>
    <w:pPr>
      <w:numPr>
        <w:ilvl w:val="2"/>
        <w:numId w:val="17"/>
      </w:numPr>
      <w:suppressAutoHyphens w:val="0"/>
      <w:spacing w:after="120" w:line="240" w:lineRule="auto"/>
      <w:jc w:val="both"/>
    </w:pPr>
    <w:rPr>
      <w:rFonts w:ascii="Arial" w:eastAsia="Calibri" w:hAnsi="Arial"/>
      <w:sz w:val="22"/>
    </w:rPr>
  </w:style>
  <w:style w:type="paragraph" w:customStyle="1" w:styleId="List4">
    <w:name w:val="List 4."/>
    <w:basedOn w:val="Normal"/>
    <w:qFormat/>
    <w:rsid w:val="00284EB0"/>
    <w:pPr>
      <w:numPr>
        <w:ilvl w:val="3"/>
        <w:numId w:val="17"/>
      </w:numPr>
      <w:suppressAutoHyphens w:val="0"/>
      <w:spacing w:after="120" w:line="240" w:lineRule="auto"/>
      <w:jc w:val="both"/>
    </w:pPr>
    <w:rPr>
      <w:rFonts w:ascii="Arial" w:eastAsia="Calibri" w:hAnsi="Arial"/>
      <w:sz w:val="22"/>
    </w:rPr>
  </w:style>
  <w:style w:type="paragraph" w:customStyle="1" w:styleId="List5">
    <w:name w:val="List 5."/>
    <w:basedOn w:val="Normal"/>
    <w:qFormat/>
    <w:rsid w:val="00284EB0"/>
    <w:pPr>
      <w:numPr>
        <w:ilvl w:val="4"/>
        <w:numId w:val="17"/>
      </w:numPr>
      <w:suppressAutoHyphens w:val="0"/>
      <w:spacing w:after="120" w:line="240" w:lineRule="auto"/>
      <w:jc w:val="both"/>
    </w:pPr>
    <w:rPr>
      <w:rFonts w:ascii="Arial" w:eastAsia="Calibri" w:hAnsi="Arial"/>
      <w:sz w:val="22"/>
    </w:rPr>
  </w:style>
  <w:style w:type="paragraph" w:customStyle="1" w:styleId="List6">
    <w:name w:val="List 6."/>
    <w:basedOn w:val="Normal"/>
    <w:qFormat/>
    <w:rsid w:val="00284EB0"/>
    <w:pPr>
      <w:numPr>
        <w:ilvl w:val="5"/>
        <w:numId w:val="17"/>
      </w:numPr>
      <w:suppressAutoHyphens w:val="0"/>
      <w:spacing w:after="120" w:line="240" w:lineRule="auto"/>
      <w:jc w:val="both"/>
    </w:pPr>
    <w:rPr>
      <w:rFonts w:ascii="Arial" w:eastAsia="Calibri" w:hAnsi="Arial"/>
      <w:sz w:val="22"/>
    </w:rPr>
  </w:style>
  <w:style w:type="paragraph" w:customStyle="1" w:styleId="ColorfulList-Accent11">
    <w:name w:val="Colorful List - Accent 11"/>
    <w:basedOn w:val="Normal"/>
    <w:uiPriority w:val="34"/>
    <w:qFormat/>
    <w:rsid w:val="00D547F6"/>
    <w:pPr>
      <w:suppressAutoHyphens w:val="0"/>
      <w:spacing w:after="120" w:line="240" w:lineRule="auto"/>
      <w:ind w:left="720"/>
      <w:contextualSpacing/>
      <w:jc w:val="both"/>
    </w:pPr>
    <w:rPr>
      <w:rFonts w:ascii="Arial" w:eastAsia="Calibri" w:hAnsi="Arial"/>
      <w:sz w:val="22"/>
    </w:rPr>
  </w:style>
  <w:style w:type="character" w:customStyle="1" w:styleId="NotedebasdepageCar">
    <w:name w:val="Note de bas de page Car"/>
    <w:aliases w:val="5_G Car"/>
    <w:link w:val="Notedebasdepage"/>
    <w:rsid w:val="00FC6F20"/>
    <w:rPr>
      <w:sz w:val="18"/>
      <w:lang w:eastAsia="en-US"/>
    </w:rPr>
  </w:style>
  <w:style w:type="character" w:customStyle="1" w:styleId="CommentaireCar">
    <w:name w:val="Commentaire Car"/>
    <w:link w:val="Commentaire"/>
    <w:uiPriority w:val="99"/>
    <w:rsid w:val="0011073E"/>
    <w:rPr>
      <w:lang w:val="en-GB" w:eastAsia="en-US"/>
    </w:rPr>
  </w:style>
  <w:style w:type="paragraph" w:styleId="Objetducommentaire">
    <w:name w:val="annotation subject"/>
    <w:basedOn w:val="Commentaire"/>
    <w:next w:val="Commentaire"/>
    <w:link w:val="ObjetducommentaireCar"/>
    <w:rsid w:val="007E6D37"/>
    <w:rPr>
      <w:b/>
      <w:bCs/>
    </w:rPr>
  </w:style>
  <w:style w:type="character" w:customStyle="1" w:styleId="ObjetducommentaireCar">
    <w:name w:val="Objet du commentaire Car"/>
    <w:link w:val="Objetducommentaire"/>
    <w:rsid w:val="007E6D37"/>
    <w:rPr>
      <w:b/>
      <w:bCs/>
      <w:lang w:val="en-GB" w:eastAsia="en-US"/>
    </w:rPr>
  </w:style>
  <w:style w:type="character" w:customStyle="1" w:styleId="HChGChar">
    <w:name w:val="_ H _Ch_G Char"/>
    <w:link w:val="HChG"/>
    <w:rsid w:val="00FB091C"/>
    <w:rPr>
      <w:b/>
      <w:sz w:val="28"/>
      <w:lang w:eastAsia="en-US"/>
    </w:rPr>
  </w:style>
  <w:style w:type="paragraph" w:customStyle="1" w:styleId="a2">
    <w:name w:val="a2"/>
    <w:basedOn w:val="Titre2"/>
    <w:next w:val="Normal"/>
    <w:uiPriority w:val="99"/>
    <w:rsid w:val="00FB091C"/>
    <w:pPr>
      <w:keepNext/>
      <w:numPr>
        <w:ilvl w:val="1"/>
        <w:numId w:val="18"/>
      </w:numPr>
      <w:tabs>
        <w:tab w:val="left" w:pos="720"/>
      </w:tabs>
      <w:spacing w:before="270" w:after="240" w:line="270" w:lineRule="exact"/>
    </w:pPr>
    <w:rPr>
      <w:rFonts w:ascii="Arial" w:eastAsia="MS Mincho" w:hAnsi="Arial"/>
      <w:b/>
      <w:sz w:val="24"/>
      <w:lang w:eastAsia="fr-FR"/>
    </w:rPr>
  </w:style>
  <w:style w:type="paragraph" w:customStyle="1" w:styleId="a3">
    <w:name w:val="a3"/>
    <w:basedOn w:val="Titre3"/>
    <w:next w:val="Normal"/>
    <w:uiPriority w:val="99"/>
    <w:rsid w:val="00FB091C"/>
    <w:pPr>
      <w:keepNext/>
      <w:numPr>
        <w:ilvl w:val="2"/>
        <w:numId w:val="18"/>
      </w:numPr>
      <w:tabs>
        <w:tab w:val="left" w:pos="640"/>
        <w:tab w:val="left" w:pos="880"/>
      </w:tabs>
      <w:spacing w:before="60" w:after="240" w:line="250" w:lineRule="exact"/>
    </w:pPr>
    <w:rPr>
      <w:rFonts w:ascii="Arial" w:eastAsia="MS Mincho" w:hAnsi="Arial"/>
      <w:b/>
      <w:sz w:val="22"/>
      <w:lang w:eastAsia="fr-FR"/>
    </w:rPr>
  </w:style>
  <w:style w:type="paragraph" w:customStyle="1" w:styleId="a4">
    <w:name w:val="a4"/>
    <w:basedOn w:val="Titre4"/>
    <w:next w:val="Normal"/>
    <w:rsid w:val="00FB091C"/>
    <w:pPr>
      <w:keepNext/>
      <w:numPr>
        <w:ilvl w:val="3"/>
        <w:numId w:val="18"/>
      </w:numPr>
      <w:tabs>
        <w:tab w:val="left" w:pos="880"/>
      </w:tabs>
      <w:spacing w:before="60" w:after="240" w:line="230" w:lineRule="exact"/>
    </w:pPr>
    <w:rPr>
      <w:rFonts w:ascii="Arial" w:eastAsia="MS Mincho" w:hAnsi="Arial"/>
      <w:b/>
      <w:lang w:eastAsia="fr-FR"/>
    </w:rPr>
  </w:style>
  <w:style w:type="paragraph" w:customStyle="1" w:styleId="a5">
    <w:name w:val="a5"/>
    <w:basedOn w:val="Titre5"/>
    <w:next w:val="Normal"/>
    <w:rsid w:val="00FB091C"/>
    <w:pPr>
      <w:keepNext/>
      <w:numPr>
        <w:ilvl w:val="4"/>
        <w:numId w:val="18"/>
      </w:numPr>
      <w:tabs>
        <w:tab w:val="left" w:pos="1140"/>
        <w:tab w:val="left" w:pos="1360"/>
      </w:tabs>
      <w:spacing w:before="60" w:after="240" w:line="230" w:lineRule="exact"/>
    </w:pPr>
    <w:rPr>
      <w:rFonts w:ascii="Arial" w:eastAsia="MS Mincho" w:hAnsi="Arial"/>
      <w:b/>
      <w:lang w:eastAsia="fr-FR"/>
    </w:rPr>
  </w:style>
  <w:style w:type="paragraph" w:customStyle="1" w:styleId="a6">
    <w:name w:val="a6"/>
    <w:basedOn w:val="Titre6"/>
    <w:next w:val="Normal"/>
    <w:rsid w:val="00FB091C"/>
    <w:pPr>
      <w:keepNext/>
      <w:numPr>
        <w:ilvl w:val="5"/>
        <w:numId w:val="18"/>
      </w:numPr>
      <w:tabs>
        <w:tab w:val="left" w:pos="1140"/>
        <w:tab w:val="left" w:pos="1360"/>
      </w:tabs>
      <w:spacing w:before="60" w:after="240" w:line="230" w:lineRule="exact"/>
    </w:pPr>
    <w:rPr>
      <w:rFonts w:ascii="Arial" w:eastAsia="MS Mincho" w:hAnsi="Arial"/>
      <w:b/>
      <w:lang w:eastAsia="fr-FR"/>
    </w:rPr>
  </w:style>
  <w:style w:type="paragraph" w:customStyle="1" w:styleId="ANNEX">
    <w:name w:val="ANNEX"/>
    <w:basedOn w:val="Normal"/>
    <w:next w:val="Normal"/>
    <w:uiPriority w:val="99"/>
    <w:rsid w:val="00FB091C"/>
    <w:pPr>
      <w:keepNext/>
      <w:pageBreakBefore/>
      <w:numPr>
        <w:numId w:val="18"/>
      </w:numPr>
      <w:suppressAutoHyphens w:val="0"/>
      <w:spacing w:after="760" w:line="310" w:lineRule="exact"/>
      <w:jc w:val="center"/>
      <w:outlineLvl w:val="0"/>
    </w:pPr>
    <w:rPr>
      <w:rFonts w:ascii="Arial" w:eastAsia="MS Mincho" w:hAnsi="Arial"/>
      <w:b/>
      <w:sz w:val="28"/>
      <w:lang w:eastAsia="fr-FR"/>
    </w:rPr>
  </w:style>
  <w:style w:type="paragraph" w:customStyle="1" w:styleId="Figuretitle">
    <w:name w:val="Figure title"/>
    <w:basedOn w:val="Normal"/>
    <w:next w:val="Normal"/>
    <w:uiPriority w:val="99"/>
    <w:rsid w:val="00FB091C"/>
    <w:pPr>
      <w:spacing w:before="220" w:after="220" w:line="230" w:lineRule="atLeast"/>
      <w:jc w:val="center"/>
    </w:pPr>
    <w:rPr>
      <w:rFonts w:ascii="Arial" w:eastAsia="MS Mincho" w:hAnsi="Arial"/>
      <w:b/>
      <w:lang w:eastAsia="fr-FR"/>
    </w:rPr>
  </w:style>
  <w:style w:type="paragraph" w:customStyle="1" w:styleId="Tabletitle">
    <w:name w:val="Table title"/>
    <w:basedOn w:val="Normal"/>
    <w:next w:val="Normal"/>
    <w:rsid w:val="00FB091C"/>
    <w:pPr>
      <w:keepNext/>
      <w:spacing w:before="120" w:after="120" w:line="230" w:lineRule="exact"/>
      <w:jc w:val="center"/>
    </w:pPr>
    <w:rPr>
      <w:rFonts w:ascii="Arial" w:eastAsia="MS Mincho" w:hAnsi="Arial"/>
      <w:b/>
      <w:lang w:eastAsia="fr-FR"/>
    </w:rPr>
  </w:style>
  <w:style w:type="character" w:customStyle="1" w:styleId="En-tteCar">
    <w:name w:val="En-tête Car"/>
    <w:aliases w:val="6_G Car"/>
    <w:link w:val="En-tte"/>
    <w:uiPriority w:val="99"/>
    <w:rsid w:val="00FB091C"/>
    <w:rPr>
      <w:b/>
      <w:sz w:val="18"/>
      <w:lang w:eastAsia="en-US"/>
    </w:rPr>
  </w:style>
  <w:style w:type="character" w:customStyle="1" w:styleId="CorpsdetexteCar">
    <w:name w:val="Corps de texte Car"/>
    <w:link w:val="Corpsdetexte"/>
    <w:rsid w:val="00FB091C"/>
    <w:rPr>
      <w:lang w:eastAsia="en-US"/>
    </w:rPr>
  </w:style>
  <w:style w:type="paragraph" w:customStyle="1" w:styleId="Tabletext10">
    <w:name w:val="Table text (10)"/>
    <w:basedOn w:val="Normal"/>
    <w:uiPriority w:val="99"/>
    <w:rsid w:val="00FB091C"/>
    <w:pPr>
      <w:suppressAutoHyphens w:val="0"/>
      <w:spacing w:before="60" w:after="60" w:line="230" w:lineRule="atLeast"/>
      <w:jc w:val="both"/>
    </w:pPr>
    <w:rPr>
      <w:rFonts w:ascii="Arial" w:hAnsi="Arial"/>
      <w:lang w:eastAsia="en-GB"/>
    </w:rPr>
  </w:style>
  <w:style w:type="character" w:customStyle="1" w:styleId="PieddepageCar">
    <w:name w:val="Pied de page Car"/>
    <w:aliases w:val="3_G Car"/>
    <w:link w:val="Pieddepage"/>
    <w:uiPriority w:val="99"/>
    <w:rsid w:val="00FB091C"/>
    <w:rPr>
      <w:sz w:val="16"/>
      <w:lang w:eastAsia="en-US"/>
    </w:rPr>
  </w:style>
  <w:style w:type="paragraph" w:customStyle="1" w:styleId="Note">
    <w:name w:val="Note"/>
    <w:basedOn w:val="Normal"/>
    <w:next w:val="Normal"/>
    <w:uiPriority w:val="99"/>
    <w:rsid w:val="00FB091C"/>
    <w:pPr>
      <w:tabs>
        <w:tab w:val="left" w:pos="960"/>
      </w:tabs>
      <w:suppressAutoHyphens w:val="0"/>
      <w:spacing w:after="240" w:line="210" w:lineRule="atLeast"/>
      <w:jc w:val="both"/>
    </w:pPr>
    <w:rPr>
      <w:rFonts w:ascii="Arial" w:hAnsi="Arial"/>
      <w:sz w:val="18"/>
      <w:lang w:eastAsia="en-GB"/>
    </w:rPr>
  </w:style>
  <w:style w:type="character" w:customStyle="1" w:styleId="TextebrutCar">
    <w:name w:val="Texte brut Car"/>
    <w:link w:val="Textebrut"/>
    <w:uiPriority w:val="99"/>
    <w:semiHidden/>
    <w:rsid w:val="00555746"/>
    <w:rPr>
      <w:rFonts w:cs="Courier New"/>
      <w:lang w:val="en-GB" w:eastAsia="en-US"/>
    </w:rPr>
  </w:style>
  <w:style w:type="paragraph" w:styleId="Paragraphedeliste">
    <w:name w:val="List Paragraph"/>
    <w:basedOn w:val="Normal"/>
    <w:uiPriority w:val="34"/>
    <w:qFormat/>
    <w:rsid w:val="0057406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7141-FF90-42B8-A008-23F97AE6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1340</Words>
  <Characters>7375</Characters>
  <Application>Microsoft Office Word</Application>
  <DocSecurity>0</DocSecurity>
  <Lines>61</Lines>
  <Paragraphs>17</Paragraphs>
  <ScaleCrop>false</ScaleCrop>
  <HeadingPairs>
    <vt:vector size="6" baseType="variant">
      <vt:variant>
        <vt:lpstr>Title</vt:lpstr>
      </vt:variant>
      <vt:variant>
        <vt:i4>1</vt:i4>
      </vt:variant>
      <vt:variant>
        <vt:lpstr>Titre</vt:lpstr>
      </vt:variant>
      <vt:variant>
        <vt:i4>1</vt:i4>
      </vt:variant>
      <vt:variant>
        <vt:lpstr>Titlu</vt:lpstr>
      </vt:variant>
      <vt:variant>
        <vt:i4>1</vt:i4>
      </vt:variant>
    </vt:vector>
  </HeadingPairs>
  <TitlesOfParts>
    <vt:vector size="3" baseType="lpstr">
      <vt:lpstr>1126259</vt:lpstr>
      <vt:lpstr>1126259</vt:lpstr>
      <vt:lpstr>1126259</vt:lpstr>
    </vt:vector>
  </TitlesOfParts>
  <Company>ECE-ISU</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UNECE</cp:lastModifiedBy>
  <cp:revision>7</cp:revision>
  <cp:lastPrinted>2015-12-16T14:56:00Z</cp:lastPrinted>
  <dcterms:created xsi:type="dcterms:W3CDTF">2015-12-21T08:54:00Z</dcterms:created>
  <dcterms:modified xsi:type="dcterms:W3CDTF">2015-12-23T13:52:00Z</dcterms:modified>
</cp:coreProperties>
</file>