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7A0C29" w:rsidTr="00B11BB4">
        <w:trPr>
          <w:cantSplit/>
          <w:trHeight w:hRule="exact" w:val="851"/>
        </w:trPr>
        <w:tc>
          <w:tcPr>
            <w:tcW w:w="1276" w:type="dxa"/>
            <w:tcBorders>
              <w:bottom w:val="single" w:sz="4" w:space="0" w:color="auto"/>
            </w:tcBorders>
            <w:shd w:val="clear" w:color="auto" w:fill="auto"/>
            <w:vAlign w:val="bottom"/>
          </w:tcPr>
          <w:p w:rsidR="00B56E9C" w:rsidRPr="007A0C29" w:rsidRDefault="00B56E9C" w:rsidP="00B11BB4">
            <w:pPr>
              <w:spacing w:after="80"/>
            </w:pPr>
          </w:p>
        </w:tc>
        <w:tc>
          <w:tcPr>
            <w:tcW w:w="2268" w:type="dxa"/>
            <w:tcBorders>
              <w:bottom w:val="single" w:sz="4" w:space="0" w:color="auto"/>
            </w:tcBorders>
            <w:shd w:val="clear" w:color="auto" w:fill="auto"/>
            <w:vAlign w:val="bottom"/>
          </w:tcPr>
          <w:p w:rsidR="00B56E9C" w:rsidRPr="007A0C29"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7A0C29" w:rsidRDefault="00CD57D2" w:rsidP="004766E0">
            <w:pPr>
              <w:suppressAutoHyphens w:val="0"/>
              <w:spacing w:after="20"/>
              <w:jc w:val="right"/>
              <w:rPr>
                <w:b/>
                <w:sz w:val="24"/>
                <w:szCs w:val="24"/>
              </w:rPr>
            </w:pPr>
            <w:r w:rsidRPr="007A0C29">
              <w:rPr>
                <w:b/>
                <w:sz w:val="24"/>
                <w:szCs w:val="24"/>
              </w:rPr>
              <w:t>INF.</w:t>
            </w:r>
            <w:r w:rsidR="00E11305">
              <w:rPr>
                <w:b/>
                <w:sz w:val="24"/>
                <w:szCs w:val="24"/>
              </w:rPr>
              <w:t>5</w:t>
            </w:r>
            <w:r w:rsidR="004766E0">
              <w:rPr>
                <w:b/>
                <w:sz w:val="24"/>
                <w:szCs w:val="24"/>
              </w:rPr>
              <w:t>9</w:t>
            </w:r>
          </w:p>
        </w:tc>
      </w:tr>
    </w:tbl>
    <w:p w:rsidR="00EC106A" w:rsidRPr="007A0C29" w:rsidRDefault="00EC106A">
      <w:pPr>
        <w:spacing w:before="120"/>
        <w:rPr>
          <w:b/>
          <w:sz w:val="28"/>
          <w:szCs w:val="28"/>
        </w:rPr>
      </w:pPr>
      <w:r w:rsidRPr="007A0C29">
        <w:rPr>
          <w:b/>
          <w:sz w:val="28"/>
          <w:szCs w:val="28"/>
        </w:rPr>
        <w:t>Economic Commission for Europe</w:t>
      </w:r>
    </w:p>
    <w:p w:rsidR="00EC106A" w:rsidRPr="007A0C29" w:rsidRDefault="00EC106A">
      <w:pPr>
        <w:spacing w:before="120"/>
        <w:rPr>
          <w:sz w:val="28"/>
          <w:szCs w:val="28"/>
        </w:rPr>
      </w:pPr>
      <w:r w:rsidRPr="007A0C29">
        <w:rPr>
          <w:sz w:val="28"/>
          <w:szCs w:val="28"/>
        </w:rPr>
        <w:t>Inland Transport Committee</w:t>
      </w:r>
    </w:p>
    <w:p w:rsidR="00EC106A" w:rsidRPr="007A0C29" w:rsidRDefault="00EC106A" w:rsidP="00EC106A">
      <w:pPr>
        <w:spacing w:before="120" w:after="120"/>
        <w:rPr>
          <w:b/>
          <w:sz w:val="24"/>
          <w:szCs w:val="24"/>
        </w:rPr>
      </w:pPr>
      <w:r w:rsidRPr="007A0C29">
        <w:rPr>
          <w:b/>
          <w:sz w:val="24"/>
          <w:szCs w:val="24"/>
        </w:rPr>
        <w:t>Working Party on the Transport of Dangerous Goods</w:t>
      </w:r>
    </w:p>
    <w:p w:rsidR="009D2A5B" w:rsidRPr="007A0C29" w:rsidRDefault="009D2A5B" w:rsidP="009D2A5B">
      <w:pPr>
        <w:rPr>
          <w:b/>
        </w:rPr>
      </w:pPr>
      <w:r w:rsidRPr="007A0C29">
        <w:rPr>
          <w:b/>
        </w:rPr>
        <w:t>Joint Meeting of the RID Committee of Experts and the</w:t>
      </w:r>
    </w:p>
    <w:p w:rsidR="009D2A5B" w:rsidRPr="007A0C29" w:rsidRDefault="009D2A5B" w:rsidP="009D2A5B">
      <w:pPr>
        <w:rPr>
          <w:b/>
        </w:rPr>
      </w:pPr>
      <w:r w:rsidRPr="007A0C29">
        <w:rPr>
          <w:b/>
        </w:rPr>
        <w:t>Working Party on the Transport of Dangerous Goods</w:t>
      </w:r>
      <w:r w:rsidR="000A3752" w:rsidRPr="007A0C29">
        <w:rPr>
          <w:b/>
        </w:rPr>
        <w:tab/>
      </w:r>
      <w:r w:rsidR="000A3752" w:rsidRPr="007A0C29">
        <w:rPr>
          <w:b/>
        </w:rPr>
        <w:tab/>
      </w:r>
      <w:r w:rsidR="000A3752" w:rsidRPr="007A0C29">
        <w:rPr>
          <w:b/>
        </w:rPr>
        <w:tab/>
      </w:r>
      <w:r w:rsidR="000A3752" w:rsidRPr="007A0C29">
        <w:rPr>
          <w:b/>
        </w:rPr>
        <w:tab/>
      </w:r>
      <w:r w:rsidR="000A3752" w:rsidRPr="007A0C29">
        <w:rPr>
          <w:b/>
        </w:rPr>
        <w:tab/>
      </w:r>
      <w:r w:rsidR="00507993" w:rsidRPr="007A0C29">
        <w:rPr>
          <w:b/>
        </w:rPr>
        <w:tab/>
      </w:r>
      <w:r w:rsidR="00981E12">
        <w:rPr>
          <w:b/>
        </w:rPr>
        <w:t>1</w:t>
      </w:r>
      <w:r w:rsidR="00E26ABE">
        <w:rPr>
          <w:b/>
        </w:rPr>
        <w:t>6</w:t>
      </w:r>
      <w:bookmarkStart w:id="0" w:name="_GoBack"/>
      <w:bookmarkEnd w:id="0"/>
      <w:r w:rsidR="00981E12">
        <w:rPr>
          <w:b/>
        </w:rPr>
        <w:t xml:space="preserve"> March</w:t>
      </w:r>
      <w:r w:rsidR="004975C1" w:rsidRPr="007A0C29">
        <w:rPr>
          <w:b/>
        </w:rPr>
        <w:t xml:space="preserve"> 2016</w:t>
      </w:r>
    </w:p>
    <w:p w:rsidR="009D2A5B" w:rsidRPr="007A0C29" w:rsidRDefault="00BB7CD1" w:rsidP="00BB7CD1">
      <w:r w:rsidRPr="007A0C29">
        <w:t xml:space="preserve">Bern, </w:t>
      </w:r>
      <w:r w:rsidR="00D65303" w:rsidRPr="007A0C29">
        <w:t>14</w:t>
      </w:r>
      <w:r w:rsidRPr="007A0C29">
        <w:t>–</w:t>
      </w:r>
      <w:r w:rsidR="00D65303" w:rsidRPr="007A0C29">
        <w:t>18</w:t>
      </w:r>
      <w:r w:rsidR="00F66565" w:rsidRPr="007A0C29">
        <w:t xml:space="preserve"> </w:t>
      </w:r>
      <w:r w:rsidRPr="007A0C29">
        <w:t>March 201</w:t>
      </w:r>
      <w:r w:rsidR="00D65303" w:rsidRPr="007A0C29">
        <w:t>6</w:t>
      </w:r>
    </w:p>
    <w:p w:rsidR="00E26ABE" w:rsidRDefault="00E26ABE" w:rsidP="00E26ABE">
      <w:r>
        <w:t>Item 5 (a) of the provisional agenda</w:t>
      </w:r>
    </w:p>
    <w:p w:rsidR="00E26ABE" w:rsidRDefault="00E26ABE" w:rsidP="00E26ABE">
      <w:pPr>
        <w:rPr>
          <w:b/>
          <w:bCs/>
        </w:rPr>
      </w:pPr>
      <w:r w:rsidRPr="008F0065">
        <w:rPr>
          <w:b/>
          <w:bCs/>
        </w:rPr>
        <w:t>Proposals for amendments to RID/ADR/</w:t>
      </w:r>
      <w:r>
        <w:rPr>
          <w:b/>
          <w:bCs/>
        </w:rPr>
        <w:t>ADN</w:t>
      </w:r>
    </w:p>
    <w:p w:rsidR="004975C1" w:rsidRPr="007A0C29" w:rsidRDefault="00E26ABE" w:rsidP="00E26ABE">
      <w:pPr>
        <w:rPr>
          <w:b/>
        </w:rPr>
      </w:pPr>
      <w:proofErr w:type="gramStart"/>
      <w:r>
        <w:rPr>
          <w:b/>
          <w:bCs/>
        </w:rPr>
        <w:t>p</w:t>
      </w:r>
      <w:r w:rsidRPr="008F0065">
        <w:rPr>
          <w:b/>
          <w:bCs/>
        </w:rPr>
        <w:t>ending</w:t>
      </w:r>
      <w:proofErr w:type="gramEnd"/>
      <w:r w:rsidRPr="008F0065">
        <w:rPr>
          <w:b/>
          <w:bCs/>
        </w:rPr>
        <w:t xml:space="preserve"> issues</w:t>
      </w:r>
    </w:p>
    <w:p w:rsidR="00E26ABE" w:rsidRPr="00265F53" w:rsidRDefault="00AB2EDE" w:rsidP="00E26ABE">
      <w:pPr>
        <w:pStyle w:val="HChG"/>
      </w:pPr>
      <w:r w:rsidRPr="007A0C29">
        <w:tab/>
      </w:r>
      <w:r w:rsidRPr="007A0C29">
        <w:tab/>
      </w:r>
      <w:r w:rsidR="00E26ABE">
        <w:t>New proposals for document 2016/18 (Mark</w:t>
      </w:r>
      <w:r w:rsidR="00E26ABE" w:rsidRPr="00265F53">
        <w:t xml:space="preserve">ing and ventilation in accordance with </w:t>
      </w:r>
      <w:r w:rsidR="00E26ABE">
        <w:t>5.5.3.3.3 of RID/ADR/ADN 2017) reflecting the discussion in the Joint Meeting</w:t>
      </w:r>
    </w:p>
    <w:p w:rsidR="00E26ABE" w:rsidRPr="005124CC" w:rsidRDefault="00E26ABE" w:rsidP="00E26ABE">
      <w:pPr>
        <w:pStyle w:val="H1G"/>
      </w:pPr>
      <w:r>
        <w:tab/>
      </w:r>
      <w:r>
        <w:tab/>
      </w:r>
      <w:r w:rsidRPr="00A66E8A">
        <w:t xml:space="preserve">Transmitted by the </w:t>
      </w:r>
      <w:r>
        <w:t>Government of Austria</w:t>
      </w:r>
    </w:p>
    <w:p w:rsidR="00E26ABE" w:rsidRDefault="00E26ABE" w:rsidP="00E26ABE">
      <w:pPr>
        <w:pStyle w:val="SingleTxtG"/>
        <w:rPr>
          <w:snapToGrid w:val="0"/>
        </w:rPr>
      </w:pPr>
      <w:r>
        <w:rPr>
          <w:snapToGrid w:val="0"/>
        </w:rPr>
        <w:t>The discussion showed that many delegations are in favour of explicitly mentioning refrigerated compartments as not being subject to the requirement of ventilation.</w:t>
      </w:r>
    </w:p>
    <w:p w:rsidR="00E26ABE" w:rsidRDefault="00E26ABE" w:rsidP="00E26ABE">
      <w:pPr>
        <w:pStyle w:val="SingleTxtG"/>
        <w:rPr>
          <w:snapToGrid w:val="0"/>
        </w:rPr>
      </w:pPr>
      <w:r>
        <w:rPr>
          <w:snapToGrid w:val="0"/>
        </w:rPr>
        <w:t>Some of them considered these compartments as practically in line with the first indent, although not required by ATP. It was proposed that this could be strengthened when the second indent was restricted to compartments separated from the driver cabin.</w:t>
      </w:r>
    </w:p>
    <w:p w:rsidR="00E26ABE" w:rsidRDefault="00E26ABE" w:rsidP="00E26ABE">
      <w:pPr>
        <w:pStyle w:val="SingleTxtG"/>
        <w:rPr>
          <w:snapToGrid w:val="0"/>
        </w:rPr>
      </w:pPr>
      <w:r>
        <w:rPr>
          <w:snapToGrid w:val="0"/>
        </w:rPr>
        <w:t>Another proposal was that refrigerated compartment should be mentioned as examples, which fulfil or which could fulfil the requirements of the first indent.</w:t>
      </w:r>
    </w:p>
    <w:p w:rsidR="00E26ABE" w:rsidRDefault="00E26ABE" w:rsidP="00E26ABE">
      <w:pPr>
        <w:pStyle w:val="SingleTxtG"/>
        <w:rPr>
          <w:snapToGrid w:val="0"/>
        </w:rPr>
      </w:pPr>
      <w:r>
        <w:rPr>
          <w:snapToGrid w:val="0"/>
        </w:rPr>
        <w:t>Some preferred to refer to ATP only, others to keep it as example, as most of the carriages concerned are not under the scope of ATP which deals with perishable foodstuffs.</w:t>
      </w:r>
    </w:p>
    <w:p w:rsidR="00E26ABE" w:rsidRDefault="00E26ABE" w:rsidP="00E26ABE">
      <w:pPr>
        <w:pStyle w:val="SingleTxtG"/>
        <w:rPr>
          <w:snapToGrid w:val="0"/>
        </w:rPr>
      </w:pPr>
      <w:r>
        <w:rPr>
          <w:snapToGrid w:val="0"/>
        </w:rPr>
        <w:t xml:space="preserve">Austria, requested to provide different wordings to be voted on, prefers the </w:t>
      </w:r>
      <w:r w:rsidRPr="009F659D">
        <w:rPr>
          <w:snapToGrid w:val="0"/>
          <w:u w:val="single"/>
        </w:rPr>
        <w:t>Alternative 1</w:t>
      </w:r>
      <w:r>
        <w:rPr>
          <w:snapToGrid w:val="0"/>
        </w:rPr>
        <w:t>. It is the safest solution and the carrier remains responsible, whether the compartment is in line with the requirement that nobody is endangered during carriage without ventilation.</w:t>
      </w:r>
    </w:p>
    <w:p w:rsidR="00E26ABE" w:rsidRDefault="00E26ABE" w:rsidP="00E26ABE">
      <w:pPr>
        <w:pStyle w:val="SingleTxtG"/>
        <w:rPr>
          <w:snapToGrid w:val="0"/>
        </w:rPr>
      </w:pPr>
      <w:r>
        <w:rPr>
          <w:snapToGrid w:val="0"/>
        </w:rPr>
        <w:t xml:space="preserve">For </w:t>
      </w:r>
      <w:r w:rsidRPr="009F659D">
        <w:rPr>
          <w:snapToGrid w:val="0"/>
          <w:u w:val="single"/>
        </w:rPr>
        <w:t>Alt. 3</w:t>
      </w:r>
      <w:r>
        <w:rPr>
          <w:snapToGrid w:val="0"/>
        </w:rPr>
        <w:t xml:space="preserve"> RID/ADR/ADN take this responsibility stating that refrigerated compartments are safe enough. To be better enabled to do so, separation from the driver cabin etc. as proposed in the discussion is included.</w:t>
      </w:r>
    </w:p>
    <w:p w:rsidR="00E26ABE" w:rsidRDefault="00E26ABE" w:rsidP="00E26ABE">
      <w:pPr>
        <w:pStyle w:val="SingleTxtG"/>
        <w:rPr>
          <w:snapToGrid w:val="0"/>
        </w:rPr>
      </w:pPr>
      <w:r w:rsidRPr="000C3144">
        <w:rPr>
          <w:snapToGrid w:val="0"/>
          <w:u w:val="single"/>
        </w:rPr>
        <w:t>Alt. 2</w:t>
      </w:r>
      <w:r>
        <w:rPr>
          <w:snapToGrid w:val="0"/>
        </w:rPr>
        <w:t xml:space="preserve"> tries to find a compromise. The compartments in question are deemed to prevent gas exchange sufficiently. So it is not stated that this is guaranteed by law in each case. That means that this is expected regularly - but the contrary may be proved.</w:t>
      </w:r>
    </w:p>
    <w:p w:rsidR="00E26ABE" w:rsidRPr="00DB224C" w:rsidRDefault="00E26ABE" w:rsidP="00E26ABE">
      <w:pPr>
        <w:pStyle w:val="SingleTxtG"/>
        <w:rPr>
          <w:snapToGrid w:val="0"/>
        </w:rPr>
      </w:pPr>
      <w:r>
        <w:rPr>
          <w:snapToGrid w:val="0"/>
        </w:rPr>
        <w:t xml:space="preserve">Especially for </w:t>
      </w:r>
      <w:r w:rsidRPr="00E07AA4">
        <w:rPr>
          <w:snapToGrid w:val="0"/>
          <w:u w:val="single"/>
        </w:rPr>
        <w:t>Alt. 1 and 2</w:t>
      </w:r>
      <w:r>
        <w:rPr>
          <w:snapToGrid w:val="0"/>
        </w:rPr>
        <w:t xml:space="preserve">  it seems acceptable not to refer to ATP alone but to keep it as example.</w:t>
      </w:r>
    </w:p>
    <w:p w:rsidR="00E26ABE" w:rsidRDefault="00E26ABE" w:rsidP="00E26ABE">
      <w:pPr>
        <w:pStyle w:val="SingleTxtG"/>
        <w:rPr>
          <w:snapToGrid w:val="0"/>
        </w:rPr>
      </w:pPr>
      <w:r>
        <w:rPr>
          <w:snapToGrid w:val="0"/>
        </w:rPr>
        <w:t>The text adopted for 2017 should be amended as follows (additions underlined):</w:t>
      </w:r>
    </w:p>
    <w:p w:rsidR="00E26ABE" w:rsidRPr="00FA264F" w:rsidRDefault="00E26ABE" w:rsidP="00E26ABE">
      <w:pPr>
        <w:pStyle w:val="SingleTxtG"/>
        <w:rPr>
          <w:snapToGrid w:val="0"/>
          <w:u w:val="single"/>
        </w:rPr>
      </w:pPr>
      <w:r w:rsidRPr="00FA264F">
        <w:rPr>
          <w:snapToGrid w:val="0"/>
          <w:u w:val="single"/>
        </w:rPr>
        <w:t>Alt. 1</w:t>
      </w:r>
    </w:p>
    <w:p w:rsidR="00E26ABE" w:rsidRPr="00B36A0D" w:rsidRDefault="00E26ABE" w:rsidP="00E26ABE">
      <w:pPr>
        <w:widowControl w:val="0"/>
        <w:spacing w:before="120" w:after="120"/>
        <w:ind w:left="2268" w:right="1134" w:hanging="1134"/>
        <w:jc w:val="both"/>
        <w:rPr>
          <w:snapToGrid w:val="0"/>
        </w:rPr>
      </w:pPr>
      <w:r w:rsidRPr="00B36A0D">
        <w:rPr>
          <w:bCs/>
          <w:snapToGrid w:val="0"/>
        </w:rPr>
        <w:t>"</w:t>
      </w:r>
      <w:r w:rsidRPr="00B36A0D">
        <w:rPr>
          <w:b/>
          <w:bCs/>
          <w:snapToGrid w:val="0"/>
        </w:rPr>
        <w:t>5.5.3.3.3</w:t>
      </w:r>
      <w:r>
        <w:rPr>
          <w:snapToGrid w:val="0"/>
        </w:rPr>
        <w:tab/>
      </w:r>
      <w:r w:rsidRPr="00B36A0D">
        <w:rPr>
          <w:snapToGrid w:val="0"/>
        </w:rPr>
        <w:t xml:space="preserve">Packages containing a coolant or conditioner shall be carried in well ventilated </w:t>
      </w:r>
      <w:proofErr w:type="gramStart"/>
      <w:r w:rsidRPr="00B36A0D">
        <w:rPr>
          <w:snapToGrid w:val="0"/>
        </w:rPr>
        <w:t>&lt;(</w:t>
      </w:r>
      <w:proofErr w:type="gramEnd"/>
      <w:r w:rsidRPr="00B36A0D">
        <w:rPr>
          <w:snapToGrid w:val="0"/>
        </w:rPr>
        <w:t>RID:) wagons and containers&gt;/ &lt;(ADR:) vehicles and containers&gt; / &lt;(ADN:) vehicles, wagons and containers&gt;. Marking according to 5.5.3.6 is not required in this case.</w:t>
      </w:r>
    </w:p>
    <w:p w:rsidR="00E26ABE" w:rsidRPr="00B36A0D" w:rsidRDefault="00E26ABE" w:rsidP="00E26ABE">
      <w:pPr>
        <w:widowControl w:val="0"/>
        <w:spacing w:before="120" w:after="120"/>
        <w:ind w:left="2977" w:right="1134" w:hanging="709"/>
        <w:jc w:val="both"/>
        <w:rPr>
          <w:i/>
          <w:iCs/>
          <w:snapToGrid w:val="0"/>
        </w:rPr>
      </w:pPr>
      <w:r w:rsidRPr="00B36A0D">
        <w:rPr>
          <w:b/>
          <w:bCs/>
          <w:i/>
          <w:iCs/>
          <w:snapToGrid w:val="0"/>
        </w:rPr>
        <w:t>NOTE:</w:t>
      </w:r>
      <w:r>
        <w:rPr>
          <w:i/>
          <w:iCs/>
          <w:snapToGrid w:val="0"/>
        </w:rPr>
        <w:tab/>
      </w:r>
      <w:r w:rsidRPr="00B36A0D">
        <w:rPr>
          <w:i/>
          <w:iCs/>
          <w:snapToGrid w:val="0"/>
        </w:rPr>
        <w:t xml:space="preserve">In this context “well ventilated” means there is an atmosphere </w:t>
      </w:r>
      <w:r w:rsidRPr="00B36A0D">
        <w:rPr>
          <w:i/>
          <w:iCs/>
          <w:snapToGrid w:val="0"/>
        </w:rPr>
        <w:lastRenderedPageBreak/>
        <w:t>where the carbon dioxide concentration is below 0.5 % by volume and the oxygen concentration is above 19.5 % by vol</w:t>
      </w:r>
      <w:r>
        <w:rPr>
          <w:i/>
          <w:iCs/>
          <w:snapToGrid w:val="0"/>
        </w:rPr>
        <w:t>ume.</w:t>
      </w:r>
      <w:proofErr w:type="gramStart"/>
      <w:r>
        <w:rPr>
          <w:i/>
          <w:iCs/>
          <w:snapToGrid w:val="0"/>
        </w:rPr>
        <w:t>"</w:t>
      </w:r>
      <w:r w:rsidRPr="00B36A0D">
        <w:rPr>
          <w:i/>
          <w:iCs/>
          <w:snapToGrid w:val="0"/>
        </w:rPr>
        <w:t>.</w:t>
      </w:r>
      <w:proofErr w:type="gramEnd"/>
    </w:p>
    <w:p w:rsidR="00E26ABE" w:rsidRPr="00B36A0D" w:rsidRDefault="00E26ABE" w:rsidP="00E26ABE">
      <w:pPr>
        <w:widowControl w:val="0"/>
        <w:spacing w:before="120" w:after="120"/>
        <w:ind w:left="2268" w:right="1134" w:hanging="1134"/>
        <w:jc w:val="both"/>
        <w:rPr>
          <w:snapToGrid w:val="0"/>
        </w:rPr>
      </w:pPr>
      <w:r>
        <w:rPr>
          <w:snapToGrid w:val="0"/>
        </w:rPr>
        <w:tab/>
      </w:r>
      <w:r w:rsidRPr="00B36A0D">
        <w:rPr>
          <w:snapToGrid w:val="0"/>
        </w:rPr>
        <w:t>Ventilation is not required, and marking according to 5.5.3.6 is required, if</w:t>
      </w:r>
      <w:r>
        <w:rPr>
          <w:snapToGrid w:val="0"/>
        </w:rPr>
        <w:t xml:space="preserve"> </w:t>
      </w:r>
      <w:r>
        <w:rPr>
          <w:snapToGrid w:val="0"/>
        </w:rPr>
        <w:tab/>
      </w:r>
      <w:r w:rsidRPr="00B36A0D">
        <w:rPr>
          <w:snapToGrid w:val="0"/>
        </w:rPr>
        <w:t xml:space="preserve">gas exchange between the load compartment and </w:t>
      </w:r>
      <w:proofErr w:type="gramStart"/>
      <w:r w:rsidRPr="00B36A0D">
        <w:rPr>
          <w:snapToGrid w:val="0"/>
        </w:rPr>
        <w:t>&lt;(</w:t>
      </w:r>
      <w:proofErr w:type="gramEnd"/>
      <w:r w:rsidRPr="00B36A0D">
        <w:rPr>
          <w:snapToGrid w:val="0"/>
        </w:rPr>
        <w:t>RID:) accessible compartments during carriage&gt; / &lt;(ADR:) the driver’s cabin&gt; /&lt;(ADN:) accessible compartments during carriage&gt; is prevented</w:t>
      </w:r>
      <w:r>
        <w:rPr>
          <w:snapToGrid w:val="0"/>
        </w:rPr>
        <w:t>.</w:t>
      </w:r>
    </w:p>
    <w:p w:rsidR="00E26ABE" w:rsidRPr="00700617" w:rsidRDefault="00E26ABE" w:rsidP="00E26ABE">
      <w:pPr>
        <w:widowControl w:val="0"/>
        <w:spacing w:before="120" w:after="120"/>
        <w:ind w:left="2977" w:right="1134" w:hanging="709"/>
        <w:jc w:val="both"/>
        <w:rPr>
          <w:i/>
          <w:iCs/>
          <w:snapToGrid w:val="0"/>
        </w:rPr>
      </w:pPr>
      <w:r w:rsidRPr="00B36A0D">
        <w:rPr>
          <w:b/>
          <w:bCs/>
          <w:i/>
          <w:iCs/>
          <w:snapToGrid w:val="0"/>
        </w:rPr>
        <w:t>NOTE</w:t>
      </w:r>
      <w:r>
        <w:rPr>
          <w:b/>
          <w:bCs/>
          <w:i/>
          <w:iCs/>
          <w:snapToGrid w:val="0"/>
        </w:rPr>
        <w:t>:</w:t>
      </w:r>
      <w:r w:rsidRPr="00700617">
        <w:rPr>
          <w:i/>
          <w:iCs/>
          <w:snapToGrid w:val="0"/>
        </w:rPr>
        <w:tab/>
      </w:r>
      <w:r>
        <w:rPr>
          <w:i/>
          <w:iCs/>
          <w:snapToGrid w:val="0"/>
        </w:rPr>
        <w:t>L</w:t>
      </w:r>
      <w:r w:rsidRPr="00700617">
        <w:rPr>
          <w:i/>
          <w:iCs/>
          <w:snapToGrid w:val="0"/>
        </w:rPr>
        <w:t>oad compartment</w:t>
      </w:r>
      <w:r>
        <w:rPr>
          <w:i/>
          <w:iCs/>
          <w:snapToGrid w:val="0"/>
        </w:rPr>
        <w:t>s which are</w:t>
      </w:r>
      <w:r w:rsidRPr="00700617">
        <w:rPr>
          <w:i/>
          <w:iCs/>
          <w:snapToGrid w:val="0"/>
        </w:rPr>
        <w:t xml:space="preserve"> </w:t>
      </w:r>
      <w:proofErr w:type="gramStart"/>
      <w:r w:rsidRPr="00700617">
        <w:rPr>
          <w:i/>
          <w:iCs/>
          <w:snapToGrid w:val="0"/>
        </w:rPr>
        <w:t>insulated,</w:t>
      </w:r>
      <w:proofErr w:type="gramEnd"/>
      <w:r w:rsidRPr="00700617">
        <w:rPr>
          <w:i/>
          <w:iCs/>
          <w:snapToGrid w:val="0"/>
        </w:rPr>
        <w:t xml:space="preserve"> refrigerated or mechanically refrigerated equipment, for example as defined in the Agreement on the International Carriage of Perishable Foodstuffs and on the Special Equipment to be Used for such Carriage (ATP) </w:t>
      </w:r>
      <w:r w:rsidRPr="009E6ECD">
        <w:rPr>
          <w:i/>
          <w:iCs/>
          <w:snapToGrid w:val="0"/>
          <w:u w:val="single"/>
        </w:rPr>
        <w:t>may prevent gas exchange sufficiently</w:t>
      </w:r>
      <w:r w:rsidRPr="00700617">
        <w:rPr>
          <w:i/>
          <w:iCs/>
          <w:snapToGrid w:val="0"/>
        </w:rPr>
        <w:t>.</w:t>
      </w:r>
    </w:p>
    <w:p w:rsidR="00E26ABE" w:rsidRPr="00FA264F" w:rsidRDefault="00E26ABE" w:rsidP="00E26ABE">
      <w:pPr>
        <w:pStyle w:val="SingleTxtG"/>
        <w:rPr>
          <w:snapToGrid w:val="0"/>
          <w:u w:val="single"/>
        </w:rPr>
      </w:pPr>
      <w:r w:rsidRPr="00FA264F">
        <w:rPr>
          <w:snapToGrid w:val="0"/>
          <w:u w:val="single"/>
        </w:rPr>
        <w:t>Alt. 2</w:t>
      </w:r>
    </w:p>
    <w:p w:rsidR="00E26ABE" w:rsidRPr="00B36A0D" w:rsidRDefault="00E26ABE" w:rsidP="00E26ABE">
      <w:pPr>
        <w:widowControl w:val="0"/>
        <w:spacing w:before="120" w:after="120"/>
        <w:ind w:left="2268" w:right="1134" w:hanging="1134"/>
        <w:jc w:val="both"/>
        <w:rPr>
          <w:snapToGrid w:val="0"/>
        </w:rPr>
      </w:pPr>
      <w:r w:rsidRPr="00B36A0D">
        <w:rPr>
          <w:bCs/>
          <w:snapToGrid w:val="0"/>
        </w:rPr>
        <w:t>"</w:t>
      </w:r>
      <w:r w:rsidRPr="00B36A0D">
        <w:rPr>
          <w:b/>
          <w:bCs/>
          <w:snapToGrid w:val="0"/>
        </w:rPr>
        <w:t>5.5.3.3.3</w:t>
      </w:r>
      <w:r>
        <w:rPr>
          <w:snapToGrid w:val="0"/>
        </w:rPr>
        <w:tab/>
      </w:r>
      <w:r w:rsidRPr="00B36A0D">
        <w:rPr>
          <w:snapToGrid w:val="0"/>
        </w:rPr>
        <w:t xml:space="preserve">Packages containing a coolant or conditioner shall be carried in well ventilated </w:t>
      </w:r>
      <w:proofErr w:type="gramStart"/>
      <w:r w:rsidRPr="00B36A0D">
        <w:rPr>
          <w:snapToGrid w:val="0"/>
        </w:rPr>
        <w:t>&lt;(</w:t>
      </w:r>
      <w:proofErr w:type="gramEnd"/>
      <w:r w:rsidRPr="00B36A0D">
        <w:rPr>
          <w:snapToGrid w:val="0"/>
        </w:rPr>
        <w:t>RID:) wagons and containers&gt;/ &lt;(ADR:) vehicles and containers&gt; / &lt;(ADN:) vehicles, wagons and containers&gt;. Marking according to 5.5.3.6 is not required in this case.</w:t>
      </w:r>
    </w:p>
    <w:p w:rsidR="00E26ABE" w:rsidRPr="00B36A0D" w:rsidRDefault="00E26ABE" w:rsidP="00E26ABE">
      <w:pPr>
        <w:widowControl w:val="0"/>
        <w:spacing w:before="120" w:after="120"/>
        <w:ind w:left="2977" w:right="1134" w:hanging="709"/>
        <w:jc w:val="both"/>
        <w:rPr>
          <w:i/>
          <w:iCs/>
          <w:snapToGrid w:val="0"/>
        </w:rPr>
      </w:pPr>
      <w:r w:rsidRPr="00B36A0D">
        <w:rPr>
          <w:b/>
          <w:bCs/>
          <w:i/>
          <w:iCs/>
          <w:snapToGrid w:val="0"/>
        </w:rPr>
        <w:t>NOTE:</w:t>
      </w:r>
      <w:r>
        <w:rPr>
          <w:i/>
          <w:iCs/>
          <w:snapToGrid w:val="0"/>
        </w:rPr>
        <w:tab/>
      </w:r>
      <w:r w:rsidRPr="00B36A0D">
        <w:rPr>
          <w:i/>
          <w:iCs/>
          <w:snapToGrid w:val="0"/>
        </w:rPr>
        <w:t>In this context “well ventilated” means there is an atmosphere where the carbon dioxide concentration is below 0.5 % by volume and the oxygen concentration is above 19.5 % by vol</w:t>
      </w:r>
      <w:r>
        <w:rPr>
          <w:i/>
          <w:iCs/>
          <w:snapToGrid w:val="0"/>
        </w:rPr>
        <w:t>ume.</w:t>
      </w:r>
      <w:proofErr w:type="gramStart"/>
      <w:r>
        <w:rPr>
          <w:i/>
          <w:iCs/>
          <w:snapToGrid w:val="0"/>
        </w:rPr>
        <w:t>"</w:t>
      </w:r>
      <w:r w:rsidRPr="00B36A0D">
        <w:rPr>
          <w:i/>
          <w:iCs/>
          <w:snapToGrid w:val="0"/>
        </w:rPr>
        <w:t>.</w:t>
      </w:r>
      <w:proofErr w:type="gramEnd"/>
    </w:p>
    <w:p w:rsidR="00E26ABE" w:rsidRPr="00B36A0D" w:rsidRDefault="00E26ABE" w:rsidP="00E26ABE">
      <w:pPr>
        <w:widowControl w:val="0"/>
        <w:spacing w:before="120" w:after="120"/>
        <w:ind w:left="2268" w:right="1134" w:hanging="1134"/>
        <w:jc w:val="both"/>
        <w:rPr>
          <w:snapToGrid w:val="0"/>
        </w:rPr>
      </w:pPr>
      <w:r>
        <w:rPr>
          <w:snapToGrid w:val="0"/>
        </w:rPr>
        <w:tab/>
      </w:r>
      <w:r w:rsidRPr="00B36A0D">
        <w:rPr>
          <w:snapToGrid w:val="0"/>
        </w:rPr>
        <w:t>Ventilation is not required, and marking according to 5.5.3.6 is required, if</w:t>
      </w:r>
      <w:r>
        <w:rPr>
          <w:snapToGrid w:val="0"/>
        </w:rPr>
        <w:t xml:space="preserve"> </w:t>
      </w:r>
      <w:r>
        <w:rPr>
          <w:snapToGrid w:val="0"/>
        </w:rPr>
        <w:tab/>
      </w:r>
      <w:r w:rsidRPr="00B36A0D">
        <w:rPr>
          <w:snapToGrid w:val="0"/>
        </w:rPr>
        <w:t xml:space="preserve">gas exchange between the load compartment and </w:t>
      </w:r>
      <w:proofErr w:type="gramStart"/>
      <w:r w:rsidRPr="00B36A0D">
        <w:rPr>
          <w:snapToGrid w:val="0"/>
        </w:rPr>
        <w:t>&lt;(</w:t>
      </w:r>
      <w:proofErr w:type="gramEnd"/>
      <w:r w:rsidRPr="00B36A0D">
        <w:rPr>
          <w:snapToGrid w:val="0"/>
        </w:rPr>
        <w:t>RID:) accessible compartments during carriage&gt; / &lt;(ADR:) the driver’s cabin&gt; /&lt;(ADN:) accessible compartments during carriage&gt; is prevented</w:t>
      </w:r>
      <w:r>
        <w:rPr>
          <w:snapToGrid w:val="0"/>
        </w:rPr>
        <w:t>.</w:t>
      </w:r>
    </w:p>
    <w:p w:rsidR="00E26ABE" w:rsidRPr="00700617" w:rsidRDefault="00E26ABE" w:rsidP="00E26ABE">
      <w:pPr>
        <w:widowControl w:val="0"/>
        <w:spacing w:before="120" w:after="120"/>
        <w:ind w:left="2977" w:right="1134" w:hanging="709"/>
        <w:jc w:val="both"/>
        <w:rPr>
          <w:i/>
          <w:iCs/>
          <w:snapToGrid w:val="0"/>
        </w:rPr>
      </w:pPr>
      <w:r w:rsidRPr="00B36A0D">
        <w:rPr>
          <w:b/>
          <w:bCs/>
          <w:i/>
          <w:iCs/>
          <w:snapToGrid w:val="0"/>
        </w:rPr>
        <w:t>NOTE</w:t>
      </w:r>
      <w:r>
        <w:rPr>
          <w:b/>
          <w:bCs/>
          <w:i/>
          <w:iCs/>
          <w:snapToGrid w:val="0"/>
        </w:rPr>
        <w:t>:</w:t>
      </w:r>
      <w:r w:rsidRPr="00700617">
        <w:rPr>
          <w:i/>
          <w:iCs/>
          <w:snapToGrid w:val="0"/>
        </w:rPr>
        <w:tab/>
      </w:r>
      <w:r>
        <w:rPr>
          <w:i/>
          <w:iCs/>
          <w:snapToGrid w:val="0"/>
        </w:rPr>
        <w:t>L</w:t>
      </w:r>
      <w:r w:rsidRPr="00700617">
        <w:rPr>
          <w:i/>
          <w:iCs/>
          <w:snapToGrid w:val="0"/>
        </w:rPr>
        <w:t>oad compartment</w:t>
      </w:r>
      <w:r>
        <w:rPr>
          <w:i/>
          <w:iCs/>
          <w:snapToGrid w:val="0"/>
        </w:rPr>
        <w:t>s which are</w:t>
      </w:r>
      <w:r w:rsidRPr="00700617">
        <w:rPr>
          <w:i/>
          <w:iCs/>
          <w:snapToGrid w:val="0"/>
        </w:rPr>
        <w:t xml:space="preserve"> insulated, refrigerated or mechanically refrigerated equipment, for example as defined in the Agreement on the International Carriage of Perishable Foodstuffs and on the Special Equipment to be Used for such Carriage (ATP) </w:t>
      </w:r>
      <w:r w:rsidRPr="009E6ECD">
        <w:rPr>
          <w:i/>
          <w:iCs/>
          <w:snapToGrid w:val="0"/>
          <w:u w:val="single"/>
        </w:rPr>
        <w:t xml:space="preserve">and which are separated from </w:t>
      </w:r>
      <w:proofErr w:type="gramStart"/>
      <w:r w:rsidRPr="009E6ECD">
        <w:rPr>
          <w:i/>
          <w:iCs/>
          <w:snapToGrid w:val="0"/>
          <w:u w:val="single"/>
        </w:rPr>
        <w:t>&lt;(</w:t>
      </w:r>
      <w:proofErr w:type="gramEnd"/>
      <w:r w:rsidRPr="009E6ECD">
        <w:rPr>
          <w:i/>
          <w:iCs/>
          <w:snapToGrid w:val="0"/>
          <w:u w:val="single"/>
        </w:rPr>
        <w:t>RID:) accessible compartments during carriage&gt; / &lt;(ADR:) the driver’s cabin&gt; /&lt;(ADN:) accessible compartments during carriage&gt; are deemed to prevent gas exchange sufficiently</w:t>
      </w:r>
      <w:r w:rsidRPr="00700617">
        <w:rPr>
          <w:i/>
          <w:iCs/>
          <w:snapToGrid w:val="0"/>
        </w:rPr>
        <w:t>.</w:t>
      </w:r>
    </w:p>
    <w:p w:rsidR="00E26ABE" w:rsidRPr="00682449" w:rsidRDefault="00E26ABE" w:rsidP="00E26ABE">
      <w:pPr>
        <w:pStyle w:val="SingleTxtG"/>
        <w:rPr>
          <w:snapToGrid w:val="0"/>
          <w:u w:val="single"/>
        </w:rPr>
      </w:pPr>
      <w:r w:rsidRPr="00682449">
        <w:rPr>
          <w:snapToGrid w:val="0"/>
          <w:u w:val="single"/>
        </w:rPr>
        <w:t>Alt. 3</w:t>
      </w:r>
    </w:p>
    <w:p w:rsidR="00E26ABE" w:rsidRPr="00B36A0D" w:rsidRDefault="00E26ABE" w:rsidP="00E26ABE">
      <w:pPr>
        <w:widowControl w:val="0"/>
        <w:spacing w:before="120" w:after="120"/>
        <w:ind w:left="2268" w:right="1134" w:hanging="1134"/>
        <w:jc w:val="both"/>
        <w:rPr>
          <w:snapToGrid w:val="0"/>
        </w:rPr>
      </w:pPr>
      <w:r w:rsidRPr="00B36A0D">
        <w:rPr>
          <w:bCs/>
          <w:snapToGrid w:val="0"/>
        </w:rPr>
        <w:t>"</w:t>
      </w:r>
      <w:r w:rsidRPr="00B36A0D">
        <w:rPr>
          <w:b/>
          <w:bCs/>
          <w:snapToGrid w:val="0"/>
        </w:rPr>
        <w:t>5.5.3.3.3</w:t>
      </w:r>
      <w:r>
        <w:rPr>
          <w:snapToGrid w:val="0"/>
        </w:rPr>
        <w:tab/>
      </w:r>
      <w:r w:rsidRPr="00B36A0D">
        <w:rPr>
          <w:snapToGrid w:val="0"/>
        </w:rPr>
        <w:t xml:space="preserve">Packages containing a coolant or conditioner shall be carried in well ventilated </w:t>
      </w:r>
      <w:proofErr w:type="gramStart"/>
      <w:r w:rsidRPr="00B36A0D">
        <w:rPr>
          <w:snapToGrid w:val="0"/>
        </w:rPr>
        <w:t>&lt;(</w:t>
      </w:r>
      <w:proofErr w:type="gramEnd"/>
      <w:r w:rsidRPr="00B36A0D">
        <w:rPr>
          <w:snapToGrid w:val="0"/>
        </w:rPr>
        <w:t>RID:) wagons and containers&gt;/ &lt;(ADR:) vehicles and containers&gt; / &lt;(ADN:) vehicles, wagons and containers&gt;. Marking according to 5.5.3.6 is not required in this case.</w:t>
      </w:r>
    </w:p>
    <w:p w:rsidR="00E26ABE" w:rsidRPr="00B36A0D" w:rsidRDefault="00E26ABE" w:rsidP="00E26ABE">
      <w:pPr>
        <w:widowControl w:val="0"/>
        <w:spacing w:before="120" w:after="120"/>
        <w:ind w:left="2268" w:right="1134" w:hanging="1134"/>
        <w:jc w:val="both"/>
        <w:rPr>
          <w:snapToGrid w:val="0"/>
        </w:rPr>
      </w:pPr>
      <w:r>
        <w:rPr>
          <w:snapToGrid w:val="0"/>
        </w:rPr>
        <w:tab/>
      </w:r>
      <w:r w:rsidRPr="00B36A0D">
        <w:rPr>
          <w:snapToGrid w:val="0"/>
        </w:rPr>
        <w:t>Ventilation is not required, and marking according to 5.5.3.6 is required, if:</w:t>
      </w:r>
    </w:p>
    <w:p w:rsidR="00E26ABE" w:rsidRPr="00B36A0D" w:rsidRDefault="00E26ABE" w:rsidP="00E26ABE">
      <w:pPr>
        <w:widowControl w:val="0"/>
        <w:spacing w:before="120" w:after="120"/>
        <w:ind w:left="2268" w:right="1134"/>
        <w:jc w:val="both"/>
        <w:rPr>
          <w:snapToGrid w:val="0"/>
        </w:rPr>
      </w:pPr>
      <w:r>
        <w:rPr>
          <w:snapToGrid w:val="0"/>
        </w:rPr>
        <w:tab/>
        <w:t>–</w:t>
      </w:r>
      <w:r>
        <w:rPr>
          <w:snapToGrid w:val="0"/>
        </w:rPr>
        <w:tab/>
      </w:r>
      <w:proofErr w:type="gramStart"/>
      <w:r w:rsidRPr="00B36A0D">
        <w:rPr>
          <w:snapToGrid w:val="0"/>
        </w:rPr>
        <w:t>gas</w:t>
      </w:r>
      <w:proofErr w:type="gramEnd"/>
      <w:r w:rsidRPr="00B36A0D">
        <w:rPr>
          <w:snapToGrid w:val="0"/>
        </w:rPr>
        <w:t xml:space="preserve"> exchange between the load compartment and &lt;(RID:) accessible compartments during carriage&gt; / &lt;(ADR:) the driver’s cabin&gt; /&lt;(ADN:) accessible compartments during carriage&gt; is prevented; or</w:t>
      </w:r>
    </w:p>
    <w:p w:rsidR="00E26ABE" w:rsidRPr="00B36A0D" w:rsidRDefault="00E26ABE" w:rsidP="00E26ABE">
      <w:pPr>
        <w:widowControl w:val="0"/>
        <w:spacing w:before="120" w:after="120"/>
        <w:ind w:left="2268" w:right="1134"/>
        <w:jc w:val="both"/>
        <w:rPr>
          <w:snapToGrid w:val="0"/>
        </w:rPr>
      </w:pPr>
      <w:r>
        <w:rPr>
          <w:snapToGrid w:val="0"/>
        </w:rPr>
        <w:t>–</w:t>
      </w:r>
      <w:r>
        <w:rPr>
          <w:snapToGrid w:val="0"/>
        </w:rPr>
        <w:tab/>
      </w:r>
      <w:r w:rsidRPr="00B36A0D">
        <w:rPr>
          <w:snapToGrid w:val="0"/>
        </w:rPr>
        <w:t xml:space="preserve">the load compartment is insulated, refrigerated or mechanically refrigerated equipment, for example as defined in the Agreement on the International Carriage of Perishable Foodstuffs and on the Special Equipment to be Used for such Carriage (ATP) </w:t>
      </w:r>
      <w:r w:rsidRPr="009E6ECD">
        <w:rPr>
          <w:snapToGrid w:val="0"/>
          <w:u w:val="single"/>
        </w:rPr>
        <w:t>and separated from &lt;(RID:) accessible compartments during carriage&gt; / &lt;(ADR:) the driver’s cabin&gt; /&lt;(ADN:) accessible compartments during carriage&gt;</w:t>
      </w:r>
      <w:r w:rsidRPr="00B36A0D">
        <w:rPr>
          <w:snapToGrid w:val="0"/>
        </w:rPr>
        <w:t>.</w:t>
      </w:r>
    </w:p>
    <w:p w:rsidR="00E26ABE" w:rsidRDefault="00E26ABE" w:rsidP="00E26ABE">
      <w:pPr>
        <w:widowControl w:val="0"/>
        <w:spacing w:before="120" w:after="120"/>
        <w:ind w:left="2977" w:right="1134" w:hanging="709"/>
        <w:jc w:val="both"/>
        <w:rPr>
          <w:i/>
          <w:iCs/>
          <w:snapToGrid w:val="0"/>
        </w:rPr>
      </w:pPr>
      <w:r w:rsidRPr="00B36A0D">
        <w:rPr>
          <w:b/>
          <w:bCs/>
          <w:i/>
          <w:iCs/>
          <w:snapToGrid w:val="0"/>
        </w:rPr>
        <w:t>NOTE:</w:t>
      </w:r>
      <w:r>
        <w:rPr>
          <w:i/>
          <w:iCs/>
          <w:snapToGrid w:val="0"/>
        </w:rPr>
        <w:tab/>
      </w:r>
      <w:r w:rsidRPr="00B36A0D">
        <w:rPr>
          <w:i/>
          <w:iCs/>
          <w:snapToGrid w:val="0"/>
        </w:rPr>
        <w:t xml:space="preserve">In this context “well ventilated” means there is an atmosphere </w:t>
      </w:r>
      <w:r w:rsidRPr="00B36A0D">
        <w:rPr>
          <w:i/>
          <w:iCs/>
          <w:snapToGrid w:val="0"/>
        </w:rPr>
        <w:lastRenderedPageBreak/>
        <w:t>where the carbon dioxide concentration is below 0.5 % by volume and the oxygen concentration is above 19.5 % by vol</w:t>
      </w:r>
      <w:r>
        <w:rPr>
          <w:i/>
          <w:iCs/>
          <w:snapToGrid w:val="0"/>
        </w:rPr>
        <w:t>ume.</w:t>
      </w:r>
      <w:proofErr w:type="gramStart"/>
      <w:r>
        <w:rPr>
          <w:i/>
          <w:iCs/>
          <w:snapToGrid w:val="0"/>
        </w:rPr>
        <w:t>"</w:t>
      </w:r>
      <w:r w:rsidRPr="00B36A0D">
        <w:rPr>
          <w:i/>
          <w:iCs/>
          <w:snapToGrid w:val="0"/>
        </w:rPr>
        <w:t>.</w:t>
      </w:r>
      <w:proofErr w:type="gramEnd"/>
    </w:p>
    <w:p w:rsidR="00E26ABE" w:rsidRPr="00E26ABE" w:rsidRDefault="00E26ABE" w:rsidP="00E26ABE">
      <w:pPr>
        <w:spacing w:before="240"/>
        <w:ind w:left="1134" w:right="1134"/>
        <w:jc w:val="center"/>
        <w:rPr>
          <w:i/>
          <w:iCs/>
          <w:snapToGrid w:val="0"/>
          <w:u w:val="single"/>
        </w:rPr>
      </w:pPr>
      <w:r>
        <w:rPr>
          <w:b/>
          <w:bCs/>
          <w:i/>
          <w:iCs/>
          <w:snapToGrid w:val="0"/>
          <w:u w:val="single"/>
        </w:rPr>
        <w:tab/>
      </w:r>
      <w:r>
        <w:rPr>
          <w:b/>
          <w:bCs/>
          <w:i/>
          <w:iCs/>
          <w:snapToGrid w:val="0"/>
          <w:u w:val="single"/>
        </w:rPr>
        <w:tab/>
      </w:r>
      <w:r>
        <w:rPr>
          <w:b/>
          <w:bCs/>
          <w:i/>
          <w:iCs/>
          <w:snapToGrid w:val="0"/>
          <w:u w:val="single"/>
        </w:rPr>
        <w:tab/>
      </w:r>
    </w:p>
    <w:sectPr w:rsidR="00E26ABE" w:rsidRPr="00E26ABE" w:rsidSect="00AB2EDE">
      <w:headerReference w:type="even" r:id="rId9"/>
      <w:headerReference w:type="default" r:id="rId10"/>
      <w:footerReference w:type="even" r:id="rId11"/>
      <w:footerReference w:type="default" r:id="rId12"/>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70D" w:rsidRDefault="006E670D"/>
  </w:endnote>
  <w:endnote w:type="continuationSeparator" w:id="0">
    <w:p w:rsidR="006E670D" w:rsidRDefault="006E670D"/>
  </w:endnote>
  <w:endnote w:type="continuationNotice" w:id="1">
    <w:p w:rsidR="006E670D" w:rsidRDefault="006E67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EDE" w:rsidRPr="00AB2EDE" w:rsidRDefault="005A2CEE" w:rsidP="00AB2EDE">
    <w:pPr>
      <w:pStyle w:val="Footer"/>
      <w:rPr>
        <w:b/>
        <w:sz w:val="18"/>
        <w:szCs w:val="18"/>
      </w:rPr>
    </w:pPr>
    <w:r w:rsidRPr="00AB2EDE">
      <w:rPr>
        <w:b/>
        <w:sz w:val="18"/>
        <w:szCs w:val="18"/>
      </w:rPr>
      <w:fldChar w:fldCharType="begin"/>
    </w:r>
    <w:r w:rsidR="00AB2EDE" w:rsidRPr="00AB2EDE">
      <w:rPr>
        <w:b/>
        <w:sz w:val="18"/>
        <w:szCs w:val="18"/>
      </w:rPr>
      <w:instrText xml:space="preserve"> PAGE   \* MERGEFORMAT </w:instrText>
    </w:r>
    <w:r w:rsidRPr="00AB2EDE">
      <w:rPr>
        <w:b/>
        <w:sz w:val="18"/>
        <w:szCs w:val="18"/>
      </w:rPr>
      <w:fldChar w:fldCharType="separate"/>
    </w:r>
    <w:r w:rsidR="00E26ABE">
      <w:rPr>
        <w:b/>
        <w:noProof/>
        <w:sz w:val="18"/>
        <w:szCs w:val="18"/>
      </w:rPr>
      <w:t>2</w:t>
    </w:r>
    <w:r w:rsidRPr="00AB2EDE">
      <w:rPr>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B8B" w:rsidRPr="00012B8B" w:rsidRDefault="005A2CEE">
    <w:pPr>
      <w:pStyle w:val="Footer"/>
      <w:jc w:val="right"/>
      <w:rPr>
        <w:b/>
        <w:sz w:val="18"/>
        <w:szCs w:val="18"/>
      </w:rPr>
    </w:pPr>
    <w:r w:rsidRPr="00012B8B">
      <w:rPr>
        <w:b/>
        <w:sz w:val="18"/>
        <w:szCs w:val="18"/>
      </w:rPr>
      <w:fldChar w:fldCharType="begin"/>
    </w:r>
    <w:r w:rsidR="00012B8B" w:rsidRPr="00012B8B">
      <w:rPr>
        <w:b/>
        <w:sz w:val="18"/>
        <w:szCs w:val="18"/>
      </w:rPr>
      <w:instrText xml:space="preserve"> PAGE   \* MERGEFORMAT </w:instrText>
    </w:r>
    <w:r w:rsidRPr="00012B8B">
      <w:rPr>
        <w:b/>
        <w:sz w:val="18"/>
        <w:szCs w:val="18"/>
      </w:rPr>
      <w:fldChar w:fldCharType="separate"/>
    </w:r>
    <w:r w:rsidR="00E26ABE">
      <w:rPr>
        <w:b/>
        <w:noProof/>
        <w:sz w:val="18"/>
        <w:szCs w:val="18"/>
      </w:rPr>
      <w:t>3</w:t>
    </w:r>
    <w:r w:rsidRPr="00012B8B">
      <w:rPr>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70D" w:rsidRPr="000B175B" w:rsidRDefault="006E670D" w:rsidP="000B175B">
      <w:pPr>
        <w:tabs>
          <w:tab w:val="right" w:pos="2155"/>
        </w:tabs>
        <w:spacing w:after="80"/>
        <w:ind w:left="680"/>
        <w:rPr>
          <w:u w:val="single"/>
        </w:rPr>
      </w:pPr>
      <w:r>
        <w:rPr>
          <w:u w:val="single"/>
        </w:rPr>
        <w:tab/>
      </w:r>
    </w:p>
  </w:footnote>
  <w:footnote w:type="continuationSeparator" w:id="0">
    <w:p w:rsidR="006E670D" w:rsidRPr="00FC68B7" w:rsidRDefault="006E670D" w:rsidP="00FC68B7">
      <w:pPr>
        <w:tabs>
          <w:tab w:val="left" w:pos="2155"/>
        </w:tabs>
        <w:spacing w:after="80"/>
        <w:ind w:left="680"/>
        <w:rPr>
          <w:u w:val="single"/>
        </w:rPr>
      </w:pPr>
      <w:r>
        <w:rPr>
          <w:u w:val="single"/>
        </w:rPr>
        <w:tab/>
      </w:r>
    </w:p>
  </w:footnote>
  <w:footnote w:type="continuationNotice" w:id="1">
    <w:p w:rsidR="006E670D" w:rsidRDefault="006E67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9FC" w:rsidRPr="000B09FC" w:rsidRDefault="000B09FC">
    <w:pPr>
      <w:pStyle w:val="Header"/>
      <w:rPr>
        <w:szCs w:val="18"/>
        <w:lang w:val="fr-CH"/>
      </w:rPr>
    </w:pPr>
    <w:r w:rsidRPr="000B09FC">
      <w:rPr>
        <w:szCs w:val="18"/>
        <w:lang w:val="fr-CH"/>
      </w:rPr>
      <w:t>INF</w:t>
    </w:r>
    <w:r w:rsidR="005C7B0B">
      <w:rPr>
        <w:szCs w:val="18"/>
        <w:lang w:val="fr-CH"/>
      </w:rPr>
      <w:t>.</w:t>
    </w:r>
    <w:r w:rsidR="00E26ABE">
      <w:rPr>
        <w:szCs w:val="18"/>
        <w:lang w:val="fr-CH"/>
      </w:rPr>
      <w:t>59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9FC" w:rsidRPr="000B09FC" w:rsidRDefault="000B09FC" w:rsidP="00AB2EDE">
    <w:pPr>
      <w:pStyle w:val="Header"/>
      <w:pBdr>
        <w:bottom w:val="single" w:sz="4" w:space="1" w:color="auto"/>
      </w:pBdr>
      <w:jc w:val="right"/>
      <w:rPr>
        <w:szCs w:val="18"/>
        <w:lang w:val="fr-CH"/>
      </w:rPr>
    </w:pPr>
    <w:r w:rsidRPr="000B09FC">
      <w:rPr>
        <w:szCs w:val="18"/>
        <w:lang w:val="fr-CH"/>
      </w:rPr>
      <w:t>INF.</w:t>
    </w:r>
    <w:r w:rsidR="00E26ABE">
      <w:rPr>
        <w:szCs w:val="18"/>
        <w:lang w:val="fr-CH"/>
      </w:rPr>
      <w:t>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773E61B3"/>
    <w:multiLevelType w:val="hybridMultilevel"/>
    <w:tmpl w:val="BACCC9DA"/>
    <w:lvl w:ilvl="0" w:tplc="55E0CF2E">
      <w:start w:val="4"/>
      <w:numFmt w:val="lowerRoman"/>
      <w:lvlText w:val="(%1)"/>
      <w:lvlJc w:val="left"/>
      <w:pPr>
        <w:ind w:left="2705" w:hanging="720"/>
      </w:pPr>
      <w:rPr>
        <w:rFonts w:hint="default"/>
      </w:rPr>
    </w:lvl>
    <w:lvl w:ilvl="1" w:tplc="04130019" w:tentative="1">
      <w:start w:val="1"/>
      <w:numFmt w:val="lowerLetter"/>
      <w:lvlText w:val="%2."/>
      <w:lvlJc w:val="left"/>
      <w:pPr>
        <w:ind w:left="3065" w:hanging="360"/>
      </w:pPr>
    </w:lvl>
    <w:lvl w:ilvl="2" w:tplc="0413001B" w:tentative="1">
      <w:start w:val="1"/>
      <w:numFmt w:val="lowerRoman"/>
      <w:lvlText w:val="%3."/>
      <w:lvlJc w:val="right"/>
      <w:pPr>
        <w:ind w:left="3785" w:hanging="180"/>
      </w:pPr>
    </w:lvl>
    <w:lvl w:ilvl="3" w:tplc="0413000F" w:tentative="1">
      <w:start w:val="1"/>
      <w:numFmt w:val="decimal"/>
      <w:lvlText w:val="%4."/>
      <w:lvlJc w:val="left"/>
      <w:pPr>
        <w:ind w:left="4505" w:hanging="360"/>
      </w:pPr>
    </w:lvl>
    <w:lvl w:ilvl="4" w:tplc="04130019" w:tentative="1">
      <w:start w:val="1"/>
      <w:numFmt w:val="lowerLetter"/>
      <w:lvlText w:val="%5."/>
      <w:lvlJc w:val="left"/>
      <w:pPr>
        <w:ind w:left="5225" w:hanging="360"/>
      </w:pPr>
    </w:lvl>
    <w:lvl w:ilvl="5" w:tplc="0413001B" w:tentative="1">
      <w:start w:val="1"/>
      <w:numFmt w:val="lowerRoman"/>
      <w:lvlText w:val="%6."/>
      <w:lvlJc w:val="right"/>
      <w:pPr>
        <w:ind w:left="5945" w:hanging="180"/>
      </w:pPr>
    </w:lvl>
    <w:lvl w:ilvl="6" w:tplc="0413000F" w:tentative="1">
      <w:start w:val="1"/>
      <w:numFmt w:val="decimal"/>
      <w:lvlText w:val="%7."/>
      <w:lvlJc w:val="left"/>
      <w:pPr>
        <w:ind w:left="6665" w:hanging="360"/>
      </w:pPr>
    </w:lvl>
    <w:lvl w:ilvl="7" w:tplc="04130019" w:tentative="1">
      <w:start w:val="1"/>
      <w:numFmt w:val="lowerLetter"/>
      <w:lvlText w:val="%8."/>
      <w:lvlJc w:val="left"/>
      <w:pPr>
        <w:ind w:left="7385" w:hanging="360"/>
      </w:pPr>
    </w:lvl>
    <w:lvl w:ilvl="8" w:tplc="0413001B" w:tentative="1">
      <w:start w:val="1"/>
      <w:numFmt w:val="lowerRoman"/>
      <w:lvlText w:val="%9."/>
      <w:lvlJc w:val="right"/>
      <w:pPr>
        <w:ind w:left="8105"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de-CH"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2"/>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12B8B"/>
    <w:rsid w:val="00037F90"/>
    <w:rsid w:val="00046B1F"/>
    <w:rsid w:val="00050F6B"/>
    <w:rsid w:val="00057E97"/>
    <w:rsid w:val="00062894"/>
    <w:rsid w:val="00072972"/>
    <w:rsid w:val="00072C8C"/>
    <w:rsid w:val="000733B5"/>
    <w:rsid w:val="00081815"/>
    <w:rsid w:val="000931C0"/>
    <w:rsid w:val="00096262"/>
    <w:rsid w:val="000A3752"/>
    <w:rsid w:val="000A7267"/>
    <w:rsid w:val="000B0595"/>
    <w:rsid w:val="000B0674"/>
    <w:rsid w:val="000B09FC"/>
    <w:rsid w:val="000B175B"/>
    <w:rsid w:val="000B3A0F"/>
    <w:rsid w:val="000B4EF7"/>
    <w:rsid w:val="000B633F"/>
    <w:rsid w:val="000C0AEF"/>
    <w:rsid w:val="000C2C03"/>
    <w:rsid w:val="000C2D2E"/>
    <w:rsid w:val="000C4D51"/>
    <w:rsid w:val="000C7F79"/>
    <w:rsid w:val="000E0415"/>
    <w:rsid w:val="0010391C"/>
    <w:rsid w:val="00104CDA"/>
    <w:rsid w:val="001103AA"/>
    <w:rsid w:val="0011666B"/>
    <w:rsid w:val="00125117"/>
    <w:rsid w:val="001326A6"/>
    <w:rsid w:val="00140960"/>
    <w:rsid w:val="00140C0C"/>
    <w:rsid w:val="001445EB"/>
    <w:rsid w:val="00155068"/>
    <w:rsid w:val="00165F3A"/>
    <w:rsid w:val="001847D2"/>
    <w:rsid w:val="00184AC9"/>
    <w:rsid w:val="001A57BD"/>
    <w:rsid w:val="001A6E55"/>
    <w:rsid w:val="001B13A5"/>
    <w:rsid w:val="001B4B04"/>
    <w:rsid w:val="001C6663"/>
    <w:rsid w:val="001C7895"/>
    <w:rsid w:val="001D0C8C"/>
    <w:rsid w:val="001D1419"/>
    <w:rsid w:val="001D2691"/>
    <w:rsid w:val="001D26DF"/>
    <w:rsid w:val="001D3A03"/>
    <w:rsid w:val="001E0B9E"/>
    <w:rsid w:val="001E7B67"/>
    <w:rsid w:val="001F7435"/>
    <w:rsid w:val="00202DA8"/>
    <w:rsid w:val="00203753"/>
    <w:rsid w:val="002102FF"/>
    <w:rsid w:val="0021114C"/>
    <w:rsid w:val="0021157B"/>
    <w:rsid w:val="00211E0B"/>
    <w:rsid w:val="0023481F"/>
    <w:rsid w:val="002350A6"/>
    <w:rsid w:val="0024023A"/>
    <w:rsid w:val="00243217"/>
    <w:rsid w:val="00252290"/>
    <w:rsid w:val="0026060C"/>
    <w:rsid w:val="00267F5F"/>
    <w:rsid w:val="00272A49"/>
    <w:rsid w:val="00286B4D"/>
    <w:rsid w:val="002A3C85"/>
    <w:rsid w:val="002A603B"/>
    <w:rsid w:val="002D4643"/>
    <w:rsid w:val="002D4B6C"/>
    <w:rsid w:val="002D7F5E"/>
    <w:rsid w:val="002E7C2F"/>
    <w:rsid w:val="002F175C"/>
    <w:rsid w:val="002F4216"/>
    <w:rsid w:val="00302E18"/>
    <w:rsid w:val="00303B03"/>
    <w:rsid w:val="003050A4"/>
    <w:rsid w:val="0030606F"/>
    <w:rsid w:val="003229D8"/>
    <w:rsid w:val="003358CF"/>
    <w:rsid w:val="00345184"/>
    <w:rsid w:val="00352709"/>
    <w:rsid w:val="003571EA"/>
    <w:rsid w:val="00371178"/>
    <w:rsid w:val="003A6810"/>
    <w:rsid w:val="003B36D1"/>
    <w:rsid w:val="003C2CC4"/>
    <w:rsid w:val="003D4B23"/>
    <w:rsid w:val="00410C89"/>
    <w:rsid w:val="00422E03"/>
    <w:rsid w:val="00426B9B"/>
    <w:rsid w:val="0043046F"/>
    <w:rsid w:val="004325CB"/>
    <w:rsid w:val="004356D2"/>
    <w:rsid w:val="00442A83"/>
    <w:rsid w:val="00446782"/>
    <w:rsid w:val="0045495B"/>
    <w:rsid w:val="00464C81"/>
    <w:rsid w:val="004766E0"/>
    <w:rsid w:val="0048397A"/>
    <w:rsid w:val="004975C1"/>
    <w:rsid w:val="004A12F2"/>
    <w:rsid w:val="004A28A3"/>
    <w:rsid w:val="004C0C86"/>
    <w:rsid w:val="004C2461"/>
    <w:rsid w:val="004C7462"/>
    <w:rsid w:val="004D142D"/>
    <w:rsid w:val="004D454F"/>
    <w:rsid w:val="004D4E04"/>
    <w:rsid w:val="004D5426"/>
    <w:rsid w:val="004E0C05"/>
    <w:rsid w:val="004E77B2"/>
    <w:rsid w:val="00503DEB"/>
    <w:rsid w:val="00504B2D"/>
    <w:rsid w:val="00507993"/>
    <w:rsid w:val="00516A8A"/>
    <w:rsid w:val="0052136D"/>
    <w:rsid w:val="00522B58"/>
    <w:rsid w:val="00523CD7"/>
    <w:rsid w:val="0052775E"/>
    <w:rsid w:val="005420F2"/>
    <w:rsid w:val="00543B68"/>
    <w:rsid w:val="00546993"/>
    <w:rsid w:val="005628B6"/>
    <w:rsid w:val="00563634"/>
    <w:rsid w:val="0059363D"/>
    <w:rsid w:val="005A2CEE"/>
    <w:rsid w:val="005B3DB3"/>
    <w:rsid w:val="005B4E13"/>
    <w:rsid w:val="005C68F0"/>
    <w:rsid w:val="005C7B0B"/>
    <w:rsid w:val="005D2A29"/>
    <w:rsid w:val="005E6A77"/>
    <w:rsid w:val="005F7B75"/>
    <w:rsid w:val="006001EE"/>
    <w:rsid w:val="00605042"/>
    <w:rsid w:val="00611FC4"/>
    <w:rsid w:val="006176FB"/>
    <w:rsid w:val="00630BAF"/>
    <w:rsid w:val="00640B26"/>
    <w:rsid w:val="00652D0A"/>
    <w:rsid w:val="00652D2B"/>
    <w:rsid w:val="006623D5"/>
    <w:rsid w:val="00662BB6"/>
    <w:rsid w:val="00667F8F"/>
    <w:rsid w:val="006741F1"/>
    <w:rsid w:val="00684C21"/>
    <w:rsid w:val="00690828"/>
    <w:rsid w:val="006973CA"/>
    <w:rsid w:val="006A2530"/>
    <w:rsid w:val="006B1C12"/>
    <w:rsid w:val="006C3589"/>
    <w:rsid w:val="006C5E14"/>
    <w:rsid w:val="006D37AF"/>
    <w:rsid w:val="006D51D0"/>
    <w:rsid w:val="006D7609"/>
    <w:rsid w:val="006E564B"/>
    <w:rsid w:val="006E670D"/>
    <w:rsid w:val="006E7191"/>
    <w:rsid w:val="00703577"/>
    <w:rsid w:val="00705894"/>
    <w:rsid w:val="00707EAF"/>
    <w:rsid w:val="0072632A"/>
    <w:rsid w:val="007327D5"/>
    <w:rsid w:val="007611CF"/>
    <w:rsid w:val="00761787"/>
    <w:rsid w:val="007629C8"/>
    <w:rsid w:val="00764668"/>
    <w:rsid w:val="0077047D"/>
    <w:rsid w:val="00774AF7"/>
    <w:rsid w:val="00776430"/>
    <w:rsid w:val="00797575"/>
    <w:rsid w:val="007A0C29"/>
    <w:rsid w:val="007B057A"/>
    <w:rsid w:val="007B6BA5"/>
    <w:rsid w:val="007C3390"/>
    <w:rsid w:val="007C3C55"/>
    <w:rsid w:val="007C4F4B"/>
    <w:rsid w:val="007E01E9"/>
    <w:rsid w:val="007E63F3"/>
    <w:rsid w:val="007F1F2D"/>
    <w:rsid w:val="007F6611"/>
    <w:rsid w:val="007F7106"/>
    <w:rsid w:val="007F7A86"/>
    <w:rsid w:val="008005E9"/>
    <w:rsid w:val="00801498"/>
    <w:rsid w:val="008116D7"/>
    <w:rsid w:val="00811920"/>
    <w:rsid w:val="00815AD0"/>
    <w:rsid w:val="008242D7"/>
    <w:rsid w:val="008257B1"/>
    <w:rsid w:val="00826C3D"/>
    <w:rsid w:val="00843767"/>
    <w:rsid w:val="008465D9"/>
    <w:rsid w:val="00852EE5"/>
    <w:rsid w:val="00854501"/>
    <w:rsid w:val="00855B3E"/>
    <w:rsid w:val="008679D9"/>
    <w:rsid w:val="00871389"/>
    <w:rsid w:val="00880848"/>
    <w:rsid w:val="00883999"/>
    <w:rsid w:val="00887652"/>
    <w:rsid w:val="008878DE"/>
    <w:rsid w:val="008979B1"/>
    <w:rsid w:val="008A6B25"/>
    <w:rsid w:val="008A6C4F"/>
    <w:rsid w:val="008A7B69"/>
    <w:rsid w:val="008B2335"/>
    <w:rsid w:val="008C42BD"/>
    <w:rsid w:val="008C7DAF"/>
    <w:rsid w:val="008E0678"/>
    <w:rsid w:val="008E0DAA"/>
    <w:rsid w:val="008E3B6F"/>
    <w:rsid w:val="008E4D3A"/>
    <w:rsid w:val="009223CA"/>
    <w:rsid w:val="00940F93"/>
    <w:rsid w:val="0094558F"/>
    <w:rsid w:val="009463DE"/>
    <w:rsid w:val="0095387D"/>
    <w:rsid w:val="009541BE"/>
    <w:rsid w:val="00961690"/>
    <w:rsid w:val="009760F3"/>
    <w:rsid w:val="00981E12"/>
    <w:rsid w:val="0098203C"/>
    <w:rsid w:val="00995CC5"/>
    <w:rsid w:val="009A0E8D"/>
    <w:rsid w:val="009B1518"/>
    <w:rsid w:val="009B26E7"/>
    <w:rsid w:val="009C454F"/>
    <w:rsid w:val="009D2A5B"/>
    <w:rsid w:val="009E1D8E"/>
    <w:rsid w:val="00A00A3F"/>
    <w:rsid w:val="00A01489"/>
    <w:rsid w:val="00A22D98"/>
    <w:rsid w:val="00A3009E"/>
    <w:rsid w:val="00A3026E"/>
    <w:rsid w:val="00A338F1"/>
    <w:rsid w:val="00A45AB0"/>
    <w:rsid w:val="00A64815"/>
    <w:rsid w:val="00A72F22"/>
    <w:rsid w:val="00A7360F"/>
    <w:rsid w:val="00A748A6"/>
    <w:rsid w:val="00A769F4"/>
    <w:rsid w:val="00A776B4"/>
    <w:rsid w:val="00A902CB"/>
    <w:rsid w:val="00A94361"/>
    <w:rsid w:val="00AA293C"/>
    <w:rsid w:val="00AA66C0"/>
    <w:rsid w:val="00AB2EDE"/>
    <w:rsid w:val="00AD44C2"/>
    <w:rsid w:val="00AD48FA"/>
    <w:rsid w:val="00B11BB4"/>
    <w:rsid w:val="00B1605D"/>
    <w:rsid w:val="00B22BC2"/>
    <w:rsid w:val="00B30179"/>
    <w:rsid w:val="00B36690"/>
    <w:rsid w:val="00B421C1"/>
    <w:rsid w:val="00B529C6"/>
    <w:rsid w:val="00B55C71"/>
    <w:rsid w:val="00B56E4A"/>
    <w:rsid w:val="00B56E9C"/>
    <w:rsid w:val="00B61320"/>
    <w:rsid w:val="00B61BB6"/>
    <w:rsid w:val="00B64B1F"/>
    <w:rsid w:val="00B6504E"/>
    <w:rsid w:val="00B6553F"/>
    <w:rsid w:val="00B70F1E"/>
    <w:rsid w:val="00B77D05"/>
    <w:rsid w:val="00B81206"/>
    <w:rsid w:val="00B81E12"/>
    <w:rsid w:val="00B835D8"/>
    <w:rsid w:val="00BA2681"/>
    <w:rsid w:val="00BB7CD1"/>
    <w:rsid w:val="00BC3FA0"/>
    <w:rsid w:val="00BC4712"/>
    <w:rsid w:val="00BC74E9"/>
    <w:rsid w:val="00BE30E7"/>
    <w:rsid w:val="00BE48E6"/>
    <w:rsid w:val="00BF15A1"/>
    <w:rsid w:val="00BF68A8"/>
    <w:rsid w:val="00C05F5E"/>
    <w:rsid w:val="00C10FE6"/>
    <w:rsid w:val="00C11A03"/>
    <w:rsid w:val="00C22C0C"/>
    <w:rsid w:val="00C250B2"/>
    <w:rsid w:val="00C4527F"/>
    <w:rsid w:val="00C463DD"/>
    <w:rsid w:val="00C467C9"/>
    <w:rsid w:val="00C4724C"/>
    <w:rsid w:val="00C629A0"/>
    <w:rsid w:val="00C64629"/>
    <w:rsid w:val="00C73056"/>
    <w:rsid w:val="00C745C3"/>
    <w:rsid w:val="00C870A0"/>
    <w:rsid w:val="00CB3E03"/>
    <w:rsid w:val="00CB4114"/>
    <w:rsid w:val="00CD57D2"/>
    <w:rsid w:val="00CE4A8F"/>
    <w:rsid w:val="00D00610"/>
    <w:rsid w:val="00D2031B"/>
    <w:rsid w:val="00D25FE2"/>
    <w:rsid w:val="00D43252"/>
    <w:rsid w:val="00D47EEA"/>
    <w:rsid w:val="00D54165"/>
    <w:rsid w:val="00D550D4"/>
    <w:rsid w:val="00D65303"/>
    <w:rsid w:val="00D773DF"/>
    <w:rsid w:val="00D80773"/>
    <w:rsid w:val="00D8283B"/>
    <w:rsid w:val="00D876F8"/>
    <w:rsid w:val="00D9255F"/>
    <w:rsid w:val="00D95303"/>
    <w:rsid w:val="00D978C6"/>
    <w:rsid w:val="00DA3C1C"/>
    <w:rsid w:val="00DB6CA5"/>
    <w:rsid w:val="00DF3C94"/>
    <w:rsid w:val="00E046DF"/>
    <w:rsid w:val="00E11305"/>
    <w:rsid w:val="00E13B15"/>
    <w:rsid w:val="00E15557"/>
    <w:rsid w:val="00E26ABE"/>
    <w:rsid w:val="00E27346"/>
    <w:rsid w:val="00E55E1E"/>
    <w:rsid w:val="00E572DD"/>
    <w:rsid w:val="00E71BC8"/>
    <w:rsid w:val="00E7260F"/>
    <w:rsid w:val="00E73F5D"/>
    <w:rsid w:val="00E77E4E"/>
    <w:rsid w:val="00E96630"/>
    <w:rsid w:val="00E9665A"/>
    <w:rsid w:val="00EC106A"/>
    <w:rsid w:val="00EC32A0"/>
    <w:rsid w:val="00ED7A2A"/>
    <w:rsid w:val="00EE6B3A"/>
    <w:rsid w:val="00EF1D7F"/>
    <w:rsid w:val="00EF5716"/>
    <w:rsid w:val="00F227A6"/>
    <w:rsid w:val="00F24FB3"/>
    <w:rsid w:val="00F27D2C"/>
    <w:rsid w:val="00F31E5F"/>
    <w:rsid w:val="00F36F0D"/>
    <w:rsid w:val="00F4272A"/>
    <w:rsid w:val="00F6100A"/>
    <w:rsid w:val="00F66565"/>
    <w:rsid w:val="00F93781"/>
    <w:rsid w:val="00FB613B"/>
    <w:rsid w:val="00FC2B1F"/>
    <w:rsid w:val="00FC3C87"/>
    <w:rsid w:val="00FC68B7"/>
    <w:rsid w:val="00FD6D94"/>
    <w:rsid w:val="00FE0135"/>
    <w:rsid w:val="00FE106A"/>
    <w:rsid w:val="00FF145D"/>
    <w:rsid w:val="00FF23F4"/>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8465D9"/>
    <w:pPr>
      <w:spacing w:line="240" w:lineRule="auto"/>
      <w:outlineLvl w:val="1"/>
    </w:pPr>
  </w:style>
  <w:style w:type="paragraph" w:styleId="Heading3">
    <w:name w:val="heading 3"/>
    <w:basedOn w:val="Normal"/>
    <w:next w:val="Normal"/>
    <w:qFormat/>
    <w:rsid w:val="008465D9"/>
    <w:pPr>
      <w:spacing w:line="240" w:lineRule="auto"/>
      <w:outlineLvl w:val="2"/>
    </w:pPr>
  </w:style>
  <w:style w:type="paragraph" w:styleId="Heading4">
    <w:name w:val="heading 4"/>
    <w:basedOn w:val="Normal"/>
    <w:next w:val="Normal"/>
    <w:qFormat/>
    <w:rsid w:val="008465D9"/>
    <w:pPr>
      <w:spacing w:line="240" w:lineRule="auto"/>
      <w:outlineLvl w:val="3"/>
    </w:pPr>
  </w:style>
  <w:style w:type="paragraph" w:styleId="Heading5">
    <w:name w:val="heading 5"/>
    <w:basedOn w:val="Normal"/>
    <w:next w:val="Normal"/>
    <w:qFormat/>
    <w:rsid w:val="008465D9"/>
    <w:pPr>
      <w:spacing w:line="240" w:lineRule="auto"/>
      <w:outlineLvl w:val="4"/>
    </w:pPr>
  </w:style>
  <w:style w:type="paragraph" w:styleId="Heading6">
    <w:name w:val="heading 6"/>
    <w:basedOn w:val="Normal"/>
    <w:next w:val="Normal"/>
    <w:qFormat/>
    <w:rsid w:val="008465D9"/>
    <w:pPr>
      <w:spacing w:line="240" w:lineRule="auto"/>
      <w:outlineLvl w:val="5"/>
    </w:pPr>
  </w:style>
  <w:style w:type="paragraph" w:styleId="Heading7">
    <w:name w:val="heading 7"/>
    <w:basedOn w:val="Normal"/>
    <w:next w:val="Normal"/>
    <w:qFormat/>
    <w:rsid w:val="008465D9"/>
    <w:pPr>
      <w:spacing w:line="240" w:lineRule="auto"/>
      <w:outlineLvl w:val="6"/>
    </w:pPr>
  </w:style>
  <w:style w:type="paragraph" w:styleId="Heading8">
    <w:name w:val="heading 8"/>
    <w:basedOn w:val="Normal"/>
    <w:next w:val="Normal"/>
    <w:qFormat/>
    <w:rsid w:val="008465D9"/>
    <w:pPr>
      <w:spacing w:line="240" w:lineRule="auto"/>
      <w:outlineLvl w:val="7"/>
    </w:pPr>
  </w:style>
  <w:style w:type="paragraph" w:styleId="Heading9">
    <w:name w:val="heading 9"/>
    <w:basedOn w:val="Normal"/>
    <w:next w:val="Normal"/>
    <w:qFormat/>
    <w:rsid w:val="008465D9"/>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8465D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8465D9"/>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rsid w:val="008465D9"/>
    <w:pPr>
      <w:numPr>
        <w:numId w:val="13"/>
      </w:numPr>
      <w:tabs>
        <w:tab w:val="clear" w:pos="1494"/>
      </w:tabs>
    </w:pPr>
  </w:style>
  <w:style w:type="paragraph" w:customStyle="1" w:styleId="SingleTxtG">
    <w:name w:val="_ Single Txt_G"/>
    <w:basedOn w:val="Normal"/>
    <w:link w:val="SingleTxtGChar"/>
    <w:rsid w:val="008465D9"/>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8465D9"/>
    <w:rPr>
      <w:rFonts w:cs="Courier New"/>
    </w:rPr>
  </w:style>
  <w:style w:type="paragraph" w:styleId="BodyText">
    <w:name w:val="Body Text"/>
    <w:basedOn w:val="Normal"/>
    <w:next w:val="Normal"/>
    <w:semiHidden/>
    <w:rsid w:val="008465D9"/>
  </w:style>
  <w:style w:type="paragraph" w:styleId="BodyTextIndent">
    <w:name w:val="Body Text Indent"/>
    <w:basedOn w:val="Normal"/>
    <w:semiHidden/>
    <w:rsid w:val="008465D9"/>
    <w:pPr>
      <w:spacing w:after="120"/>
      <w:ind w:left="283"/>
    </w:pPr>
  </w:style>
  <w:style w:type="paragraph" w:styleId="BlockText">
    <w:name w:val="Block Text"/>
    <w:basedOn w:val="Normal"/>
    <w:semiHidden/>
    <w:rsid w:val="008465D9"/>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8465D9"/>
    <w:rPr>
      <w:sz w:val="6"/>
    </w:rPr>
  </w:style>
  <w:style w:type="paragraph" w:styleId="CommentText">
    <w:name w:val="annotation text"/>
    <w:basedOn w:val="Normal"/>
    <w:semiHidden/>
    <w:rsid w:val="008465D9"/>
  </w:style>
  <w:style w:type="character" w:styleId="LineNumber">
    <w:name w:val="line number"/>
    <w:semiHidden/>
    <w:rsid w:val="008465D9"/>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8465D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465D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465D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465D9"/>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Default">
    <w:name w:val="Default"/>
    <w:rsid w:val="004975C1"/>
    <w:pPr>
      <w:autoSpaceDE w:val="0"/>
      <w:autoSpaceDN w:val="0"/>
      <w:adjustRightInd w:val="0"/>
    </w:pPr>
    <w:rPr>
      <w:color w:val="000000"/>
      <w:sz w:val="24"/>
      <w:szCs w:val="24"/>
      <w:lang w:val="fr-FR" w:eastAsia="fr-FR"/>
    </w:rPr>
  </w:style>
  <w:style w:type="character" w:customStyle="1" w:styleId="FooterChar">
    <w:name w:val="Footer Char"/>
    <w:aliases w:val="3_G Char"/>
    <w:link w:val="Footer"/>
    <w:uiPriority w:val="99"/>
    <w:rsid w:val="00AB2EDE"/>
    <w:rPr>
      <w:sz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8465D9"/>
    <w:pPr>
      <w:spacing w:line="240" w:lineRule="auto"/>
      <w:outlineLvl w:val="1"/>
    </w:pPr>
  </w:style>
  <w:style w:type="paragraph" w:styleId="Heading3">
    <w:name w:val="heading 3"/>
    <w:basedOn w:val="Normal"/>
    <w:next w:val="Normal"/>
    <w:qFormat/>
    <w:rsid w:val="008465D9"/>
    <w:pPr>
      <w:spacing w:line="240" w:lineRule="auto"/>
      <w:outlineLvl w:val="2"/>
    </w:pPr>
  </w:style>
  <w:style w:type="paragraph" w:styleId="Heading4">
    <w:name w:val="heading 4"/>
    <w:basedOn w:val="Normal"/>
    <w:next w:val="Normal"/>
    <w:qFormat/>
    <w:rsid w:val="008465D9"/>
    <w:pPr>
      <w:spacing w:line="240" w:lineRule="auto"/>
      <w:outlineLvl w:val="3"/>
    </w:pPr>
  </w:style>
  <w:style w:type="paragraph" w:styleId="Heading5">
    <w:name w:val="heading 5"/>
    <w:basedOn w:val="Normal"/>
    <w:next w:val="Normal"/>
    <w:qFormat/>
    <w:rsid w:val="008465D9"/>
    <w:pPr>
      <w:spacing w:line="240" w:lineRule="auto"/>
      <w:outlineLvl w:val="4"/>
    </w:pPr>
  </w:style>
  <w:style w:type="paragraph" w:styleId="Heading6">
    <w:name w:val="heading 6"/>
    <w:basedOn w:val="Normal"/>
    <w:next w:val="Normal"/>
    <w:qFormat/>
    <w:rsid w:val="008465D9"/>
    <w:pPr>
      <w:spacing w:line="240" w:lineRule="auto"/>
      <w:outlineLvl w:val="5"/>
    </w:pPr>
  </w:style>
  <w:style w:type="paragraph" w:styleId="Heading7">
    <w:name w:val="heading 7"/>
    <w:basedOn w:val="Normal"/>
    <w:next w:val="Normal"/>
    <w:qFormat/>
    <w:rsid w:val="008465D9"/>
    <w:pPr>
      <w:spacing w:line="240" w:lineRule="auto"/>
      <w:outlineLvl w:val="6"/>
    </w:pPr>
  </w:style>
  <w:style w:type="paragraph" w:styleId="Heading8">
    <w:name w:val="heading 8"/>
    <w:basedOn w:val="Normal"/>
    <w:next w:val="Normal"/>
    <w:qFormat/>
    <w:rsid w:val="008465D9"/>
    <w:pPr>
      <w:spacing w:line="240" w:lineRule="auto"/>
      <w:outlineLvl w:val="7"/>
    </w:pPr>
  </w:style>
  <w:style w:type="paragraph" w:styleId="Heading9">
    <w:name w:val="heading 9"/>
    <w:basedOn w:val="Normal"/>
    <w:next w:val="Normal"/>
    <w:qFormat/>
    <w:rsid w:val="008465D9"/>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8465D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8465D9"/>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rsid w:val="008465D9"/>
    <w:pPr>
      <w:numPr>
        <w:numId w:val="13"/>
      </w:numPr>
      <w:tabs>
        <w:tab w:val="clear" w:pos="1494"/>
      </w:tabs>
    </w:pPr>
  </w:style>
  <w:style w:type="paragraph" w:customStyle="1" w:styleId="SingleTxtG">
    <w:name w:val="_ Single Txt_G"/>
    <w:basedOn w:val="Normal"/>
    <w:link w:val="SingleTxtGChar"/>
    <w:rsid w:val="008465D9"/>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8465D9"/>
    <w:rPr>
      <w:rFonts w:cs="Courier New"/>
    </w:rPr>
  </w:style>
  <w:style w:type="paragraph" w:styleId="BodyText">
    <w:name w:val="Body Text"/>
    <w:basedOn w:val="Normal"/>
    <w:next w:val="Normal"/>
    <w:semiHidden/>
    <w:rsid w:val="008465D9"/>
  </w:style>
  <w:style w:type="paragraph" w:styleId="BodyTextIndent">
    <w:name w:val="Body Text Indent"/>
    <w:basedOn w:val="Normal"/>
    <w:semiHidden/>
    <w:rsid w:val="008465D9"/>
    <w:pPr>
      <w:spacing w:after="120"/>
      <w:ind w:left="283"/>
    </w:pPr>
  </w:style>
  <w:style w:type="paragraph" w:styleId="BlockText">
    <w:name w:val="Block Text"/>
    <w:basedOn w:val="Normal"/>
    <w:semiHidden/>
    <w:rsid w:val="008465D9"/>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8465D9"/>
    <w:rPr>
      <w:sz w:val="6"/>
    </w:rPr>
  </w:style>
  <w:style w:type="paragraph" w:styleId="CommentText">
    <w:name w:val="annotation text"/>
    <w:basedOn w:val="Normal"/>
    <w:semiHidden/>
    <w:rsid w:val="008465D9"/>
  </w:style>
  <w:style w:type="character" w:styleId="LineNumber">
    <w:name w:val="line number"/>
    <w:semiHidden/>
    <w:rsid w:val="008465D9"/>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8465D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465D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465D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465D9"/>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Default">
    <w:name w:val="Default"/>
    <w:rsid w:val="004975C1"/>
    <w:pPr>
      <w:autoSpaceDE w:val="0"/>
      <w:autoSpaceDN w:val="0"/>
      <w:adjustRightInd w:val="0"/>
    </w:pPr>
    <w:rPr>
      <w:color w:val="000000"/>
      <w:sz w:val="24"/>
      <w:szCs w:val="24"/>
      <w:lang w:val="fr-FR" w:eastAsia="fr-FR"/>
    </w:rPr>
  </w:style>
  <w:style w:type="character" w:customStyle="1" w:styleId="FooterChar">
    <w:name w:val="Footer Char"/>
    <w:aliases w:val="3_G Char"/>
    <w:link w:val="Footer"/>
    <w:uiPriority w:val="99"/>
    <w:rsid w:val="00AB2EDE"/>
    <w:rPr>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A709B-5990-4FA8-820D-53D81E66F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833</Words>
  <Characters>4749</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4</cp:revision>
  <cp:lastPrinted>2016-03-11T18:33:00Z</cp:lastPrinted>
  <dcterms:created xsi:type="dcterms:W3CDTF">2016-03-16T08:18:00Z</dcterms:created>
  <dcterms:modified xsi:type="dcterms:W3CDTF">2016-03-16T08:20:00Z</dcterms:modified>
</cp:coreProperties>
</file>