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E3431F" w:rsidTr="00FA63B2">
        <w:trPr>
          <w:cantSplit/>
          <w:trHeight w:hRule="exact" w:val="851"/>
        </w:trPr>
        <w:tc>
          <w:tcPr>
            <w:tcW w:w="9072" w:type="dxa"/>
            <w:tcBorders>
              <w:bottom w:val="single" w:sz="4" w:space="0" w:color="auto"/>
            </w:tcBorders>
            <w:vAlign w:val="bottom"/>
          </w:tcPr>
          <w:p w:rsidR="00717408" w:rsidRPr="00E3431F" w:rsidRDefault="00FA63B2" w:rsidP="00FF607A">
            <w:pPr>
              <w:jc w:val="right"/>
              <w:rPr>
                <w:b/>
                <w:sz w:val="40"/>
                <w:szCs w:val="40"/>
              </w:rPr>
            </w:pPr>
            <w:r w:rsidRPr="00E3431F">
              <w:rPr>
                <w:b/>
                <w:sz w:val="40"/>
                <w:szCs w:val="40"/>
              </w:rPr>
              <w:t>UN/SCEGHS/32/INF.</w:t>
            </w:r>
            <w:r w:rsidR="00FF607A">
              <w:rPr>
                <w:b/>
                <w:sz w:val="40"/>
                <w:szCs w:val="40"/>
              </w:rPr>
              <w:t>12</w:t>
            </w:r>
            <w:r w:rsidR="001A3AB6">
              <w:rPr>
                <w:b/>
                <w:sz w:val="40"/>
                <w:szCs w:val="40"/>
              </w:rPr>
              <w:t>/Rev.1</w:t>
            </w:r>
          </w:p>
        </w:tc>
      </w:tr>
      <w:tr w:rsidR="00717408" w:rsidTr="00FA63B2">
        <w:trPr>
          <w:cantSplit/>
          <w:trHeight w:hRule="exact" w:val="3114"/>
        </w:trPr>
        <w:tc>
          <w:tcPr>
            <w:tcW w:w="9072" w:type="dxa"/>
            <w:tcBorders>
              <w:top w:val="single" w:sz="4" w:space="0" w:color="auto"/>
            </w:tcBorders>
          </w:tcPr>
          <w:p w:rsidR="00FF607A" w:rsidRPr="001B03EA" w:rsidRDefault="00FF607A" w:rsidP="00FF607A">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FF607A" w:rsidRPr="001B03EA" w:rsidRDefault="00FF607A" w:rsidP="00FF607A">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A3AB6">
              <w:rPr>
                <w:b/>
                <w:lang w:val="en-US"/>
              </w:rPr>
              <w:t>9 December</w:t>
            </w:r>
            <w:r w:rsidRPr="001B03EA">
              <w:rPr>
                <w:b/>
                <w:lang w:val="en-US"/>
              </w:rPr>
              <w:t xml:space="preserve"> 2016</w:t>
            </w:r>
          </w:p>
          <w:p w:rsidR="00FF607A" w:rsidRPr="001B03EA" w:rsidRDefault="00FF607A" w:rsidP="00FF607A">
            <w:pPr>
              <w:jc w:val="both"/>
              <w:rPr>
                <w:b/>
              </w:rPr>
            </w:pPr>
          </w:p>
          <w:p w:rsidR="00FF607A" w:rsidRPr="001B03EA" w:rsidRDefault="00FF607A" w:rsidP="00FF607A">
            <w:pPr>
              <w:jc w:val="both"/>
            </w:pPr>
            <w:r w:rsidRPr="001B03EA">
              <w:rPr>
                <w:b/>
              </w:rPr>
              <w:t>Thirty-</w:t>
            </w:r>
            <w:r>
              <w:rPr>
                <w:b/>
              </w:rPr>
              <w:t>second</w:t>
            </w:r>
            <w:r w:rsidRPr="001B03EA">
              <w:rPr>
                <w:b/>
              </w:rPr>
              <w:t xml:space="preserve"> session</w:t>
            </w:r>
            <w:r w:rsidRPr="001B03EA">
              <w:t xml:space="preserve"> </w:t>
            </w:r>
          </w:p>
          <w:p w:rsidR="00FF607A" w:rsidRPr="001B03EA" w:rsidRDefault="00FF607A" w:rsidP="00FF607A">
            <w:pPr>
              <w:jc w:val="both"/>
            </w:pPr>
            <w:r w:rsidRPr="001B03EA">
              <w:t xml:space="preserve">Geneva, </w:t>
            </w:r>
            <w:r>
              <w:t>7-9</w:t>
            </w:r>
            <w:r w:rsidRPr="001B03EA">
              <w:t xml:space="preserve"> </w:t>
            </w:r>
            <w:r>
              <w:t xml:space="preserve">December </w:t>
            </w:r>
            <w:r w:rsidRPr="001B03EA">
              <w:t>2016</w:t>
            </w:r>
          </w:p>
          <w:p w:rsidR="00FF607A" w:rsidRPr="001B03EA" w:rsidRDefault="00FF607A" w:rsidP="00FF607A">
            <w:pPr>
              <w:spacing w:before="40"/>
            </w:pPr>
            <w:r w:rsidRPr="001B03EA">
              <w:t xml:space="preserve">Item </w:t>
            </w:r>
            <w:r>
              <w:t>3 (b)</w:t>
            </w:r>
            <w:r w:rsidRPr="001B03EA">
              <w:t xml:space="preserve"> of the provisional agenda</w:t>
            </w:r>
          </w:p>
          <w:p w:rsidR="00FF607A" w:rsidRDefault="00FF607A" w:rsidP="00FF607A">
            <w:pPr>
              <w:jc w:val="both"/>
              <w:rPr>
                <w:b/>
              </w:rPr>
            </w:pPr>
            <w:r>
              <w:rPr>
                <w:b/>
              </w:rPr>
              <w:t>Hazard communication issues: improvement of annexes 1 to 3</w:t>
            </w:r>
          </w:p>
          <w:p w:rsidR="00717408" w:rsidRDefault="00FF607A" w:rsidP="00FF607A">
            <w:pPr>
              <w:spacing w:line="240" w:lineRule="exact"/>
            </w:pPr>
            <w:r>
              <w:rPr>
                <w:b/>
              </w:rPr>
              <w:t>and further rationalisation of precautionary statements</w:t>
            </w:r>
          </w:p>
        </w:tc>
      </w:tr>
    </w:tbl>
    <w:p w:rsidR="00FF607A" w:rsidRPr="003C761B" w:rsidRDefault="00760F29" w:rsidP="00FF607A">
      <w:pPr>
        <w:pStyle w:val="HChG"/>
      </w:pPr>
      <w:r w:rsidRPr="009E7ABD">
        <w:rPr>
          <w:rFonts w:eastAsia="MS Mincho"/>
          <w:lang w:val="en-US" w:eastAsia="ja-JP"/>
        </w:rPr>
        <w:tab/>
      </w:r>
      <w:r>
        <w:rPr>
          <w:rFonts w:eastAsia="MS Mincho"/>
          <w:lang w:val="en-US" w:eastAsia="ja-JP"/>
        </w:rPr>
        <w:tab/>
      </w:r>
      <w:r w:rsidR="00FF607A" w:rsidRPr="003C761B">
        <w:t xml:space="preserve">Proposed work plan for the correspondence group on the improvement of annexes 1-3 of the GHS  </w:t>
      </w:r>
    </w:p>
    <w:p w:rsidR="00FF607A" w:rsidRPr="003C761B" w:rsidRDefault="00FF607A" w:rsidP="00FF607A">
      <w:pPr>
        <w:pStyle w:val="H1G"/>
        <w:rPr>
          <w:rFonts w:eastAsia="MS Mincho"/>
        </w:rPr>
      </w:pPr>
      <w:r w:rsidRPr="003C761B">
        <w:rPr>
          <w:rFonts w:eastAsia="MS Mincho"/>
        </w:rPr>
        <w:tab/>
      </w:r>
      <w:r w:rsidRPr="003C761B">
        <w:rPr>
          <w:rFonts w:eastAsia="MS Mincho"/>
        </w:rPr>
        <w:tab/>
        <w:t>Transmitted by the expert from the United Kingdom on behalf of the correspondence group</w:t>
      </w:r>
    </w:p>
    <w:p w:rsidR="00FF607A" w:rsidRPr="006B44DF" w:rsidRDefault="00FF607A" w:rsidP="006B44DF">
      <w:pPr>
        <w:pStyle w:val="SingleTxtG"/>
        <w:rPr>
          <w:rFonts w:eastAsia="MS Mincho"/>
        </w:rPr>
      </w:pPr>
      <w:r w:rsidRPr="006B44DF">
        <w:rPr>
          <w:rFonts w:eastAsia="MS Mincho"/>
        </w:rPr>
        <w:t>1.</w:t>
      </w:r>
      <w:r w:rsidRPr="006B44DF">
        <w:rPr>
          <w:rFonts w:eastAsia="MS Mincho"/>
        </w:rPr>
        <w:tab/>
        <w:t>The correspondence group on improving annexes 1 to 3 of the GHS proposes the following plan of work for the biennium 2017-18.</w:t>
      </w:r>
    </w:p>
    <w:p w:rsidR="00FF607A" w:rsidRPr="006B44DF" w:rsidRDefault="00FF607A" w:rsidP="006B44DF">
      <w:pPr>
        <w:pStyle w:val="SingleTxtG"/>
        <w:rPr>
          <w:rFonts w:eastAsia="MS Mincho"/>
        </w:rPr>
      </w:pPr>
      <w:r w:rsidRPr="006B44DF">
        <w:rPr>
          <w:rFonts w:eastAsia="MS Mincho"/>
        </w:rPr>
        <w:t>2.</w:t>
      </w:r>
      <w:r w:rsidRPr="006B44DF">
        <w:rPr>
          <w:rFonts w:eastAsia="MS Mincho"/>
        </w:rPr>
        <w:tab/>
        <w:t xml:space="preserve">The overall goal remains the improvement of annexes 1-3 and further rationalisation of precautionary statements.  Within this there are three </w:t>
      </w:r>
      <w:proofErr w:type="spellStart"/>
      <w:r w:rsidRPr="006B44DF">
        <w:rPr>
          <w:rFonts w:eastAsia="MS Mincho"/>
        </w:rPr>
        <w:t>workstreams</w:t>
      </w:r>
      <w:proofErr w:type="spellEnd"/>
      <w:r w:rsidRPr="006B44DF">
        <w:rPr>
          <w:rFonts w:eastAsia="MS Mincho"/>
        </w:rPr>
        <w:t>:</w:t>
      </w:r>
    </w:p>
    <w:p w:rsidR="00FF607A" w:rsidRDefault="00FF607A" w:rsidP="006B44DF">
      <w:pPr>
        <w:pStyle w:val="SingleTxtG"/>
        <w:ind w:left="1701" w:hanging="567"/>
        <w:rPr>
          <w:rFonts w:eastAsia="MS Mincho"/>
        </w:rPr>
      </w:pPr>
      <w:r w:rsidRPr="003C761B">
        <w:rPr>
          <w:rFonts w:eastAsia="MS Mincho"/>
        </w:rPr>
        <w:t>(</w:t>
      </w:r>
      <w:r w:rsidR="006B44DF">
        <w:rPr>
          <w:rFonts w:eastAsia="MS Mincho"/>
        </w:rPr>
        <w:t>a</w:t>
      </w:r>
      <w:r w:rsidRPr="003C761B">
        <w:rPr>
          <w:rFonts w:eastAsia="MS Mincho"/>
        </w:rPr>
        <w:t>)</w:t>
      </w:r>
      <w:r w:rsidRPr="003C761B">
        <w:rPr>
          <w:rFonts w:eastAsia="MS Mincho"/>
        </w:rPr>
        <w:tab/>
      </w:r>
      <w:proofErr w:type="spellStart"/>
      <w:r w:rsidRPr="003C761B">
        <w:rPr>
          <w:rFonts w:eastAsia="MS Mincho"/>
        </w:rPr>
        <w:t>Workstream</w:t>
      </w:r>
      <w:proofErr w:type="spellEnd"/>
      <w:r w:rsidRPr="003C761B">
        <w:rPr>
          <w:rFonts w:eastAsia="MS Mincho"/>
        </w:rPr>
        <w:t xml:space="preserve"> 1: to develop proposals to rationalise and improve the</w:t>
      </w:r>
      <w:r w:rsidRPr="008F6E65">
        <w:rPr>
          <w:rFonts w:eastAsia="MS Mincho"/>
        </w:rPr>
        <w:t xml:space="preserve"> comprehensibility of hazard and precautionary statements for users, while taking into account usability for labelling practitioners. This may</w:t>
      </w:r>
      <w:r>
        <w:rPr>
          <w:rFonts w:eastAsia="MS Mincho"/>
        </w:rPr>
        <w:t xml:space="preserve"> include proposals to rationalis</w:t>
      </w:r>
      <w:r w:rsidRPr="008F6E65">
        <w:rPr>
          <w:rFonts w:eastAsia="MS Mincho"/>
        </w:rPr>
        <w:t>e and clarify ambiguous or unhelpful instructional precautionary statements, such as statements relating to medical response and disposal.</w:t>
      </w:r>
    </w:p>
    <w:p w:rsidR="00FF607A" w:rsidRPr="003C761B" w:rsidRDefault="00FF607A" w:rsidP="006B44DF">
      <w:pPr>
        <w:pStyle w:val="SingleTxtG"/>
        <w:ind w:left="1701" w:hanging="567"/>
        <w:rPr>
          <w:rFonts w:eastAsia="MS Mincho"/>
        </w:rPr>
      </w:pPr>
      <w:r w:rsidRPr="003C761B">
        <w:rPr>
          <w:rFonts w:eastAsia="MS Mincho"/>
        </w:rPr>
        <w:t>(</w:t>
      </w:r>
      <w:r w:rsidR="006B44DF">
        <w:rPr>
          <w:rFonts w:eastAsia="MS Mincho"/>
        </w:rPr>
        <w:t>b</w:t>
      </w:r>
      <w:r w:rsidRPr="003C761B">
        <w:rPr>
          <w:rFonts w:eastAsia="MS Mincho"/>
        </w:rPr>
        <w:t>)</w:t>
      </w:r>
      <w:r w:rsidRPr="003C761B">
        <w:rPr>
          <w:rFonts w:eastAsia="MS Mincho"/>
        </w:rPr>
        <w:tab/>
      </w:r>
      <w:proofErr w:type="spellStart"/>
      <w:r w:rsidRPr="003C761B">
        <w:rPr>
          <w:rFonts w:eastAsia="MS Mincho"/>
        </w:rPr>
        <w:t>Workstream</w:t>
      </w:r>
      <w:proofErr w:type="spellEnd"/>
      <w:r w:rsidRPr="003C761B">
        <w:rPr>
          <w:rFonts w:eastAsia="MS Mincho"/>
        </w:rPr>
        <w:t xml:space="preserve"> 2: to eliminate inconsistencies in the presentation of precautionary statements in Annex 3, including looking at disparities between the </w:t>
      </w:r>
      <w:proofErr w:type="gramStart"/>
      <w:r w:rsidRPr="003C761B">
        <w:rPr>
          <w:rFonts w:eastAsia="MS Mincho"/>
        </w:rPr>
        <w:t>application</w:t>
      </w:r>
      <w:proofErr w:type="gramEnd"/>
      <w:r w:rsidRPr="003C761B">
        <w:rPr>
          <w:rFonts w:eastAsia="MS Mincho"/>
        </w:rPr>
        <w:t xml:space="preserve"> of precautionary statements for different hazard classes/categories.</w:t>
      </w:r>
    </w:p>
    <w:p w:rsidR="00FF607A" w:rsidRPr="003C761B" w:rsidRDefault="00FF607A" w:rsidP="006B44DF">
      <w:pPr>
        <w:pStyle w:val="SingleTxtG"/>
        <w:ind w:left="1701" w:hanging="567"/>
        <w:rPr>
          <w:rFonts w:eastAsia="MS Mincho"/>
        </w:rPr>
      </w:pPr>
      <w:r w:rsidRPr="003C761B">
        <w:rPr>
          <w:rFonts w:eastAsia="MS Mincho"/>
        </w:rPr>
        <w:t>(</w:t>
      </w:r>
      <w:r w:rsidR="006B44DF">
        <w:rPr>
          <w:rFonts w:eastAsia="MS Mincho"/>
        </w:rPr>
        <w:t>c</w:t>
      </w:r>
      <w:r w:rsidRPr="003C761B">
        <w:rPr>
          <w:rFonts w:eastAsia="MS Mincho"/>
        </w:rPr>
        <w:t>)</w:t>
      </w:r>
      <w:r w:rsidRPr="003C761B">
        <w:rPr>
          <w:rFonts w:eastAsia="MS Mincho"/>
        </w:rPr>
        <w:tab/>
      </w:r>
      <w:proofErr w:type="spellStart"/>
      <w:r w:rsidRPr="003C761B">
        <w:rPr>
          <w:rFonts w:eastAsia="MS Mincho"/>
        </w:rPr>
        <w:t>Workstream</w:t>
      </w:r>
      <w:proofErr w:type="spellEnd"/>
      <w:r w:rsidRPr="003C761B">
        <w:rPr>
          <w:rFonts w:eastAsia="MS Mincho"/>
        </w:rPr>
        <w:t xml:space="preserve"> 3: to consider and address other issues within the Correspondence Group’s terms of reference as they arise.</w:t>
      </w:r>
    </w:p>
    <w:p w:rsidR="00FF607A" w:rsidRPr="006B44DF" w:rsidRDefault="00FF607A" w:rsidP="006B44DF">
      <w:pPr>
        <w:pStyle w:val="SingleTxtG"/>
        <w:rPr>
          <w:rFonts w:eastAsia="MS Mincho"/>
        </w:rPr>
      </w:pPr>
      <w:r w:rsidRPr="006B44DF">
        <w:rPr>
          <w:rFonts w:eastAsia="MS Mincho"/>
        </w:rPr>
        <w:t>3.</w:t>
      </w:r>
      <w:r w:rsidRPr="006B44DF">
        <w:rPr>
          <w:rFonts w:eastAsia="MS Mincho"/>
        </w:rPr>
        <w:tab/>
        <w:t xml:space="preserve">The current list of tasks that the correspondence group proposes to tackle in the next biennium is in the Annex to this paper. </w:t>
      </w:r>
      <w:r w:rsidR="006B44DF" w:rsidRPr="006B44DF">
        <w:rPr>
          <w:rFonts w:eastAsia="MS Mincho"/>
        </w:rPr>
        <w:t xml:space="preserve">These include task 8 added to the Group's work plan when the Sub-Committee considered flammable gases at </w:t>
      </w:r>
      <w:proofErr w:type="spellStart"/>
      <w:r w:rsidR="006B44DF" w:rsidRPr="006B44DF">
        <w:rPr>
          <w:rFonts w:eastAsia="MS Mincho"/>
        </w:rPr>
        <w:t>it</w:t>
      </w:r>
      <w:proofErr w:type="spellEnd"/>
      <w:r w:rsidR="006B44DF" w:rsidRPr="006B44DF">
        <w:rPr>
          <w:rFonts w:eastAsia="MS Mincho"/>
        </w:rPr>
        <w:t xml:space="preserve"> meeting on 7 December 2016</w:t>
      </w:r>
      <w:r w:rsidR="006B44DF">
        <w:rPr>
          <w:rFonts w:eastAsia="MS Mincho"/>
        </w:rPr>
        <w:t>, and tasks 9 and 10 which the g</w:t>
      </w:r>
      <w:r w:rsidR="006B44DF" w:rsidRPr="006B44DF">
        <w:rPr>
          <w:rFonts w:eastAsia="MS Mincho"/>
        </w:rPr>
        <w:t xml:space="preserve">roup agreed to add to its </w:t>
      </w:r>
      <w:proofErr w:type="spellStart"/>
      <w:r w:rsidR="006B44DF" w:rsidRPr="006B44DF">
        <w:rPr>
          <w:rFonts w:eastAsia="MS Mincho"/>
        </w:rPr>
        <w:t>workplan</w:t>
      </w:r>
      <w:proofErr w:type="spellEnd"/>
      <w:r w:rsidR="006B44DF" w:rsidRPr="006B44DF">
        <w:rPr>
          <w:rFonts w:eastAsia="MS Mincho"/>
        </w:rPr>
        <w:t xml:space="preserve"> at its meeting on 8 December 2016</w:t>
      </w:r>
      <w:r w:rsidR="006B44DF">
        <w:rPr>
          <w:rFonts w:eastAsia="MS Mincho"/>
        </w:rPr>
        <w:t xml:space="preserve">. </w:t>
      </w:r>
      <w:r w:rsidRPr="006B44DF">
        <w:rPr>
          <w:rFonts w:eastAsia="MS Mincho"/>
        </w:rPr>
        <w:t>More tasks will be added in the course of the biennium as appropriate.</w:t>
      </w:r>
    </w:p>
    <w:p w:rsidR="00FF607A" w:rsidRPr="006B44DF" w:rsidRDefault="00FF607A" w:rsidP="006B44DF">
      <w:pPr>
        <w:pStyle w:val="SingleTxtG"/>
        <w:rPr>
          <w:rFonts w:eastAsia="MS Mincho"/>
        </w:rPr>
      </w:pPr>
      <w:r w:rsidRPr="006B44DF">
        <w:rPr>
          <w:rFonts w:eastAsia="MS Mincho"/>
        </w:rPr>
        <w:t>4.</w:t>
      </w:r>
      <w:r w:rsidRPr="006B44DF">
        <w:rPr>
          <w:rFonts w:eastAsia="MS Mincho"/>
        </w:rPr>
        <w:tab/>
        <w:t>The Sub-committee is invited to agree the proposed plan of work.</w:t>
      </w:r>
    </w:p>
    <w:p w:rsidR="00717408" w:rsidRDefault="00717408" w:rsidP="00FF607A">
      <w:pPr>
        <w:pStyle w:val="HChG"/>
      </w:pPr>
    </w:p>
    <w:p w:rsidR="00717408" w:rsidRDefault="00717408">
      <w:pPr>
        <w:sectPr w:rsidR="00717408" w:rsidSect="00CE03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FF607A" w:rsidRDefault="00FF607A" w:rsidP="00FF607A">
      <w:pPr>
        <w:suppressAutoHyphens w:val="0"/>
        <w:spacing w:line="240" w:lineRule="auto"/>
        <w:rPr>
          <w:b/>
          <w:sz w:val="28"/>
          <w:szCs w:val="24"/>
        </w:rPr>
      </w:pPr>
      <w:r w:rsidRPr="00930959">
        <w:rPr>
          <w:b/>
          <w:sz w:val="28"/>
          <w:szCs w:val="24"/>
        </w:rPr>
        <w:lastRenderedPageBreak/>
        <w:t>Annex</w:t>
      </w:r>
    </w:p>
    <w:p w:rsidR="00FF607A" w:rsidRDefault="00FF607A" w:rsidP="006E6EAC"/>
    <w:tbl>
      <w:tblPr>
        <w:tblStyle w:val="TableGrid"/>
        <w:tblW w:w="13287"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1083"/>
        <w:gridCol w:w="2131"/>
        <w:gridCol w:w="4975"/>
        <w:gridCol w:w="4639"/>
      </w:tblGrid>
      <w:tr w:rsidR="00402579" w:rsidRPr="002E00EE" w:rsidTr="00232C67">
        <w:trPr>
          <w:tblHeader/>
        </w:trPr>
        <w:tc>
          <w:tcPr>
            <w:tcW w:w="459"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No.</w:t>
            </w:r>
          </w:p>
        </w:tc>
        <w:tc>
          <w:tcPr>
            <w:tcW w:w="1083"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proofErr w:type="spellStart"/>
            <w:r w:rsidRPr="002E00EE">
              <w:rPr>
                <w:i/>
                <w:sz w:val="18"/>
                <w:szCs w:val="18"/>
              </w:rPr>
              <w:t>Workstream</w:t>
            </w:r>
            <w:proofErr w:type="spellEnd"/>
          </w:p>
        </w:tc>
        <w:tc>
          <w:tcPr>
            <w:tcW w:w="2131"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Topic</w:t>
            </w:r>
          </w:p>
        </w:tc>
        <w:tc>
          <w:tcPr>
            <w:tcW w:w="4975"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Issue</w:t>
            </w:r>
          </w:p>
        </w:tc>
        <w:tc>
          <w:tcPr>
            <w:tcW w:w="4639" w:type="dxa"/>
            <w:tcBorders>
              <w:top w:val="single" w:sz="4" w:space="0" w:color="auto"/>
              <w:bottom w:val="single" w:sz="12" w:space="0" w:color="auto"/>
            </w:tcBorders>
            <w:shd w:val="clear" w:color="auto" w:fill="auto"/>
            <w:vAlign w:val="bottom"/>
          </w:tcPr>
          <w:p w:rsidR="006E6EAC" w:rsidRPr="002E00EE" w:rsidRDefault="006E6EAC" w:rsidP="006E6EAC">
            <w:pPr>
              <w:spacing w:before="80" w:after="80" w:line="200" w:lineRule="exact"/>
              <w:ind w:right="113"/>
              <w:rPr>
                <w:i/>
                <w:sz w:val="18"/>
                <w:szCs w:val="18"/>
              </w:rPr>
            </w:pPr>
            <w:r w:rsidRPr="002E00EE">
              <w:rPr>
                <w:i/>
                <w:sz w:val="18"/>
                <w:szCs w:val="18"/>
              </w:rPr>
              <w:t>Proposed work</w:t>
            </w:r>
          </w:p>
        </w:tc>
      </w:tr>
      <w:tr w:rsidR="00232C67" w:rsidRPr="002E00EE" w:rsidTr="00232C67">
        <w:tc>
          <w:tcPr>
            <w:tcW w:w="459" w:type="dxa"/>
            <w:tcBorders>
              <w:top w:val="single" w:sz="12" w:space="0" w:color="auto"/>
            </w:tcBorders>
            <w:shd w:val="clear" w:color="auto" w:fill="auto"/>
          </w:tcPr>
          <w:p w:rsidR="006E6EAC" w:rsidRPr="002E00EE" w:rsidRDefault="006E6EAC" w:rsidP="006E6EAC">
            <w:pPr>
              <w:spacing w:before="40" w:after="120"/>
              <w:ind w:right="113"/>
              <w:rPr>
                <w:sz w:val="18"/>
                <w:szCs w:val="18"/>
              </w:rPr>
            </w:pPr>
            <w:r w:rsidRPr="002E00EE">
              <w:rPr>
                <w:sz w:val="18"/>
                <w:szCs w:val="18"/>
              </w:rPr>
              <w:t>1</w:t>
            </w:r>
          </w:p>
        </w:tc>
        <w:tc>
          <w:tcPr>
            <w:tcW w:w="1083" w:type="dxa"/>
            <w:tcBorders>
              <w:top w:val="single" w:sz="12" w:space="0" w:color="auto"/>
            </w:tcBorders>
            <w:shd w:val="clear" w:color="auto" w:fill="auto"/>
          </w:tcPr>
          <w:p w:rsidR="006E6EAC" w:rsidRPr="002E00EE" w:rsidRDefault="006E6EAC" w:rsidP="006E6EAC">
            <w:pPr>
              <w:spacing w:before="40" w:after="120"/>
              <w:ind w:right="113"/>
              <w:rPr>
                <w:sz w:val="18"/>
                <w:szCs w:val="18"/>
              </w:rPr>
            </w:pPr>
            <w:r w:rsidRPr="002E00EE">
              <w:rPr>
                <w:sz w:val="18"/>
                <w:szCs w:val="18"/>
              </w:rPr>
              <w:t>1</w:t>
            </w:r>
          </w:p>
        </w:tc>
        <w:tc>
          <w:tcPr>
            <w:tcW w:w="2131" w:type="dxa"/>
            <w:tcBorders>
              <w:top w:val="single" w:sz="12" w:space="0" w:color="auto"/>
            </w:tcBorders>
            <w:shd w:val="clear" w:color="auto" w:fill="auto"/>
          </w:tcPr>
          <w:p w:rsidR="006E6EAC" w:rsidRPr="002E00EE" w:rsidRDefault="006E6EAC" w:rsidP="006E6EAC">
            <w:pPr>
              <w:spacing w:before="40" w:after="120"/>
              <w:ind w:right="113"/>
              <w:rPr>
                <w:sz w:val="18"/>
                <w:szCs w:val="18"/>
                <w:u w:val="single"/>
              </w:rPr>
            </w:pPr>
            <w:r w:rsidRPr="002E00EE">
              <w:rPr>
                <w:sz w:val="18"/>
                <w:szCs w:val="18"/>
                <w:u w:val="single"/>
              </w:rPr>
              <w:t>Medical response PS (P310-P315)</w:t>
            </w:r>
          </w:p>
        </w:tc>
        <w:tc>
          <w:tcPr>
            <w:tcW w:w="4975" w:type="dxa"/>
            <w:tcBorders>
              <w:top w:val="single" w:sz="12" w:space="0" w:color="auto"/>
            </w:tcBorders>
            <w:shd w:val="clear" w:color="auto" w:fill="auto"/>
          </w:tcPr>
          <w:p w:rsidR="006E6EAC" w:rsidRPr="002E00EE" w:rsidRDefault="006E6EAC" w:rsidP="006E6EAC">
            <w:pPr>
              <w:spacing w:before="40" w:after="120"/>
              <w:ind w:right="113"/>
              <w:rPr>
                <w:sz w:val="18"/>
                <w:szCs w:val="18"/>
              </w:rPr>
            </w:pPr>
            <w:r w:rsidRPr="002E00EE">
              <w:rPr>
                <w:sz w:val="18"/>
                <w:szCs w:val="18"/>
              </w:rPr>
              <w:t>The precise meaning of the medical response statements (P310-P315) is not clear and manufacturers/suppliers have encountered difficulties in choosing the appropriate wording from the two options. Translation of the PS and conditions for use has also resulted in discrepancies.</w:t>
            </w:r>
          </w:p>
        </w:tc>
        <w:tc>
          <w:tcPr>
            <w:tcW w:w="4639" w:type="dxa"/>
            <w:tcBorders>
              <w:top w:val="single" w:sz="12" w:space="0" w:color="auto"/>
            </w:tcBorders>
            <w:shd w:val="clear" w:color="auto" w:fill="auto"/>
          </w:tcPr>
          <w:p w:rsidR="00F02014" w:rsidRPr="002E00EE" w:rsidRDefault="00F02014" w:rsidP="00F02014">
            <w:pPr>
              <w:pStyle w:val="Bullet1G"/>
              <w:tabs>
                <w:tab w:val="clear" w:pos="1701"/>
              </w:tabs>
              <w:ind w:left="190" w:right="111" w:hanging="141"/>
              <w:rPr>
                <w:sz w:val="18"/>
                <w:szCs w:val="18"/>
              </w:rPr>
            </w:pPr>
            <w:r w:rsidRPr="002E00EE">
              <w:rPr>
                <w:sz w:val="18"/>
                <w:szCs w:val="18"/>
              </w:rPr>
              <w:t>Discuss why labels tend to appear with options still presented to the user and how this might be prevented.</w:t>
            </w:r>
          </w:p>
          <w:p w:rsidR="00F02014" w:rsidRPr="002E00EE" w:rsidRDefault="00F02014" w:rsidP="00F02014">
            <w:pPr>
              <w:pStyle w:val="Bullet1G"/>
              <w:tabs>
                <w:tab w:val="clear" w:pos="1701"/>
              </w:tabs>
              <w:ind w:left="190" w:right="111" w:hanging="141"/>
              <w:rPr>
                <w:sz w:val="18"/>
                <w:szCs w:val="18"/>
              </w:rPr>
            </w:pPr>
            <w:r w:rsidRPr="002E00EE">
              <w:rPr>
                <w:sz w:val="18"/>
                <w:szCs w:val="18"/>
              </w:rPr>
              <w:t>Discuss whether the distinction between medical “advice” and medical ‘attention’ is needed.</w:t>
            </w:r>
          </w:p>
          <w:p w:rsidR="006E6EAC" w:rsidRPr="002E00EE" w:rsidRDefault="00F02014" w:rsidP="00F02014">
            <w:pPr>
              <w:pStyle w:val="Bullet1G"/>
              <w:tabs>
                <w:tab w:val="clear" w:pos="1701"/>
              </w:tabs>
              <w:ind w:left="190" w:right="111" w:hanging="141"/>
              <w:rPr>
                <w:sz w:val="18"/>
                <w:szCs w:val="18"/>
              </w:rPr>
            </w:pPr>
            <w:r w:rsidRPr="002E00EE">
              <w:rPr>
                <w:sz w:val="18"/>
                <w:szCs w:val="18"/>
              </w:rPr>
              <w:t>Discuss the relative merits of distinguishing between “getting medical advice/attention” and “calling a POISON CENTER/doctor/…</w:t>
            </w:r>
            <w:proofErr w:type="gramStart"/>
            <w:r w:rsidRPr="002E00EE">
              <w:rPr>
                <w:sz w:val="18"/>
                <w:szCs w:val="18"/>
              </w:rPr>
              <w:t>”.</w:t>
            </w:r>
            <w:proofErr w:type="gramEnd"/>
          </w:p>
        </w:tc>
      </w:tr>
      <w:tr w:rsidR="00402579" w:rsidRPr="002E00EE" w:rsidTr="00232C67">
        <w:tc>
          <w:tcPr>
            <w:tcW w:w="459" w:type="dxa"/>
            <w:shd w:val="clear" w:color="auto" w:fill="auto"/>
          </w:tcPr>
          <w:p w:rsidR="00F02014" w:rsidRPr="002E00EE" w:rsidRDefault="00F02014" w:rsidP="006E6EAC">
            <w:pPr>
              <w:spacing w:before="40" w:after="120"/>
              <w:ind w:right="113"/>
              <w:rPr>
                <w:sz w:val="18"/>
                <w:szCs w:val="18"/>
              </w:rPr>
            </w:pPr>
            <w:r w:rsidRPr="002E00EE">
              <w:rPr>
                <w:sz w:val="18"/>
                <w:szCs w:val="18"/>
              </w:rPr>
              <w:t>2</w:t>
            </w:r>
          </w:p>
        </w:tc>
        <w:tc>
          <w:tcPr>
            <w:tcW w:w="1083" w:type="dxa"/>
            <w:shd w:val="clear" w:color="auto" w:fill="auto"/>
          </w:tcPr>
          <w:p w:rsidR="00F02014" w:rsidRPr="002E00EE" w:rsidRDefault="00F02014" w:rsidP="006E6EAC">
            <w:pPr>
              <w:spacing w:before="40" w:after="120"/>
              <w:ind w:right="113"/>
              <w:rPr>
                <w:sz w:val="18"/>
                <w:szCs w:val="18"/>
              </w:rPr>
            </w:pPr>
            <w:r w:rsidRPr="002E00EE">
              <w:rPr>
                <w:sz w:val="18"/>
                <w:szCs w:val="18"/>
              </w:rPr>
              <w:t>1</w:t>
            </w:r>
          </w:p>
        </w:tc>
        <w:tc>
          <w:tcPr>
            <w:tcW w:w="2131" w:type="dxa"/>
            <w:shd w:val="clear" w:color="auto" w:fill="auto"/>
          </w:tcPr>
          <w:p w:rsidR="00F02014" w:rsidRPr="002E00EE" w:rsidRDefault="00F02014" w:rsidP="009241C9">
            <w:pPr>
              <w:suppressAutoHyphens w:val="0"/>
              <w:spacing w:line="240" w:lineRule="auto"/>
              <w:rPr>
                <w:sz w:val="18"/>
                <w:szCs w:val="18"/>
                <w:u w:val="single"/>
              </w:rPr>
            </w:pPr>
            <w:r w:rsidRPr="002E00EE">
              <w:rPr>
                <w:sz w:val="18"/>
                <w:szCs w:val="18"/>
                <w:u w:val="single"/>
              </w:rPr>
              <w:t>P501 – Waste disposal PS</w:t>
            </w:r>
          </w:p>
        </w:tc>
        <w:tc>
          <w:tcPr>
            <w:tcW w:w="4975" w:type="dxa"/>
            <w:shd w:val="clear" w:color="auto" w:fill="auto"/>
          </w:tcPr>
          <w:p w:rsidR="00F02014" w:rsidRPr="002E00EE" w:rsidRDefault="0078123A" w:rsidP="006E6EAC">
            <w:pPr>
              <w:spacing w:before="40" w:after="120"/>
              <w:ind w:right="113"/>
              <w:rPr>
                <w:sz w:val="18"/>
                <w:szCs w:val="18"/>
              </w:rPr>
            </w:pPr>
            <w:r w:rsidRPr="002E00EE">
              <w:rPr>
                <w:sz w:val="18"/>
                <w:szCs w:val="18"/>
              </w:rPr>
              <w:t>P501 tends to result in labels telling users to dispose of ‘contents/container to a waste disposal site in accordance with national regulation’. This places the burden on the user to find the appropriate disposal outlet and does not encourage recycling. The condition for use is also currently used as a continuation of the precautionary statement by manufacturers/suppliers and is inconsistent with other PS. P501 also appears on some workplace-only products where it is unnecessary.</w:t>
            </w:r>
          </w:p>
        </w:tc>
        <w:tc>
          <w:tcPr>
            <w:tcW w:w="4639" w:type="dxa"/>
            <w:shd w:val="clear" w:color="auto" w:fill="auto"/>
          </w:tcPr>
          <w:p w:rsidR="0078123A" w:rsidRPr="002E00EE" w:rsidRDefault="0078123A" w:rsidP="0078123A">
            <w:pPr>
              <w:pStyle w:val="Bullet1G"/>
              <w:tabs>
                <w:tab w:val="clear" w:pos="1701"/>
              </w:tabs>
              <w:ind w:left="190" w:right="111" w:hanging="141"/>
              <w:rPr>
                <w:sz w:val="18"/>
                <w:szCs w:val="18"/>
              </w:rPr>
            </w:pPr>
            <w:r w:rsidRPr="002E00EE">
              <w:rPr>
                <w:sz w:val="18"/>
                <w:szCs w:val="18"/>
              </w:rPr>
              <w:t>Look into the viability of instructing users to dispose of products at specific sites, including looking at varying disposal requirements within market areas, via a change to the PS and/or condition for use.</w:t>
            </w:r>
          </w:p>
          <w:p w:rsidR="00F02014" w:rsidRPr="002E00EE" w:rsidRDefault="0078123A" w:rsidP="0078123A">
            <w:pPr>
              <w:pStyle w:val="Bullet1G"/>
              <w:tabs>
                <w:tab w:val="clear" w:pos="1701"/>
              </w:tabs>
              <w:ind w:left="190" w:right="111" w:hanging="141"/>
              <w:rPr>
                <w:sz w:val="18"/>
                <w:szCs w:val="18"/>
              </w:rPr>
            </w:pPr>
            <w:r w:rsidRPr="002E00EE">
              <w:rPr>
                <w:sz w:val="18"/>
                <w:szCs w:val="18"/>
              </w:rPr>
              <w:t>Consider limiting P501 use for the workplace when normal chemical waste disposal procedures suffice.</w:t>
            </w:r>
          </w:p>
        </w:tc>
      </w:tr>
      <w:tr w:rsidR="00402579" w:rsidRPr="002E00EE" w:rsidTr="00232C67">
        <w:tc>
          <w:tcPr>
            <w:tcW w:w="459" w:type="dxa"/>
            <w:shd w:val="clear" w:color="auto" w:fill="auto"/>
          </w:tcPr>
          <w:p w:rsidR="00F02014" w:rsidRPr="002E00EE" w:rsidRDefault="0078123A" w:rsidP="006E6EAC">
            <w:pPr>
              <w:spacing w:before="40" w:after="120"/>
              <w:ind w:right="113"/>
              <w:rPr>
                <w:sz w:val="18"/>
                <w:szCs w:val="18"/>
              </w:rPr>
            </w:pPr>
            <w:r w:rsidRPr="002E00EE">
              <w:rPr>
                <w:sz w:val="18"/>
                <w:szCs w:val="18"/>
              </w:rPr>
              <w:t>3</w:t>
            </w:r>
          </w:p>
        </w:tc>
        <w:tc>
          <w:tcPr>
            <w:tcW w:w="1083" w:type="dxa"/>
            <w:shd w:val="clear" w:color="auto" w:fill="auto"/>
          </w:tcPr>
          <w:p w:rsidR="00F02014" w:rsidRPr="002E00EE" w:rsidRDefault="0078123A" w:rsidP="006E6EAC">
            <w:pPr>
              <w:spacing w:before="40" w:after="120"/>
              <w:ind w:right="113"/>
              <w:rPr>
                <w:sz w:val="18"/>
                <w:szCs w:val="18"/>
              </w:rPr>
            </w:pPr>
            <w:r w:rsidRPr="002E00EE">
              <w:rPr>
                <w:sz w:val="18"/>
                <w:szCs w:val="18"/>
              </w:rPr>
              <w:t>3</w:t>
            </w:r>
          </w:p>
        </w:tc>
        <w:tc>
          <w:tcPr>
            <w:tcW w:w="2131" w:type="dxa"/>
            <w:shd w:val="clear" w:color="auto" w:fill="auto"/>
          </w:tcPr>
          <w:p w:rsidR="00F02014" w:rsidRPr="002E00EE" w:rsidRDefault="0078123A" w:rsidP="006E6EAC">
            <w:pPr>
              <w:spacing w:before="40" w:after="120"/>
              <w:ind w:right="113"/>
              <w:rPr>
                <w:sz w:val="18"/>
                <w:szCs w:val="18"/>
                <w:u w:val="single"/>
              </w:rPr>
            </w:pPr>
            <w:r w:rsidRPr="002E00EE">
              <w:rPr>
                <w:sz w:val="18"/>
                <w:szCs w:val="18"/>
                <w:u w:val="single"/>
              </w:rPr>
              <w:t>Hand-eye contact</w:t>
            </w:r>
          </w:p>
        </w:tc>
        <w:tc>
          <w:tcPr>
            <w:tcW w:w="4975" w:type="dxa"/>
            <w:shd w:val="clear" w:color="auto" w:fill="auto"/>
          </w:tcPr>
          <w:p w:rsidR="00F02014" w:rsidRPr="002E00EE" w:rsidRDefault="0078123A" w:rsidP="006E6EAC">
            <w:pPr>
              <w:spacing w:before="40" w:after="120"/>
              <w:ind w:right="113"/>
              <w:rPr>
                <w:sz w:val="18"/>
                <w:szCs w:val="18"/>
              </w:rPr>
            </w:pPr>
            <w:r w:rsidRPr="002E00EE">
              <w:rPr>
                <w:sz w:val="18"/>
                <w:szCs w:val="18"/>
              </w:rPr>
              <w:t>At present the precautionary statements do not make a link between eye irritants and skin exposure, thereby overlooking the fact that hand-eye contact is a major source of eye contact with a substance/mixture.</w:t>
            </w:r>
          </w:p>
        </w:tc>
        <w:tc>
          <w:tcPr>
            <w:tcW w:w="4639" w:type="dxa"/>
            <w:shd w:val="clear" w:color="auto" w:fill="auto"/>
          </w:tcPr>
          <w:p w:rsidR="0078123A" w:rsidRPr="002E00EE" w:rsidRDefault="0078123A" w:rsidP="0078123A">
            <w:pPr>
              <w:pStyle w:val="Bullet1G"/>
              <w:tabs>
                <w:tab w:val="clear" w:pos="1701"/>
              </w:tabs>
              <w:ind w:left="190" w:right="111" w:hanging="141"/>
              <w:rPr>
                <w:sz w:val="18"/>
                <w:szCs w:val="18"/>
              </w:rPr>
            </w:pPr>
            <w:r w:rsidRPr="002E00EE">
              <w:rPr>
                <w:sz w:val="18"/>
                <w:szCs w:val="18"/>
              </w:rPr>
              <w:t>Consider adding “Eye irritation” to the P302, “IF ON SKIN”, triggers.</w:t>
            </w:r>
          </w:p>
          <w:p w:rsidR="00F02014" w:rsidRPr="002E00EE" w:rsidRDefault="0078123A" w:rsidP="0078123A">
            <w:pPr>
              <w:pStyle w:val="Bullet1G"/>
              <w:tabs>
                <w:tab w:val="clear" w:pos="1701"/>
              </w:tabs>
              <w:ind w:left="190" w:right="111" w:hanging="141"/>
              <w:rPr>
                <w:sz w:val="18"/>
                <w:szCs w:val="18"/>
              </w:rPr>
            </w:pPr>
            <w:r w:rsidRPr="002E00EE">
              <w:rPr>
                <w:sz w:val="18"/>
                <w:szCs w:val="18"/>
              </w:rPr>
              <w:t>Consider creating new precautionary statement to highlight risk of hand-eye contact for eye irritants.</w:t>
            </w:r>
          </w:p>
        </w:tc>
      </w:tr>
      <w:tr w:rsidR="00402579" w:rsidRPr="002E00EE" w:rsidTr="00232C67">
        <w:tc>
          <w:tcPr>
            <w:tcW w:w="459" w:type="dxa"/>
            <w:shd w:val="clear" w:color="auto" w:fill="auto"/>
          </w:tcPr>
          <w:p w:rsidR="00F02014" w:rsidRPr="002E00EE" w:rsidRDefault="0078123A" w:rsidP="006E6EAC">
            <w:pPr>
              <w:spacing w:before="40" w:after="120"/>
              <w:ind w:right="113"/>
              <w:rPr>
                <w:sz w:val="18"/>
                <w:szCs w:val="18"/>
              </w:rPr>
            </w:pPr>
            <w:r w:rsidRPr="002E00EE">
              <w:rPr>
                <w:sz w:val="18"/>
                <w:szCs w:val="18"/>
              </w:rPr>
              <w:t>4</w:t>
            </w:r>
          </w:p>
        </w:tc>
        <w:tc>
          <w:tcPr>
            <w:tcW w:w="1083" w:type="dxa"/>
            <w:shd w:val="clear" w:color="auto" w:fill="auto"/>
          </w:tcPr>
          <w:p w:rsidR="00F02014" w:rsidRPr="002E00EE" w:rsidRDefault="0078123A" w:rsidP="006E6EAC">
            <w:pPr>
              <w:spacing w:before="40" w:after="120"/>
              <w:ind w:right="113"/>
              <w:rPr>
                <w:sz w:val="18"/>
                <w:szCs w:val="18"/>
              </w:rPr>
            </w:pPr>
            <w:r w:rsidRPr="002E00EE">
              <w:rPr>
                <w:sz w:val="18"/>
                <w:szCs w:val="18"/>
              </w:rPr>
              <w:t>2</w:t>
            </w:r>
          </w:p>
        </w:tc>
        <w:tc>
          <w:tcPr>
            <w:tcW w:w="2131" w:type="dxa"/>
            <w:shd w:val="clear" w:color="auto" w:fill="auto"/>
          </w:tcPr>
          <w:p w:rsidR="00F02014" w:rsidRPr="002E00EE" w:rsidRDefault="0078123A" w:rsidP="006E6EAC">
            <w:pPr>
              <w:spacing w:before="40" w:after="120"/>
              <w:ind w:right="113"/>
              <w:rPr>
                <w:sz w:val="18"/>
                <w:szCs w:val="18"/>
              </w:rPr>
            </w:pPr>
            <w:r w:rsidRPr="002E00EE">
              <w:rPr>
                <w:sz w:val="18"/>
                <w:szCs w:val="18"/>
                <w:u w:val="single"/>
              </w:rPr>
              <w:t>Combination statements</w:t>
            </w:r>
          </w:p>
        </w:tc>
        <w:tc>
          <w:tcPr>
            <w:tcW w:w="4975" w:type="dxa"/>
            <w:shd w:val="clear" w:color="auto" w:fill="auto"/>
          </w:tcPr>
          <w:p w:rsidR="00F02014" w:rsidRPr="002E00EE" w:rsidRDefault="0078123A" w:rsidP="006E6EAC">
            <w:pPr>
              <w:spacing w:before="40" w:after="120"/>
              <w:ind w:right="113"/>
              <w:rPr>
                <w:sz w:val="18"/>
                <w:szCs w:val="18"/>
              </w:rPr>
            </w:pPr>
            <w:r w:rsidRPr="002E00EE">
              <w:rPr>
                <w:sz w:val="18"/>
                <w:szCs w:val="18"/>
              </w:rPr>
              <w:t>Combination statements are presented inconsistently in Annex 3. Some combination statements are shown in the tables while others are not. In the PS matrix the presentation of combination statements can be misleading, especially in routes of exposure + response whereby the route of exposure is presented as only applying to one response rather than multiple.</w:t>
            </w:r>
          </w:p>
        </w:tc>
        <w:tc>
          <w:tcPr>
            <w:tcW w:w="4639" w:type="dxa"/>
            <w:shd w:val="clear" w:color="auto" w:fill="auto"/>
          </w:tcPr>
          <w:p w:rsidR="0078123A" w:rsidRPr="002E00EE" w:rsidRDefault="0078123A" w:rsidP="0078123A">
            <w:pPr>
              <w:pStyle w:val="Bullet1G"/>
              <w:tabs>
                <w:tab w:val="clear" w:pos="1701"/>
              </w:tabs>
              <w:ind w:left="190" w:right="111" w:hanging="141"/>
              <w:rPr>
                <w:sz w:val="18"/>
                <w:szCs w:val="18"/>
              </w:rPr>
            </w:pPr>
            <w:r w:rsidRPr="002E00EE">
              <w:rPr>
                <w:sz w:val="18"/>
                <w:szCs w:val="18"/>
              </w:rPr>
              <w:t>Discuss the value of presenting combination statements in the PS tables and consider their removal.</w:t>
            </w:r>
          </w:p>
          <w:p w:rsidR="00F02014" w:rsidRPr="002E00EE" w:rsidRDefault="0078123A" w:rsidP="0078123A">
            <w:pPr>
              <w:pStyle w:val="Bullet1G"/>
              <w:tabs>
                <w:tab w:val="clear" w:pos="1701"/>
              </w:tabs>
              <w:ind w:left="190" w:right="111" w:hanging="141"/>
              <w:rPr>
                <w:sz w:val="18"/>
                <w:szCs w:val="18"/>
              </w:rPr>
            </w:pPr>
            <w:r w:rsidRPr="002E00EE">
              <w:rPr>
                <w:sz w:val="18"/>
                <w:szCs w:val="18"/>
              </w:rPr>
              <w:t>Consider changing the presentation in the matrix to show that routes of exposure do not only apply to one response – possibly by avoiding putting multiple PS on the same line.</w:t>
            </w:r>
          </w:p>
        </w:tc>
      </w:tr>
      <w:tr w:rsidR="00402579" w:rsidRPr="002E00EE" w:rsidTr="00232C67">
        <w:tc>
          <w:tcPr>
            <w:tcW w:w="459" w:type="dxa"/>
            <w:shd w:val="clear" w:color="auto" w:fill="auto"/>
          </w:tcPr>
          <w:p w:rsidR="00F02014" w:rsidRPr="002E00EE" w:rsidRDefault="0078123A" w:rsidP="00232C67">
            <w:pPr>
              <w:spacing w:before="40" w:after="120"/>
              <w:ind w:right="113"/>
              <w:rPr>
                <w:sz w:val="18"/>
                <w:szCs w:val="18"/>
              </w:rPr>
            </w:pPr>
            <w:r w:rsidRPr="002E00EE">
              <w:rPr>
                <w:sz w:val="18"/>
                <w:szCs w:val="18"/>
              </w:rPr>
              <w:t>5</w:t>
            </w:r>
          </w:p>
        </w:tc>
        <w:tc>
          <w:tcPr>
            <w:tcW w:w="1083" w:type="dxa"/>
            <w:shd w:val="clear" w:color="auto" w:fill="auto"/>
          </w:tcPr>
          <w:p w:rsidR="00F02014" w:rsidRPr="002E00EE" w:rsidRDefault="0078123A" w:rsidP="00232C67">
            <w:pPr>
              <w:spacing w:before="40" w:after="120"/>
              <w:ind w:right="113"/>
              <w:rPr>
                <w:sz w:val="18"/>
                <w:szCs w:val="18"/>
              </w:rPr>
            </w:pPr>
            <w:r w:rsidRPr="002E00EE">
              <w:rPr>
                <w:sz w:val="18"/>
                <w:szCs w:val="18"/>
              </w:rPr>
              <w:t>2</w:t>
            </w:r>
          </w:p>
        </w:tc>
        <w:tc>
          <w:tcPr>
            <w:tcW w:w="2131" w:type="dxa"/>
            <w:shd w:val="clear" w:color="auto" w:fill="auto"/>
          </w:tcPr>
          <w:p w:rsidR="00F02014" w:rsidRPr="002E00EE" w:rsidRDefault="0078123A" w:rsidP="00232C67">
            <w:pPr>
              <w:spacing w:before="40" w:after="120"/>
              <w:ind w:right="113"/>
              <w:rPr>
                <w:sz w:val="18"/>
                <w:szCs w:val="18"/>
              </w:rPr>
            </w:pPr>
            <w:r w:rsidRPr="002E00EE">
              <w:rPr>
                <w:sz w:val="18"/>
                <w:szCs w:val="18"/>
                <w:u w:val="single"/>
              </w:rPr>
              <w:t>Sensitisation - respiratory</w:t>
            </w:r>
          </w:p>
        </w:tc>
        <w:tc>
          <w:tcPr>
            <w:tcW w:w="4975" w:type="dxa"/>
            <w:shd w:val="clear" w:color="auto" w:fill="auto"/>
          </w:tcPr>
          <w:p w:rsidR="00F02014" w:rsidRPr="002E00EE" w:rsidRDefault="0078123A" w:rsidP="00232C67">
            <w:pPr>
              <w:spacing w:before="40" w:after="120"/>
              <w:ind w:right="113"/>
              <w:rPr>
                <w:sz w:val="18"/>
                <w:szCs w:val="18"/>
              </w:rPr>
            </w:pPr>
            <w:r w:rsidRPr="002E00EE">
              <w:rPr>
                <w:sz w:val="18"/>
                <w:szCs w:val="18"/>
              </w:rPr>
              <w:t>The PS for “Sensitisation – respiratory” does not include any reference to specific immediate treatment to alleviate symptoms, although these might be available.</w:t>
            </w:r>
          </w:p>
        </w:tc>
        <w:tc>
          <w:tcPr>
            <w:tcW w:w="4639" w:type="dxa"/>
            <w:shd w:val="clear" w:color="auto" w:fill="auto"/>
          </w:tcPr>
          <w:p w:rsidR="00F02014" w:rsidRPr="002E00EE" w:rsidRDefault="0078123A" w:rsidP="00232C67">
            <w:pPr>
              <w:pStyle w:val="Bullet1G"/>
              <w:numPr>
                <w:ilvl w:val="0"/>
                <w:numId w:val="0"/>
              </w:numPr>
              <w:ind w:left="80" w:right="111"/>
              <w:rPr>
                <w:sz w:val="18"/>
                <w:szCs w:val="18"/>
              </w:rPr>
            </w:pPr>
            <w:r w:rsidRPr="002E00EE">
              <w:rPr>
                <w:sz w:val="18"/>
                <w:szCs w:val="18"/>
              </w:rPr>
              <w:t>Consider applying an extra PS for “Sensitisation – respiration”, perhaps using P271, “Specific treatment (see … on this label)”.</w:t>
            </w:r>
          </w:p>
        </w:tc>
      </w:tr>
      <w:tr w:rsidR="00402579" w:rsidRPr="002E00EE" w:rsidTr="00232C67">
        <w:tc>
          <w:tcPr>
            <w:tcW w:w="459" w:type="dxa"/>
            <w:shd w:val="clear" w:color="auto" w:fill="auto"/>
          </w:tcPr>
          <w:p w:rsidR="00F02014" w:rsidRPr="002E00EE" w:rsidRDefault="0078123A" w:rsidP="006E6EAC">
            <w:pPr>
              <w:spacing w:before="40" w:after="120"/>
              <w:ind w:right="113"/>
              <w:rPr>
                <w:sz w:val="18"/>
                <w:szCs w:val="18"/>
              </w:rPr>
            </w:pPr>
            <w:r w:rsidRPr="002E00EE">
              <w:rPr>
                <w:sz w:val="18"/>
                <w:szCs w:val="18"/>
              </w:rPr>
              <w:lastRenderedPageBreak/>
              <w:t>6</w:t>
            </w:r>
          </w:p>
        </w:tc>
        <w:tc>
          <w:tcPr>
            <w:tcW w:w="1083" w:type="dxa"/>
            <w:shd w:val="clear" w:color="auto" w:fill="auto"/>
          </w:tcPr>
          <w:p w:rsidR="00F02014" w:rsidRPr="002E00EE" w:rsidRDefault="0078123A" w:rsidP="006E6EAC">
            <w:pPr>
              <w:spacing w:before="40" w:after="120"/>
              <w:ind w:right="113"/>
              <w:rPr>
                <w:sz w:val="18"/>
                <w:szCs w:val="18"/>
              </w:rPr>
            </w:pPr>
            <w:r w:rsidRPr="002E00EE">
              <w:rPr>
                <w:sz w:val="18"/>
                <w:szCs w:val="18"/>
              </w:rPr>
              <w:t>1</w:t>
            </w:r>
          </w:p>
        </w:tc>
        <w:tc>
          <w:tcPr>
            <w:tcW w:w="2131" w:type="dxa"/>
            <w:shd w:val="clear" w:color="auto" w:fill="auto"/>
          </w:tcPr>
          <w:p w:rsidR="00F02014" w:rsidRPr="002E00EE" w:rsidRDefault="0078123A" w:rsidP="0078123A">
            <w:pPr>
              <w:spacing w:before="40" w:after="120"/>
              <w:ind w:right="113"/>
              <w:rPr>
                <w:sz w:val="18"/>
                <w:szCs w:val="18"/>
              </w:rPr>
            </w:pPr>
            <w:r w:rsidRPr="002E00EE">
              <w:rPr>
                <w:sz w:val="18"/>
                <w:szCs w:val="18"/>
                <w:u w:val="single"/>
              </w:rPr>
              <w:t>P201 and P202</w:t>
            </w:r>
          </w:p>
        </w:tc>
        <w:tc>
          <w:tcPr>
            <w:tcW w:w="4975" w:type="dxa"/>
            <w:shd w:val="clear" w:color="auto" w:fill="auto"/>
          </w:tcPr>
          <w:p w:rsidR="00F02014" w:rsidRPr="002E00EE" w:rsidRDefault="0078123A" w:rsidP="0078123A">
            <w:pPr>
              <w:spacing w:before="40" w:after="120"/>
              <w:ind w:right="113"/>
              <w:rPr>
                <w:sz w:val="18"/>
                <w:szCs w:val="18"/>
              </w:rPr>
            </w:pPr>
            <w:r w:rsidRPr="002E00EE">
              <w:rPr>
                <w:sz w:val="18"/>
                <w:szCs w:val="18"/>
              </w:rPr>
              <w:t>P201, “Obtain special instructions before use”, and P201, “Do not handle until all safety precautions have been read and understood”, have similar meaning and are applied to very similar hazard classes/categories.</w:t>
            </w:r>
          </w:p>
        </w:tc>
        <w:tc>
          <w:tcPr>
            <w:tcW w:w="4639" w:type="dxa"/>
            <w:shd w:val="clear" w:color="auto" w:fill="auto"/>
          </w:tcPr>
          <w:p w:rsidR="00F02014" w:rsidRPr="002E00EE" w:rsidRDefault="0078123A" w:rsidP="002E00EE">
            <w:pPr>
              <w:pStyle w:val="Bullet1G"/>
              <w:numPr>
                <w:ilvl w:val="0"/>
                <w:numId w:val="0"/>
              </w:numPr>
              <w:ind w:left="80" w:right="111"/>
              <w:rPr>
                <w:sz w:val="18"/>
                <w:szCs w:val="18"/>
              </w:rPr>
            </w:pPr>
            <w:r w:rsidRPr="002E00EE">
              <w:rPr>
                <w:sz w:val="18"/>
                <w:szCs w:val="18"/>
              </w:rPr>
              <w:t>Consider merging P201 and P202 (without losing meaning) to create a new precautionary statement, e.g. “Do not handle until all safety precautions/special instructions have been understood”.</w:t>
            </w:r>
          </w:p>
        </w:tc>
      </w:tr>
      <w:tr w:rsidR="002E00EE" w:rsidRPr="002E00EE" w:rsidTr="00232C67">
        <w:tc>
          <w:tcPr>
            <w:tcW w:w="459" w:type="dxa"/>
            <w:shd w:val="clear" w:color="auto" w:fill="auto"/>
          </w:tcPr>
          <w:p w:rsidR="002E00EE" w:rsidRPr="002E00EE" w:rsidRDefault="002E00EE" w:rsidP="009241C9">
            <w:pPr>
              <w:spacing w:before="40" w:after="120"/>
              <w:ind w:right="113"/>
              <w:rPr>
                <w:sz w:val="18"/>
                <w:szCs w:val="18"/>
              </w:rPr>
            </w:pPr>
            <w:r w:rsidRPr="002E00EE">
              <w:rPr>
                <w:sz w:val="18"/>
                <w:szCs w:val="18"/>
              </w:rPr>
              <w:t>7</w:t>
            </w:r>
          </w:p>
        </w:tc>
        <w:tc>
          <w:tcPr>
            <w:tcW w:w="1083" w:type="dxa"/>
            <w:shd w:val="clear" w:color="auto" w:fill="auto"/>
          </w:tcPr>
          <w:p w:rsidR="002E00EE" w:rsidRPr="002E00EE" w:rsidRDefault="002E00EE" w:rsidP="009241C9">
            <w:pPr>
              <w:spacing w:before="40" w:after="120"/>
              <w:ind w:right="113"/>
              <w:rPr>
                <w:sz w:val="18"/>
                <w:szCs w:val="18"/>
              </w:rPr>
            </w:pPr>
            <w:r w:rsidRPr="002E00EE">
              <w:rPr>
                <w:sz w:val="18"/>
                <w:szCs w:val="18"/>
              </w:rPr>
              <w:t>2</w:t>
            </w:r>
          </w:p>
        </w:tc>
        <w:tc>
          <w:tcPr>
            <w:tcW w:w="2131" w:type="dxa"/>
            <w:shd w:val="clear" w:color="auto" w:fill="auto"/>
          </w:tcPr>
          <w:p w:rsidR="002E00EE" w:rsidRPr="002E00EE" w:rsidRDefault="002E00EE" w:rsidP="009241C9">
            <w:pPr>
              <w:spacing w:before="40" w:after="120"/>
              <w:ind w:right="113"/>
              <w:rPr>
                <w:sz w:val="18"/>
                <w:szCs w:val="18"/>
              </w:rPr>
            </w:pPr>
            <w:r w:rsidRPr="002E00EE">
              <w:rPr>
                <w:sz w:val="18"/>
                <w:szCs w:val="18"/>
                <w:u w:val="single"/>
              </w:rPr>
              <w:t>Sub-categorisation</w:t>
            </w:r>
          </w:p>
        </w:tc>
        <w:tc>
          <w:tcPr>
            <w:tcW w:w="4975" w:type="dxa"/>
            <w:shd w:val="clear" w:color="auto" w:fill="auto"/>
          </w:tcPr>
          <w:p w:rsidR="002E00EE" w:rsidRPr="002E00EE" w:rsidRDefault="002E00EE" w:rsidP="009241C9">
            <w:pPr>
              <w:spacing w:before="40" w:after="120"/>
              <w:ind w:right="113"/>
              <w:rPr>
                <w:sz w:val="18"/>
                <w:szCs w:val="18"/>
              </w:rPr>
            </w:pPr>
            <w:r w:rsidRPr="002E00EE">
              <w:rPr>
                <w:sz w:val="18"/>
                <w:szCs w:val="18"/>
              </w:rPr>
              <w:t>A number of hazard classes provide sub-categories which can be adopted by competent authorities and by industry where the necessary data is available, e.g. “skin corrosion/irritation” categories 1, 1A, 1B and 1C. However, the presentation of the PS in sections 2 and 3 of Annex 3 does not always reflect this accurately.</w:t>
            </w:r>
          </w:p>
        </w:tc>
        <w:tc>
          <w:tcPr>
            <w:tcW w:w="4639" w:type="dxa"/>
            <w:shd w:val="clear" w:color="auto" w:fill="auto"/>
          </w:tcPr>
          <w:p w:rsidR="002E00EE" w:rsidRPr="002E00EE" w:rsidRDefault="002E00EE" w:rsidP="009241C9">
            <w:pPr>
              <w:pStyle w:val="Bullet1G"/>
              <w:numPr>
                <w:ilvl w:val="0"/>
                <w:numId w:val="0"/>
              </w:numPr>
              <w:ind w:left="80" w:right="111"/>
              <w:rPr>
                <w:sz w:val="18"/>
                <w:szCs w:val="18"/>
              </w:rPr>
            </w:pPr>
            <w:r w:rsidRPr="002E00EE">
              <w:rPr>
                <w:sz w:val="18"/>
                <w:szCs w:val="18"/>
              </w:rPr>
              <w:t>Review and check that all possibilities are covered, e.g. by adding Category 1 to “Skin corrosion/irritation” categories 1A to 1C.</w:t>
            </w:r>
          </w:p>
        </w:tc>
      </w:tr>
      <w:tr w:rsidR="001A3AB6" w:rsidRPr="002E00EE" w:rsidTr="00232C67">
        <w:tc>
          <w:tcPr>
            <w:tcW w:w="459" w:type="dxa"/>
            <w:shd w:val="clear" w:color="auto" w:fill="auto"/>
          </w:tcPr>
          <w:p w:rsidR="001A3AB6" w:rsidRPr="002E00EE" w:rsidRDefault="001A3AB6" w:rsidP="009241C9">
            <w:pPr>
              <w:spacing w:before="40" w:after="120"/>
              <w:ind w:right="113"/>
              <w:rPr>
                <w:sz w:val="18"/>
                <w:szCs w:val="18"/>
              </w:rPr>
            </w:pPr>
            <w:r>
              <w:rPr>
                <w:sz w:val="18"/>
                <w:szCs w:val="18"/>
              </w:rPr>
              <w:t>8</w:t>
            </w:r>
          </w:p>
        </w:tc>
        <w:tc>
          <w:tcPr>
            <w:tcW w:w="1083" w:type="dxa"/>
            <w:shd w:val="clear" w:color="auto" w:fill="auto"/>
          </w:tcPr>
          <w:p w:rsidR="001A3AB6" w:rsidRPr="002E00EE" w:rsidRDefault="001A3AB6" w:rsidP="009241C9">
            <w:pPr>
              <w:spacing w:before="40" w:after="120"/>
              <w:ind w:right="113"/>
              <w:rPr>
                <w:sz w:val="18"/>
                <w:szCs w:val="18"/>
              </w:rPr>
            </w:pPr>
            <w:r>
              <w:rPr>
                <w:sz w:val="18"/>
                <w:szCs w:val="18"/>
              </w:rPr>
              <w:t>3</w:t>
            </w:r>
          </w:p>
        </w:tc>
        <w:tc>
          <w:tcPr>
            <w:tcW w:w="2131" w:type="dxa"/>
            <w:shd w:val="clear" w:color="auto" w:fill="auto"/>
          </w:tcPr>
          <w:p w:rsidR="001A3AB6" w:rsidRPr="002E00EE" w:rsidRDefault="001A3AB6" w:rsidP="009241C9">
            <w:pPr>
              <w:spacing w:before="40" w:after="120"/>
              <w:ind w:right="113"/>
              <w:rPr>
                <w:sz w:val="18"/>
                <w:szCs w:val="18"/>
                <w:u w:val="single"/>
              </w:rPr>
            </w:pPr>
            <w:r>
              <w:rPr>
                <w:sz w:val="18"/>
                <w:szCs w:val="18"/>
                <w:u w:val="single"/>
              </w:rPr>
              <w:t>Pictograms and notes in Annex 1</w:t>
            </w:r>
          </w:p>
        </w:tc>
        <w:tc>
          <w:tcPr>
            <w:tcW w:w="4975" w:type="dxa"/>
            <w:shd w:val="clear" w:color="auto" w:fill="auto"/>
          </w:tcPr>
          <w:p w:rsidR="001A3AB6" w:rsidRPr="002E00EE" w:rsidRDefault="00EA032A" w:rsidP="009241C9">
            <w:pPr>
              <w:spacing w:before="40" w:after="120"/>
              <w:ind w:right="113"/>
              <w:rPr>
                <w:sz w:val="18"/>
                <w:szCs w:val="18"/>
              </w:rPr>
            </w:pPr>
            <w:r>
              <w:rPr>
                <w:sz w:val="18"/>
                <w:szCs w:val="18"/>
              </w:rPr>
              <w:t>Annex I has evolved over time and the use of pictograms and notes may not be consistent</w:t>
            </w:r>
          </w:p>
        </w:tc>
        <w:tc>
          <w:tcPr>
            <w:tcW w:w="4639" w:type="dxa"/>
            <w:shd w:val="clear" w:color="auto" w:fill="auto"/>
          </w:tcPr>
          <w:p w:rsidR="001A3AB6" w:rsidRPr="002E00EE" w:rsidRDefault="00EA032A" w:rsidP="009241C9">
            <w:pPr>
              <w:pStyle w:val="Bullet1G"/>
              <w:numPr>
                <w:ilvl w:val="0"/>
                <w:numId w:val="0"/>
              </w:numPr>
              <w:ind w:left="80" w:right="111"/>
              <w:rPr>
                <w:sz w:val="18"/>
                <w:szCs w:val="18"/>
              </w:rPr>
            </w:pPr>
            <w:r>
              <w:rPr>
                <w:sz w:val="18"/>
                <w:szCs w:val="18"/>
              </w:rPr>
              <w:t>Review the GHS and TDG pictograms and the use of notes in Annex I to ensure consistent and helpful presentation across hazard classes and categories.</w:t>
            </w:r>
          </w:p>
        </w:tc>
      </w:tr>
      <w:tr w:rsidR="00EA032A" w:rsidRPr="002E00EE" w:rsidTr="00232C67">
        <w:tc>
          <w:tcPr>
            <w:tcW w:w="459" w:type="dxa"/>
            <w:shd w:val="clear" w:color="auto" w:fill="auto"/>
          </w:tcPr>
          <w:p w:rsidR="00EA032A" w:rsidRDefault="00EA032A" w:rsidP="009241C9">
            <w:pPr>
              <w:spacing w:before="40" w:after="120"/>
              <w:ind w:right="113"/>
              <w:rPr>
                <w:sz w:val="18"/>
                <w:szCs w:val="18"/>
              </w:rPr>
            </w:pPr>
            <w:r>
              <w:rPr>
                <w:sz w:val="18"/>
                <w:szCs w:val="18"/>
              </w:rPr>
              <w:t>9</w:t>
            </w:r>
          </w:p>
        </w:tc>
        <w:tc>
          <w:tcPr>
            <w:tcW w:w="1083" w:type="dxa"/>
            <w:shd w:val="clear" w:color="auto" w:fill="auto"/>
          </w:tcPr>
          <w:p w:rsidR="00EA032A" w:rsidRDefault="00EA032A" w:rsidP="009241C9">
            <w:pPr>
              <w:spacing w:before="40" w:after="120"/>
              <w:ind w:right="113"/>
              <w:rPr>
                <w:sz w:val="18"/>
                <w:szCs w:val="18"/>
              </w:rPr>
            </w:pPr>
            <w:r>
              <w:rPr>
                <w:sz w:val="18"/>
                <w:szCs w:val="18"/>
              </w:rPr>
              <w:t>3</w:t>
            </w:r>
          </w:p>
        </w:tc>
        <w:tc>
          <w:tcPr>
            <w:tcW w:w="2131" w:type="dxa"/>
            <w:shd w:val="clear" w:color="auto" w:fill="auto"/>
          </w:tcPr>
          <w:p w:rsidR="00EA032A" w:rsidRDefault="00EA032A" w:rsidP="009241C9">
            <w:pPr>
              <w:spacing w:before="40" w:after="120"/>
              <w:ind w:right="113"/>
              <w:rPr>
                <w:sz w:val="18"/>
                <w:szCs w:val="18"/>
                <w:u w:val="single"/>
              </w:rPr>
            </w:pPr>
            <w:r>
              <w:rPr>
                <w:sz w:val="18"/>
                <w:szCs w:val="18"/>
                <w:u w:val="single"/>
              </w:rPr>
              <w:t>Precautionary pictogram</w:t>
            </w:r>
          </w:p>
        </w:tc>
        <w:tc>
          <w:tcPr>
            <w:tcW w:w="4975" w:type="dxa"/>
            <w:shd w:val="clear" w:color="auto" w:fill="auto"/>
          </w:tcPr>
          <w:p w:rsidR="00EA032A" w:rsidRDefault="00EA032A" w:rsidP="009241C9">
            <w:pPr>
              <w:spacing w:before="40" w:after="120"/>
              <w:ind w:right="113"/>
              <w:rPr>
                <w:sz w:val="18"/>
                <w:szCs w:val="18"/>
              </w:rPr>
            </w:pPr>
            <w:r>
              <w:rPr>
                <w:sz w:val="18"/>
                <w:szCs w:val="18"/>
              </w:rPr>
              <w:t>How to reduce the number of incidents where young children come into contact with chemicals</w:t>
            </w:r>
          </w:p>
        </w:tc>
        <w:tc>
          <w:tcPr>
            <w:tcW w:w="4639" w:type="dxa"/>
            <w:shd w:val="clear" w:color="auto" w:fill="auto"/>
          </w:tcPr>
          <w:p w:rsidR="00EA032A" w:rsidRDefault="00EA032A" w:rsidP="009241C9">
            <w:pPr>
              <w:pStyle w:val="Bullet1G"/>
              <w:numPr>
                <w:ilvl w:val="0"/>
                <w:numId w:val="0"/>
              </w:numPr>
              <w:ind w:left="80" w:right="111"/>
              <w:rPr>
                <w:sz w:val="18"/>
                <w:szCs w:val="18"/>
              </w:rPr>
            </w:pPr>
            <w:r>
              <w:rPr>
                <w:sz w:val="18"/>
                <w:szCs w:val="18"/>
              </w:rPr>
              <w:t>Consider the development of a precautionary pictogram to convey the message keep out of reach children P102 for inclusion in Section 5 of Annex 3</w:t>
            </w:r>
          </w:p>
        </w:tc>
      </w:tr>
      <w:tr w:rsidR="00EA032A" w:rsidRPr="002E00EE" w:rsidTr="00232C67">
        <w:tc>
          <w:tcPr>
            <w:tcW w:w="459" w:type="dxa"/>
            <w:shd w:val="clear" w:color="auto" w:fill="auto"/>
          </w:tcPr>
          <w:p w:rsidR="00EA032A" w:rsidRDefault="00EA032A" w:rsidP="009241C9">
            <w:pPr>
              <w:spacing w:before="40" w:after="120"/>
              <w:ind w:right="113"/>
              <w:rPr>
                <w:sz w:val="18"/>
                <w:szCs w:val="18"/>
              </w:rPr>
            </w:pPr>
            <w:r>
              <w:rPr>
                <w:sz w:val="18"/>
                <w:szCs w:val="18"/>
              </w:rPr>
              <w:t>10</w:t>
            </w:r>
          </w:p>
        </w:tc>
        <w:tc>
          <w:tcPr>
            <w:tcW w:w="1083" w:type="dxa"/>
            <w:shd w:val="clear" w:color="auto" w:fill="auto"/>
          </w:tcPr>
          <w:p w:rsidR="00EA032A" w:rsidRDefault="00EA032A" w:rsidP="009241C9">
            <w:pPr>
              <w:spacing w:before="40" w:after="120"/>
              <w:ind w:right="113"/>
              <w:rPr>
                <w:sz w:val="18"/>
                <w:szCs w:val="18"/>
              </w:rPr>
            </w:pPr>
            <w:r>
              <w:rPr>
                <w:sz w:val="18"/>
                <w:szCs w:val="18"/>
              </w:rPr>
              <w:t>2</w:t>
            </w:r>
          </w:p>
        </w:tc>
        <w:tc>
          <w:tcPr>
            <w:tcW w:w="2131" w:type="dxa"/>
            <w:shd w:val="clear" w:color="auto" w:fill="auto"/>
          </w:tcPr>
          <w:p w:rsidR="00EA032A" w:rsidRDefault="00EA032A" w:rsidP="006B44DF">
            <w:pPr>
              <w:spacing w:before="40" w:after="120"/>
              <w:ind w:right="113"/>
              <w:rPr>
                <w:sz w:val="18"/>
                <w:szCs w:val="18"/>
                <w:u w:val="single"/>
              </w:rPr>
            </w:pPr>
            <w:r>
              <w:rPr>
                <w:sz w:val="18"/>
                <w:szCs w:val="18"/>
                <w:u w:val="single"/>
              </w:rPr>
              <w:t xml:space="preserve">Combination of </w:t>
            </w:r>
            <w:r w:rsidR="006B44DF">
              <w:rPr>
                <w:sz w:val="18"/>
                <w:szCs w:val="18"/>
                <w:u w:val="single"/>
              </w:rPr>
              <w:t>s</w:t>
            </w:r>
            <w:r>
              <w:rPr>
                <w:sz w:val="18"/>
                <w:szCs w:val="18"/>
                <w:u w:val="single"/>
              </w:rPr>
              <w:t>ections 2 and 3</w:t>
            </w:r>
          </w:p>
        </w:tc>
        <w:tc>
          <w:tcPr>
            <w:tcW w:w="4975" w:type="dxa"/>
            <w:shd w:val="clear" w:color="auto" w:fill="auto"/>
          </w:tcPr>
          <w:p w:rsidR="00EA032A" w:rsidRDefault="00EA032A" w:rsidP="009241C9">
            <w:pPr>
              <w:spacing w:before="40" w:after="120"/>
              <w:ind w:right="113"/>
              <w:rPr>
                <w:sz w:val="18"/>
                <w:szCs w:val="18"/>
              </w:rPr>
            </w:pPr>
            <w:r>
              <w:rPr>
                <w:sz w:val="18"/>
                <w:szCs w:val="18"/>
              </w:rPr>
              <w:t>There is presently repetition in Sections 2 and 3 of Annex 3</w:t>
            </w:r>
          </w:p>
        </w:tc>
        <w:tc>
          <w:tcPr>
            <w:tcW w:w="4639" w:type="dxa"/>
            <w:shd w:val="clear" w:color="auto" w:fill="auto"/>
          </w:tcPr>
          <w:p w:rsidR="00EA032A" w:rsidRDefault="00EA032A" w:rsidP="009241C9">
            <w:pPr>
              <w:pStyle w:val="Bullet1G"/>
              <w:numPr>
                <w:ilvl w:val="0"/>
                <w:numId w:val="0"/>
              </w:numPr>
              <w:ind w:left="80" w:right="111"/>
              <w:rPr>
                <w:sz w:val="18"/>
                <w:szCs w:val="18"/>
              </w:rPr>
            </w:pPr>
            <w:r>
              <w:rPr>
                <w:sz w:val="18"/>
                <w:szCs w:val="18"/>
              </w:rPr>
              <w:t>Review the text before the tables in Section 2 and the matrix in Section 3 and consider whether it is appropriate to combine the sections so all the guidance on how to select and use precautionary statements is in on</w:t>
            </w:r>
            <w:r w:rsidR="006B44DF">
              <w:rPr>
                <w:sz w:val="18"/>
                <w:szCs w:val="18"/>
              </w:rPr>
              <w:t>e</w:t>
            </w:r>
            <w:r>
              <w:rPr>
                <w:sz w:val="18"/>
                <w:szCs w:val="18"/>
              </w:rPr>
              <w:t xml:space="preserve"> place.</w:t>
            </w:r>
          </w:p>
        </w:tc>
      </w:tr>
    </w:tbl>
    <w:p w:rsidR="00760F29" w:rsidRDefault="00760F29" w:rsidP="00402579">
      <w:pPr>
        <w:suppressAutoHyphens w:val="0"/>
        <w:spacing w:line="240" w:lineRule="auto"/>
        <w:rPr>
          <w:b/>
        </w:rPr>
      </w:pPr>
    </w:p>
    <w:p w:rsidR="00402579" w:rsidRPr="00402579" w:rsidRDefault="00402579" w:rsidP="00402579">
      <w:pPr>
        <w:spacing w:before="240"/>
        <w:ind w:left="1134" w:right="1134"/>
        <w:jc w:val="center"/>
        <w:rPr>
          <w:b/>
          <w:u w:val="single"/>
        </w:rPr>
      </w:pPr>
      <w:r>
        <w:rPr>
          <w:b/>
          <w:u w:val="single"/>
        </w:rPr>
        <w:tab/>
      </w:r>
      <w:r>
        <w:rPr>
          <w:b/>
          <w:u w:val="single"/>
        </w:rPr>
        <w:tab/>
      </w:r>
      <w:r>
        <w:rPr>
          <w:b/>
          <w:u w:val="single"/>
        </w:rPr>
        <w:tab/>
      </w:r>
    </w:p>
    <w:p w:rsidR="00402579" w:rsidRDefault="00402579" w:rsidP="00402579">
      <w:pPr>
        <w:suppressAutoHyphens w:val="0"/>
        <w:spacing w:line="240" w:lineRule="auto"/>
      </w:pPr>
    </w:p>
    <w:p w:rsidR="00402579" w:rsidRPr="006E6EAC" w:rsidRDefault="00402579" w:rsidP="006E6EAC">
      <w:pPr>
        <w:spacing w:before="40" w:after="120"/>
        <w:ind w:right="113"/>
        <w:sectPr w:rsidR="00402579" w:rsidRPr="006E6EAC" w:rsidSect="00760F29">
          <w:headerReference w:type="even" r:id="rId14"/>
          <w:headerReference w:type="default" r:id="rId15"/>
          <w:footerReference w:type="even" r:id="rId16"/>
          <w:footerReference w:type="default" r:id="rId17"/>
          <w:pgSz w:w="16838" w:h="11906" w:orient="landscape"/>
          <w:pgMar w:top="1440" w:right="1440" w:bottom="1440" w:left="1440" w:header="708" w:footer="708" w:gutter="0"/>
          <w:cols w:space="708"/>
          <w:docGrid w:linePitch="360"/>
        </w:sectPr>
      </w:pPr>
      <w:bookmarkStart w:id="0" w:name="_GoBack"/>
      <w:bookmarkEnd w:id="0"/>
    </w:p>
    <w:p w:rsidR="00760F29" w:rsidRPr="00760F29" w:rsidRDefault="00760F29" w:rsidP="00402579">
      <w:pPr>
        <w:pStyle w:val="H1G"/>
        <w:rPr>
          <w:u w:val="single"/>
        </w:rPr>
      </w:pPr>
    </w:p>
    <w:sectPr w:rsidR="00760F29" w:rsidRPr="00760F29" w:rsidSect="00760F29">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1F" w:rsidRDefault="00E3431F" w:rsidP="00760F29">
      <w:pPr>
        <w:spacing w:line="240" w:lineRule="auto"/>
      </w:pPr>
      <w:r>
        <w:separator/>
      </w:r>
    </w:p>
  </w:endnote>
  <w:endnote w:type="continuationSeparator" w:id="0">
    <w:p w:rsidR="00E3431F" w:rsidRDefault="00E3431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E3431F" w:rsidRPr="00CE031D" w:rsidRDefault="00E3431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FF607A">
          <w:rPr>
            <w:b/>
            <w:noProof/>
            <w:sz w:val="18"/>
          </w:rPr>
          <w:t>2</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E3431F" w:rsidRPr="00CE031D" w:rsidRDefault="00E3431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402579">
          <w:rPr>
            <w:b/>
            <w:noProof/>
            <w:sz w:val="18"/>
          </w:rPr>
          <w:t>3</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99001C" w:rsidRDefault="00E3431F" w:rsidP="009E1F11">
    <w:r>
      <w:rPr>
        <w:noProof/>
        <w:lang w:eastAsia="zh-CN"/>
      </w:rPr>
      <w:drawing>
        <wp:anchor distT="0" distB="0" distL="114300" distR="114300" simplePos="0" relativeHeight="251683840"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rsidR="00E3431F" w:rsidRDefault="00E3431F">
    <w:pPr>
      <w:pStyle w:val="Footer"/>
    </w:pPr>
    <w:r>
      <w:rPr>
        <w:noProof/>
        <w:lang w:eastAsia="zh-CN"/>
      </w:rPr>
      <w:drawing>
        <wp:anchor distT="0" distB="0" distL="114300" distR="114300" simplePos="0" relativeHeight="251681792" behindDoc="0" locked="1" layoutInCell="1" allowOverlap="1" wp14:anchorId="1496A578" wp14:editId="725698CC">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0768" behindDoc="0" locked="1" layoutInCell="1" allowOverlap="1" wp14:anchorId="7F30D0C1" wp14:editId="0EC565B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Default="00E343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D841B8" w:rsidRDefault="00E3431F">
    <w:pPr>
      <w:pStyle w:val="Footer"/>
      <w:jc w:val="right"/>
      <w:rPr>
        <w:b/>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F14E03" w:rsidRDefault="00E3431F" w:rsidP="00F14E0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sz w:val="18"/>
      </w:rPr>
    </w:sdtEndPr>
    <w:sdtContent>
      <w:p w:rsidR="00E3431F" w:rsidRPr="00AA3D2B" w:rsidRDefault="00E3431F">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402579">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1F" w:rsidRDefault="00E3431F" w:rsidP="00760F29">
      <w:pPr>
        <w:spacing w:line="240" w:lineRule="auto"/>
      </w:pPr>
      <w:r>
        <w:separator/>
      </w:r>
    </w:p>
  </w:footnote>
  <w:footnote w:type="continuationSeparator" w:id="0">
    <w:p w:rsidR="00E3431F" w:rsidRDefault="00E3431F"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CE031D" w:rsidRDefault="00E3431F" w:rsidP="00CE031D">
    <w:pPr>
      <w:pStyle w:val="Header"/>
      <w:rPr>
        <w:szCs w:val="18"/>
      </w:rPr>
    </w:pPr>
    <w:r w:rsidRPr="00CE031D">
      <w:rPr>
        <w:szCs w:val="18"/>
      </w:rPr>
      <w:t>UN/SCETDG/49/INF.</w:t>
    </w:r>
    <w:r>
      <w:rPr>
        <w:szCs w:val="18"/>
      </w:rPr>
      <w:t>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Default="00E3431F" w:rsidP="00CE031D">
    <w:pPr>
      <w:pStyle w:val="Header"/>
      <w:jc w:val="right"/>
    </w:pPr>
    <w:r w:rsidRPr="00CE031D">
      <w:rPr>
        <w:szCs w:val="18"/>
      </w:rPr>
      <w:t>UN/SCETDG/49/INF.</w:t>
    </w:r>
    <w:r>
      <w:rPr>
        <w:szCs w:val="18"/>
      </w:rPr>
      <w:t>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Default="00E3431F" w:rsidP="00CE031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62617C" w:rsidRDefault="00E3431F" w:rsidP="0062617C">
    <w:pPr>
      <w:pStyle w:val="Header"/>
      <w:pBdr>
        <w:bottom w:val="none" w:sz="0" w:space="0" w:color="auto"/>
      </w:pBdr>
    </w:pPr>
    <w:r>
      <w:rPr>
        <w:b w:val="0"/>
        <w:noProof/>
        <w:lang w:eastAsia="zh-CN"/>
      </w:rPr>
      <mc:AlternateContent>
        <mc:Choice Requires="wps">
          <w:drawing>
            <wp:anchor distT="0" distB="0" distL="114300" distR="114300" simplePos="0" relativeHeight="251675648" behindDoc="0" locked="0" layoutInCell="1" allowOverlap="1" wp14:anchorId="2B1184CE" wp14:editId="5A20AF5F">
              <wp:simplePos x="0" y="0"/>
              <wp:positionH relativeFrom="margin">
                <wp:posOffset>-370840</wp:posOffset>
              </wp:positionH>
              <wp:positionV relativeFrom="margin">
                <wp:posOffset>11430</wp:posOffset>
              </wp:positionV>
              <wp:extent cx="222885" cy="612013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Pr="002077D8" w:rsidRDefault="00E3431F"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43359">
                            <w:rPr>
                              <w:b/>
                              <w:noProof/>
                              <w:sz w:val="18"/>
                            </w:rPr>
                            <w:t>2</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2pt;margin-top:.9pt;width:17.55pt;height:48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qPeQIAAAE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" stroked="f">
              <v:textbox style="layout-flow:vertical" inset="0,0,0,0">
                <w:txbxContent>
                  <w:p w:rsidR="00E3431F" w:rsidRPr="002077D8" w:rsidRDefault="00E3431F"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43359">
                      <w:rPr>
                        <w:b/>
                        <w:noProof/>
                        <w:sz w:val="18"/>
                      </w:rPr>
                      <w:t>2</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73600" behindDoc="0" locked="0" layoutInCell="1" allowOverlap="1" wp14:anchorId="32F4B5DD" wp14:editId="70F1BDC4">
              <wp:simplePos x="0" y="0"/>
              <wp:positionH relativeFrom="page">
                <wp:posOffset>9880600</wp:posOffset>
              </wp:positionH>
              <wp:positionV relativeFrom="margin">
                <wp:posOffset>7620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Default="00E3431F" w:rsidP="0062617C">
                          <w:pPr>
                            <w:pStyle w:val="Header"/>
                          </w:pPr>
                          <w:r>
                            <w:t>UN/SCE</w:t>
                          </w:r>
                          <w:r w:rsidR="00043E19">
                            <w:t>GHS</w:t>
                          </w:r>
                          <w:r>
                            <w:t>/</w:t>
                          </w:r>
                          <w:r w:rsidR="00043E19">
                            <w:t>32</w:t>
                          </w:r>
                          <w:r>
                            <w:t>/INF.</w:t>
                          </w:r>
                          <w:r w:rsidR="00043E19">
                            <w:t>12</w:t>
                          </w:r>
                          <w:r w:rsidR="00743359">
                            <w:t>/Rev</w:t>
                          </w:r>
                          <w:r w:rsidR="001A3AB6">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78pt;margin-top:.6pt;width:17pt;height:481.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" stroked="f">
              <v:textbox style="layout-flow:vertical" inset="0,0,0,0">
                <w:txbxContent>
                  <w:p w:rsidR="00E3431F" w:rsidRDefault="00E3431F" w:rsidP="0062617C">
                    <w:pPr>
                      <w:pStyle w:val="Header"/>
                    </w:pPr>
                    <w:r>
                      <w:t>UN/SCE</w:t>
                    </w:r>
                    <w:r w:rsidR="00043E19">
                      <w:t>GHS</w:t>
                    </w:r>
                    <w:r>
                      <w:t>/</w:t>
                    </w:r>
                    <w:r w:rsidR="00043E19">
                      <w:t>32</w:t>
                    </w:r>
                    <w:r>
                      <w:t>/INF.</w:t>
                    </w:r>
                    <w:r w:rsidR="00043E19">
                      <w:t>12</w:t>
                    </w:r>
                    <w:r w:rsidR="00743359">
                      <w:t>/Rev</w:t>
                    </w:r>
                    <w:r w:rsidR="001A3AB6">
                      <w:t>.1</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CE031D" w:rsidRDefault="00E3431F" w:rsidP="0062617C">
    <w:pPr>
      <w:pStyle w:val="Header"/>
      <w:pBdr>
        <w:bottom w:val="none" w:sz="0" w:space="0" w:color="auto"/>
      </w:pBdr>
    </w:pPr>
    <w:r>
      <w:rPr>
        <w:b w:val="0"/>
        <w:noProof/>
        <w:lang w:eastAsia="zh-CN"/>
      </w:rPr>
      <mc:AlternateContent>
        <mc:Choice Requires="wps">
          <w:drawing>
            <wp:anchor distT="0" distB="0" distL="114300" distR="114300" simplePos="0" relativeHeight="251671552" behindDoc="0" locked="0" layoutInCell="1" allowOverlap="1" wp14:anchorId="050A0A48" wp14:editId="6D392C38">
              <wp:simplePos x="0" y="0"/>
              <wp:positionH relativeFrom="margin">
                <wp:posOffset>-294640</wp:posOffset>
              </wp:positionH>
              <wp:positionV relativeFrom="margin">
                <wp:posOffset>-26670</wp:posOffset>
              </wp:positionV>
              <wp:extent cx="222885" cy="612013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Pr="002077D8" w:rsidRDefault="00E3431F"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43359">
                            <w:rPr>
                              <w:b/>
                              <w:noProof/>
                              <w:sz w:val="18"/>
                            </w:rPr>
                            <w:t>3</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3.2pt;margin-top:-2.1pt;width:17.55pt;height:48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" stroked="f">
              <v:textbox style="layout-flow:vertical" inset="0,0,0,0">
                <w:txbxContent>
                  <w:p w:rsidR="00E3431F" w:rsidRPr="002077D8" w:rsidRDefault="00E3431F"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43359">
                      <w:rPr>
                        <w:b/>
                        <w:noProof/>
                        <w:sz w:val="18"/>
                      </w:rPr>
                      <w:t>3</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69504" behindDoc="0" locked="0" layoutInCell="1" allowOverlap="1" wp14:anchorId="456245CC" wp14:editId="661C7AD9">
              <wp:simplePos x="0" y="0"/>
              <wp:positionH relativeFrom="page">
                <wp:posOffset>9728200</wp:posOffset>
              </wp:positionH>
              <wp:positionV relativeFrom="margin">
                <wp:posOffset>64770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Default="00E3431F" w:rsidP="0062617C">
                          <w:pPr>
                            <w:pStyle w:val="Header"/>
                            <w:jc w:val="right"/>
                          </w:pPr>
                          <w:r>
                            <w:t>UN/SCE</w:t>
                          </w:r>
                          <w:r w:rsidR="00043E19">
                            <w:t>GHS</w:t>
                          </w:r>
                          <w:r>
                            <w:t>/</w:t>
                          </w:r>
                          <w:r w:rsidR="00043E19">
                            <w:t>32</w:t>
                          </w:r>
                          <w:r>
                            <w:t>/INF.</w:t>
                          </w:r>
                          <w:r w:rsidR="00043E19">
                            <w:t>12</w:t>
                          </w:r>
                          <w:r w:rsidR="00743359">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66pt;margin-top:5.1pt;width:17pt;height:48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zUewIAAAY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" stroked="f">
              <v:textbox style="layout-flow:vertical" inset="0,0,0,0">
                <w:txbxContent>
                  <w:p w:rsidR="00E3431F" w:rsidRDefault="00E3431F" w:rsidP="0062617C">
                    <w:pPr>
                      <w:pStyle w:val="Header"/>
                      <w:jc w:val="right"/>
                    </w:pPr>
                    <w:r>
                      <w:t>UN/SCE</w:t>
                    </w:r>
                    <w:r w:rsidR="00043E19">
                      <w:t>GHS</w:t>
                    </w:r>
                    <w:r>
                      <w:t>/</w:t>
                    </w:r>
                    <w:r w:rsidR="00043E19">
                      <w:t>32</w:t>
                    </w:r>
                    <w:r>
                      <w:t>/INF.</w:t>
                    </w:r>
                    <w:r w:rsidR="00043E19">
                      <w:t>12</w:t>
                    </w:r>
                    <w:r w:rsidR="00743359">
                      <w:t>/Rev.1</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402579" w:rsidRDefault="00E3431F" w:rsidP="00402579">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1F" w:rsidRPr="00CE031D" w:rsidRDefault="00E3431F" w:rsidP="00AA3D2B">
    <w:pPr>
      <w:pStyle w:val="Header"/>
      <w:jc w:val="right"/>
      <w:rPr>
        <w:szCs w:val="18"/>
      </w:rPr>
    </w:pPr>
    <w:r w:rsidRPr="00CE031D">
      <w:rPr>
        <w:szCs w:val="18"/>
      </w:rPr>
      <w:t>UN/SCETDG/49/INF.</w:t>
    </w:r>
    <w:r>
      <w:rPr>
        <w:szCs w:val="18"/>
      </w:rPr>
      <w:t>42</w:t>
    </w:r>
  </w:p>
  <w:p w:rsidR="00E3431F" w:rsidRPr="00CE031D" w:rsidRDefault="00E3431F" w:rsidP="0062617C">
    <w:pPr>
      <w:pStyle w:val="Header"/>
      <w:pBdr>
        <w:bottom w:val="none" w:sz="0" w:space="0" w:color="auto"/>
      </w:pBdr>
    </w:pPr>
    <w:r>
      <w:rPr>
        <w:noProof/>
        <w:lang w:eastAsia="zh-CN"/>
      </w:rPr>
      <mc:AlternateContent>
        <mc:Choice Requires="wps">
          <w:drawing>
            <wp:anchor distT="0" distB="0" distL="114300" distR="114300" simplePos="0" relativeHeight="251677696" behindDoc="0" locked="0" layoutInCell="1" allowOverlap="1" wp14:anchorId="1E71C7A7" wp14:editId="0E050AEB">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31F" w:rsidRDefault="00E3431F"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766pt;margin-top:5.1pt;width:17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Shew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" stroked="f">
              <v:textbox style="layout-flow:vertical" inset="0,0,0,0">
                <w:txbxContent>
                  <w:p w:rsidR="00E3431F" w:rsidRDefault="00E3431F" w:rsidP="0062617C">
                    <w:pPr>
                      <w:pStyle w:val="Header"/>
                      <w:jc w:val="right"/>
                    </w:pPr>
                    <w:r>
                      <w:t>UN/SCETDG/49/</w:t>
                    </w:r>
                    <w:proofErr w:type="spellStart"/>
                    <w:r>
                      <w:t>INF.xx</w:t>
                    </w:r>
                    <w:proofErr w:type="spellEnd"/>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7C76AE4"/>
    <w:multiLevelType w:val="hybridMultilevel"/>
    <w:tmpl w:val="80C6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C74BFA"/>
    <w:multiLevelType w:val="hybridMultilevel"/>
    <w:tmpl w:val="E24C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F81CA3"/>
    <w:multiLevelType w:val="hybridMultilevel"/>
    <w:tmpl w:val="85AE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5062A9"/>
    <w:multiLevelType w:val="hybridMultilevel"/>
    <w:tmpl w:val="78B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D4344B"/>
    <w:multiLevelType w:val="hybridMultilevel"/>
    <w:tmpl w:val="B6E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0"/>
  </w:num>
  <w:num w:numId="4">
    <w:abstractNumId w:val="8"/>
  </w:num>
  <w:num w:numId="5">
    <w:abstractNumId w:val="5"/>
  </w:num>
  <w:num w:numId="6">
    <w:abstractNumId w:val="3"/>
  </w:num>
  <w:num w:numId="7">
    <w:abstractNumId w:val="1"/>
  </w:num>
  <w:num w:numId="8">
    <w:abstractNumId w:val="7"/>
  </w:num>
  <w:num w:numId="9">
    <w:abstractNumId w:val="2"/>
  </w:num>
  <w:num w:numId="10">
    <w:abstractNumId w:val="6"/>
  </w:num>
  <w:num w:numId="11">
    <w:abstractNumId w:val="6"/>
  </w:num>
  <w:num w:numId="12">
    <w:abstractNumId w:val="6"/>
  </w:num>
  <w:num w:numId="13">
    <w:abstractNumId w:val="6"/>
  </w:num>
  <w:num w:numId="14">
    <w:abstractNumId w:val="4"/>
  </w:num>
  <w:num w:numId="15">
    <w:abstractNumId w:val="12"/>
  </w:num>
  <w:num w:numId="16">
    <w:abstractNumId w:val="11"/>
  </w:num>
  <w:num w:numId="17">
    <w:abstractNumId w:val="6"/>
  </w:num>
  <w:num w:numId="18">
    <w:abstractNumId w:val="9"/>
  </w:num>
  <w:num w:numId="19">
    <w:abstractNumId w:val="6"/>
  </w:num>
  <w:num w:numId="20">
    <w:abstractNumId w:val="10"/>
  </w:num>
  <w:num w:numId="21">
    <w:abstractNumId w:val="6"/>
  </w:num>
  <w:num w:numId="22">
    <w:abstractNumId w:val="6"/>
  </w:num>
  <w:num w:numId="23">
    <w:abstractNumId w:val="6"/>
  </w:num>
  <w:num w:numId="24">
    <w:abstractNumId w:val="6"/>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3079A"/>
    <w:rsid w:val="00043E19"/>
    <w:rsid w:val="0006039D"/>
    <w:rsid w:val="001A3AB6"/>
    <w:rsid w:val="001C5FE4"/>
    <w:rsid w:val="00223F9F"/>
    <w:rsid w:val="00225747"/>
    <w:rsid w:val="00226CEA"/>
    <w:rsid w:val="00232C67"/>
    <w:rsid w:val="00236385"/>
    <w:rsid w:val="002E00EE"/>
    <w:rsid w:val="00322EDB"/>
    <w:rsid w:val="00371089"/>
    <w:rsid w:val="003A2A96"/>
    <w:rsid w:val="003A3245"/>
    <w:rsid w:val="003B2653"/>
    <w:rsid w:val="003C10B9"/>
    <w:rsid w:val="003E64B9"/>
    <w:rsid w:val="00402579"/>
    <w:rsid w:val="00406A6B"/>
    <w:rsid w:val="004B5A77"/>
    <w:rsid w:val="004E7435"/>
    <w:rsid w:val="00522D72"/>
    <w:rsid w:val="00574027"/>
    <w:rsid w:val="00592369"/>
    <w:rsid w:val="005C0B65"/>
    <w:rsid w:val="005E79BB"/>
    <w:rsid w:val="005F7AE9"/>
    <w:rsid w:val="0062617C"/>
    <w:rsid w:val="00630265"/>
    <w:rsid w:val="00633F54"/>
    <w:rsid w:val="00686B73"/>
    <w:rsid w:val="006A2C7D"/>
    <w:rsid w:val="006B44DF"/>
    <w:rsid w:val="006D3E76"/>
    <w:rsid w:val="006E6EAC"/>
    <w:rsid w:val="00717408"/>
    <w:rsid w:val="00743359"/>
    <w:rsid w:val="00760F29"/>
    <w:rsid w:val="0078123A"/>
    <w:rsid w:val="007A5031"/>
    <w:rsid w:val="007C1E4D"/>
    <w:rsid w:val="007C61DB"/>
    <w:rsid w:val="007F1D3F"/>
    <w:rsid w:val="00822F3B"/>
    <w:rsid w:val="00930F93"/>
    <w:rsid w:val="0094551F"/>
    <w:rsid w:val="009855D0"/>
    <w:rsid w:val="009E1F11"/>
    <w:rsid w:val="009E245E"/>
    <w:rsid w:val="009E42E4"/>
    <w:rsid w:val="00A55BFD"/>
    <w:rsid w:val="00A57ACB"/>
    <w:rsid w:val="00A83A4A"/>
    <w:rsid w:val="00A91B52"/>
    <w:rsid w:val="00AA3D2B"/>
    <w:rsid w:val="00B64854"/>
    <w:rsid w:val="00B77E3D"/>
    <w:rsid w:val="00B85035"/>
    <w:rsid w:val="00BF0E50"/>
    <w:rsid w:val="00C13576"/>
    <w:rsid w:val="00C13F89"/>
    <w:rsid w:val="00C60AE5"/>
    <w:rsid w:val="00C64CCA"/>
    <w:rsid w:val="00C65283"/>
    <w:rsid w:val="00CA28D8"/>
    <w:rsid w:val="00CA5128"/>
    <w:rsid w:val="00CE031D"/>
    <w:rsid w:val="00D07218"/>
    <w:rsid w:val="00D637B7"/>
    <w:rsid w:val="00D841B8"/>
    <w:rsid w:val="00DB521F"/>
    <w:rsid w:val="00DD396E"/>
    <w:rsid w:val="00E15AE8"/>
    <w:rsid w:val="00E1727E"/>
    <w:rsid w:val="00E3431F"/>
    <w:rsid w:val="00EA032A"/>
    <w:rsid w:val="00EA3F81"/>
    <w:rsid w:val="00EA5B52"/>
    <w:rsid w:val="00F02014"/>
    <w:rsid w:val="00F14E03"/>
    <w:rsid w:val="00F22714"/>
    <w:rsid w:val="00F27F2C"/>
    <w:rsid w:val="00F41B6B"/>
    <w:rsid w:val="00F84D75"/>
    <w:rsid w:val="00FA63B2"/>
    <w:rsid w:val="00FE179E"/>
    <w:rsid w:val="00FF60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table" w:styleId="LightShading">
    <w:name w:val="Light Shading"/>
    <w:basedOn w:val="TableNormal"/>
    <w:uiPriority w:val="60"/>
    <w:rsid w:val="006E6E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02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table" w:styleId="LightShading">
    <w:name w:val="Light Shading"/>
    <w:basedOn w:val="TableNormal"/>
    <w:uiPriority w:val="60"/>
    <w:rsid w:val="006E6E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0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Garcia-Couto</cp:lastModifiedBy>
  <cp:revision>13</cp:revision>
  <cp:lastPrinted>2016-12-09T00:09:00Z</cp:lastPrinted>
  <dcterms:created xsi:type="dcterms:W3CDTF">2016-08-19T14:48:00Z</dcterms:created>
  <dcterms:modified xsi:type="dcterms:W3CDTF">2016-12-09T00:10:00Z</dcterms:modified>
</cp:coreProperties>
</file>