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0C15C6" w:rsidP="002D0FD6">
            <w:pPr>
              <w:jc w:val="right"/>
            </w:pPr>
            <w:r w:rsidRPr="000C15C6">
              <w:rPr>
                <w:sz w:val="40"/>
              </w:rPr>
              <w:t>ST</w:t>
            </w:r>
            <w:r>
              <w:t>/SG/AC.10/C.4/6</w:t>
            </w:r>
            <w:r w:rsidR="002D0FD6">
              <w:t>4</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0D983F95" wp14:editId="24CBEFB4">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Pr="00893AA4" w:rsidRDefault="000C15C6" w:rsidP="000C15C6">
            <w:pPr>
              <w:spacing w:before="240" w:line="240" w:lineRule="exact"/>
            </w:pPr>
            <w:r w:rsidRPr="00893AA4">
              <w:t>Distr.: General</w:t>
            </w:r>
          </w:p>
          <w:p w:rsidR="000C15C6" w:rsidRDefault="00192093" w:rsidP="000C15C6">
            <w:pPr>
              <w:spacing w:line="240" w:lineRule="exact"/>
            </w:pPr>
            <w:r>
              <w:t>22</w:t>
            </w:r>
            <w:r w:rsidR="002D0FD6" w:rsidRPr="00192093">
              <w:t xml:space="preserve"> December 2016</w:t>
            </w:r>
          </w:p>
          <w:p w:rsidR="000C15C6" w:rsidRDefault="000C15C6" w:rsidP="000C15C6">
            <w:pPr>
              <w:spacing w:line="240" w:lineRule="exact"/>
            </w:pPr>
          </w:p>
          <w:p w:rsidR="000C15C6" w:rsidRDefault="000C15C6" w:rsidP="000C15C6">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Default="009F0F06" w:rsidP="009F0F06">
      <w:pPr>
        <w:spacing w:before="120"/>
        <w:rPr>
          <w:b/>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0C15C6" w:rsidRPr="008867C1" w:rsidRDefault="005F5AEE" w:rsidP="008867C1">
      <w:pPr>
        <w:pStyle w:val="HChG"/>
      </w:pPr>
      <w:r w:rsidRPr="008867C1">
        <w:tab/>
      </w:r>
      <w:r w:rsidRPr="008867C1">
        <w:tab/>
        <w:t>Report of the Sub-Committee of Experts on the Globally Harmonized System of Classification and Labelling of Chemicals on its thirt</w:t>
      </w:r>
      <w:r w:rsidR="0039358F">
        <w:t>y-second</w:t>
      </w:r>
      <w:r w:rsidRPr="008867C1">
        <w:t xml:space="preserve"> session</w:t>
      </w:r>
    </w:p>
    <w:p w:rsidR="005F5AEE" w:rsidRDefault="005F5AEE" w:rsidP="005F5AEE">
      <w:pPr>
        <w:pStyle w:val="H23G"/>
        <w:rPr>
          <w:b w:val="0"/>
        </w:rPr>
      </w:pPr>
      <w:r w:rsidRPr="00FB2A74">
        <w:tab/>
      </w:r>
      <w:r w:rsidRPr="00FB2A74">
        <w:tab/>
      </w:r>
      <w:r w:rsidRPr="00FB2A74">
        <w:rPr>
          <w:b w:val="0"/>
        </w:rPr>
        <w:t xml:space="preserve">held in Geneva from </w:t>
      </w:r>
      <w:r w:rsidR="0039358F">
        <w:rPr>
          <w:b w:val="0"/>
        </w:rPr>
        <w:t>7</w:t>
      </w:r>
      <w:r w:rsidR="00845050" w:rsidRPr="00FB2A74">
        <w:rPr>
          <w:b w:val="0"/>
        </w:rPr>
        <w:t xml:space="preserve"> </w:t>
      </w:r>
      <w:r w:rsidR="0039358F">
        <w:rPr>
          <w:b w:val="0"/>
        </w:rPr>
        <w:t>to 9</w:t>
      </w:r>
      <w:r w:rsidR="00845050">
        <w:rPr>
          <w:b w:val="0"/>
        </w:rPr>
        <w:t xml:space="preserve"> December </w:t>
      </w:r>
      <w:r w:rsidR="0039358F">
        <w:rPr>
          <w:b w:val="0"/>
        </w:rPr>
        <w:t>2016</w:t>
      </w:r>
    </w:p>
    <w:p w:rsidR="00845050" w:rsidRPr="00D05A07" w:rsidRDefault="00845050" w:rsidP="00845050">
      <w:pPr>
        <w:spacing w:after="120"/>
        <w:rPr>
          <w:sz w:val="28"/>
          <w:lang w:val="fr-CH"/>
        </w:rPr>
      </w:pPr>
      <w:r w:rsidRPr="00D05A07">
        <w:rPr>
          <w:sz w:val="28"/>
          <w:lang w:val="fr-CH"/>
        </w:rPr>
        <w:t>Contents</w:t>
      </w:r>
    </w:p>
    <w:p w:rsidR="00845050" w:rsidRPr="00D05A07" w:rsidRDefault="00845050" w:rsidP="00845050">
      <w:pPr>
        <w:tabs>
          <w:tab w:val="right" w:pos="8929"/>
          <w:tab w:val="right" w:pos="9638"/>
        </w:tabs>
        <w:spacing w:after="120"/>
        <w:ind w:left="283"/>
        <w:rPr>
          <w:lang w:val="fr-CH"/>
        </w:rPr>
      </w:pPr>
      <w:r w:rsidRPr="00D05A07">
        <w:rPr>
          <w:i/>
          <w:sz w:val="18"/>
          <w:lang w:val="fr-CH"/>
        </w:rPr>
        <w:tab/>
      </w:r>
      <w:proofErr w:type="spellStart"/>
      <w:r w:rsidRPr="00D05A07">
        <w:rPr>
          <w:i/>
          <w:sz w:val="18"/>
          <w:lang w:val="fr-CH"/>
        </w:rPr>
        <w:t>Paragraphs</w:t>
      </w:r>
      <w:proofErr w:type="spellEnd"/>
      <w:r w:rsidRPr="00D05A07">
        <w:rPr>
          <w:i/>
          <w:sz w:val="18"/>
          <w:lang w:val="fr-CH"/>
        </w:rPr>
        <w:tab/>
        <w:t>Page</w:t>
      </w:r>
    </w:p>
    <w:p w:rsidR="00845050" w:rsidRPr="0011624E" w:rsidRDefault="00845050" w:rsidP="00845050">
      <w:pPr>
        <w:tabs>
          <w:tab w:val="right" w:pos="850"/>
          <w:tab w:val="left" w:pos="1134"/>
          <w:tab w:val="left" w:pos="1559"/>
          <w:tab w:val="left" w:pos="1984"/>
          <w:tab w:val="left" w:leader="dot" w:pos="8100"/>
          <w:tab w:val="right" w:pos="8929"/>
          <w:tab w:val="right" w:pos="9638"/>
        </w:tabs>
        <w:spacing w:after="100"/>
        <w:rPr>
          <w:lang w:val="fr-CH"/>
        </w:rPr>
      </w:pPr>
      <w:r w:rsidRPr="00D05A07">
        <w:rPr>
          <w:lang w:val="fr-CH"/>
        </w:rPr>
        <w:tab/>
      </w:r>
      <w:r w:rsidRPr="0011624E">
        <w:rPr>
          <w:lang w:val="fr-CH"/>
        </w:rPr>
        <w:t xml:space="preserve">I. </w:t>
      </w:r>
      <w:r w:rsidRPr="0011624E">
        <w:rPr>
          <w:lang w:val="fr-CH"/>
        </w:rPr>
        <w:tab/>
      </w:r>
      <w:proofErr w:type="spellStart"/>
      <w:r w:rsidRPr="0011624E">
        <w:rPr>
          <w:lang w:val="fr-CH"/>
        </w:rPr>
        <w:t>Attendance</w:t>
      </w:r>
      <w:proofErr w:type="spellEnd"/>
      <w:r w:rsidRPr="0011624E">
        <w:rPr>
          <w:lang w:val="fr-CH"/>
        </w:rPr>
        <w:tab/>
      </w:r>
      <w:r w:rsidR="00156A52">
        <w:rPr>
          <w:lang w:val="fr-CH"/>
        </w:rPr>
        <w:tab/>
        <w:t>1-6</w:t>
      </w:r>
      <w:r w:rsidRPr="0011624E">
        <w:rPr>
          <w:lang w:val="fr-CH"/>
        </w:rPr>
        <w:tab/>
      </w:r>
      <w:r w:rsidR="00A27E31">
        <w:rPr>
          <w:lang w:val="fr-CH"/>
        </w:rPr>
        <w:t>4</w:t>
      </w:r>
    </w:p>
    <w:p w:rsidR="00845050" w:rsidRPr="0011624E" w:rsidRDefault="00845050" w:rsidP="00845050">
      <w:pPr>
        <w:tabs>
          <w:tab w:val="right" w:pos="850"/>
          <w:tab w:val="left" w:pos="1134"/>
          <w:tab w:val="left" w:pos="1559"/>
          <w:tab w:val="left" w:pos="1984"/>
          <w:tab w:val="left" w:leader="dot" w:pos="8100"/>
          <w:tab w:val="right" w:pos="8929"/>
          <w:tab w:val="right" w:pos="9638"/>
        </w:tabs>
        <w:spacing w:after="100"/>
      </w:pPr>
      <w:r w:rsidRPr="0011624E">
        <w:rPr>
          <w:lang w:val="fr-CH"/>
        </w:rPr>
        <w:t xml:space="preserve"> </w:t>
      </w:r>
      <w:r w:rsidRPr="0011624E">
        <w:rPr>
          <w:lang w:val="fr-CH"/>
        </w:rPr>
        <w:tab/>
      </w:r>
      <w:r w:rsidRPr="00FD2D5D">
        <w:rPr>
          <w:lang w:val="fr-CH"/>
        </w:rPr>
        <w:t xml:space="preserve">II. </w:t>
      </w:r>
      <w:r w:rsidRPr="00FD2D5D">
        <w:rPr>
          <w:lang w:val="fr-CH"/>
        </w:rPr>
        <w:tab/>
      </w:r>
      <w:r w:rsidRPr="0011624E">
        <w:t>Adoption of the agenda (agenda item 1)</w:t>
      </w:r>
      <w:r w:rsidRPr="0011624E">
        <w:tab/>
      </w:r>
      <w:r w:rsidRPr="0011624E">
        <w:tab/>
      </w:r>
      <w:r w:rsidR="00156A52">
        <w:t>7</w:t>
      </w:r>
      <w:r w:rsidR="00396E73">
        <w:tab/>
      </w:r>
      <w:r w:rsidR="00824611">
        <w:t>4</w:t>
      </w:r>
    </w:p>
    <w:p w:rsidR="00845050" w:rsidRPr="0011624E" w:rsidRDefault="00845050" w:rsidP="00845050">
      <w:pPr>
        <w:tabs>
          <w:tab w:val="right" w:pos="850"/>
          <w:tab w:val="left" w:pos="1134"/>
          <w:tab w:val="left" w:pos="1559"/>
          <w:tab w:val="left" w:pos="1984"/>
          <w:tab w:val="left" w:leader="dot" w:pos="8100"/>
          <w:tab w:val="right" w:pos="8929"/>
          <w:tab w:val="right" w:pos="9638"/>
        </w:tabs>
        <w:spacing w:after="100"/>
        <w:ind w:left="1134" w:hanging="1134"/>
      </w:pPr>
      <w:r w:rsidRPr="0011624E">
        <w:tab/>
        <w:t xml:space="preserve">III. </w:t>
      </w:r>
      <w:r w:rsidRPr="0011624E">
        <w:tab/>
      </w:r>
      <w:r w:rsidR="00A27EC0" w:rsidRPr="0011624E">
        <w:rPr>
          <w:rFonts w:eastAsia="MS Mincho"/>
          <w:lang w:eastAsia="ja-JP"/>
        </w:rPr>
        <w:t>Classification criteria and related hazard communication</w:t>
      </w:r>
      <w:r w:rsidR="008867C1" w:rsidRPr="0011624E">
        <w:rPr>
          <w:rFonts w:eastAsia="MS Mincho"/>
          <w:lang w:eastAsia="ja-JP"/>
        </w:rPr>
        <w:t xml:space="preserve"> (agenda item 2)</w:t>
      </w:r>
      <w:r w:rsidRPr="0011624E">
        <w:tab/>
      </w:r>
      <w:r w:rsidRPr="0011624E">
        <w:tab/>
      </w:r>
      <w:r w:rsidR="002D6787">
        <w:t>8-36</w:t>
      </w:r>
      <w:r w:rsidR="00396E73">
        <w:tab/>
      </w:r>
      <w:r w:rsidR="000D6674">
        <w:t>5</w:t>
      </w:r>
    </w:p>
    <w:p w:rsidR="00845050" w:rsidRPr="0011624E" w:rsidRDefault="00845050" w:rsidP="00816C40">
      <w:pPr>
        <w:tabs>
          <w:tab w:val="left" w:pos="1134"/>
          <w:tab w:val="left" w:pos="1559"/>
          <w:tab w:val="left" w:pos="1984"/>
          <w:tab w:val="left" w:leader="dot" w:pos="8100"/>
          <w:tab w:val="right" w:pos="8929"/>
          <w:tab w:val="right" w:pos="9638"/>
        </w:tabs>
        <w:spacing w:after="100"/>
      </w:pPr>
      <w:r w:rsidRPr="0011624E">
        <w:tab/>
      </w:r>
      <w:r w:rsidR="00EF7881" w:rsidRPr="0011624E">
        <w:t>A</w:t>
      </w:r>
      <w:r w:rsidRPr="0011624E">
        <w:t>.</w:t>
      </w:r>
      <w:r w:rsidRPr="0011624E">
        <w:tab/>
      </w:r>
      <w:r w:rsidR="00A27EC0" w:rsidRPr="0011624E">
        <w:t xml:space="preserve">Recommendations made by the Sub-Committee </w:t>
      </w:r>
      <w:r w:rsidR="000952EC">
        <w:t>at</w:t>
      </w:r>
      <w:r w:rsidR="00A27EC0" w:rsidRPr="0011624E">
        <w:t xml:space="preserve"> its twenty-ninth,</w:t>
      </w:r>
      <w:r w:rsidR="00A27EC0" w:rsidRPr="0011624E">
        <w:br/>
      </w:r>
      <w:r w:rsidR="00A27EC0" w:rsidRPr="0011624E">
        <w:tab/>
      </w:r>
      <w:r w:rsidR="00A27EC0" w:rsidRPr="0011624E">
        <w:tab/>
        <w:t>thirtieth and thirty-first sessions</w:t>
      </w:r>
      <w:r w:rsidR="00816C40" w:rsidRPr="0011624E">
        <w:tab/>
      </w:r>
      <w:r w:rsidR="00816C40" w:rsidRPr="0011624E">
        <w:tab/>
      </w:r>
      <w:r w:rsidR="00156A52">
        <w:t>8-9</w:t>
      </w:r>
      <w:r w:rsidR="00396E73">
        <w:tab/>
      </w:r>
      <w:r w:rsidR="000D6674">
        <w:t>5</w:t>
      </w:r>
    </w:p>
    <w:p w:rsidR="0011624E" w:rsidRPr="0011624E" w:rsidRDefault="0011624E" w:rsidP="0011624E">
      <w:pPr>
        <w:tabs>
          <w:tab w:val="left" w:pos="1984"/>
          <w:tab w:val="left" w:leader="dot" w:pos="8100"/>
          <w:tab w:val="right" w:pos="8929"/>
          <w:tab w:val="right" w:pos="9638"/>
        </w:tabs>
        <w:spacing w:after="100"/>
        <w:ind w:left="1560"/>
      </w:pPr>
      <w:r w:rsidRPr="0011624E">
        <w:t>1.</w:t>
      </w:r>
      <w:r w:rsidRPr="0011624E">
        <w:tab/>
        <w:t xml:space="preserve">Review of draft amendments adopted by the Sub-Committee at its </w:t>
      </w:r>
      <w:r>
        <w:br/>
      </w:r>
      <w:r>
        <w:tab/>
      </w:r>
      <w:r w:rsidRPr="0011624E">
        <w:t>twenty-</w:t>
      </w:r>
      <w:r>
        <w:t xml:space="preserve">ninth, </w:t>
      </w:r>
      <w:r w:rsidRPr="0011624E">
        <w:t>thirtieth and thirty-first sessions</w:t>
      </w:r>
      <w:r>
        <w:tab/>
      </w:r>
      <w:r w:rsidR="00156A52">
        <w:tab/>
        <w:t>8</w:t>
      </w:r>
      <w:r w:rsidR="00396E73">
        <w:tab/>
      </w:r>
      <w:r w:rsidR="000D6674">
        <w:t>5</w:t>
      </w:r>
    </w:p>
    <w:p w:rsidR="0011624E" w:rsidRDefault="0011624E" w:rsidP="0011624E">
      <w:pPr>
        <w:tabs>
          <w:tab w:val="left" w:pos="1984"/>
          <w:tab w:val="left" w:leader="dot" w:pos="8100"/>
          <w:tab w:val="right" w:pos="8929"/>
          <w:tab w:val="right" w:pos="9638"/>
        </w:tabs>
        <w:spacing w:after="100"/>
        <w:ind w:left="1560"/>
        <w:rPr>
          <w:highlight w:val="yellow"/>
        </w:rPr>
      </w:pPr>
      <w:r w:rsidRPr="0011624E">
        <w:t>2.</w:t>
      </w:r>
      <w:r w:rsidRPr="0011624E">
        <w:tab/>
        <w:t>Definition of explosives in Chapter 2.1, paragraph 2.1.1.2 (c)</w:t>
      </w:r>
      <w:r>
        <w:tab/>
      </w:r>
      <w:r>
        <w:tab/>
      </w:r>
      <w:r w:rsidR="00156A52">
        <w:t>9</w:t>
      </w:r>
      <w:r>
        <w:tab/>
      </w:r>
      <w:r w:rsidR="000D6674">
        <w:t>5</w:t>
      </w:r>
    </w:p>
    <w:p w:rsidR="00845050" w:rsidRPr="00AF5916" w:rsidRDefault="00845050" w:rsidP="00A27EC0">
      <w:pPr>
        <w:tabs>
          <w:tab w:val="left" w:pos="1134"/>
          <w:tab w:val="left" w:pos="1559"/>
          <w:tab w:val="left" w:leader="dot" w:pos="8100"/>
          <w:tab w:val="right" w:pos="8929"/>
          <w:tab w:val="right" w:pos="9638"/>
        </w:tabs>
        <w:spacing w:after="80"/>
        <w:ind w:left="1560" w:hanging="993"/>
      </w:pPr>
      <w:r w:rsidRPr="00AF5916">
        <w:tab/>
      </w:r>
      <w:r w:rsidR="00EF7881" w:rsidRPr="00AF5916">
        <w:t>B</w:t>
      </w:r>
      <w:r w:rsidRPr="00AF5916">
        <w:t>.</w:t>
      </w:r>
      <w:r w:rsidRPr="00AF5916">
        <w:tab/>
      </w:r>
      <w:r w:rsidR="00A27EC0" w:rsidRPr="00AF5916">
        <w:t>Work of the Sub-Committee of Experts on the Transport of Dangerous Goods</w:t>
      </w:r>
      <w:r w:rsidR="00A27EC0" w:rsidRPr="00AF5916">
        <w:br/>
        <w:t>(TDG Sub-Committee) on matters of interest to the GHS Sub-Committee</w:t>
      </w:r>
      <w:r w:rsidRPr="00AF5916">
        <w:tab/>
      </w:r>
      <w:r w:rsidR="00675062" w:rsidRPr="00AF5916">
        <w:tab/>
      </w:r>
      <w:r w:rsidR="00AF5916" w:rsidRPr="00AF5916">
        <w:t>10-25</w:t>
      </w:r>
      <w:r w:rsidR="0011624E" w:rsidRPr="00AF5916">
        <w:tab/>
      </w:r>
      <w:r w:rsidR="000D6674">
        <w:t>5</w:t>
      </w:r>
    </w:p>
    <w:p w:rsidR="0011624E" w:rsidRPr="0011624E" w:rsidRDefault="0011624E" w:rsidP="0011624E">
      <w:pPr>
        <w:tabs>
          <w:tab w:val="left" w:pos="1984"/>
          <w:tab w:val="left" w:leader="dot" w:pos="8100"/>
          <w:tab w:val="right" w:pos="8929"/>
          <w:tab w:val="right" w:pos="9638"/>
        </w:tabs>
        <w:spacing w:after="100"/>
        <w:ind w:left="1560"/>
      </w:pPr>
      <w:r w:rsidRPr="0011624E">
        <w:t>1.</w:t>
      </w:r>
      <w:r w:rsidRPr="0011624E">
        <w:tab/>
        <w:t>Classification criteria and hazard communication for flammable gases</w:t>
      </w:r>
      <w:r w:rsidR="00156A52">
        <w:tab/>
      </w:r>
      <w:r w:rsidR="00156A52">
        <w:tab/>
        <w:t>10-11</w:t>
      </w:r>
      <w:r w:rsidR="00396E73">
        <w:tab/>
      </w:r>
      <w:r w:rsidR="000D6674">
        <w:t>5</w:t>
      </w:r>
    </w:p>
    <w:p w:rsidR="0011624E" w:rsidRDefault="0011624E" w:rsidP="0011624E">
      <w:pPr>
        <w:tabs>
          <w:tab w:val="left" w:pos="1984"/>
          <w:tab w:val="left" w:leader="dot" w:pos="8100"/>
          <w:tab w:val="right" w:pos="8929"/>
          <w:tab w:val="right" w:pos="9638"/>
        </w:tabs>
        <w:spacing w:after="100"/>
        <w:ind w:left="1560"/>
      </w:pPr>
      <w:r>
        <w:t>2.</w:t>
      </w:r>
      <w:r>
        <w:tab/>
        <w:t>Classification of flammable liquids</w:t>
      </w:r>
      <w:r w:rsidR="00156A52">
        <w:tab/>
      </w:r>
      <w:r w:rsidR="00156A52">
        <w:tab/>
        <w:t>12-13</w:t>
      </w:r>
      <w:r w:rsidR="000D6674">
        <w:tab/>
        <w:t>6</w:t>
      </w:r>
    </w:p>
    <w:p w:rsidR="0011624E" w:rsidRPr="0011624E" w:rsidRDefault="0011624E" w:rsidP="0011624E">
      <w:pPr>
        <w:tabs>
          <w:tab w:val="left" w:pos="1984"/>
          <w:tab w:val="left" w:leader="dot" w:pos="8100"/>
          <w:tab w:val="right" w:pos="8929"/>
          <w:tab w:val="right" w:pos="9638"/>
        </w:tabs>
        <w:spacing w:after="100"/>
        <w:ind w:left="1560"/>
      </w:pPr>
      <w:r w:rsidRPr="0011624E">
        <w:t>3.</w:t>
      </w:r>
      <w:r w:rsidRPr="0011624E">
        <w:tab/>
        <w:t>Test and criteria for oxidizing liquids and oxidizing solids</w:t>
      </w:r>
      <w:r w:rsidR="00156A52">
        <w:tab/>
      </w:r>
      <w:r w:rsidR="00156A52">
        <w:tab/>
        <w:t>14</w:t>
      </w:r>
      <w:r w:rsidR="000D6674">
        <w:tab/>
        <w:t>6</w:t>
      </w:r>
    </w:p>
    <w:p w:rsidR="0011624E" w:rsidRDefault="0011624E" w:rsidP="0011624E">
      <w:pPr>
        <w:tabs>
          <w:tab w:val="left" w:pos="1984"/>
          <w:tab w:val="left" w:leader="dot" w:pos="8100"/>
          <w:tab w:val="right" w:pos="8929"/>
          <w:tab w:val="right" w:pos="9638"/>
        </w:tabs>
        <w:spacing w:after="100"/>
        <w:ind w:left="1560"/>
      </w:pPr>
      <w:r w:rsidRPr="00D832F4">
        <w:t>4.</w:t>
      </w:r>
      <w:r w:rsidRPr="00D832F4">
        <w:tab/>
      </w:r>
      <w:r>
        <w:t>Use of the Manual of Tests and Criteria in the context of GHS</w:t>
      </w:r>
      <w:r w:rsidR="00156A52">
        <w:tab/>
      </w:r>
      <w:r w:rsidR="00156A52">
        <w:tab/>
        <w:t>15-17</w:t>
      </w:r>
      <w:r w:rsidR="000D6674">
        <w:tab/>
        <w:t>6</w:t>
      </w:r>
    </w:p>
    <w:p w:rsidR="0011624E" w:rsidRPr="0011624E" w:rsidRDefault="0011624E" w:rsidP="0011624E">
      <w:pPr>
        <w:tabs>
          <w:tab w:val="left" w:pos="1984"/>
          <w:tab w:val="left" w:leader="dot" w:pos="8100"/>
          <w:tab w:val="right" w:pos="8929"/>
          <w:tab w:val="right" w:pos="9638"/>
        </w:tabs>
        <w:spacing w:after="100"/>
        <w:ind w:left="1560"/>
      </w:pPr>
      <w:r w:rsidRPr="0011624E">
        <w:t>5.</w:t>
      </w:r>
      <w:r w:rsidRPr="0011624E">
        <w:tab/>
        <w:t>Revision of Chapter 2.1 of the GHS</w:t>
      </w:r>
      <w:r w:rsidR="00156A52">
        <w:tab/>
      </w:r>
      <w:r w:rsidR="00156A52">
        <w:tab/>
        <w:t>18-21</w:t>
      </w:r>
      <w:r w:rsidR="00824611">
        <w:tab/>
        <w:t>7</w:t>
      </w:r>
    </w:p>
    <w:p w:rsidR="0011624E" w:rsidRDefault="0011624E" w:rsidP="00156A52">
      <w:pPr>
        <w:tabs>
          <w:tab w:val="left" w:pos="1984"/>
          <w:tab w:val="left" w:leader="dot" w:pos="8100"/>
          <w:tab w:val="right" w:pos="8929"/>
          <w:tab w:val="right" w:pos="9638"/>
        </w:tabs>
        <w:spacing w:after="100"/>
        <w:ind w:left="1560"/>
      </w:pPr>
      <w:r w:rsidRPr="0011624E">
        <w:t>6.</w:t>
      </w:r>
      <w:r w:rsidRPr="0011624E">
        <w:tab/>
        <w:t>Other matters of interest</w:t>
      </w:r>
      <w:r w:rsidR="00156A52">
        <w:tab/>
      </w:r>
      <w:r w:rsidR="00156A52">
        <w:tab/>
        <w:t>22-25</w:t>
      </w:r>
      <w:r w:rsidR="00824611">
        <w:tab/>
        <w:t>7</w:t>
      </w:r>
    </w:p>
    <w:p w:rsidR="00156A52" w:rsidRPr="00156A52" w:rsidRDefault="00156A52" w:rsidP="00156A52">
      <w:pPr>
        <w:tabs>
          <w:tab w:val="left" w:leader="dot" w:pos="8100"/>
          <w:tab w:val="right" w:pos="8929"/>
          <w:tab w:val="right" w:pos="9638"/>
        </w:tabs>
        <w:spacing w:after="100"/>
        <w:ind w:left="2552" w:hanging="567"/>
      </w:pPr>
      <w:r w:rsidRPr="00156A52">
        <w:t>(a</w:t>
      </w:r>
      <w:r>
        <w:t xml:space="preserve">) </w:t>
      </w:r>
      <w:r>
        <w:tab/>
      </w:r>
      <w:r w:rsidRPr="00156A52">
        <w:t xml:space="preserve">Revision of Chapter 2.8 of the United Nations Model Regulations </w:t>
      </w:r>
      <w:r>
        <w:br/>
      </w:r>
      <w:r w:rsidRPr="00156A52">
        <w:t>on the Transport of Dangerous Goods</w:t>
      </w:r>
      <w:r>
        <w:tab/>
      </w:r>
      <w:r>
        <w:tab/>
      </w:r>
      <w:r w:rsidR="00AF5916">
        <w:t>22-23</w:t>
      </w:r>
      <w:r w:rsidR="00824611">
        <w:tab/>
      </w:r>
      <w:r w:rsidR="008C2A4B">
        <w:t>7</w:t>
      </w:r>
    </w:p>
    <w:p w:rsidR="00156A52" w:rsidRPr="0039358F" w:rsidRDefault="00156A52" w:rsidP="00156A52">
      <w:pPr>
        <w:tabs>
          <w:tab w:val="left" w:leader="dot" w:pos="8100"/>
          <w:tab w:val="right" w:pos="8929"/>
          <w:tab w:val="right" w:pos="9638"/>
        </w:tabs>
        <w:spacing w:after="100"/>
        <w:ind w:left="2552" w:hanging="567"/>
        <w:rPr>
          <w:highlight w:val="yellow"/>
        </w:rPr>
      </w:pPr>
      <w:r w:rsidRPr="00156A52">
        <w:t>(b)</w:t>
      </w:r>
      <w:r w:rsidRPr="00156A52">
        <w:tab/>
        <w:t>Test method for readily combustible solids (Test N.1)</w:t>
      </w:r>
      <w:r>
        <w:tab/>
      </w:r>
      <w:r>
        <w:tab/>
      </w:r>
      <w:r w:rsidR="00AF5916">
        <w:t>24-25</w:t>
      </w:r>
      <w:r>
        <w:tab/>
      </w:r>
      <w:r w:rsidR="00233733">
        <w:t>8</w:t>
      </w:r>
    </w:p>
    <w:p w:rsidR="00845050" w:rsidRPr="00AF5916" w:rsidRDefault="00845050" w:rsidP="00816C40">
      <w:pPr>
        <w:tabs>
          <w:tab w:val="left" w:pos="1134"/>
          <w:tab w:val="left" w:pos="1559"/>
          <w:tab w:val="left" w:pos="1984"/>
          <w:tab w:val="left" w:pos="2268"/>
          <w:tab w:val="left" w:pos="2552"/>
          <w:tab w:val="left" w:leader="dot" w:pos="8100"/>
          <w:tab w:val="right" w:pos="8929"/>
          <w:tab w:val="right" w:pos="9638"/>
        </w:tabs>
        <w:spacing w:after="80"/>
        <w:ind w:left="1560" w:hanging="993"/>
      </w:pPr>
      <w:r w:rsidRPr="00AF5916">
        <w:lastRenderedPageBreak/>
        <w:tab/>
      </w:r>
      <w:r w:rsidR="00EF7881" w:rsidRPr="00AF5916">
        <w:t>C</w:t>
      </w:r>
      <w:r w:rsidRPr="00AF5916">
        <w:t>.</w:t>
      </w:r>
      <w:r w:rsidRPr="00AF5916">
        <w:tab/>
      </w:r>
      <w:r w:rsidR="00A27EC0" w:rsidRPr="00AF5916">
        <w:t>Dust explosion hazards</w:t>
      </w:r>
      <w:r w:rsidRPr="00AF5916">
        <w:tab/>
      </w:r>
      <w:r w:rsidR="00675062" w:rsidRPr="00AF5916">
        <w:tab/>
      </w:r>
      <w:r w:rsidR="00AF5916" w:rsidRPr="00AF5916">
        <w:t>26-27</w:t>
      </w:r>
      <w:r w:rsidR="00233733">
        <w:tab/>
        <w:t>8</w:t>
      </w:r>
    </w:p>
    <w:p w:rsidR="00A27EC0" w:rsidRPr="00AF5916" w:rsidRDefault="00A27EC0" w:rsidP="00816C40">
      <w:pPr>
        <w:tabs>
          <w:tab w:val="left" w:pos="1134"/>
          <w:tab w:val="left" w:pos="1559"/>
          <w:tab w:val="left" w:pos="1984"/>
          <w:tab w:val="left" w:pos="2268"/>
          <w:tab w:val="left" w:pos="2552"/>
          <w:tab w:val="left" w:leader="dot" w:pos="8100"/>
          <w:tab w:val="right" w:pos="8929"/>
          <w:tab w:val="right" w:pos="9638"/>
        </w:tabs>
        <w:spacing w:after="80"/>
        <w:ind w:left="1560" w:hanging="993"/>
      </w:pPr>
      <w:r w:rsidRPr="00AF5916">
        <w:tab/>
        <w:t>D.</w:t>
      </w:r>
      <w:r w:rsidRPr="00AF5916">
        <w:tab/>
        <w:t>Practical classification issues</w:t>
      </w:r>
      <w:r w:rsidRPr="00AF5916">
        <w:tab/>
      </w:r>
      <w:r w:rsidRPr="00AF5916">
        <w:tab/>
      </w:r>
      <w:r w:rsidR="00AF5916" w:rsidRPr="00AF5916">
        <w:t>28-30</w:t>
      </w:r>
      <w:r w:rsidR="00233733">
        <w:tab/>
        <w:t>8</w:t>
      </w:r>
    </w:p>
    <w:p w:rsidR="00A27EC0" w:rsidRPr="00AF5916" w:rsidRDefault="00A27EC0" w:rsidP="00816C40">
      <w:pPr>
        <w:tabs>
          <w:tab w:val="left" w:pos="1134"/>
          <w:tab w:val="left" w:pos="1559"/>
          <w:tab w:val="left" w:pos="1984"/>
          <w:tab w:val="left" w:pos="2268"/>
          <w:tab w:val="left" w:pos="2552"/>
          <w:tab w:val="left" w:leader="dot" w:pos="8100"/>
          <w:tab w:val="right" w:pos="8929"/>
          <w:tab w:val="right" w:pos="9638"/>
        </w:tabs>
        <w:spacing w:after="80"/>
        <w:ind w:left="1560" w:hanging="993"/>
      </w:pPr>
      <w:r w:rsidRPr="00AF5916">
        <w:tab/>
        <w:t>E.</w:t>
      </w:r>
      <w:r w:rsidRPr="00AF5916">
        <w:tab/>
        <w:t>Aspiration hazard</w:t>
      </w:r>
      <w:r w:rsidRPr="00AF5916">
        <w:tab/>
      </w:r>
      <w:r w:rsidRPr="00AF5916">
        <w:tab/>
      </w:r>
      <w:r w:rsidR="00AF5916" w:rsidRPr="00AF5916">
        <w:t>31</w:t>
      </w:r>
      <w:r w:rsidR="00233733">
        <w:tab/>
        <w:t>9</w:t>
      </w:r>
    </w:p>
    <w:p w:rsidR="00A27EC0" w:rsidRPr="00AF5916" w:rsidRDefault="00A27EC0" w:rsidP="00816C40">
      <w:pPr>
        <w:tabs>
          <w:tab w:val="left" w:pos="1134"/>
          <w:tab w:val="left" w:pos="1559"/>
          <w:tab w:val="left" w:pos="1984"/>
          <w:tab w:val="left" w:pos="2268"/>
          <w:tab w:val="left" w:pos="2552"/>
          <w:tab w:val="left" w:leader="dot" w:pos="8100"/>
          <w:tab w:val="right" w:pos="8929"/>
          <w:tab w:val="right" w:pos="9638"/>
        </w:tabs>
        <w:spacing w:after="80"/>
        <w:ind w:left="1560" w:hanging="993"/>
      </w:pPr>
      <w:r w:rsidRPr="00AF5916">
        <w:tab/>
        <w:t>F.</w:t>
      </w:r>
      <w:r w:rsidRPr="00AF5916">
        <w:tab/>
        <w:t>Nanomaterials</w:t>
      </w:r>
      <w:r w:rsidRPr="00AF5916">
        <w:tab/>
      </w:r>
      <w:r w:rsidRPr="00AF5916">
        <w:tab/>
      </w:r>
      <w:r w:rsidR="00AF5916" w:rsidRPr="00AF5916">
        <w:t>32</w:t>
      </w:r>
      <w:r w:rsidR="00233733">
        <w:tab/>
        <w:t>9</w:t>
      </w:r>
    </w:p>
    <w:p w:rsidR="00A27EC0" w:rsidRPr="00AF5916" w:rsidRDefault="00A27EC0" w:rsidP="00816C40">
      <w:pPr>
        <w:tabs>
          <w:tab w:val="left" w:pos="1134"/>
          <w:tab w:val="left" w:pos="1559"/>
          <w:tab w:val="left" w:pos="1984"/>
          <w:tab w:val="left" w:pos="2268"/>
          <w:tab w:val="left" w:pos="2552"/>
          <w:tab w:val="left" w:leader="dot" w:pos="8100"/>
          <w:tab w:val="right" w:pos="8929"/>
          <w:tab w:val="right" w:pos="9638"/>
        </w:tabs>
        <w:spacing w:after="80"/>
        <w:ind w:left="1560" w:hanging="993"/>
      </w:pPr>
      <w:r w:rsidRPr="00AF5916">
        <w:tab/>
        <w:t>G.</w:t>
      </w:r>
      <w:r w:rsidRPr="00AF5916">
        <w:tab/>
        <w:t>Miscellaneous</w:t>
      </w:r>
      <w:r w:rsidRPr="00AF5916">
        <w:tab/>
      </w:r>
      <w:r w:rsidRPr="00AF5916">
        <w:tab/>
      </w:r>
      <w:r w:rsidR="00AF5916" w:rsidRPr="00AF5916">
        <w:t>33-36</w:t>
      </w:r>
      <w:r w:rsidR="00233733">
        <w:tab/>
        <w:t>9</w:t>
      </w:r>
    </w:p>
    <w:p w:rsidR="00AF5916" w:rsidRPr="00AF5916" w:rsidRDefault="00AF5916" w:rsidP="00AF5916">
      <w:pPr>
        <w:tabs>
          <w:tab w:val="left" w:pos="1984"/>
          <w:tab w:val="left" w:leader="dot" w:pos="8100"/>
          <w:tab w:val="right" w:pos="8929"/>
          <w:tab w:val="right" w:pos="9638"/>
        </w:tabs>
        <w:spacing w:after="100"/>
        <w:ind w:left="1560"/>
      </w:pPr>
      <w:r w:rsidRPr="00AF5916">
        <w:t>1.</w:t>
      </w:r>
      <w:r>
        <w:tab/>
      </w:r>
      <w:r w:rsidRPr="00AF5916">
        <w:t>Chemicals under pressure</w:t>
      </w:r>
      <w:r w:rsidRPr="00AF5916">
        <w:tab/>
      </w:r>
      <w:r w:rsidRPr="00AF5916">
        <w:tab/>
      </w:r>
      <w:r>
        <w:t>33-35</w:t>
      </w:r>
      <w:r w:rsidRPr="00AF5916">
        <w:tab/>
      </w:r>
      <w:r w:rsidR="00233733">
        <w:t>9</w:t>
      </w:r>
    </w:p>
    <w:p w:rsidR="00AF5916" w:rsidRPr="00AF5916" w:rsidRDefault="00AF5916" w:rsidP="00AF5916">
      <w:pPr>
        <w:tabs>
          <w:tab w:val="left" w:pos="1984"/>
          <w:tab w:val="left" w:leader="dot" w:pos="8100"/>
          <w:tab w:val="right" w:pos="8929"/>
          <w:tab w:val="right" w:pos="9638"/>
        </w:tabs>
        <w:spacing w:after="100"/>
        <w:ind w:left="1560"/>
      </w:pPr>
      <w:r w:rsidRPr="00AF5916">
        <w:t xml:space="preserve">2. </w:t>
      </w:r>
      <w:r>
        <w:tab/>
      </w:r>
      <w:r w:rsidRPr="00AF5916">
        <w:t>Use of non-animal testing methods for the classification of health hazards</w:t>
      </w:r>
      <w:r>
        <w:tab/>
      </w:r>
      <w:r>
        <w:tab/>
        <w:t>36</w:t>
      </w:r>
      <w:r w:rsidR="00020E48">
        <w:tab/>
        <w:t>9</w:t>
      </w:r>
    </w:p>
    <w:p w:rsidR="0081764A" w:rsidRPr="00AF5916" w:rsidRDefault="00845050" w:rsidP="00845050">
      <w:pPr>
        <w:keepNext/>
        <w:keepLines/>
        <w:tabs>
          <w:tab w:val="right" w:pos="850"/>
          <w:tab w:val="left" w:pos="1134"/>
          <w:tab w:val="left" w:pos="1559"/>
          <w:tab w:val="left" w:pos="1984"/>
          <w:tab w:val="left" w:leader="dot" w:pos="8100"/>
          <w:tab w:val="right" w:pos="8929"/>
          <w:tab w:val="right" w:pos="9638"/>
        </w:tabs>
        <w:spacing w:after="80"/>
        <w:ind w:left="1134" w:hanging="1134"/>
      </w:pPr>
      <w:r w:rsidRPr="00AF5916">
        <w:tab/>
      </w:r>
      <w:r w:rsidRPr="002D6787">
        <w:t>IV.</w:t>
      </w:r>
      <w:r w:rsidRPr="002D6787">
        <w:tab/>
      </w:r>
      <w:r w:rsidR="00A27EC0" w:rsidRPr="002D6787">
        <w:t>Hazard communication issues</w:t>
      </w:r>
      <w:r w:rsidR="0081764A" w:rsidRPr="002D6787">
        <w:t xml:space="preserve"> (agenda item 3)</w:t>
      </w:r>
      <w:r w:rsidR="0081764A" w:rsidRPr="00AF5916">
        <w:tab/>
      </w:r>
      <w:r w:rsidR="00675062" w:rsidRPr="00AF5916">
        <w:tab/>
      </w:r>
      <w:r w:rsidR="002D6787">
        <w:t>37-51</w:t>
      </w:r>
      <w:r w:rsidR="00020E48">
        <w:tab/>
        <w:t>9</w:t>
      </w:r>
    </w:p>
    <w:p w:rsidR="0081764A" w:rsidRPr="00AF5916" w:rsidRDefault="0081764A" w:rsidP="0081764A">
      <w:pPr>
        <w:tabs>
          <w:tab w:val="left" w:pos="1134"/>
          <w:tab w:val="left" w:pos="1559"/>
          <w:tab w:val="left" w:pos="1984"/>
          <w:tab w:val="left" w:leader="dot" w:pos="8100"/>
          <w:tab w:val="right" w:pos="8929"/>
          <w:tab w:val="right" w:pos="9638"/>
        </w:tabs>
        <w:spacing w:after="100"/>
      </w:pPr>
      <w:r w:rsidRPr="00AF5916">
        <w:tab/>
        <w:t>A.</w:t>
      </w:r>
      <w:r w:rsidRPr="00AF5916">
        <w:tab/>
      </w:r>
      <w:r w:rsidR="00A27EC0" w:rsidRPr="00AF5916">
        <w:t xml:space="preserve">Labelling of small </w:t>
      </w:r>
      <w:proofErr w:type="spellStart"/>
      <w:r w:rsidR="00A27EC0" w:rsidRPr="00AF5916">
        <w:t>packagings</w:t>
      </w:r>
      <w:proofErr w:type="spellEnd"/>
      <w:r w:rsidR="00A27EC0" w:rsidRPr="00AF5916">
        <w:t xml:space="preserve"> </w:t>
      </w:r>
      <w:r w:rsidRPr="00AF5916">
        <w:tab/>
      </w:r>
      <w:r w:rsidRPr="00AF5916">
        <w:tab/>
      </w:r>
      <w:r w:rsidR="005A49B0">
        <w:t>37-38</w:t>
      </w:r>
      <w:r w:rsidR="00020E48">
        <w:tab/>
        <w:t>9</w:t>
      </w:r>
    </w:p>
    <w:p w:rsidR="00AF5916" w:rsidRPr="00AF5916" w:rsidRDefault="00AF5916" w:rsidP="00AF5916">
      <w:pPr>
        <w:tabs>
          <w:tab w:val="left" w:pos="1984"/>
          <w:tab w:val="left" w:leader="dot" w:pos="8100"/>
          <w:tab w:val="right" w:pos="8929"/>
          <w:tab w:val="right" w:pos="9638"/>
        </w:tabs>
        <w:spacing w:after="100"/>
        <w:ind w:left="1560"/>
      </w:pPr>
      <w:r w:rsidRPr="00AF5916">
        <w:t>1.</w:t>
      </w:r>
      <w:r>
        <w:tab/>
        <w:t>Example for fold-out labels</w:t>
      </w:r>
      <w:r w:rsidRPr="00AF5916">
        <w:tab/>
      </w:r>
      <w:r w:rsidRPr="00AF5916">
        <w:tab/>
      </w:r>
      <w:r w:rsidR="005A49B0">
        <w:t>37</w:t>
      </w:r>
      <w:r w:rsidRPr="00AF5916">
        <w:tab/>
      </w:r>
      <w:r w:rsidR="00020E48">
        <w:t>9</w:t>
      </w:r>
    </w:p>
    <w:p w:rsidR="00AF5916" w:rsidRPr="00AF5916" w:rsidRDefault="00AF5916" w:rsidP="00AF5916">
      <w:pPr>
        <w:tabs>
          <w:tab w:val="left" w:pos="1984"/>
          <w:tab w:val="left" w:leader="dot" w:pos="8100"/>
          <w:tab w:val="right" w:pos="8929"/>
          <w:tab w:val="right" w:pos="9638"/>
        </w:tabs>
        <w:spacing w:after="100"/>
        <w:ind w:left="1560"/>
      </w:pPr>
      <w:r w:rsidRPr="00AF5916">
        <w:t xml:space="preserve">2. </w:t>
      </w:r>
      <w:r>
        <w:tab/>
      </w:r>
      <w:r w:rsidR="005A49B0">
        <w:t>Development of examples for sets and kits</w:t>
      </w:r>
      <w:r>
        <w:tab/>
      </w:r>
      <w:r>
        <w:tab/>
      </w:r>
      <w:r w:rsidR="005A49B0">
        <w:t>38</w:t>
      </w:r>
      <w:r w:rsidR="006621F6">
        <w:tab/>
        <w:t>10</w:t>
      </w:r>
    </w:p>
    <w:p w:rsidR="0081764A" w:rsidRPr="005A49B0" w:rsidRDefault="0081764A" w:rsidP="0081764A">
      <w:pPr>
        <w:tabs>
          <w:tab w:val="left" w:pos="1134"/>
          <w:tab w:val="left" w:pos="1559"/>
          <w:tab w:val="left" w:pos="1984"/>
          <w:tab w:val="left" w:leader="dot" w:pos="8100"/>
          <w:tab w:val="right" w:pos="8929"/>
          <w:tab w:val="right" w:pos="9638"/>
        </w:tabs>
        <w:spacing w:after="100"/>
      </w:pPr>
      <w:r w:rsidRPr="005A49B0">
        <w:tab/>
        <w:t>B.</w:t>
      </w:r>
      <w:r w:rsidRPr="005A49B0">
        <w:tab/>
      </w:r>
      <w:r w:rsidR="00A27EC0" w:rsidRPr="005A49B0">
        <w:t>Improvement of annexes 1 to 3</w:t>
      </w:r>
      <w:r w:rsidR="000547A7" w:rsidRPr="005A49B0">
        <w:t xml:space="preserve"> </w:t>
      </w:r>
      <w:r w:rsidR="003279AD" w:rsidRPr="005A49B0">
        <w:t>and further rationalization of</w:t>
      </w:r>
      <w:r w:rsidR="003279AD" w:rsidRPr="005A49B0">
        <w:br/>
      </w:r>
      <w:r w:rsidR="003279AD" w:rsidRPr="005A49B0">
        <w:tab/>
      </w:r>
      <w:r w:rsidR="003279AD" w:rsidRPr="005A49B0">
        <w:tab/>
        <w:t xml:space="preserve">precautionary statements </w:t>
      </w:r>
      <w:r w:rsidRPr="005A49B0">
        <w:tab/>
      </w:r>
      <w:r w:rsidR="00675062" w:rsidRPr="005A49B0">
        <w:tab/>
      </w:r>
      <w:r w:rsidR="005A49B0" w:rsidRPr="005A49B0">
        <w:t>39-44</w:t>
      </w:r>
      <w:r w:rsidR="006621F6">
        <w:tab/>
        <w:t>10</w:t>
      </w:r>
    </w:p>
    <w:p w:rsidR="005A49B0" w:rsidRPr="005A49B0" w:rsidRDefault="005A49B0" w:rsidP="005A49B0">
      <w:pPr>
        <w:tabs>
          <w:tab w:val="left" w:pos="1984"/>
          <w:tab w:val="left" w:leader="dot" w:pos="8100"/>
          <w:tab w:val="right" w:pos="8929"/>
          <w:tab w:val="right" w:pos="9638"/>
        </w:tabs>
        <w:spacing w:after="100"/>
        <w:ind w:left="1560"/>
      </w:pPr>
      <w:r w:rsidRPr="005A49B0">
        <w:t>1.</w:t>
      </w:r>
      <w:r w:rsidRPr="005A49B0">
        <w:tab/>
        <w:t>Work of the informal correspondence group</w:t>
      </w:r>
      <w:r w:rsidRPr="005A49B0">
        <w:tab/>
      </w:r>
      <w:r w:rsidRPr="005A49B0">
        <w:tab/>
      </w:r>
      <w:r>
        <w:t>39-41</w:t>
      </w:r>
      <w:r w:rsidR="006621F6">
        <w:tab/>
        <w:t>10</w:t>
      </w:r>
    </w:p>
    <w:p w:rsidR="005A49B0" w:rsidRPr="005A49B0" w:rsidRDefault="005A49B0" w:rsidP="005A49B0">
      <w:pPr>
        <w:tabs>
          <w:tab w:val="left" w:pos="1984"/>
          <w:tab w:val="left" w:leader="dot" w:pos="8100"/>
          <w:tab w:val="right" w:pos="8929"/>
          <w:tab w:val="right" w:pos="9638"/>
        </w:tabs>
        <w:spacing w:after="100"/>
        <w:ind w:left="1560"/>
      </w:pPr>
      <w:r w:rsidRPr="005A49B0">
        <w:t>2.</w:t>
      </w:r>
      <w:r w:rsidRPr="005A49B0">
        <w:tab/>
        <w:t>Precautionary statements addressing medical advice/attention</w:t>
      </w:r>
      <w:r w:rsidRPr="005A49B0">
        <w:tab/>
      </w:r>
      <w:r w:rsidRPr="005A49B0">
        <w:tab/>
      </w:r>
      <w:r>
        <w:t>42-44</w:t>
      </w:r>
      <w:r w:rsidR="006621F6">
        <w:tab/>
        <w:t>10</w:t>
      </w:r>
    </w:p>
    <w:p w:rsidR="0081764A" w:rsidRPr="005A49B0" w:rsidRDefault="005A49B0" w:rsidP="00A7083F">
      <w:pPr>
        <w:tabs>
          <w:tab w:val="right" w:pos="850"/>
          <w:tab w:val="left" w:pos="1134"/>
          <w:tab w:val="left" w:pos="1559"/>
          <w:tab w:val="left" w:pos="1984"/>
          <w:tab w:val="left" w:leader="dot" w:pos="8100"/>
          <w:tab w:val="right" w:pos="8929"/>
          <w:tab w:val="right" w:pos="9638"/>
        </w:tabs>
        <w:spacing w:after="80"/>
        <w:ind w:left="1134" w:hanging="1134"/>
      </w:pPr>
      <w:r w:rsidRPr="005A49B0">
        <w:tab/>
      </w:r>
      <w:r w:rsidR="0081764A" w:rsidRPr="005A49B0">
        <w:tab/>
        <w:t>C.</w:t>
      </w:r>
      <w:r w:rsidR="0081764A" w:rsidRPr="005A49B0">
        <w:tab/>
      </w:r>
      <w:r w:rsidR="003279AD" w:rsidRPr="005A49B0">
        <w:t xml:space="preserve">Miscellaneous </w:t>
      </w:r>
      <w:r w:rsidR="0081764A" w:rsidRPr="005A49B0">
        <w:tab/>
      </w:r>
      <w:r w:rsidR="0081764A" w:rsidRPr="005A49B0">
        <w:tab/>
      </w:r>
      <w:r w:rsidRPr="005A49B0">
        <w:t>45-51</w:t>
      </w:r>
      <w:r w:rsidR="00D44FD6">
        <w:tab/>
        <w:t>11</w:t>
      </w:r>
    </w:p>
    <w:p w:rsidR="005A49B0" w:rsidRPr="005A49B0" w:rsidRDefault="005A49B0" w:rsidP="005A49B0">
      <w:pPr>
        <w:tabs>
          <w:tab w:val="left" w:pos="1984"/>
          <w:tab w:val="left" w:leader="dot" w:pos="8100"/>
          <w:tab w:val="right" w:pos="8929"/>
          <w:tab w:val="right" w:pos="9638"/>
        </w:tabs>
        <w:spacing w:after="100"/>
        <w:ind w:left="1560"/>
      </w:pPr>
      <w:r w:rsidRPr="005A49B0">
        <w:t>1.</w:t>
      </w:r>
      <w:r w:rsidRPr="005A49B0">
        <w:tab/>
        <w:t>Amendments to Annex 4, sub-section A4.3.14.7</w:t>
      </w:r>
      <w:r>
        <w:tab/>
      </w:r>
      <w:r>
        <w:tab/>
        <w:t>45</w:t>
      </w:r>
      <w:r w:rsidR="00D44FD6">
        <w:tab/>
        <w:t>11</w:t>
      </w:r>
    </w:p>
    <w:p w:rsidR="005A49B0" w:rsidRPr="005A49B0" w:rsidRDefault="005A49B0" w:rsidP="005A49B0">
      <w:pPr>
        <w:tabs>
          <w:tab w:val="left" w:pos="1984"/>
          <w:tab w:val="left" w:leader="dot" w:pos="8100"/>
          <w:tab w:val="right" w:pos="8929"/>
          <w:tab w:val="right" w:pos="9638"/>
        </w:tabs>
        <w:spacing w:after="100"/>
        <w:ind w:left="1560"/>
      </w:pPr>
      <w:r w:rsidRPr="005A49B0">
        <w:t>2.</w:t>
      </w:r>
      <w:r w:rsidRPr="005A49B0">
        <w:tab/>
        <w:t>Amendments to Annex 4, sub-section A4.3.3.2.3</w:t>
      </w:r>
      <w:r>
        <w:tab/>
      </w:r>
      <w:r>
        <w:tab/>
        <w:t>46-48</w:t>
      </w:r>
      <w:r w:rsidR="00D44FD6">
        <w:tab/>
        <w:t>11</w:t>
      </w:r>
    </w:p>
    <w:p w:rsidR="005A49B0" w:rsidRPr="005A49B0" w:rsidRDefault="005A49B0" w:rsidP="005A49B0">
      <w:pPr>
        <w:tabs>
          <w:tab w:val="left" w:pos="1984"/>
          <w:tab w:val="left" w:leader="dot" w:pos="8100"/>
          <w:tab w:val="right" w:pos="8929"/>
          <w:tab w:val="right" w:pos="9638"/>
        </w:tabs>
        <w:spacing w:after="100"/>
        <w:ind w:left="1560"/>
      </w:pPr>
      <w:r w:rsidRPr="005A49B0">
        <w:t>3.</w:t>
      </w:r>
      <w:r w:rsidRPr="005A49B0">
        <w:tab/>
        <w:t>Examples of precautionary pictograms in Annex 3, section 5</w:t>
      </w:r>
      <w:r>
        <w:tab/>
      </w:r>
      <w:r>
        <w:tab/>
        <w:t>49</w:t>
      </w:r>
      <w:r w:rsidR="00D44FD6">
        <w:tab/>
        <w:t>11</w:t>
      </w:r>
    </w:p>
    <w:p w:rsidR="005A49B0" w:rsidRPr="005A49B0" w:rsidRDefault="005A49B0" w:rsidP="005A49B0">
      <w:pPr>
        <w:tabs>
          <w:tab w:val="left" w:pos="1984"/>
          <w:tab w:val="left" w:leader="dot" w:pos="8100"/>
          <w:tab w:val="right" w:pos="8929"/>
          <w:tab w:val="right" w:pos="9638"/>
        </w:tabs>
        <w:spacing w:after="100"/>
        <w:ind w:left="1560"/>
      </w:pPr>
      <w:r w:rsidRPr="005A49B0">
        <w:t>4.</w:t>
      </w:r>
      <w:r w:rsidRPr="005A49B0">
        <w:tab/>
        <w:t>Presentation of the information in the Safety Data Sheets</w:t>
      </w:r>
      <w:r>
        <w:tab/>
      </w:r>
      <w:r>
        <w:tab/>
      </w:r>
      <w:r w:rsidR="00DA196B">
        <w:t>50-51</w:t>
      </w:r>
      <w:r w:rsidR="00D44FD6">
        <w:tab/>
        <w:t>11</w:t>
      </w:r>
    </w:p>
    <w:p w:rsidR="00845050" w:rsidRPr="00DA196B" w:rsidRDefault="0081764A" w:rsidP="00845050">
      <w:pPr>
        <w:keepNext/>
        <w:keepLines/>
        <w:tabs>
          <w:tab w:val="right" w:pos="850"/>
          <w:tab w:val="left" w:pos="1134"/>
          <w:tab w:val="left" w:pos="1559"/>
          <w:tab w:val="left" w:pos="1984"/>
          <w:tab w:val="left" w:leader="dot" w:pos="8100"/>
          <w:tab w:val="right" w:pos="8929"/>
          <w:tab w:val="right" w:pos="9638"/>
        </w:tabs>
        <w:spacing w:after="80"/>
        <w:ind w:left="1134" w:hanging="1134"/>
      </w:pPr>
      <w:r w:rsidRPr="00DA196B">
        <w:tab/>
      </w:r>
      <w:r w:rsidR="00FF2C05" w:rsidRPr="00DA196B">
        <w:t>V.</w:t>
      </w:r>
      <w:r w:rsidR="00FF2C05" w:rsidRPr="00DA196B">
        <w:tab/>
      </w:r>
      <w:r w:rsidR="003279AD" w:rsidRPr="00DA196B">
        <w:t>Implementation of the GHS</w:t>
      </w:r>
      <w:r w:rsidR="00845050" w:rsidRPr="00DA196B">
        <w:t xml:space="preserve"> (agenda item </w:t>
      </w:r>
      <w:r w:rsidR="00FF2C05" w:rsidRPr="00DA196B">
        <w:t>4</w:t>
      </w:r>
      <w:r w:rsidR="00845050" w:rsidRPr="00DA196B">
        <w:t>)</w:t>
      </w:r>
      <w:r w:rsidR="00845050" w:rsidRPr="00DA196B">
        <w:tab/>
      </w:r>
      <w:r w:rsidR="00845050" w:rsidRPr="00DA196B">
        <w:tab/>
      </w:r>
      <w:r w:rsidR="00DA196B" w:rsidRPr="00DA196B">
        <w:t>52-63</w:t>
      </w:r>
      <w:r w:rsidR="00FC5A01">
        <w:tab/>
        <w:t>12</w:t>
      </w:r>
    </w:p>
    <w:p w:rsidR="00845050" w:rsidRPr="00DA196B" w:rsidRDefault="00845050" w:rsidP="00845050">
      <w:pPr>
        <w:tabs>
          <w:tab w:val="left" w:pos="1134"/>
          <w:tab w:val="left" w:pos="1559"/>
          <w:tab w:val="left" w:pos="1984"/>
          <w:tab w:val="left" w:leader="dot" w:pos="8100"/>
          <w:tab w:val="right" w:pos="8929"/>
          <w:tab w:val="right" w:pos="9638"/>
        </w:tabs>
        <w:spacing w:after="80"/>
      </w:pPr>
      <w:r w:rsidRPr="00DA196B">
        <w:tab/>
        <w:t>A.</w:t>
      </w:r>
      <w:r w:rsidRPr="00DA196B">
        <w:tab/>
      </w:r>
      <w:r w:rsidR="003279AD" w:rsidRPr="00DA196B">
        <w:t>Development of a list of chemicals classified in accordance with the GHS</w:t>
      </w:r>
      <w:r w:rsidRPr="00DA196B">
        <w:tab/>
      </w:r>
      <w:r w:rsidRPr="00DA196B">
        <w:tab/>
      </w:r>
      <w:r w:rsidR="00DA196B" w:rsidRPr="00DA196B">
        <w:t>52-53</w:t>
      </w:r>
      <w:r w:rsidR="00FC5A01">
        <w:tab/>
        <w:t>12</w:t>
      </w:r>
    </w:p>
    <w:p w:rsidR="00FF2C05" w:rsidRPr="00DA196B" w:rsidRDefault="00845050" w:rsidP="00845050">
      <w:pPr>
        <w:tabs>
          <w:tab w:val="left" w:pos="1134"/>
          <w:tab w:val="left" w:pos="1559"/>
          <w:tab w:val="left" w:pos="1984"/>
          <w:tab w:val="left" w:leader="dot" w:pos="8100"/>
          <w:tab w:val="right" w:pos="8929"/>
          <w:tab w:val="right" w:pos="9638"/>
        </w:tabs>
        <w:spacing w:after="80"/>
      </w:pPr>
      <w:r w:rsidRPr="00DA196B">
        <w:tab/>
        <w:t>B.</w:t>
      </w:r>
      <w:r w:rsidRPr="00DA196B">
        <w:tab/>
      </w:r>
      <w:r w:rsidR="003279AD" w:rsidRPr="00DA196B">
        <w:t>Reports on the status of implementation</w:t>
      </w:r>
      <w:r w:rsidRPr="00DA196B">
        <w:tab/>
      </w:r>
      <w:r w:rsidRPr="00DA196B">
        <w:tab/>
      </w:r>
      <w:r w:rsidR="00DA196B" w:rsidRPr="00DA196B">
        <w:t>54-61</w:t>
      </w:r>
      <w:r w:rsidR="00FC5A01">
        <w:tab/>
        <w:t>12</w:t>
      </w:r>
    </w:p>
    <w:p w:rsidR="00DA196B" w:rsidRPr="005A49B0" w:rsidRDefault="00DA196B" w:rsidP="00DA196B">
      <w:pPr>
        <w:tabs>
          <w:tab w:val="left" w:pos="1984"/>
          <w:tab w:val="left" w:leader="dot" w:pos="8100"/>
          <w:tab w:val="right" w:pos="8929"/>
          <w:tab w:val="right" w:pos="9638"/>
        </w:tabs>
        <w:spacing w:after="100"/>
        <w:ind w:left="1560"/>
      </w:pPr>
      <w:r w:rsidRPr="005A49B0">
        <w:t>1.</w:t>
      </w:r>
      <w:r w:rsidRPr="005A49B0">
        <w:tab/>
      </w:r>
      <w:r>
        <w:t>Information about the status of implementation worldwide</w:t>
      </w:r>
      <w:r>
        <w:tab/>
      </w:r>
      <w:r>
        <w:tab/>
        <w:t>54</w:t>
      </w:r>
      <w:r w:rsidR="00FC5A01">
        <w:tab/>
        <w:t>12</w:t>
      </w:r>
    </w:p>
    <w:p w:rsidR="00DA196B" w:rsidRPr="005A49B0" w:rsidRDefault="00DA196B" w:rsidP="00DA196B">
      <w:pPr>
        <w:tabs>
          <w:tab w:val="left" w:pos="1984"/>
          <w:tab w:val="left" w:leader="dot" w:pos="8100"/>
          <w:tab w:val="right" w:pos="8929"/>
          <w:tab w:val="right" w:pos="9638"/>
        </w:tabs>
        <w:spacing w:after="100"/>
        <w:ind w:left="1560"/>
      </w:pPr>
      <w:r w:rsidRPr="005A49B0">
        <w:t>2.</w:t>
      </w:r>
      <w:r w:rsidRPr="005A49B0">
        <w:tab/>
      </w:r>
      <w:r>
        <w:t>Canada</w:t>
      </w:r>
      <w:r>
        <w:tab/>
      </w:r>
      <w:r>
        <w:tab/>
        <w:t>55</w:t>
      </w:r>
      <w:r w:rsidR="00FC5A01">
        <w:tab/>
        <w:t>12</w:t>
      </w:r>
    </w:p>
    <w:p w:rsidR="00DA196B" w:rsidRPr="005A49B0" w:rsidRDefault="00DA196B" w:rsidP="00DA196B">
      <w:pPr>
        <w:tabs>
          <w:tab w:val="left" w:pos="1984"/>
          <w:tab w:val="left" w:leader="dot" w:pos="8100"/>
          <w:tab w:val="right" w:pos="8929"/>
          <w:tab w:val="right" w:pos="9638"/>
        </w:tabs>
        <w:spacing w:after="100"/>
        <w:ind w:left="1560"/>
      </w:pPr>
      <w:r w:rsidRPr="005A49B0">
        <w:t>3.</w:t>
      </w:r>
      <w:r w:rsidRPr="005A49B0">
        <w:tab/>
      </w:r>
      <w:r>
        <w:t>Russian Federation</w:t>
      </w:r>
      <w:r>
        <w:tab/>
      </w:r>
      <w:r>
        <w:tab/>
        <w:t>56</w:t>
      </w:r>
      <w:r w:rsidR="00FC5A01">
        <w:tab/>
        <w:t>12</w:t>
      </w:r>
    </w:p>
    <w:p w:rsidR="00DA196B" w:rsidRDefault="00DA196B" w:rsidP="00DA196B">
      <w:pPr>
        <w:tabs>
          <w:tab w:val="left" w:pos="1984"/>
          <w:tab w:val="left" w:leader="dot" w:pos="8100"/>
          <w:tab w:val="right" w:pos="8929"/>
          <w:tab w:val="right" w:pos="9638"/>
        </w:tabs>
        <w:spacing w:after="100"/>
        <w:ind w:left="1560"/>
      </w:pPr>
      <w:r>
        <w:t>4.</w:t>
      </w:r>
      <w:r>
        <w:tab/>
        <w:t>South Africa</w:t>
      </w:r>
      <w:r>
        <w:tab/>
      </w:r>
      <w:r>
        <w:tab/>
        <w:t>57</w:t>
      </w:r>
      <w:r w:rsidR="005F4024">
        <w:tab/>
        <w:t>13</w:t>
      </w:r>
    </w:p>
    <w:p w:rsidR="00DA196B" w:rsidRDefault="00DA196B" w:rsidP="00DA196B">
      <w:pPr>
        <w:tabs>
          <w:tab w:val="left" w:pos="1984"/>
          <w:tab w:val="left" w:leader="dot" w:pos="8100"/>
          <w:tab w:val="right" w:pos="8929"/>
          <w:tab w:val="right" w:pos="9638"/>
        </w:tabs>
        <w:spacing w:after="100"/>
        <w:ind w:left="1560"/>
      </w:pPr>
      <w:r>
        <w:t>5.</w:t>
      </w:r>
      <w:r>
        <w:tab/>
        <w:t>Australia</w:t>
      </w:r>
      <w:r>
        <w:tab/>
      </w:r>
      <w:r>
        <w:tab/>
        <w:t>58-61</w:t>
      </w:r>
      <w:r>
        <w:tab/>
      </w:r>
      <w:r w:rsidR="005F4024">
        <w:t>13</w:t>
      </w:r>
    </w:p>
    <w:p w:rsidR="00845050" w:rsidRPr="00DA196B" w:rsidRDefault="00845050" w:rsidP="00845050">
      <w:pPr>
        <w:tabs>
          <w:tab w:val="left" w:pos="1134"/>
          <w:tab w:val="left" w:pos="1559"/>
          <w:tab w:val="left" w:pos="1984"/>
          <w:tab w:val="left" w:leader="dot" w:pos="8100"/>
          <w:tab w:val="right" w:pos="8929"/>
          <w:tab w:val="right" w:pos="9638"/>
        </w:tabs>
        <w:spacing w:after="80"/>
      </w:pPr>
      <w:r w:rsidRPr="00DA196B">
        <w:tab/>
        <w:t>C.</w:t>
      </w:r>
      <w:r w:rsidRPr="00DA196B">
        <w:tab/>
      </w:r>
      <w:r w:rsidR="003279AD" w:rsidRPr="00DA196B">
        <w:t>Cooperation with other bodies</w:t>
      </w:r>
      <w:r w:rsidR="006B27A0" w:rsidRPr="00DA196B">
        <w:t xml:space="preserve"> or international organizations</w:t>
      </w:r>
      <w:r w:rsidRPr="00DA196B">
        <w:tab/>
      </w:r>
      <w:r w:rsidRPr="00DA196B">
        <w:tab/>
      </w:r>
      <w:r w:rsidR="00DA196B" w:rsidRPr="00DA196B">
        <w:t>62</w:t>
      </w:r>
      <w:r w:rsidR="005F4024">
        <w:tab/>
        <w:t>13</w:t>
      </w:r>
    </w:p>
    <w:p w:rsidR="006B27A0" w:rsidRPr="00DA196B" w:rsidRDefault="006B27A0" w:rsidP="00845050">
      <w:pPr>
        <w:tabs>
          <w:tab w:val="left" w:pos="1134"/>
          <w:tab w:val="left" w:pos="1559"/>
          <w:tab w:val="left" w:pos="1984"/>
          <w:tab w:val="left" w:leader="dot" w:pos="8100"/>
          <w:tab w:val="right" w:pos="8929"/>
          <w:tab w:val="right" w:pos="9638"/>
        </w:tabs>
        <w:spacing w:after="80"/>
      </w:pPr>
      <w:r w:rsidRPr="00DA196B">
        <w:tab/>
        <w:t>D.</w:t>
      </w:r>
      <w:r w:rsidRPr="00DA196B">
        <w:tab/>
        <w:t>Miscellaneous</w:t>
      </w:r>
      <w:r w:rsidRPr="00DA196B">
        <w:tab/>
      </w:r>
      <w:r w:rsidRPr="00DA196B">
        <w:tab/>
      </w:r>
      <w:r w:rsidR="00DA196B" w:rsidRPr="00DA196B">
        <w:t>63</w:t>
      </w:r>
      <w:r w:rsidR="005F4024">
        <w:tab/>
        <w:t>13</w:t>
      </w:r>
    </w:p>
    <w:p w:rsidR="00845050" w:rsidRPr="00072A5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072A56">
        <w:tab/>
        <w:t>V</w:t>
      </w:r>
      <w:r w:rsidR="00BF4FBC" w:rsidRPr="00072A56">
        <w:t>I</w:t>
      </w:r>
      <w:r w:rsidRPr="00072A56">
        <w:t>.</w:t>
      </w:r>
      <w:r w:rsidRPr="00072A56">
        <w:tab/>
      </w:r>
      <w:r w:rsidR="006B27A0" w:rsidRPr="00072A56">
        <w:t>Development of guidance on the application</w:t>
      </w:r>
      <w:r w:rsidRPr="00072A56">
        <w:t xml:space="preserve"> </w:t>
      </w:r>
      <w:r w:rsidR="00DA196B" w:rsidRPr="00072A56">
        <w:t xml:space="preserve">of GHS criteria </w:t>
      </w:r>
      <w:r w:rsidRPr="00072A56">
        <w:t xml:space="preserve">(agenda item </w:t>
      </w:r>
      <w:r w:rsidR="00BF4FBC" w:rsidRPr="00072A56">
        <w:t>5</w:t>
      </w:r>
      <w:r w:rsidRPr="00072A56">
        <w:t>)</w:t>
      </w:r>
      <w:r w:rsidRPr="00072A56">
        <w:tab/>
      </w:r>
      <w:r w:rsidRPr="00072A56">
        <w:tab/>
      </w:r>
      <w:r w:rsidR="00072A56" w:rsidRPr="00072A56">
        <w:t>64</w:t>
      </w:r>
      <w:r w:rsidR="0004324E">
        <w:tab/>
        <w:t>14</w:t>
      </w:r>
    </w:p>
    <w:p w:rsidR="00072A56" w:rsidRPr="00072A56" w:rsidRDefault="00072A56" w:rsidP="00072A56">
      <w:pPr>
        <w:tabs>
          <w:tab w:val="left" w:pos="1134"/>
          <w:tab w:val="left" w:pos="1559"/>
          <w:tab w:val="left" w:pos="1984"/>
          <w:tab w:val="left" w:leader="dot" w:pos="8100"/>
          <w:tab w:val="right" w:pos="8929"/>
          <w:tab w:val="right" w:pos="9638"/>
        </w:tabs>
        <w:spacing w:after="80"/>
      </w:pPr>
      <w:r w:rsidRPr="00072A56">
        <w:tab/>
        <w:t>Guidance on the applicability of the GHS to classification and labelling of pesticides</w:t>
      </w:r>
      <w:r w:rsidRPr="00072A56">
        <w:tab/>
      </w:r>
      <w:r w:rsidRPr="00072A56">
        <w:tab/>
        <w:t>64</w:t>
      </w:r>
      <w:r w:rsidR="0004324E">
        <w:tab/>
        <w:t>14</w:t>
      </w:r>
    </w:p>
    <w:p w:rsidR="00845050" w:rsidRPr="00072A5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072A56">
        <w:tab/>
        <w:t>VI</w:t>
      </w:r>
      <w:r w:rsidR="00BF4FBC" w:rsidRPr="00072A56">
        <w:t>I</w:t>
      </w:r>
      <w:r w:rsidRPr="00072A56">
        <w:t xml:space="preserve">. </w:t>
      </w:r>
      <w:r w:rsidRPr="00072A56">
        <w:tab/>
      </w:r>
      <w:r w:rsidR="006B27A0" w:rsidRPr="00072A56">
        <w:t>Capacity building</w:t>
      </w:r>
      <w:r w:rsidRPr="00072A56">
        <w:t xml:space="preserve"> (agenda item </w:t>
      </w:r>
      <w:r w:rsidR="00BF4FBC" w:rsidRPr="00072A56">
        <w:t>6</w:t>
      </w:r>
      <w:r w:rsidRPr="00072A56">
        <w:t>)</w:t>
      </w:r>
      <w:r w:rsidRPr="00072A56">
        <w:tab/>
      </w:r>
      <w:r w:rsidRPr="00072A56">
        <w:tab/>
      </w:r>
      <w:r w:rsidR="00072A56" w:rsidRPr="00072A56">
        <w:t>65</w:t>
      </w:r>
      <w:r w:rsidR="0004324E">
        <w:tab/>
        <w:t>14</w:t>
      </w:r>
    </w:p>
    <w:p w:rsidR="00845050" w:rsidRPr="00072A5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072A56">
        <w:tab/>
        <w:t>VII</w:t>
      </w:r>
      <w:r w:rsidR="00BF4FBC" w:rsidRPr="00072A56">
        <w:t>I</w:t>
      </w:r>
      <w:r w:rsidRPr="00072A56">
        <w:t>.</w:t>
      </w:r>
      <w:r w:rsidRPr="00072A56">
        <w:tab/>
      </w:r>
      <w:r w:rsidR="006B27A0" w:rsidRPr="00072A56">
        <w:t>Programme of work for the biennium 2017-2018</w:t>
      </w:r>
      <w:r w:rsidRPr="00072A56">
        <w:t xml:space="preserve"> (agenda item </w:t>
      </w:r>
      <w:r w:rsidR="00BF4FBC" w:rsidRPr="00072A56">
        <w:t>7</w:t>
      </w:r>
      <w:r w:rsidRPr="00072A56">
        <w:t>)</w:t>
      </w:r>
      <w:r w:rsidRPr="00072A56">
        <w:tab/>
      </w:r>
      <w:r w:rsidRPr="00072A56">
        <w:tab/>
      </w:r>
      <w:r w:rsidR="00072A56" w:rsidRPr="00072A56">
        <w:t>66-67</w:t>
      </w:r>
      <w:r w:rsidR="0004324E">
        <w:tab/>
        <w:t>14</w:t>
      </w:r>
    </w:p>
    <w:p w:rsidR="00845050" w:rsidRPr="00072A5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072A56">
        <w:tab/>
      </w:r>
      <w:r w:rsidR="00BF4FBC" w:rsidRPr="00072A56">
        <w:t>IX</w:t>
      </w:r>
      <w:r w:rsidRPr="00072A56">
        <w:t>.</w:t>
      </w:r>
      <w:r w:rsidRPr="00072A56">
        <w:tab/>
      </w:r>
      <w:r w:rsidR="006B27A0" w:rsidRPr="00072A56">
        <w:t>Draft resolution 2017/… of the Economic and Social Council</w:t>
      </w:r>
      <w:r w:rsidRPr="00072A56">
        <w:t xml:space="preserve"> (agenda item </w:t>
      </w:r>
      <w:r w:rsidR="00BF4FBC" w:rsidRPr="00072A56">
        <w:t>8</w:t>
      </w:r>
      <w:r w:rsidRPr="00072A56">
        <w:t>)</w:t>
      </w:r>
      <w:r w:rsidRPr="00072A56">
        <w:tab/>
      </w:r>
      <w:r w:rsidRPr="00072A56">
        <w:tab/>
      </w:r>
      <w:r w:rsidR="00072A56">
        <w:t>68</w:t>
      </w:r>
      <w:r w:rsidR="0004324E">
        <w:tab/>
        <w:t>14</w:t>
      </w:r>
    </w:p>
    <w:p w:rsidR="00845050" w:rsidRPr="00072A56" w:rsidRDefault="00845050" w:rsidP="00845050">
      <w:pPr>
        <w:tabs>
          <w:tab w:val="right" w:pos="850"/>
          <w:tab w:val="left" w:pos="1134"/>
          <w:tab w:val="left" w:pos="1559"/>
          <w:tab w:val="left" w:pos="1984"/>
          <w:tab w:val="left" w:leader="dot" w:pos="8100"/>
          <w:tab w:val="right" w:pos="8929"/>
          <w:tab w:val="right" w:pos="9638"/>
        </w:tabs>
        <w:spacing w:after="80"/>
        <w:ind w:left="1134" w:hanging="1134"/>
      </w:pPr>
      <w:r w:rsidRPr="00072A56">
        <w:tab/>
        <w:t>X.</w:t>
      </w:r>
      <w:r w:rsidRPr="00072A56">
        <w:tab/>
      </w:r>
      <w:r w:rsidR="006B27A0" w:rsidRPr="00072A56">
        <w:t>Election of officers for the biennium 2017-2018</w:t>
      </w:r>
      <w:r w:rsidRPr="00072A56">
        <w:t xml:space="preserve"> (agenda item </w:t>
      </w:r>
      <w:r w:rsidR="004E073B" w:rsidRPr="00072A56">
        <w:t>9</w:t>
      </w:r>
      <w:r w:rsidRPr="00072A56">
        <w:t>)</w:t>
      </w:r>
      <w:r w:rsidRPr="00072A56">
        <w:tab/>
      </w:r>
      <w:r w:rsidRPr="00072A56">
        <w:tab/>
      </w:r>
      <w:r w:rsidR="00072A56" w:rsidRPr="00072A56">
        <w:t>69</w:t>
      </w:r>
      <w:r w:rsidR="00F9395E">
        <w:tab/>
        <w:t>15</w:t>
      </w:r>
    </w:p>
    <w:p w:rsidR="006B27A0" w:rsidRPr="00072A56" w:rsidRDefault="006B27A0" w:rsidP="00845050">
      <w:pPr>
        <w:tabs>
          <w:tab w:val="right" w:pos="850"/>
          <w:tab w:val="left" w:pos="1134"/>
          <w:tab w:val="left" w:pos="1559"/>
          <w:tab w:val="left" w:pos="1984"/>
          <w:tab w:val="left" w:leader="dot" w:pos="8100"/>
          <w:tab w:val="right" w:pos="8929"/>
          <w:tab w:val="right" w:pos="9638"/>
        </w:tabs>
        <w:spacing w:after="80"/>
        <w:ind w:left="1134" w:hanging="1134"/>
      </w:pPr>
      <w:r w:rsidRPr="00072A56">
        <w:tab/>
        <w:t>XI.</w:t>
      </w:r>
      <w:r w:rsidRPr="00072A56">
        <w:tab/>
        <w:t>Other business</w:t>
      </w:r>
      <w:r w:rsidR="00072A56">
        <w:t xml:space="preserve"> </w:t>
      </w:r>
      <w:r w:rsidR="00072A56" w:rsidRPr="00072A56">
        <w:t xml:space="preserve">(agenda item </w:t>
      </w:r>
      <w:r w:rsidR="00072A56">
        <w:t>10</w:t>
      </w:r>
      <w:r w:rsidR="00072A56" w:rsidRPr="00072A56">
        <w:t>)</w:t>
      </w:r>
      <w:r w:rsidRPr="00072A56">
        <w:tab/>
      </w:r>
      <w:r w:rsidRPr="00072A56">
        <w:tab/>
      </w:r>
      <w:r w:rsidR="00072A56" w:rsidRPr="00072A56">
        <w:t>70</w:t>
      </w:r>
      <w:r w:rsidR="00F9395E">
        <w:tab/>
        <w:t>15</w:t>
      </w:r>
    </w:p>
    <w:p w:rsidR="006B27A0" w:rsidRPr="002C18C6" w:rsidRDefault="006B27A0" w:rsidP="00845050">
      <w:pPr>
        <w:tabs>
          <w:tab w:val="right" w:pos="850"/>
          <w:tab w:val="left" w:pos="1134"/>
          <w:tab w:val="left" w:pos="1559"/>
          <w:tab w:val="left" w:pos="1984"/>
          <w:tab w:val="left" w:leader="dot" w:pos="8100"/>
          <w:tab w:val="right" w:pos="8929"/>
          <w:tab w:val="right" w:pos="9638"/>
        </w:tabs>
        <w:spacing w:after="80"/>
        <w:ind w:left="1134" w:hanging="1134"/>
      </w:pPr>
      <w:r w:rsidRPr="00072A56">
        <w:tab/>
        <w:t>XII.</w:t>
      </w:r>
      <w:r w:rsidRPr="00072A56">
        <w:tab/>
        <w:t>Adoption of the report</w:t>
      </w:r>
      <w:r w:rsidR="00072A56" w:rsidRPr="00072A56">
        <w:t xml:space="preserve"> (agenda item 11)</w:t>
      </w:r>
      <w:r>
        <w:tab/>
      </w:r>
      <w:r>
        <w:tab/>
      </w:r>
      <w:r w:rsidR="00072A56">
        <w:t>71</w:t>
      </w:r>
      <w:r w:rsidR="00F9395E">
        <w:tab/>
        <w:t>15</w:t>
      </w:r>
    </w:p>
    <w:p w:rsidR="00845050" w:rsidRPr="002C18C6" w:rsidRDefault="00845050" w:rsidP="00845050">
      <w:pPr>
        <w:pStyle w:val="H1G"/>
        <w:rPr>
          <w:b w:val="0"/>
        </w:rPr>
      </w:pPr>
      <w:r w:rsidRPr="002C18C6">
        <w:rPr>
          <w:b w:val="0"/>
        </w:rPr>
        <w:lastRenderedPageBreak/>
        <w:t>Annex</w:t>
      </w:r>
      <w:r w:rsidR="001A5AB3">
        <w:rPr>
          <w:b w:val="0"/>
        </w:rPr>
        <w:t>es</w:t>
      </w:r>
      <w:r w:rsidRPr="002C18C6">
        <w:rPr>
          <w:b w:val="0"/>
        </w:rPr>
        <w:t xml:space="preserve"> </w:t>
      </w:r>
    </w:p>
    <w:p w:rsidR="00B26F54" w:rsidRDefault="000A321A" w:rsidP="000A321A">
      <w:pPr>
        <w:tabs>
          <w:tab w:val="right" w:pos="850"/>
          <w:tab w:val="left" w:pos="1134"/>
          <w:tab w:val="left" w:pos="1559"/>
          <w:tab w:val="left" w:pos="1984"/>
          <w:tab w:val="left" w:leader="dot" w:pos="8931"/>
          <w:tab w:val="right" w:pos="9638"/>
        </w:tabs>
        <w:spacing w:after="80"/>
        <w:ind w:left="1134" w:hanging="1134"/>
      </w:pPr>
      <w:r>
        <w:tab/>
        <w:t xml:space="preserve">I. </w:t>
      </w:r>
      <w:r>
        <w:tab/>
        <w:t xml:space="preserve">Draft amendments to the sixth revised edition of the </w:t>
      </w:r>
      <w:r w:rsidR="00047351">
        <w:t>GHS</w:t>
      </w:r>
      <w:r>
        <w:t xml:space="preserve"> (ST/SG/AC.10/30/Rev.6)</w:t>
      </w:r>
      <w:r>
        <w:tab/>
      </w:r>
      <w:r w:rsidR="00F9395E">
        <w:t>16</w:t>
      </w:r>
    </w:p>
    <w:p w:rsidR="00F57888" w:rsidRDefault="000A321A" w:rsidP="000A321A">
      <w:pPr>
        <w:tabs>
          <w:tab w:val="right" w:pos="850"/>
          <w:tab w:val="left" w:pos="1134"/>
          <w:tab w:val="left" w:pos="1559"/>
          <w:tab w:val="left" w:pos="1984"/>
          <w:tab w:val="left" w:leader="dot" w:pos="8931"/>
          <w:tab w:val="right" w:pos="9638"/>
        </w:tabs>
        <w:spacing w:after="80"/>
        <w:ind w:left="1134" w:hanging="1134"/>
      </w:pPr>
      <w:r>
        <w:tab/>
        <w:t>II.</w:t>
      </w:r>
      <w:r>
        <w:tab/>
      </w:r>
      <w:r w:rsidR="00E128F6">
        <w:t>Draft</w:t>
      </w:r>
      <w:r>
        <w:t xml:space="preserve"> amendments to the sixth revised edition of the Manual of Tests and Criteria</w:t>
      </w:r>
      <w:r w:rsidR="00F57888">
        <w:br/>
        <w:t>(ST/SG/AC.10/11/Rev.6)</w:t>
      </w:r>
      <w:r w:rsidR="00F57888">
        <w:tab/>
      </w:r>
      <w:r w:rsidR="00F9395E">
        <w:t>21</w:t>
      </w:r>
    </w:p>
    <w:p w:rsidR="000A321A" w:rsidRDefault="00F57888" w:rsidP="000A321A">
      <w:pPr>
        <w:tabs>
          <w:tab w:val="right" w:pos="850"/>
          <w:tab w:val="left" w:pos="1134"/>
          <w:tab w:val="left" w:pos="1559"/>
          <w:tab w:val="left" w:pos="1984"/>
          <w:tab w:val="left" w:leader="dot" w:pos="8931"/>
          <w:tab w:val="right" w:pos="9638"/>
        </w:tabs>
        <w:spacing w:after="80"/>
        <w:ind w:left="1134" w:hanging="1134"/>
      </w:pPr>
      <w:r>
        <w:tab/>
        <w:t>III</w:t>
      </w:r>
      <w:r w:rsidR="00072A56">
        <w:t>.</w:t>
      </w:r>
      <w:r>
        <w:tab/>
        <w:t>Programme of work of the Sub-Committee for 2017-2018</w:t>
      </w:r>
      <w:r>
        <w:tab/>
      </w:r>
      <w:r w:rsidR="00F9395E">
        <w:t>22</w:t>
      </w:r>
    </w:p>
    <w:p w:rsidR="00845050" w:rsidRPr="003C2A36" w:rsidRDefault="00845050" w:rsidP="003C2A36">
      <w:pPr>
        <w:tabs>
          <w:tab w:val="right" w:pos="850"/>
          <w:tab w:val="left" w:pos="1134"/>
          <w:tab w:val="left" w:pos="1559"/>
          <w:tab w:val="left" w:pos="1984"/>
          <w:tab w:val="left" w:leader="dot" w:pos="8931"/>
          <w:tab w:val="right" w:pos="9638"/>
        </w:tabs>
        <w:spacing w:after="80"/>
        <w:ind w:left="1134" w:hanging="1134"/>
      </w:pPr>
      <w:r>
        <w:br w:type="page"/>
      </w:r>
    </w:p>
    <w:p w:rsidR="00154D43" w:rsidRPr="003C2A36" w:rsidRDefault="00845050" w:rsidP="006D11B5">
      <w:pPr>
        <w:pStyle w:val="HChG"/>
      </w:pPr>
      <w:r w:rsidRPr="003C2A36">
        <w:lastRenderedPageBreak/>
        <w:tab/>
      </w:r>
      <w:r w:rsidR="00154D43" w:rsidRPr="003C2A36">
        <w:t>I.</w:t>
      </w:r>
      <w:r w:rsidR="00154D43" w:rsidRPr="003C2A36">
        <w:tab/>
        <w:t>Attendance</w:t>
      </w:r>
    </w:p>
    <w:p w:rsidR="00F96780" w:rsidRPr="00324CC9" w:rsidRDefault="00F96780" w:rsidP="00F96780">
      <w:pPr>
        <w:pStyle w:val="SingleTxtG"/>
      </w:pPr>
      <w:r w:rsidRPr="00324CC9">
        <w:t>1.</w:t>
      </w:r>
      <w:r w:rsidRPr="00324CC9">
        <w:tab/>
        <w:t>The Sub-Committee of Experts on the Globally Harmonized System of Classification and Labelling of Chemicals held its thirty-</w:t>
      </w:r>
      <w:r>
        <w:t xml:space="preserve">second </w:t>
      </w:r>
      <w:r w:rsidRPr="00324CC9">
        <w:t xml:space="preserve">session from </w:t>
      </w:r>
      <w:r>
        <w:t xml:space="preserve">7 </w:t>
      </w:r>
      <w:r w:rsidRPr="00324CC9">
        <w:t xml:space="preserve">to </w:t>
      </w:r>
      <w:r>
        <w:t xml:space="preserve">9 December </w:t>
      </w:r>
      <w:r w:rsidRPr="00324CC9">
        <w:t>2016, with Ms. Maureen Ruskin (United States of America) as Chairperson and Mr. Robin Foster (United Kingdom) as Vice-Chair</w:t>
      </w:r>
      <w:r>
        <w:t>person</w:t>
      </w:r>
      <w:r w:rsidRPr="00324CC9">
        <w:t>.</w:t>
      </w:r>
    </w:p>
    <w:p w:rsidR="00F96780" w:rsidRPr="004D040A" w:rsidRDefault="00F96780" w:rsidP="00F96780">
      <w:pPr>
        <w:pStyle w:val="SingleTxtG"/>
      </w:pPr>
      <w:r w:rsidRPr="004D040A">
        <w:t>2.</w:t>
      </w:r>
      <w:r w:rsidRPr="004D040A">
        <w:tab/>
        <w:t>Experts from the following countries took part in the session: Australia, Austria, Belgium, Brazil, Canada, China, Finland, France, Germany, Italy, Japan, Netherlands, Poland, Portugal, Qatar, Republic of Korea, Russian Federation, South Africa, Sweden, United Kingdom and United States of America.</w:t>
      </w:r>
    </w:p>
    <w:p w:rsidR="00F96780" w:rsidRPr="004D040A" w:rsidRDefault="00F96780" w:rsidP="00F96780">
      <w:pPr>
        <w:pStyle w:val="SingleTxtG"/>
      </w:pPr>
      <w:r w:rsidRPr="004D040A">
        <w:t>3.</w:t>
      </w:r>
      <w:r w:rsidRPr="004D040A">
        <w:tab/>
        <w:t>Under rule 72 of the rules of procedure of the Economic and Social Council, observers from Malta and Switzerland also took part.</w:t>
      </w:r>
    </w:p>
    <w:p w:rsidR="00F96780" w:rsidRPr="004D040A" w:rsidRDefault="00F96780" w:rsidP="00F96780">
      <w:pPr>
        <w:pStyle w:val="SingleTxtG"/>
      </w:pPr>
      <w:r w:rsidRPr="004D040A">
        <w:t xml:space="preserve">4. </w:t>
      </w:r>
      <w:r w:rsidRPr="004D040A">
        <w:tab/>
        <w:t xml:space="preserve">A representative of the United Nations Institute for Training and Research (UNITAR) was also present. </w:t>
      </w:r>
    </w:p>
    <w:p w:rsidR="00F96780" w:rsidRPr="004D040A" w:rsidRDefault="00F96780" w:rsidP="00F96780">
      <w:pPr>
        <w:pStyle w:val="SingleTxtG"/>
      </w:pPr>
      <w:r w:rsidRPr="004D040A">
        <w:t>5.</w:t>
      </w:r>
      <w:r w:rsidRPr="004D040A">
        <w:tab/>
        <w:t>The following intergovernmental organizations were also represented: European Union and Organization for Economic Co-operation and Development (OECD).</w:t>
      </w:r>
    </w:p>
    <w:p w:rsidR="00F96780" w:rsidRDefault="00F96780" w:rsidP="00F96780">
      <w:pPr>
        <w:pStyle w:val="SingleTxtG"/>
      </w:pPr>
      <w:r w:rsidRPr="00E60686">
        <w:t>6.</w:t>
      </w:r>
      <w:r w:rsidRPr="00E60686">
        <w:tab/>
        <w:t xml:space="preserve">Representatives of the following non-governmental organizations took part in the discussion of items of concern to their organizations: American Cleaning Institute (ACI); Australian Explosives Industry and Safety Group Incorporated (AEISG); Compressed Gas Association (CGA); </w:t>
      </w:r>
      <w:proofErr w:type="spellStart"/>
      <w:r w:rsidRPr="00E60686">
        <w:t>Croplife</w:t>
      </w:r>
      <w:proofErr w:type="spellEnd"/>
      <w:r w:rsidRPr="00E60686">
        <w:t xml:space="preserve"> International; Dangerous Goods Advisory Council (DGAC); European Chemical Industry Council (CEFIC); Federation of European Aerosol Associations (FEA); Grain and Feed Trade Association (GAFTA); </w:t>
      </w:r>
      <w:r>
        <w:t xml:space="preserve">Industrial Federation Paints and Coats of </w:t>
      </w:r>
      <w:proofErr w:type="spellStart"/>
      <w:r>
        <w:t>Mercosul</w:t>
      </w:r>
      <w:proofErr w:type="spellEnd"/>
      <w:r>
        <w:t xml:space="preserve"> (IFPCM); </w:t>
      </w:r>
      <w:r w:rsidRPr="00E60686">
        <w:t xml:space="preserve">International Association for Soaps, Detergents </w:t>
      </w:r>
      <w:r w:rsidRPr="005E7207">
        <w:t>and Maintenance Products (AISE); International Bulk Terminals Association (IBTA);</w:t>
      </w:r>
      <w:r w:rsidRPr="006F2F61">
        <w:t xml:space="preserve"> International</w:t>
      </w:r>
      <w:r w:rsidRPr="00E60686">
        <w:t xml:space="preserve"> Council of Chemical Associations (ICCA); International Council of Mining and Metals (ICMM); </w:t>
      </w:r>
      <w:r w:rsidRPr="006F2F61">
        <w:t>International Paint and Printing Ink Council (IPPIC); International Petroleum Industry Environmental Conservation</w:t>
      </w:r>
      <w:r w:rsidRPr="00E60686">
        <w:t xml:space="preserve"> Association (IPIECA); Institute of Makers of Explosives (IME); </w:t>
      </w:r>
      <w:r w:rsidRPr="006F2F61">
        <w:t>Responsible Packaging Management Association of Southern Africa (RPMASA); and</w:t>
      </w:r>
      <w:r w:rsidRPr="00E60686">
        <w:t xml:space="preserve"> Sporting Arms and Ammunition Manufacturers’ Institute (SAAMI).</w:t>
      </w:r>
    </w:p>
    <w:p w:rsidR="00154D43" w:rsidRPr="00D259AD" w:rsidRDefault="00154D43" w:rsidP="00154D43">
      <w:pPr>
        <w:pStyle w:val="HChG"/>
        <w:spacing w:line="240" w:lineRule="auto"/>
      </w:pPr>
      <w:r w:rsidRPr="00D259AD">
        <w:rPr>
          <w:rFonts w:eastAsia="MS Mincho"/>
          <w:lang w:eastAsia="ja-JP"/>
        </w:rPr>
        <w:tab/>
        <w:t>I</w:t>
      </w:r>
      <w:r w:rsidRPr="00D259AD">
        <w:t>I.</w:t>
      </w:r>
      <w:r w:rsidRPr="00D259AD">
        <w:tab/>
        <w:t>Adoption of the agenda (agenda item 1)</w:t>
      </w:r>
    </w:p>
    <w:p w:rsidR="00154D43" w:rsidRDefault="00154D43" w:rsidP="00154D43">
      <w:pPr>
        <w:pStyle w:val="SingleTxtG"/>
        <w:tabs>
          <w:tab w:val="left" w:pos="3119"/>
        </w:tabs>
        <w:ind w:left="3119" w:hanging="1985"/>
        <w:jc w:val="left"/>
      </w:pPr>
      <w:r w:rsidRPr="00D259AD">
        <w:rPr>
          <w:i/>
        </w:rPr>
        <w:t>Documents:</w:t>
      </w:r>
      <w:r>
        <w:t xml:space="preserve"> </w:t>
      </w:r>
      <w:r>
        <w:tab/>
        <w:t>ST/SG/AC.10/C.4/63 (Provisional agenda)</w:t>
      </w:r>
      <w:r>
        <w:br/>
        <w:t>ST/SG/AC.10/C.4/63/Add.1</w:t>
      </w:r>
      <w:r w:rsidRPr="00D259AD">
        <w:t xml:space="preserve"> (</w:t>
      </w:r>
      <w:r>
        <w:t>List of documents and annotations</w:t>
      </w:r>
      <w:r w:rsidRPr="00D259AD">
        <w:t>)</w:t>
      </w:r>
    </w:p>
    <w:p w:rsidR="00154D43" w:rsidRDefault="00154D43" w:rsidP="00154D43">
      <w:pPr>
        <w:pStyle w:val="SingleTxtG"/>
        <w:tabs>
          <w:tab w:val="left" w:pos="3119"/>
        </w:tabs>
        <w:ind w:left="3119" w:hanging="1985"/>
        <w:jc w:val="left"/>
      </w:pPr>
      <w:r w:rsidRPr="00291BED">
        <w:rPr>
          <w:i/>
        </w:rPr>
        <w:t>Informal documents</w:t>
      </w:r>
      <w:r w:rsidRPr="00291BED">
        <w:t xml:space="preserve">: </w:t>
      </w:r>
      <w:r w:rsidRPr="00291BED">
        <w:tab/>
        <w:t xml:space="preserve">INF.1, INF.2 </w:t>
      </w:r>
      <w:r>
        <w:t>(List of documents)</w:t>
      </w:r>
      <w:r w:rsidRPr="00291BED">
        <w:t xml:space="preserve"> </w:t>
      </w:r>
      <w:r>
        <w:br/>
      </w:r>
      <w:r w:rsidRPr="00291BED">
        <w:t>INF.7</w:t>
      </w:r>
      <w:r>
        <w:t xml:space="preserve"> </w:t>
      </w:r>
      <w:r w:rsidRPr="00291BED">
        <w:t>(Provisional timetable and calendar of meetings of GHS informal working groups)</w:t>
      </w:r>
    </w:p>
    <w:p w:rsidR="00154D43" w:rsidRPr="00D259AD" w:rsidRDefault="00154D43" w:rsidP="00154D43">
      <w:pPr>
        <w:pStyle w:val="SingleTxtG"/>
      </w:pPr>
      <w:r>
        <w:t>7.</w:t>
      </w:r>
      <w:r>
        <w:tab/>
        <w:t xml:space="preserve">The Sub-Committee adopted the provisional agenda prepared by the secretariat after </w:t>
      </w:r>
      <w:r w:rsidRPr="0074691F">
        <w:t>amending it to take account of informal documents INF.1 to INF.</w:t>
      </w:r>
      <w:r w:rsidR="0074691F">
        <w:t>44</w:t>
      </w:r>
      <w:r w:rsidRPr="0074691F">
        <w:t>.</w:t>
      </w:r>
    </w:p>
    <w:p w:rsidR="00154D43" w:rsidRDefault="00154D43" w:rsidP="00154D43">
      <w:pPr>
        <w:pStyle w:val="HChG"/>
        <w:rPr>
          <w:rFonts w:eastAsia="MS Mincho"/>
          <w:lang w:eastAsia="ja-JP"/>
        </w:rPr>
      </w:pPr>
      <w:r w:rsidRPr="00D259AD">
        <w:lastRenderedPageBreak/>
        <w:tab/>
      </w:r>
      <w:r w:rsidRPr="00D259AD">
        <w:rPr>
          <w:rFonts w:eastAsia="MS Mincho"/>
          <w:lang w:eastAsia="ja-JP"/>
        </w:rPr>
        <w:t>III.</w:t>
      </w:r>
      <w:r w:rsidRPr="00D259AD">
        <w:rPr>
          <w:rFonts w:eastAsia="MS Mincho"/>
          <w:lang w:eastAsia="ja-JP"/>
        </w:rPr>
        <w:tab/>
      </w:r>
      <w:r>
        <w:rPr>
          <w:rFonts w:eastAsia="MS Mincho"/>
          <w:lang w:eastAsia="ja-JP"/>
        </w:rPr>
        <w:t>Classification criteria and related hazard communication</w:t>
      </w:r>
      <w:r w:rsidRPr="00D259AD">
        <w:rPr>
          <w:rFonts w:eastAsia="MS Mincho"/>
          <w:lang w:eastAsia="ja-JP"/>
        </w:rPr>
        <w:t xml:space="preserve"> (agenda item 2)</w:t>
      </w:r>
    </w:p>
    <w:p w:rsidR="00154D43" w:rsidRDefault="00154D43" w:rsidP="00154D43">
      <w:pPr>
        <w:pStyle w:val="H1G"/>
        <w:rPr>
          <w:rFonts w:eastAsia="MS Mincho"/>
          <w:lang w:eastAsia="ja-JP"/>
        </w:rPr>
      </w:pPr>
      <w:r>
        <w:rPr>
          <w:rFonts w:eastAsia="MS Mincho"/>
          <w:lang w:eastAsia="ja-JP"/>
        </w:rPr>
        <w:tab/>
        <w:t>A.</w:t>
      </w:r>
      <w:r>
        <w:rPr>
          <w:rFonts w:eastAsia="MS Mincho"/>
          <w:lang w:eastAsia="ja-JP"/>
        </w:rPr>
        <w:tab/>
        <w:t xml:space="preserve">Recommendations made by the Sub-Committee </w:t>
      </w:r>
      <w:r w:rsidR="000952EC">
        <w:rPr>
          <w:rFonts w:eastAsia="MS Mincho"/>
          <w:lang w:eastAsia="ja-JP"/>
        </w:rPr>
        <w:t>at</w:t>
      </w:r>
      <w:r>
        <w:rPr>
          <w:rFonts w:eastAsia="MS Mincho"/>
          <w:lang w:eastAsia="ja-JP"/>
        </w:rPr>
        <w:t xml:space="preserve"> its twenty-ninth, thirtieth and thirty-first sessions</w:t>
      </w:r>
    </w:p>
    <w:p w:rsidR="00154D43" w:rsidRPr="002B2C4B" w:rsidRDefault="00154D43" w:rsidP="00154D43">
      <w:pPr>
        <w:pStyle w:val="H23G"/>
        <w:rPr>
          <w:rFonts w:eastAsia="MS Mincho"/>
          <w:lang w:eastAsia="ja-JP"/>
        </w:rPr>
      </w:pPr>
      <w:r>
        <w:rPr>
          <w:rFonts w:eastAsia="MS Mincho"/>
          <w:lang w:eastAsia="ja-JP"/>
        </w:rPr>
        <w:tab/>
        <w:t>1.</w:t>
      </w:r>
      <w:r>
        <w:rPr>
          <w:rFonts w:eastAsia="MS Mincho"/>
          <w:lang w:eastAsia="ja-JP"/>
        </w:rPr>
        <w:tab/>
        <w:t>Review of draft amendments adopted by the Sub-Committee at its twenty-</w:t>
      </w:r>
      <w:r w:rsidR="0011624E">
        <w:rPr>
          <w:rFonts w:eastAsia="MS Mincho"/>
          <w:lang w:eastAsia="ja-JP"/>
        </w:rPr>
        <w:t xml:space="preserve">ninth </w:t>
      </w:r>
      <w:r>
        <w:rPr>
          <w:rFonts w:eastAsia="MS Mincho"/>
          <w:lang w:eastAsia="ja-JP"/>
        </w:rPr>
        <w:t>thirtieth and thirty-first sessions</w:t>
      </w:r>
    </w:p>
    <w:p w:rsidR="00154D43" w:rsidRDefault="00154D43" w:rsidP="00154D43">
      <w:pPr>
        <w:pStyle w:val="SingleTxtG"/>
        <w:tabs>
          <w:tab w:val="left" w:pos="3119"/>
        </w:tabs>
        <w:jc w:val="left"/>
        <w:rPr>
          <w:rFonts w:eastAsia="MS Mincho"/>
          <w:lang w:eastAsia="ja-JP"/>
        </w:rPr>
      </w:pPr>
      <w:r>
        <w:rPr>
          <w:rFonts w:eastAsia="MS Mincho"/>
          <w:i/>
          <w:lang w:eastAsia="ja-JP"/>
        </w:rPr>
        <w:t>Document:</w:t>
      </w:r>
      <w:r>
        <w:rPr>
          <w:rFonts w:eastAsia="MS Mincho"/>
          <w:i/>
          <w:lang w:eastAsia="ja-JP"/>
        </w:rPr>
        <w:tab/>
      </w:r>
      <w:r>
        <w:rPr>
          <w:rFonts w:eastAsia="MS Mincho"/>
          <w:lang w:eastAsia="ja-JP"/>
        </w:rPr>
        <w:t>ST/SG/AC.10/C.4</w:t>
      </w:r>
      <w:r w:rsidRPr="006E6826">
        <w:rPr>
          <w:rFonts w:eastAsia="MS Mincho"/>
          <w:lang w:eastAsia="ja-JP"/>
        </w:rPr>
        <w:t>/2016/11</w:t>
      </w:r>
      <w:r w:rsidRPr="00B26F54">
        <w:rPr>
          <w:rFonts w:eastAsia="MS Mincho"/>
          <w:lang w:eastAsia="ja-JP"/>
        </w:rPr>
        <w:t xml:space="preserve"> (Secretariat)</w:t>
      </w:r>
    </w:p>
    <w:p w:rsidR="00154D43" w:rsidRDefault="00154D43" w:rsidP="00154D43">
      <w:pPr>
        <w:pStyle w:val="SingleTxtG"/>
      </w:pPr>
      <w:r>
        <w:t>8.</w:t>
      </w:r>
      <w:r>
        <w:tab/>
      </w:r>
      <w:r w:rsidRPr="00962C09">
        <w:t>The Sub-Committee confirmed the amendments in document ST/SG/AC.10/C.4/2016/11 with some editorial corrections to the definitions of the health hazards in chapters 3.1</w:t>
      </w:r>
      <w:r w:rsidR="00456432">
        <w:t xml:space="preserve"> and 3.7</w:t>
      </w:r>
      <w:r w:rsidRPr="00962C09">
        <w:t xml:space="preserve"> (only for the French version), 3.4, 3.6, 3.8, 3.9 and 3.10. It was noted that the definitions in Chapter 1.2 would have to be amended accordingly,</w:t>
      </w:r>
      <w:r>
        <w:t xml:space="preserve"> where applicable (see </w:t>
      </w:r>
      <w:r w:rsidR="00456432">
        <w:t>a</w:t>
      </w:r>
      <w:r>
        <w:t>nnex</w:t>
      </w:r>
      <w:r w:rsidR="00456432">
        <w:t xml:space="preserve"> I</w:t>
      </w:r>
      <w:r>
        <w:t>)</w:t>
      </w:r>
      <w:r w:rsidRPr="00962C09">
        <w:t>.</w:t>
      </w:r>
    </w:p>
    <w:p w:rsidR="00154D43" w:rsidRPr="00AD5D4C" w:rsidRDefault="00154D43" w:rsidP="00154D43">
      <w:pPr>
        <w:pStyle w:val="H23G"/>
        <w:rPr>
          <w:rFonts w:eastAsia="MS Mincho"/>
          <w:lang w:eastAsia="ja-JP"/>
        </w:rPr>
      </w:pPr>
      <w:r>
        <w:rPr>
          <w:rFonts w:eastAsia="MS Mincho"/>
          <w:lang w:eastAsia="ja-JP"/>
        </w:rPr>
        <w:tab/>
      </w:r>
      <w:r w:rsidRPr="00AD5D4C">
        <w:rPr>
          <w:rFonts w:eastAsia="MS Mincho"/>
          <w:lang w:eastAsia="ja-JP"/>
        </w:rPr>
        <w:t>2.</w:t>
      </w:r>
      <w:r>
        <w:rPr>
          <w:rFonts w:eastAsia="MS Mincho"/>
          <w:lang w:eastAsia="ja-JP"/>
        </w:rPr>
        <w:tab/>
        <w:t>Definition of explosives in Chapter 2.1, paragraph 2.1.1.2 (c)</w:t>
      </w:r>
    </w:p>
    <w:p w:rsidR="00154D43" w:rsidRDefault="00154D43" w:rsidP="00154D43">
      <w:pPr>
        <w:pStyle w:val="SingleTxtG"/>
        <w:tabs>
          <w:tab w:val="left" w:pos="3119"/>
        </w:tabs>
        <w:jc w:val="left"/>
        <w:rPr>
          <w:rFonts w:eastAsia="MS Mincho"/>
          <w:lang w:eastAsia="ja-JP"/>
        </w:rPr>
      </w:pPr>
      <w:r>
        <w:rPr>
          <w:rFonts w:eastAsia="MS Mincho"/>
          <w:i/>
          <w:lang w:eastAsia="ja-JP"/>
        </w:rPr>
        <w:t>Document:</w:t>
      </w:r>
      <w:r>
        <w:rPr>
          <w:rFonts w:eastAsia="MS Mincho"/>
          <w:i/>
          <w:lang w:eastAsia="ja-JP"/>
        </w:rPr>
        <w:tab/>
      </w:r>
      <w:r>
        <w:rPr>
          <w:rFonts w:eastAsia="MS Mincho"/>
          <w:lang w:eastAsia="ja-JP"/>
        </w:rPr>
        <w:t>ST/SG/AC.10/C.4</w:t>
      </w:r>
      <w:r w:rsidRPr="006E6826">
        <w:rPr>
          <w:rFonts w:eastAsia="MS Mincho"/>
          <w:lang w:eastAsia="ja-JP"/>
        </w:rPr>
        <w:t>/2016/14</w:t>
      </w:r>
      <w:r w:rsidRPr="00B26F54">
        <w:rPr>
          <w:rFonts w:eastAsia="MS Mincho"/>
          <w:lang w:eastAsia="ja-JP"/>
        </w:rPr>
        <w:t xml:space="preserve"> (</w:t>
      </w:r>
      <w:r>
        <w:rPr>
          <w:rFonts w:eastAsia="MS Mincho"/>
          <w:lang w:eastAsia="ja-JP"/>
        </w:rPr>
        <w:t>AEISG</w:t>
      </w:r>
      <w:r w:rsidRPr="00B26F54">
        <w:rPr>
          <w:rFonts w:eastAsia="MS Mincho"/>
          <w:lang w:eastAsia="ja-JP"/>
        </w:rPr>
        <w:t>)</w:t>
      </w:r>
    </w:p>
    <w:p w:rsidR="00154D43" w:rsidRDefault="00154D43" w:rsidP="00154D43">
      <w:pPr>
        <w:pStyle w:val="SingleTxtG"/>
        <w:tabs>
          <w:tab w:val="left" w:pos="3119"/>
        </w:tabs>
        <w:jc w:val="left"/>
      </w:pPr>
      <w:r w:rsidRPr="00E70D79">
        <w:rPr>
          <w:i/>
        </w:rPr>
        <w:t>Informal document</w:t>
      </w:r>
      <w:r>
        <w:t>:</w:t>
      </w:r>
      <w:r>
        <w:tab/>
      </w:r>
      <w:r>
        <w:rPr>
          <w:rFonts w:eastAsia="MS Mincho"/>
          <w:lang w:eastAsia="ja-JP"/>
        </w:rPr>
        <w:t>INF.36, item 1</w:t>
      </w:r>
      <w:r w:rsidRPr="00D05A07">
        <w:t xml:space="preserve"> (</w:t>
      </w:r>
      <w:r>
        <w:t>Secretariat</w:t>
      </w:r>
      <w:r w:rsidRPr="00D05A07">
        <w:t>)</w:t>
      </w:r>
      <w:r w:rsidRPr="00D05A07">
        <w:tab/>
      </w:r>
    </w:p>
    <w:p w:rsidR="00154D43" w:rsidRDefault="00154D43" w:rsidP="00154D43">
      <w:pPr>
        <w:pStyle w:val="SingleTxtG"/>
      </w:pPr>
      <w:r>
        <w:t>9.</w:t>
      </w:r>
      <w:r>
        <w:tab/>
      </w:r>
      <w:r w:rsidRPr="00D73157">
        <w:t xml:space="preserve">The Sub-Committee noted that the TDG Sub-Committee adopted a correction to the definition of explosives in paragraph 2.1.1.1 (c) of the </w:t>
      </w:r>
      <w:r w:rsidR="000C49A2">
        <w:t>United Nations</w:t>
      </w:r>
      <w:r w:rsidRPr="00D73157">
        <w:t xml:space="preserve"> Model Regulations and agreed to correct the corresponding text in paragraph 2.1.1.2 (c) and note b t</w:t>
      </w:r>
      <w:r w:rsidR="000C49A2">
        <w:t>o table </w:t>
      </w:r>
      <w:r w:rsidRPr="00D73157">
        <w:t>2.1.1 in the GHS (see annex</w:t>
      </w:r>
      <w:r w:rsidR="00456432">
        <w:t xml:space="preserve"> I</w:t>
      </w:r>
      <w:r w:rsidRPr="00D73157">
        <w:t>).</w:t>
      </w:r>
    </w:p>
    <w:p w:rsidR="00154D43" w:rsidRDefault="00154D43" w:rsidP="00154D43">
      <w:pPr>
        <w:pStyle w:val="H1G"/>
      </w:pPr>
      <w:r>
        <w:rPr>
          <w:rFonts w:eastAsia="MS Mincho"/>
          <w:lang w:eastAsia="ja-JP"/>
        </w:rPr>
        <w:tab/>
        <w:t>B.</w:t>
      </w:r>
      <w:r>
        <w:rPr>
          <w:rFonts w:eastAsia="MS Mincho"/>
          <w:lang w:eastAsia="ja-JP"/>
        </w:rPr>
        <w:tab/>
      </w:r>
      <w:r w:rsidRPr="009A3C87">
        <w:t xml:space="preserve">Work of the </w:t>
      </w:r>
      <w:r>
        <w:t>Sub-Committee of Experts on the Transport of Dangerous Goods (</w:t>
      </w:r>
      <w:r w:rsidRPr="009A24A5">
        <w:t>TDG Sub-Committee</w:t>
      </w:r>
      <w:r>
        <w:t>)</w:t>
      </w:r>
      <w:r w:rsidRPr="009A24A5">
        <w:t xml:space="preserve"> on matters of interest to the</w:t>
      </w:r>
      <w:r>
        <w:t xml:space="preserve"> </w:t>
      </w:r>
      <w:r w:rsidRPr="009A3C87">
        <w:t>GHS Sub-Committee</w:t>
      </w:r>
    </w:p>
    <w:p w:rsidR="00154D43" w:rsidRPr="008640C2" w:rsidRDefault="00154D43" w:rsidP="00154D43">
      <w:pPr>
        <w:pStyle w:val="H23G"/>
        <w:rPr>
          <w:rFonts w:eastAsia="MS Mincho"/>
        </w:rPr>
      </w:pPr>
      <w:r>
        <w:rPr>
          <w:rFonts w:eastAsia="MS Mincho"/>
        </w:rPr>
        <w:tab/>
        <w:t>1.</w:t>
      </w:r>
      <w:r>
        <w:rPr>
          <w:rFonts w:eastAsia="MS Mincho"/>
        </w:rPr>
        <w:tab/>
        <w:t>Classification criteria and hazard communication for flammable gases</w:t>
      </w:r>
    </w:p>
    <w:p w:rsidR="00154D43" w:rsidRDefault="00154D43" w:rsidP="00154D43">
      <w:pPr>
        <w:pStyle w:val="SingleTxtG"/>
        <w:tabs>
          <w:tab w:val="left" w:pos="3119"/>
        </w:tabs>
        <w:jc w:val="left"/>
      </w:pPr>
      <w:r w:rsidRPr="00B63F3C">
        <w:rPr>
          <w:rFonts w:eastAsia="MS Mincho"/>
          <w:i/>
          <w:lang w:eastAsia="ja-JP"/>
        </w:rPr>
        <w:t>Document</w:t>
      </w:r>
      <w:r>
        <w:rPr>
          <w:rFonts w:eastAsia="MS Mincho"/>
          <w:lang w:eastAsia="ja-JP"/>
        </w:rPr>
        <w:t>:</w:t>
      </w:r>
      <w:r>
        <w:rPr>
          <w:rFonts w:eastAsia="MS Mincho"/>
          <w:lang w:eastAsia="ja-JP"/>
        </w:rPr>
        <w:tab/>
      </w:r>
      <w:r w:rsidRPr="00210F77">
        <w:t>ST/SG/AC.10/C.4/2016/</w:t>
      </w:r>
      <w:r>
        <w:t>12 (Belgium, Japan)</w:t>
      </w:r>
    </w:p>
    <w:p w:rsidR="00154D43" w:rsidRDefault="00154D43" w:rsidP="00154D43">
      <w:pPr>
        <w:pStyle w:val="SingleTxtG"/>
        <w:tabs>
          <w:tab w:val="left" w:pos="3119"/>
        </w:tabs>
        <w:jc w:val="left"/>
      </w:pPr>
      <w:r w:rsidRPr="00E70D79">
        <w:rPr>
          <w:i/>
        </w:rPr>
        <w:t>Informal documents</w:t>
      </w:r>
      <w:r>
        <w:t>:</w:t>
      </w:r>
      <w:r>
        <w:tab/>
      </w:r>
      <w:r>
        <w:rPr>
          <w:rFonts w:eastAsia="MS Mincho"/>
          <w:lang w:eastAsia="ja-JP"/>
        </w:rPr>
        <w:t>INF.</w:t>
      </w:r>
      <w:r w:rsidRPr="00D05A07">
        <w:t xml:space="preserve">9 </w:t>
      </w:r>
      <w:r w:rsidR="0074691F">
        <w:t xml:space="preserve">and INF.18 </w:t>
      </w:r>
      <w:r w:rsidRPr="00D05A07">
        <w:t>(Belgium, Japan)</w:t>
      </w:r>
      <w:r w:rsidRPr="00D05A07">
        <w:tab/>
      </w:r>
      <w:r w:rsidRPr="00D05A07">
        <w:br/>
      </w:r>
      <w:r w:rsidRPr="00D05A07">
        <w:tab/>
      </w:r>
      <w:r>
        <w:t xml:space="preserve">INF.11 </w:t>
      </w:r>
      <w:r w:rsidR="0074691F">
        <w:t xml:space="preserve">and </w:t>
      </w:r>
      <w:r w:rsidR="0074691F">
        <w:rPr>
          <w:rFonts w:eastAsia="MS Mincho"/>
          <w:lang w:eastAsia="ja-JP"/>
        </w:rPr>
        <w:t>INF.36, item 2</w:t>
      </w:r>
      <w:r w:rsidR="0074691F" w:rsidRPr="00210F77">
        <w:t xml:space="preserve"> </w:t>
      </w:r>
      <w:r w:rsidRPr="00210F77">
        <w:t>(</w:t>
      </w:r>
      <w:r>
        <w:t>Secretariat</w:t>
      </w:r>
      <w:r w:rsidRPr="00210F77">
        <w:t>)</w:t>
      </w:r>
      <w:r w:rsidR="00AC7748">
        <w:br/>
      </w:r>
      <w:r w:rsidR="0074691F">
        <w:tab/>
      </w:r>
      <w:r>
        <w:t xml:space="preserve">INF.20 </w:t>
      </w:r>
      <w:r w:rsidRPr="00210F77">
        <w:t>(</w:t>
      </w:r>
      <w:r>
        <w:t>EIGA</w:t>
      </w:r>
      <w:r w:rsidRPr="00210F77">
        <w:t>)</w:t>
      </w:r>
    </w:p>
    <w:p w:rsidR="00154D43" w:rsidRPr="00A27E31" w:rsidRDefault="00154D43" w:rsidP="00154D43">
      <w:pPr>
        <w:pStyle w:val="SingleTxtG"/>
        <w:rPr>
          <w:lang w:val="en-US"/>
        </w:rPr>
      </w:pPr>
      <w:r>
        <w:t>10.</w:t>
      </w:r>
      <w:r>
        <w:tab/>
      </w:r>
      <w:r w:rsidRPr="00EC17C6">
        <w:t xml:space="preserve">Concerning the options for a </w:t>
      </w:r>
      <w:r>
        <w:t xml:space="preserve">new </w:t>
      </w:r>
      <w:r w:rsidRPr="00EC17C6">
        <w:t xml:space="preserve">note to table A1.2 listed in INF.18, most experts considered that </w:t>
      </w:r>
      <w:r>
        <w:t xml:space="preserve">the tables in Annex 1 of the GHS </w:t>
      </w:r>
      <w:r w:rsidRPr="00EC17C6">
        <w:t xml:space="preserve">should not address aspects related to transport </w:t>
      </w:r>
      <w:r>
        <w:t>conditions as</w:t>
      </w:r>
      <w:r w:rsidRPr="00EC17C6">
        <w:t xml:space="preserve"> th</w:t>
      </w:r>
      <w:r>
        <w:t xml:space="preserve">ese are covered by the </w:t>
      </w:r>
      <w:r w:rsidRPr="00EC17C6">
        <w:t>UN Model Regulations.</w:t>
      </w:r>
      <w:r>
        <w:t xml:space="preserve"> In light of the comments made, the Sub-Committee concluded that no additional note was necessary. </w:t>
      </w:r>
      <w:r w:rsidRPr="00A27E31">
        <w:rPr>
          <w:lang w:val="en-US"/>
        </w:rPr>
        <w:t xml:space="preserve">Other experts considered that the tables in Annex 1 of the GHS should be reviewed to ensure a consistent approach in the display of transport pictograms or related information. The Sub-Committee invited the informal </w:t>
      </w:r>
      <w:r w:rsidR="00A45178" w:rsidRPr="00A27E31">
        <w:rPr>
          <w:lang w:val="en-US"/>
        </w:rPr>
        <w:t xml:space="preserve">correspondence </w:t>
      </w:r>
      <w:r w:rsidRPr="00A27E31">
        <w:rPr>
          <w:lang w:val="en-US"/>
        </w:rPr>
        <w:t xml:space="preserve">group on the improvement of annexes 1 to 3 to consider this issue. </w:t>
      </w:r>
    </w:p>
    <w:p w:rsidR="00154D43" w:rsidRDefault="00154D43" w:rsidP="00154D43">
      <w:pPr>
        <w:pStyle w:val="SingleTxtG"/>
      </w:pPr>
      <w:r>
        <w:t>11.</w:t>
      </w:r>
      <w:r>
        <w:tab/>
      </w:r>
      <w:r w:rsidRPr="00EC17C6">
        <w:t>The Sub-Committee adopted the proposal in document ST/SG/AC.10/C.4/2016/12 with the corrections listed in INF.11</w:t>
      </w:r>
      <w:r>
        <w:t>,</w:t>
      </w:r>
      <w:r w:rsidRPr="00EC17C6">
        <w:t xml:space="preserve"> the correction to the example of classification </w:t>
      </w:r>
      <w:r>
        <w:t xml:space="preserve">of a flammable gas mixture </w:t>
      </w:r>
      <w:r w:rsidRPr="00EC17C6">
        <w:t>in paragraph 2.2.5 of the GHS shown in INF.20</w:t>
      </w:r>
      <w:r>
        <w:t>,</w:t>
      </w:r>
      <w:r w:rsidRPr="00EC17C6">
        <w:t xml:space="preserve"> paragraph 3</w:t>
      </w:r>
      <w:r>
        <w:t>, and the table A1.2 in INF.18 with the deletion of note b</w:t>
      </w:r>
      <w:r w:rsidRPr="00EC17C6">
        <w:t xml:space="preserve"> </w:t>
      </w:r>
      <w:r>
        <w:t>(see annex</w:t>
      </w:r>
      <w:r w:rsidR="00456432">
        <w:t xml:space="preserve"> I</w:t>
      </w:r>
      <w:r>
        <w:t>).</w:t>
      </w:r>
    </w:p>
    <w:p w:rsidR="00DA67C7" w:rsidRDefault="00DA67C7" w:rsidP="00DA67C7">
      <w:pPr>
        <w:pStyle w:val="H23G"/>
      </w:pPr>
      <w:r>
        <w:lastRenderedPageBreak/>
        <w:tab/>
        <w:t>2.</w:t>
      </w:r>
      <w:r>
        <w:tab/>
        <w:t>Classification of flammable liquids</w:t>
      </w:r>
    </w:p>
    <w:p w:rsidR="00DA67C7" w:rsidRDefault="00DA67C7" w:rsidP="00DA67C7">
      <w:pPr>
        <w:pStyle w:val="SingleTxtG"/>
        <w:tabs>
          <w:tab w:val="left" w:pos="3119"/>
        </w:tabs>
        <w:jc w:val="left"/>
      </w:pPr>
      <w:r w:rsidRPr="00B63F3C">
        <w:rPr>
          <w:rFonts w:eastAsia="MS Mincho"/>
          <w:i/>
          <w:lang w:eastAsia="ja-JP"/>
        </w:rPr>
        <w:t>Document</w:t>
      </w:r>
      <w:r>
        <w:rPr>
          <w:rFonts w:eastAsia="MS Mincho"/>
          <w:lang w:eastAsia="ja-JP"/>
        </w:rPr>
        <w:t>:</w:t>
      </w:r>
      <w:r>
        <w:rPr>
          <w:rFonts w:eastAsia="MS Mincho"/>
          <w:lang w:eastAsia="ja-JP"/>
        </w:rPr>
        <w:tab/>
      </w:r>
      <w:r w:rsidRPr="00210F77">
        <w:t>ST/SG/AC.10/C.4/2016/</w:t>
      </w:r>
      <w:r>
        <w:t>13 (Germany)</w:t>
      </w:r>
    </w:p>
    <w:p w:rsidR="0074691F" w:rsidRDefault="00DA67C7" w:rsidP="0074691F">
      <w:pPr>
        <w:pStyle w:val="SingleTxtG"/>
        <w:tabs>
          <w:tab w:val="left" w:pos="3119"/>
        </w:tabs>
        <w:jc w:val="left"/>
      </w:pPr>
      <w:r w:rsidRPr="0074691F">
        <w:rPr>
          <w:i/>
        </w:rPr>
        <w:t>Informal document</w:t>
      </w:r>
      <w:r>
        <w:t>:</w:t>
      </w:r>
      <w:r>
        <w:tab/>
      </w:r>
      <w:r w:rsidRPr="0074691F">
        <w:t>INF.36, item 3</w:t>
      </w:r>
      <w:r w:rsidRPr="00D05A07">
        <w:t xml:space="preserve"> (</w:t>
      </w:r>
      <w:r>
        <w:t>Secretariat</w:t>
      </w:r>
      <w:r w:rsidRPr="00D05A07">
        <w:t>)</w:t>
      </w:r>
    </w:p>
    <w:p w:rsidR="00DA67C7" w:rsidRDefault="00DF7FC3" w:rsidP="0074691F">
      <w:pPr>
        <w:pStyle w:val="SingleTxtG"/>
      </w:pPr>
      <w:r>
        <w:t>12</w:t>
      </w:r>
      <w:r w:rsidR="00DA67C7">
        <w:t>.</w:t>
      </w:r>
      <w:r w:rsidR="00DA67C7">
        <w:tab/>
      </w:r>
      <w:r w:rsidR="00DA67C7" w:rsidRPr="008C0589">
        <w:t>The Sub-Committee adopted the amendment to the introductory sentence in 2.6.4.2.2 and the consequential amendment to appendix 6, paragraph 4.1, of the Manual of Tests and Criteria (see annex</w:t>
      </w:r>
      <w:r w:rsidR="00456432">
        <w:t xml:space="preserve"> I</w:t>
      </w:r>
      <w:r w:rsidR="00DA67C7" w:rsidRPr="008C0589">
        <w:t>).</w:t>
      </w:r>
    </w:p>
    <w:p w:rsidR="00DA67C7" w:rsidRDefault="00DF7FC3" w:rsidP="00DA67C7">
      <w:pPr>
        <w:pStyle w:val="SingleTxtG"/>
      </w:pPr>
      <w:r>
        <w:t>13</w:t>
      </w:r>
      <w:r w:rsidR="00DA67C7">
        <w:t>.</w:t>
      </w:r>
      <w:r w:rsidR="00DA67C7">
        <w:tab/>
      </w:r>
      <w:r w:rsidR="00DA67C7" w:rsidRPr="008C0589">
        <w:t xml:space="preserve">There was some support for the proposal for amendment to note 2 in section 2.6.2 and the footnotes to the decision logic. However, after some discussion the Sub-Committee could not reach consensus on how to accommodate all the comments made and address the concerns expressed by some delegations. It felt that more time was needed to consider the changes and the alternative solutions proposed and concluded that work should continue during the next biennium. </w:t>
      </w:r>
    </w:p>
    <w:p w:rsidR="00154D43" w:rsidRDefault="00154D43" w:rsidP="00154D43">
      <w:pPr>
        <w:pStyle w:val="H23G"/>
        <w:rPr>
          <w:rFonts w:eastAsia="MS Mincho"/>
          <w:lang w:eastAsia="ja-JP"/>
        </w:rPr>
      </w:pPr>
      <w:r>
        <w:rPr>
          <w:rFonts w:eastAsia="MS Mincho"/>
          <w:lang w:eastAsia="ja-JP"/>
        </w:rPr>
        <w:tab/>
        <w:t>3.</w:t>
      </w:r>
      <w:r>
        <w:rPr>
          <w:rFonts w:eastAsia="MS Mincho"/>
          <w:lang w:eastAsia="ja-JP"/>
        </w:rPr>
        <w:tab/>
        <w:t>Test and criteria for oxidizing liquids and oxidizing solids</w:t>
      </w:r>
    </w:p>
    <w:p w:rsidR="00154D43" w:rsidRDefault="00154D43" w:rsidP="00154D43">
      <w:pPr>
        <w:pStyle w:val="SingleTxtG"/>
        <w:tabs>
          <w:tab w:val="left" w:pos="3119"/>
        </w:tabs>
        <w:jc w:val="left"/>
        <w:rPr>
          <w:lang w:val="fr-CH"/>
        </w:rPr>
      </w:pPr>
      <w:r w:rsidRPr="00D05A07">
        <w:rPr>
          <w:rFonts w:eastAsia="MS Mincho"/>
          <w:i/>
          <w:lang w:val="fr-CH" w:eastAsia="ja-JP"/>
        </w:rPr>
        <w:t>Document</w:t>
      </w:r>
      <w:r>
        <w:rPr>
          <w:rFonts w:eastAsia="MS Mincho"/>
          <w:lang w:val="fr-CH" w:eastAsia="ja-JP"/>
        </w:rPr>
        <w:t>:</w:t>
      </w:r>
      <w:r>
        <w:rPr>
          <w:rFonts w:eastAsia="MS Mincho"/>
          <w:lang w:val="fr-CH" w:eastAsia="ja-JP"/>
        </w:rPr>
        <w:tab/>
      </w:r>
      <w:r w:rsidRPr="00D05A07">
        <w:rPr>
          <w:lang w:val="fr-CH"/>
        </w:rPr>
        <w:t>ST/SG/AC.10/C.4/2016/15 (France)</w:t>
      </w:r>
    </w:p>
    <w:p w:rsidR="00154D43" w:rsidRDefault="00154D43" w:rsidP="00154D43">
      <w:pPr>
        <w:pStyle w:val="SingleTxtG"/>
        <w:tabs>
          <w:tab w:val="left" w:pos="3119"/>
        </w:tabs>
        <w:jc w:val="left"/>
      </w:pPr>
      <w:r w:rsidRPr="00E70D79">
        <w:rPr>
          <w:i/>
        </w:rPr>
        <w:t>Informal document</w:t>
      </w:r>
      <w:r>
        <w:t>:</w:t>
      </w:r>
      <w:r>
        <w:tab/>
      </w:r>
      <w:r>
        <w:rPr>
          <w:rFonts w:eastAsia="MS Mincho"/>
          <w:lang w:eastAsia="ja-JP"/>
        </w:rPr>
        <w:t>INF.36, item 4</w:t>
      </w:r>
      <w:r w:rsidRPr="00D05A07">
        <w:t xml:space="preserve"> (</w:t>
      </w:r>
      <w:r>
        <w:t>Secretariat</w:t>
      </w:r>
      <w:r w:rsidRPr="00D05A07">
        <w:t>)</w:t>
      </w:r>
      <w:r w:rsidRPr="00D05A07">
        <w:tab/>
      </w:r>
    </w:p>
    <w:p w:rsidR="00154D43" w:rsidRPr="00A27E31" w:rsidRDefault="00DF7FC3" w:rsidP="00154D43">
      <w:pPr>
        <w:pStyle w:val="SingleTxtG"/>
        <w:rPr>
          <w:lang w:val="en-US"/>
        </w:rPr>
      </w:pPr>
      <w:r>
        <w:t>14</w:t>
      </w:r>
      <w:r w:rsidR="00154D43">
        <w:t>.</w:t>
      </w:r>
      <w:r w:rsidR="00154D43">
        <w:tab/>
      </w:r>
      <w:r w:rsidR="00154D43" w:rsidRPr="00554F8A">
        <w:t xml:space="preserve">The Sub-Committee </w:t>
      </w:r>
      <w:r w:rsidR="00154D43">
        <w:t xml:space="preserve">noted that the </w:t>
      </w:r>
      <w:r w:rsidR="00154D43" w:rsidRPr="00554F8A">
        <w:t>TDG Sub-Committee</w:t>
      </w:r>
      <w:r w:rsidR="00154D43">
        <w:t xml:space="preserve"> had agreed to amend </w:t>
      </w:r>
      <w:r w:rsidR="00154D43" w:rsidRPr="00554F8A">
        <w:t xml:space="preserve">the Manual of Tests and Criteria </w:t>
      </w:r>
      <w:r w:rsidR="00154D43">
        <w:t xml:space="preserve">in accordance with </w:t>
      </w:r>
      <w:r w:rsidR="00154D43" w:rsidRPr="00554F8A">
        <w:t xml:space="preserve">proposals 1 to 4 in document </w:t>
      </w:r>
      <w:r w:rsidR="00154D43" w:rsidRPr="00A27E31">
        <w:rPr>
          <w:lang w:val="en-US"/>
        </w:rPr>
        <w:t>ST/SG/AC.10/C.4/2016/15 and concurred with this decision. It also noted that in accordance with proposal 5 the TDG Sub-Committee would continue working on this subject during the next biennium.</w:t>
      </w:r>
    </w:p>
    <w:p w:rsidR="00154D43" w:rsidRDefault="00154D43" w:rsidP="00154D43">
      <w:pPr>
        <w:pStyle w:val="H23G"/>
      </w:pPr>
      <w:r w:rsidRPr="00516216">
        <w:tab/>
      </w:r>
      <w:r w:rsidRPr="00D832F4">
        <w:t>4.</w:t>
      </w:r>
      <w:r w:rsidRPr="00D832F4">
        <w:tab/>
      </w:r>
      <w:r>
        <w:t>Use of the Manual of Tests and Criteria in the context of GHS</w:t>
      </w:r>
    </w:p>
    <w:p w:rsidR="00154D43" w:rsidRPr="00AF1E36" w:rsidRDefault="00154D43" w:rsidP="00154D43">
      <w:pPr>
        <w:pStyle w:val="SingleTxtG"/>
        <w:tabs>
          <w:tab w:val="left" w:pos="3119"/>
        </w:tabs>
        <w:ind w:left="3119" w:hanging="1985"/>
        <w:jc w:val="left"/>
      </w:pPr>
      <w:r>
        <w:rPr>
          <w:i/>
        </w:rPr>
        <w:t>Document:</w:t>
      </w:r>
      <w:r>
        <w:rPr>
          <w:i/>
        </w:rPr>
        <w:tab/>
      </w:r>
      <w:r w:rsidRPr="00210F77">
        <w:t>ST/SG/AC.10/C.4/2016/</w:t>
      </w:r>
      <w:r>
        <w:t>16 (Chairman of the Working Group on Explosives)</w:t>
      </w:r>
    </w:p>
    <w:p w:rsidR="00154D43" w:rsidRDefault="00154D43" w:rsidP="00154D43">
      <w:pPr>
        <w:pStyle w:val="SingleTxtG"/>
        <w:tabs>
          <w:tab w:val="left" w:pos="3119"/>
        </w:tabs>
        <w:ind w:left="3119" w:hanging="1985"/>
        <w:jc w:val="left"/>
      </w:pPr>
      <w:r w:rsidRPr="00B63F3C">
        <w:rPr>
          <w:rFonts w:eastAsia="MS Mincho"/>
          <w:i/>
          <w:lang w:eastAsia="ja-JP"/>
        </w:rPr>
        <w:t>Informal documents</w:t>
      </w:r>
      <w:r>
        <w:rPr>
          <w:rFonts w:eastAsia="MS Mincho"/>
          <w:lang w:eastAsia="ja-JP"/>
        </w:rPr>
        <w:t>:</w:t>
      </w:r>
      <w:r>
        <w:rPr>
          <w:rFonts w:eastAsia="MS Mincho"/>
          <w:lang w:eastAsia="ja-JP"/>
        </w:rPr>
        <w:tab/>
      </w:r>
      <w:r>
        <w:t xml:space="preserve">INF.5 and Adds 1-5 </w:t>
      </w:r>
      <w:r w:rsidRPr="00210F77">
        <w:t>(</w:t>
      </w:r>
      <w:r>
        <w:t>Chairman of the Working Group on Explosives)</w:t>
      </w:r>
      <w:r>
        <w:br/>
      </w:r>
      <w:r w:rsidRPr="00D05A07">
        <w:t>INF.10 (Germany)</w:t>
      </w:r>
      <w:r w:rsidRPr="00D05A07">
        <w:br/>
        <w:t>INF.14 (</w:t>
      </w:r>
      <w:r w:rsidR="00A677EA">
        <w:t>United States of America</w:t>
      </w:r>
      <w:r w:rsidRPr="00D05A07">
        <w:t>, Canada)</w:t>
      </w:r>
      <w:r w:rsidRPr="00D05A07">
        <w:br/>
        <w:t>INF.21</w:t>
      </w:r>
      <w:r w:rsidR="00A677EA">
        <w:t xml:space="preserve"> </w:t>
      </w:r>
      <w:r w:rsidR="00A677EA">
        <w:rPr>
          <w:rFonts w:eastAsia="MS Mincho"/>
          <w:lang w:eastAsia="ja-JP"/>
        </w:rPr>
        <w:t xml:space="preserve"> and </w:t>
      </w:r>
      <w:r w:rsidR="0074691F">
        <w:rPr>
          <w:rFonts w:eastAsia="MS Mincho"/>
          <w:lang w:eastAsia="ja-JP"/>
        </w:rPr>
        <w:t>INF.36, item 5</w:t>
      </w:r>
      <w:r w:rsidR="0074691F" w:rsidRPr="00D05A07">
        <w:t xml:space="preserve"> </w:t>
      </w:r>
      <w:r w:rsidRPr="00D05A07">
        <w:t>(</w:t>
      </w:r>
      <w:r>
        <w:t>Secretariat</w:t>
      </w:r>
      <w:r w:rsidRPr="00D05A07">
        <w:t>)</w:t>
      </w:r>
    </w:p>
    <w:p w:rsidR="00154D43" w:rsidRDefault="00DF7FC3" w:rsidP="00154D43">
      <w:pPr>
        <w:pStyle w:val="SingleTxtG"/>
        <w:rPr>
          <w:rFonts w:eastAsia="MS Mincho"/>
        </w:rPr>
      </w:pPr>
      <w:r>
        <w:rPr>
          <w:rFonts w:eastAsia="MS Mincho"/>
        </w:rPr>
        <w:t>15</w:t>
      </w:r>
      <w:r w:rsidR="00154D43">
        <w:rPr>
          <w:rFonts w:eastAsia="MS Mincho"/>
        </w:rPr>
        <w:t>.</w:t>
      </w:r>
      <w:r w:rsidR="00154D43">
        <w:rPr>
          <w:rFonts w:eastAsia="MS Mincho"/>
        </w:rPr>
        <w:tab/>
      </w:r>
      <w:r w:rsidR="00154D43" w:rsidRPr="00B54421">
        <w:rPr>
          <w:rFonts w:eastAsia="MS Mincho"/>
        </w:rPr>
        <w:t>The Sub-Committee noted the progress made</w:t>
      </w:r>
      <w:r w:rsidR="00456432">
        <w:rPr>
          <w:rFonts w:eastAsia="MS Mincho"/>
        </w:rPr>
        <w:t xml:space="preserve"> and</w:t>
      </w:r>
      <w:r w:rsidR="00154D43" w:rsidRPr="00B54421">
        <w:rPr>
          <w:rFonts w:eastAsia="MS Mincho"/>
        </w:rPr>
        <w:t xml:space="preserve"> concurred with the TDG Sub-Committee on its decisions as regards the amendments in Annex II to INF.36 and the corrections in INF.21. The Sub-Committee fully supported </w:t>
      </w:r>
      <w:r w:rsidR="00456432">
        <w:rPr>
          <w:rFonts w:eastAsia="MS Mincho"/>
        </w:rPr>
        <w:t>continuing</w:t>
      </w:r>
      <w:r w:rsidR="00154D43" w:rsidRPr="00B54421">
        <w:rPr>
          <w:rFonts w:eastAsia="MS Mincho"/>
        </w:rPr>
        <w:t xml:space="preserve"> work on the review of the Manual of Tests and Criteria to take account of the GHS and hoped that it could be completed during the next biennium.</w:t>
      </w:r>
    </w:p>
    <w:p w:rsidR="00154D43" w:rsidRDefault="00DF7FC3" w:rsidP="00154D43">
      <w:pPr>
        <w:pStyle w:val="SingleTxtG"/>
        <w:rPr>
          <w:rFonts w:eastAsia="MS Mincho"/>
        </w:rPr>
      </w:pPr>
      <w:r>
        <w:rPr>
          <w:rFonts w:eastAsia="MS Mincho"/>
        </w:rPr>
        <w:t>16</w:t>
      </w:r>
      <w:r w:rsidR="00154D43">
        <w:rPr>
          <w:rFonts w:eastAsia="MS Mincho"/>
        </w:rPr>
        <w:t>.</w:t>
      </w:r>
      <w:r w:rsidR="00154D43">
        <w:rPr>
          <w:rFonts w:eastAsia="MS Mincho"/>
        </w:rPr>
        <w:tab/>
        <w:t>Some experts considered that adoption</w:t>
      </w:r>
      <w:r w:rsidR="00154D43" w:rsidRPr="00B15C8E">
        <w:rPr>
          <w:rFonts w:eastAsia="MS Mincho"/>
        </w:rPr>
        <w:t xml:space="preserve"> </w:t>
      </w:r>
      <w:r w:rsidR="00154D43">
        <w:rPr>
          <w:rFonts w:eastAsia="MS Mincho"/>
        </w:rPr>
        <w:t xml:space="preserve">of </w:t>
      </w:r>
      <w:r w:rsidR="00154D43" w:rsidRPr="00B15C8E">
        <w:rPr>
          <w:rFonts w:eastAsia="MS Mincho"/>
        </w:rPr>
        <w:t xml:space="preserve">further amendments to the Manual of Tests and Criteria </w:t>
      </w:r>
      <w:r w:rsidR="00154D43">
        <w:rPr>
          <w:rFonts w:eastAsia="MS Mincho"/>
        </w:rPr>
        <w:t xml:space="preserve">in the context of the GHS </w:t>
      </w:r>
      <w:r w:rsidR="00154D43" w:rsidRPr="00B15C8E">
        <w:rPr>
          <w:rFonts w:eastAsia="MS Mincho"/>
        </w:rPr>
        <w:t xml:space="preserve">should be postponed until the revision of Chapter 2.1 of the GHS </w:t>
      </w:r>
      <w:r w:rsidR="00154D43">
        <w:rPr>
          <w:rFonts w:eastAsia="MS Mincho"/>
        </w:rPr>
        <w:t xml:space="preserve">was </w:t>
      </w:r>
      <w:r w:rsidR="00154D43" w:rsidRPr="00B15C8E">
        <w:rPr>
          <w:rFonts w:eastAsia="MS Mincho"/>
        </w:rPr>
        <w:t>completed.</w:t>
      </w:r>
      <w:r w:rsidR="00154D43">
        <w:rPr>
          <w:rFonts w:eastAsia="MS Mincho"/>
        </w:rPr>
        <w:t xml:space="preserve"> Others did not share that view. The Sub-Committee concluded that this question could be addressed later during the next biennium. </w:t>
      </w:r>
    </w:p>
    <w:p w:rsidR="00154D43" w:rsidRDefault="00DF7FC3" w:rsidP="00154D43">
      <w:pPr>
        <w:pStyle w:val="SingleTxtG"/>
        <w:rPr>
          <w:rFonts w:eastAsia="MS Mincho"/>
        </w:rPr>
      </w:pPr>
      <w:r>
        <w:rPr>
          <w:rFonts w:eastAsia="MS Mincho"/>
        </w:rPr>
        <w:t>17</w:t>
      </w:r>
      <w:r w:rsidR="00154D43">
        <w:rPr>
          <w:rFonts w:eastAsia="MS Mincho"/>
        </w:rPr>
        <w:t>.</w:t>
      </w:r>
      <w:r w:rsidR="00154D43">
        <w:rPr>
          <w:rFonts w:eastAsia="MS Mincho"/>
        </w:rPr>
        <w:tab/>
        <w:t xml:space="preserve">Experts from the GHS Sub-Committee were invited to participate in the work of the Working Group </w:t>
      </w:r>
      <w:r w:rsidR="000C49A2">
        <w:rPr>
          <w:rFonts w:eastAsia="MS Mincho"/>
        </w:rPr>
        <w:t xml:space="preserve">on Explosives </w:t>
      </w:r>
      <w:r w:rsidR="00154D43">
        <w:rPr>
          <w:rFonts w:eastAsia="MS Mincho"/>
        </w:rPr>
        <w:t>on this issue to ensure that GHS aspects relevant for sectors other than transport are correctly addressed. Interested experts were invited to contact the Chairman of the Working Group</w:t>
      </w:r>
      <w:r w:rsidR="000C49A2">
        <w:rPr>
          <w:rFonts w:eastAsia="MS Mincho"/>
        </w:rPr>
        <w:t xml:space="preserve"> on Explosives</w:t>
      </w:r>
      <w:r w:rsidR="00154D43">
        <w:rPr>
          <w:rFonts w:eastAsia="MS Mincho"/>
        </w:rPr>
        <w:t>, Mr. Ed de Jong (Netherlands).</w:t>
      </w:r>
    </w:p>
    <w:p w:rsidR="00154D43" w:rsidRDefault="00154D43" w:rsidP="00154D43">
      <w:pPr>
        <w:pStyle w:val="H23G"/>
        <w:rPr>
          <w:rFonts w:eastAsia="MS Mincho"/>
          <w:lang w:eastAsia="ja-JP"/>
        </w:rPr>
      </w:pPr>
      <w:r>
        <w:rPr>
          <w:rFonts w:eastAsia="MS Mincho"/>
          <w:lang w:eastAsia="ja-JP"/>
        </w:rPr>
        <w:lastRenderedPageBreak/>
        <w:tab/>
        <w:t>5.</w:t>
      </w:r>
      <w:r>
        <w:rPr>
          <w:rFonts w:eastAsia="MS Mincho"/>
          <w:lang w:eastAsia="ja-JP"/>
        </w:rPr>
        <w:tab/>
        <w:t>Revision of Chapter 2.1 of the GHS</w:t>
      </w:r>
    </w:p>
    <w:p w:rsidR="00A677EA" w:rsidRDefault="00154D43" w:rsidP="00154D43">
      <w:pPr>
        <w:pStyle w:val="SingleTxtG"/>
        <w:tabs>
          <w:tab w:val="left" w:pos="3119"/>
        </w:tabs>
        <w:jc w:val="left"/>
      </w:pPr>
      <w:r w:rsidRPr="00AF1E36">
        <w:rPr>
          <w:rFonts w:eastAsia="MS Mincho"/>
          <w:i/>
          <w:lang w:eastAsia="ja-JP"/>
        </w:rPr>
        <w:t>Informal document</w:t>
      </w:r>
      <w:r>
        <w:rPr>
          <w:rFonts w:eastAsia="MS Mincho"/>
          <w:i/>
          <w:lang w:eastAsia="ja-JP"/>
        </w:rPr>
        <w:t>s</w:t>
      </w:r>
      <w:r>
        <w:rPr>
          <w:rFonts w:eastAsia="MS Mincho"/>
          <w:lang w:eastAsia="ja-JP"/>
        </w:rPr>
        <w:t>:</w:t>
      </w:r>
      <w:r>
        <w:rPr>
          <w:rFonts w:eastAsia="MS Mincho"/>
          <w:lang w:eastAsia="ja-JP"/>
        </w:rPr>
        <w:tab/>
        <w:t xml:space="preserve">INF.8 </w:t>
      </w:r>
      <w:r w:rsidR="00A677EA">
        <w:rPr>
          <w:rFonts w:eastAsia="MS Mincho"/>
          <w:lang w:eastAsia="ja-JP"/>
        </w:rPr>
        <w:t xml:space="preserve">and INF.41 </w:t>
      </w:r>
      <w:r>
        <w:rPr>
          <w:rFonts w:eastAsia="MS Mincho"/>
          <w:lang w:eastAsia="ja-JP"/>
        </w:rPr>
        <w:t>(Sweden)</w:t>
      </w:r>
      <w:r>
        <w:rPr>
          <w:rFonts w:eastAsia="MS Mincho"/>
          <w:lang w:eastAsia="ja-JP"/>
        </w:rPr>
        <w:br/>
      </w:r>
      <w:r>
        <w:rPr>
          <w:rFonts w:eastAsia="MS Mincho"/>
          <w:lang w:eastAsia="ja-JP"/>
        </w:rPr>
        <w:tab/>
        <w:t>INF.15 (United States of America)</w:t>
      </w:r>
      <w:r>
        <w:rPr>
          <w:rFonts w:eastAsia="MS Mincho"/>
          <w:lang w:eastAsia="ja-JP"/>
        </w:rPr>
        <w:br/>
      </w:r>
      <w:r>
        <w:rPr>
          <w:rFonts w:eastAsia="MS Mincho"/>
          <w:lang w:eastAsia="ja-JP"/>
        </w:rPr>
        <w:tab/>
        <w:t>INF.36, item 6</w:t>
      </w:r>
      <w:r w:rsidRPr="00D05A07">
        <w:t xml:space="preserve"> (</w:t>
      </w:r>
      <w:r>
        <w:t>Secretariat</w:t>
      </w:r>
      <w:r w:rsidRPr="00D05A07">
        <w:t>)</w:t>
      </w:r>
    </w:p>
    <w:p w:rsidR="00154D43" w:rsidRDefault="00DF7FC3" w:rsidP="00154D43">
      <w:pPr>
        <w:pStyle w:val="SingleTxtG"/>
        <w:rPr>
          <w:rFonts w:eastAsia="MS Mincho"/>
        </w:rPr>
      </w:pPr>
      <w:r>
        <w:rPr>
          <w:rFonts w:eastAsia="MS Mincho"/>
        </w:rPr>
        <w:t>18</w:t>
      </w:r>
      <w:r w:rsidR="00154D43">
        <w:rPr>
          <w:rFonts w:eastAsia="MS Mincho"/>
        </w:rPr>
        <w:t>.</w:t>
      </w:r>
      <w:r w:rsidR="00154D43">
        <w:rPr>
          <w:rFonts w:eastAsia="MS Mincho"/>
        </w:rPr>
        <w:tab/>
        <w:t xml:space="preserve">The Sub-Committee noted that work on the revision of Chapter 2.1 continued and that the experts participating in the informal </w:t>
      </w:r>
      <w:r w:rsidR="00A45178">
        <w:rPr>
          <w:rFonts w:eastAsia="MS Mincho"/>
        </w:rPr>
        <w:t xml:space="preserve">correspondence </w:t>
      </w:r>
      <w:r w:rsidR="00154D43">
        <w:rPr>
          <w:rFonts w:eastAsia="MS Mincho"/>
        </w:rPr>
        <w:t xml:space="preserve">group had expressed support for the development of categories for the class of explosives and their related hazard communication elements. They recognised that the classification into divisions developed for transport purposes was not only based on the intrinsic properties of the explosives but also on additional factors such as quantity or the type of packaging used.  They felt that the </w:t>
      </w:r>
      <w:r w:rsidR="000952EC">
        <w:rPr>
          <w:rFonts w:eastAsia="MS Mincho"/>
        </w:rPr>
        <w:t xml:space="preserve">proposed </w:t>
      </w:r>
      <w:r w:rsidR="00154D43">
        <w:rPr>
          <w:rFonts w:eastAsia="MS Mincho"/>
        </w:rPr>
        <w:t xml:space="preserve">new categories </w:t>
      </w:r>
      <w:r w:rsidR="006B7C08">
        <w:rPr>
          <w:rFonts w:eastAsia="MS Mincho"/>
        </w:rPr>
        <w:t>were promising and would</w:t>
      </w:r>
      <w:r w:rsidR="00154D43">
        <w:rPr>
          <w:rFonts w:eastAsia="MS Mincho"/>
        </w:rPr>
        <w:t xml:space="preserve"> address the needs of sectors other than transport. However, it was pointed out that </w:t>
      </w:r>
      <w:r w:rsidR="00456432">
        <w:rPr>
          <w:rFonts w:eastAsia="MS Mincho"/>
        </w:rPr>
        <w:t xml:space="preserve">given that </w:t>
      </w:r>
      <w:r w:rsidR="00154D43">
        <w:rPr>
          <w:rFonts w:eastAsia="MS Mincho"/>
        </w:rPr>
        <w:t xml:space="preserve">the existing classification into divisions </w:t>
      </w:r>
      <w:r w:rsidR="006B7C08">
        <w:rPr>
          <w:rFonts w:eastAsia="MS Mincho"/>
        </w:rPr>
        <w:t>is</w:t>
      </w:r>
      <w:r w:rsidR="00154D43">
        <w:rPr>
          <w:rFonts w:eastAsia="MS Mincho"/>
        </w:rPr>
        <w:t xml:space="preserve"> appropriate for transport purposes</w:t>
      </w:r>
      <w:r w:rsidR="00456432">
        <w:rPr>
          <w:rFonts w:eastAsia="MS Mincho"/>
        </w:rPr>
        <w:t xml:space="preserve"> and</w:t>
      </w:r>
      <w:r w:rsidR="00154D43">
        <w:rPr>
          <w:rFonts w:eastAsia="MS Mincho"/>
        </w:rPr>
        <w:t xml:space="preserve"> </w:t>
      </w:r>
      <w:r w:rsidR="000422A7">
        <w:rPr>
          <w:rFonts w:eastAsia="MS Mincho"/>
        </w:rPr>
        <w:t xml:space="preserve">is </w:t>
      </w:r>
      <w:r w:rsidR="00154D43">
        <w:rPr>
          <w:rFonts w:eastAsia="MS Mincho"/>
        </w:rPr>
        <w:t>also being used in some jurisdictions for additional purposes</w:t>
      </w:r>
      <w:r w:rsidR="00456432">
        <w:rPr>
          <w:rFonts w:eastAsia="MS Mincho"/>
        </w:rPr>
        <w:t>,</w:t>
      </w:r>
      <w:r w:rsidR="000422A7">
        <w:rPr>
          <w:rFonts w:eastAsia="MS Mincho"/>
        </w:rPr>
        <w:t xml:space="preserve"> its removal from the GHS could have unintended consequences</w:t>
      </w:r>
      <w:r w:rsidR="00154D43">
        <w:rPr>
          <w:rFonts w:eastAsia="MS Mincho"/>
        </w:rPr>
        <w:t xml:space="preserve">. </w:t>
      </w:r>
    </w:p>
    <w:p w:rsidR="00154D43" w:rsidRDefault="00DF7FC3" w:rsidP="00154D43">
      <w:pPr>
        <w:pStyle w:val="SingleTxtG"/>
        <w:rPr>
          <w:rFonts w:eastAsia="MS Mincho"/>
        </w:rPr>
      </w:pPr>
      <w:r>
        <w:rPr>
          <w:rFonts w:eastAsia="MS Mincho"/>
        </w:rPr>
        <w:t>19</w:t>
      </w:r>
      <w:r w:rsidR="00154D43">
        <w:rPr>
          <w:rFonts w:eastAsia="MS Mincho"/>
        </w:rPr>
        <w:t>.</w:t>
      </w:r>
      <w:r w:rsidR="00154D43">
        <w:rPr>
          <w:rFonts w:eastAsia="MS Mincho"/>
        </w:rPr>
        <w:tab/>
        <w:t xml:space="preserve">The Sub-Committee also noted the concerns expressed by some delegations on whether the revision of Chapter 2.1 should also consider other aspects such as those listed in INF.15. </w:t>
      </w:r>
    </w:p>
    <w:p w:rsidR="00154D43" w:rsidRDefault="00DF7FC3" w:rsidP="00154D43">
      <w:pPr>
        <w:pStyle w:val="SingleTxtG"/>
        <w:rPr>
          <w:rFonts w:eastAsia="MS Mincho"/>
        </w:rPr>
      </w:pPr>
      <w:r>
        <w:rPr>
          <w:rFonts w:eastAsia="MS Mincho"/>
        </w:rPr>
        <w:t>20</w:t>
      </w:r>
      <w:r w:rsidR="00154D43">
        <w:rPr>
          <w:rFonts w:eastAsia="MS Mincho"/>
        </w:rPr>
        <w:t>.</w:t>
      </w:r>
      <w:r w:rsidR="00154D43">
        <w:rPr>
          <w:rFonts w:eastAsia="MS Mincho"/>
        </w:rPr>
        <w:tab/>
        <w:t xml:space="preserve">The Sub-Committee invited the expert from Sweden to develop, in cooperation with other interested experts, a way forward for the work of the informal </w:t>
      </w:r>
      <w:r w:rsidR="00A45178">
        <w:rPr>
          <w:rFonts w:eastAsia="MS Mincho"/>
        </w:rPr>
        <w:t xml:space="preserve">correspondence </w:t>
      </w:r>
      <w:r w:rsidR="00154D43">
        <w:rPr>
          <w:rFonts w:eastAsia="MS Mincho"/>
        </w:rPr>
        <w:t>group for the next biennium taking into account the comments made.</w:t>
      </w:r>
      <w:r w:rsidR="006B7C08">
        <w:rPr>
          <w:rFonts w:eastAsia="MS Mincho"/>
        </w:rPr>
        <w:t xml:space="preserve"> </w:t>
      </w:r>
      <w:r w:rsidR="00154D43">
        <w:rPr>
          <w:rFonts w:eastAsia="MS Mincho"/>
        </w:rPr>
        <w:t xml:space="preserve">The expert from Sweden reiterated the need to have experts from all sectors involved in the work of the informal </w:t>
      </w:r>
      <w:r w:rsidR="00A45178">
        <w:rPr>
          <w:rFonts w:eastAsia="MS Mincho"/>
        </w:rPr>
        <w:t xml:space="preserve">correspondence </w:t>
      </w:r>
      <w:r w:rsidR="00154D43">
        <w:rPr>
          <w:rFonts w:eastAsia="MS Mincho"/>
        </w:rPr>
        <w:t>group and invited all GHS Sub-Committee experts interested in joining the discussions to contact him.</w:t>
      </w:r>
    </w:p>
    <w:p w:rsidR="00DA67C7" w:rsidRDefault="00DF7FC3" w:rsidP="00DA67C7">
      <w:pPr>
        <w:pStyle w:val="SingleTxtG"/>
      </w:pPr>
      <w:r>
        <w:t>21</w:t>
      </w:r>
      <w:r w:rsidR="006B7C08">
        <w:t>.</w:t>
      </w:r>
      <w:r w:rsidR="006B7C08">
        <w:tab/>
      </w:r>
      <w:r w:rsidR="00DA67C7" w:rsidRPr="002F55A1">
        <w:t xml:space="preserve">After consideration of the options in INF.41 the Sub-Committee agreed that the informal </w:t>
      </w:r>
      <w:r w:rsidR="00DA67C7">
        <w:t xml:space="preserve">correspondence </w:t>
      </w:r>
      <w:r w:rsidR="00DA67C7" w:rsidRPr="002F55A1">
        <w:t>group should continue to work in accordance with the terms of reference in document ST/SG/AC.10/C.3/2014/79−ST/SG/AC.10/C.4/2014/15, paragraphs 10</w:t>
      </w:r>
      <w:r w:rsidR="006B7C08">
        <w:t xml:space="preserve"> to </w:t>
      </w:r>
      <w:r w:rsidR="00DA67C7" w:rsidRPr="002F55A1">
        <w:t>13</w:t>
      </w:r>
      <w:r w:rsidR="006B7C08">
        <w:t>,</w:t>
      </w:r>
      <w:r w:rsidR="00DA67C7" w:rsidRPr="002F55A1">
        <w:t xml:space="preserve"> while considering the work items listed in option B of INF.41. </w:t>
      </w:r>
    </w:p>
    <w:p w:rsidR="00154D43" w:rsidRPr="002637B2" w:rsidRDefault="00154D43" w:rsidP="00154D43">
      <w:pPr>
        <w:pStyle w:val="H23G"/>
        <w:tabs>
          <w:tab w:val="left" w:pos="3119"/>
        </w:tabs>
        <w:rPr>
          <w:rFonts w:eastAsia="MS Mincho"/>
          <w:lang w:eastAsia="ja-JP"/>
        </w:rPr>
      </w:pPr>
      <w:r>
        <w:rPr>
          <w:rFonts w:eastAsia="MS Mincho"/>
          <w:lang w:eastAsia="ja-JP"/>
        </w:rPr>
        <w:tab/>
      </w:r>
      <w:r w:rsidRPr="002637B2">
        <w:rPr>
          <w:rFonts w:eastAsia="MS Mincho"/>
          <w:lang w:eastAsia="ja-JP"/>
        </w:rPr>
        <w:t>6.</w:t>
      </w:r>
      <w:r w:rsidRPr="002637B2">
        <w:rPr>
          <w:rFonts w:eastAsia="MS Mincho"/>
          <w:lang w:eastAsia="ja-JP"/>
        </w:rPr>
        <w:tab/>
        <w:t>Other matters of interest</w:t>
      </w:r>
    </w:p>
    <w:p w:rsidR="00154D43" w:rsidRPr="002637B2" w:rsidRDefault="00154D43" w:rsidP="00154D43">
      <w:pPr>
        <w:pStyle w:val="H4G"/>
        <w:rPr>
          <w:rFonts w:eastAsia="MS Mincho"/>
        </w:rPr>
      </w:pPr>
      <w:r w:rsidRPr="002637B2">
        <w:rPr>
          <w:rFonts w:eastAsia="MS Mincho"/>
        </w:rPr>
        <w:tab/>
        <w:t>(a)</w:t>
      </w:r>
      <w:r w:rsidRPr="002637B2">
        <w:rPr>
          <w:rFonts w:eastAsia="MS Mincho"/>
        </w:rPr>
        <w:tab/>
        <w:t>Revision of Chapter 2.8 of the United Nations Model Regulations on the Transport of Dangerous Goods</w:t>
      </w:r>
    </w:p>
    <w:p w:rsidR="00154D43" w:rsidRDefault="00154D43" w:rsidP="00154D43">
      <w:pPr>
        <w:pStyle w:val="SingleTxtG"/>
        <w:tabs>
          <w:tab w:val="left" w:pos="3119"/>
        </w:tabs>
        <w:jc w:val="left"/>
        <w:rPr>
          <w:rFonts w:eastAsia="MS Mincho"/>
          <w:lang w:eastAsia="ja-JP"/>
        </w:rPr>
      </w:pPr>
      <w:r w:rsidRPr="00516216">
        <w:rPr>
          <w:rFonts w:eastAsia="MS Mincho"/>
          <w:i/>
          <w:lang w:eastAsia="ja-JP"/>
        </w:rPr>
        <w:t>Informal document</w:t>
      </w:r>
      <w:r w:rsidRPr="00516216">
        <w:rPr>
          <w:rFonts w:eastAsia="MS Mincho"/>
          <w:lang w:eastAsia="ja-JP"/>
        </w:rPr>
        <w:t>:</w:t>
      </w:r>
      <w:r w:rsidRPr="00516216">
        <w:rPr>
          <w:rFonts w:eastAsia="MS Mincho"/>
          <w:lang w:eastAsia="ja-JP"/>
        </w:rPr>
        <w:tab/>
      </w:r>
      <w:r>
        <w:rPr>
          <w:rFonts w:eastAsia="MS Mincho"/>
          <w:lang w:eastAsia="ja-JP"/>
        </w:rPr>
        <w:t>INF.36, item 7</w:t>
      </w:r>
      <w:r w:rsidRPr="00D05A07">
        <w:t xml:space="preserve"> (</w:t>
      </w:r>
      <w:r>
        <w:t>Secretariat</w:t>
      </w:r>
      <w:r w:rsidRPr="00D05A07">
        <w:t>)</w:t>
      </w:r>
    </w:p>
    <w:p w:rsidR="00154D43" w:rsidRPr="006E4112" w:rsidRDefault="00DF7FC3" w:rsidP="00154D43">
      <w:pPr>
        <w:pStyle w:val="SingleTxtG"/>
        <w:rPr>
          <w:rFonts w:eastAsia="MS Mincho"/>
        </w:rPr>
      </w:pPr>
      <w:r>
        <w:rPr>
          <w:rFonts w:eastAsia="MS Mincho"/>
        </w:rPr>
        <w:t>22</w:t>
      </w:r>
      <w:r w:rsidR="00154D43">
        <w:rPr>
          <w:rFonts w:eastAsia="MS Mincho"/>
        </w:rPr>
        <w:t>.</w:t>
      </w:r>
      <w:r w:rsidR="00154D43">
        <w:rPr>
          <w:rFonts w:eastAsia="MS Mincho"/>
        </w:rPr>
        <w:tab/>
      </w:r>
      <w:r w:rsidR="00154D43" w:rsidRPr="006E4112">
        <w:rPr>
          <w:rFonts w:eastAsia="MS Mincho"/>
        </w:rPr>
        <w:t xml:space="preserve">The Sub-Committee noted with satisfaction that the TDG Sub-Committee had finalised the work for further alignment of the provisions in Chapter 2.8 of the Model Regulations with those of the GHS as regards the use of alternative methods to animal testing for </w:t>
      </w:r>
      <w:proofErr w:type="spellStart"/>
      <w:r w:rsidR="00154D43" w:rsidRPr="006E4112">
        <w:rPr>
          <w:rFonts w:eastAsia="MS Mincho"/>
        </w:rPr>
        <w:t>corrosivity</w:t>
      </w:r>
      <w:proofErr w:type="spellEnd"/>
      <w:r w:rsidR="00154D43" w:rsidRPr="006E4112">
        <w:rPr>
          <w:rFonts w:eastAsia="MS Mincho"/>
        </w:rPr>
        <w:t xml:space="preserve"> </w:t>
      </w:r>
      <w:r w:rsidR="00154D43">
        <w:rPr>
          <w:rFonts w:eastAsia="MS Mincho"/>
        </w:rPr>
        <w:t>classification</w:t>
      </w:r>
      <w:r w:rsidR="00154D43" w:rsidRPr="006E4112">
        <w:rPr>
          <w:rFonts w:eastAsia="MS Mincho"/>
        </w:rPr>
        <w:t>. The Sub-Committee also noted that:</w:t>
      </w:r>
    </w:p>
    <w:p w:rsidR="00154D43" w:rsidRDefault="00154D43" w:rsidP="00154D43">
      <w:pPr>
        <w:pStyle w:val="Bullet1G"/>
        <w:numPr>
          <w:ilvl w:val="0"/>
          <w:numId w:val="0"/>
        </w:numPr>
        <w:ind w:left="1560" w:hanging="426"/>
        <w:rPr>
          <w:rFonts w:eastAsia="MS Mincho"/>
          <w:lang w:eastAsia="ja-JP"/>
        </w:rPr>
      </w:pPr>
      <w:r>
        <w:rPr>
          <w:rFonts w:eastAsia="MS Mincho"/>
          <w:lang w:eastAsia="ja-JP"/>
        </w:rPr>
        <w:t>(a)</w:t>
      </w:r>
      <w:r>
        <w:rPr>
          <w:rFonts w:eastAsia="MS Mincho"/>
          <w:lang w:eastAsia="ja-JP"/>
        </w:rPr>
        <w:tab/>
      </w:r>
      <w:r w:rsidR="000C49A2">
        <w:rPr>
          <w:rFonts w:eastAsia="MS Mincho"/>
          <w:lang w:eastAsia="ja-JP"/>
        </w:rPr>
        <w:t>M</w:t>
      </w:r>
      <w:r>
        <w:rPr>
          <w:rFonts w:eastAsia="MS Mincho"/>
          <w:lang w:eastAsia="ja-JP"/>
        </w:rPr>
        <w:t>inor amendments to the GHS bridging principles on dilution remain due to the possibility of synergistic effects and the use of a corrosive substance as a diluent</w:t>
      </w:r>
      <w:r w:rsidR="000C49A2">
        <w:rPr>
          <w:rFonts w:eastAsia="MS Mincho"/>
          <w:lang w:eastAsia="ja-JP"/>
        </w:rPr>
        <w:t>;</w:t>
      </w:r>
    </w:p>
    <w:p w:rsidR="00154D43" w:rsidRDefault="000C49A2" w:rsidP="00154D43">
      <w:pPr>
        <w:pStyle w:val="Bullet1G"/>
        <w:numPr>
          <w:ilvl w:val="0"/>
          <w:numId w:val="0"/>
        </w:numPr>
        <w:ind w:left="1560" w:hanging="426"/>
        <w:rPr>
          <w:rFonts w:eastAsia="MS Mincho"/>
          <w:lang w:eastAsia="ja-JP"/>
        </w:rPr>
      </w:pPr>
      <w:r>
        <w:rPr>
          <w:rFonts w:eastAsia="MS Mincho"/>
          <w:lang w:eastAsia="ja-JP"/>
        </w:rPr>
        <w:t>(b)</w:t>
      </w:r>
      <w:r>
        <w:rPr>
          <w:rFonts w:eastAsia="MS Mincho"/>
          <w:lang w:eastAsia="ja-JP"/>
        </w:rPr>
        <w:tab/>
        <w:t>T</w:t>
      </w:r>
      <w:r w:rsidR="00154D43">
        <w:rPr>
          <w:rFonts w:eastAsia="MS Mincho"/>
          <w:lang w:eastAsia="ja-JP"/>
        </w:rPr>
        <w:t>he GHS additivity method does not allow assignment of packing groups, which are used in transport regulations to define transport conditions. Therefore, a newly developed calculation method based on the concentration of the ingredients will be used for assignment of packing groups</w:t>
      </w:r>
      <w:r>
        <w:rPr>
          <w:rFonts w:eastAsia="MS Mincho"/>
          <w:lang w:eastAsia="ja-JP"/>
        </w:rPr>
        <w:t>; and</w:t>
      </w:r>
    </w:p>
    <w:p w:rsidR="00154D43" w:rsidRDefault="00154D43" w:rsidP="00154D43">
      <w:pPr>
        <w:pStyle w:val="Bullet1G"/>
        <w:numPr>
          <w:ilvl w:val="0"/>
          <w:numId w:val="0"/>
        </w:numPr>
        <w:ind w:left="1560" w:hanging="426"/>
        <w:rPr>
          <w:rFonts w:eastAsia="MS Mincho"/>
          <w:lang w:eastAsia="ja-JP"/>
        </w:rPr>
      </w:pPr>
      <w:r>
        <w:rPr>
          <w:rFonts w:eastAsia="MS Mincho"/>
          <w:lang w:eastAsia="ja-JP"/>
        </w:rPr>
        <w:t xml:space="preserve">(c) </w:t>
      </w:r>
      <w:r>
        <w:rPr>
          <w:rFonts w:eastAsia="MS Mincho"/>
          <w:lang w:eastAsia="ja-JP"/>
        </w:rPr>
        <w:tab/>
      </w:r>
      <w:r w:rsidR="000C49A2">
        <w:rPr>
          <w:rFonts w:eastAsia="MS Mincho"/>
          <w:lang w:eastAsia="ja-JP"/>
        </w:rPr>
        <w:t>T</w:t>
      </w:r>
      <w:r>
        <w:rPr>
          <w:rFonts w:eastAsia="MS Mincho"/>
          <w:lang w:eastAsia="ja-JP"/>
        </w:rPr>
        <w:t xml:space="preserve">he use of pH as a criterion for classification was not adopted, as information on the </w:t>
      </w:r>
      <w:proofErr w:type="spellStart"/>
      <w:r>
        <w:rPr>
          <w:rFonts w:eastAsia="MS Mincho"/>
          <w:lang w:eastAsia="ja-JP"/>
        </w:rPr>
        <w:t>corrosivity</w:t>
      </w:r>
      <w:proofErr w:type="spellEnd"/>
      <w:r>
        <w:rPr>
          <w:rFonts w:eastAsia="MS Mincho"/>
          <w:lang w:eastAsia="ja-JP"/>
        </w:rPr>
        <w:t xml:space="preserve"> of the ingredients of a mixture was considered a better indicator of </w:t>
      </w:r>
      <w:proofErr w:type="spellStart"/>
      <w:r>
        <w:rPr>
          <w:rFonts w:eastAsia="MS Mincho"/>
          <w:lang w:eastAsia="ja-JP"/>
        </w:rPr>
        <w:t>corrosivity</w:t>
      </w:r>
      <w:proofErr w:type="spellEnd"/>
      <w:r>
        <w:rPr>
          <w:rFonts w:eastAsia="MS Mincho"/>
          <w:lang w:eastAsia="ja-JP"/>
        </w:rPr>
        <w:t xml:space="preserve"> than the pH of the mixture.</w:t>
      </w:r>
    </w:p>
    <w:p w:rsidR="00154D43" w:rsidRDefault="00DF7FC3" w:rsidP="00154D43">
      <w:pPr>
        <w:pStyle w:val="SingleTxtG"/>
        <w:rPr>
          <w:rFonts w:eastAsia="MS Mincho"/>
        </w:rPr>
      </w:pPr>
      <w:r>
        <w:rPr>
          <w:rFonts w:eastAsia="MS Mincho"/>
        </w:rPr>
        <w:lastRenderedPageBreak/>
        <w:t>23</w:t>
      </w:r>
      <w:r w:rsidR="00154D43">
        <w:rPr>
          <w:rFonts w:eastAsia="MS Mincho"/>
        </w:rPr>
        <w:t>.</w:t>
      </w:r>
      <w:r w:rsidR="00154D43">
        <w:rPr>
          <w:rFonts w:eastAsia="MS Mincho"/>
        </w:rPr>
        <w:tab/>
      </w:r>
      <w:r w:rsidR="00154D43" w:rsidRPr="00372973">
        <w:rPr>
          <w:rFonts w:eastAsia="MS Mincho"/>
        </w:rPr>
        <w:t xml:space="preserve">The Sub-Committee noted the invitation from the TDG Sub-Committee to consider whether the solutions adopted to the issues addressed in sub-paragraphs (a) to (c) </w:t>
      </w:r>
      <w:r w:rsidR="00456432">
        <w:rPr>
          <w:rFonts w:eastAsia="MS Mincho"/>
        </w:rPr>
        <w:t xml:space="preserve">above </w:t>
      </w:r>
      <w:r w:rsidR="00154D43" w:rsidRPr="00372973">
        <w:rPr>
          <w:rFonts w:eastAsia="MS Mincho"/>
        </w:rPr>
        <w:t>could be applicable to other sectors.</w:t>
      </w:r>
    </w:p>
    <w:p w:rsidR="00154D43" w:rsidRPr="002637B2" w:rsidRDefault="00154D43" w:rsidP="00154D43">
      <w:pPr>
        <w:pStyle w:val="H4G"/>
        <w:rPr>
          <w:rFonts w:eastAsia="MS Mincho"/>
        </w:rPr>
      </w:pPr>
      <w:r w:rsidRPr="002637B2">
        <w:rPr>
          <w:rFonts w:eastAsia="MS Mincho"/>
        </w:rPr>
        <w:tab/>
        <w:t>(</w:t>
      </w:r>
      <w:r>
        <w:rPr>
          <w:rFonts w:eastAsia="MS Mincho"/>
        </w:rPr>
        <w:t>b</w:t>
      </w:r>
      <w:r w:rsidRPr="002637B2">
        <w:rPr>
          <w:rFonts w:eastAsia="MS Mincho"/>
        </w:rPr>
        <w:t>)</w:t>
      </w:r>
      <w:r w:rsidRPr="002637B2">
        <w:rPr>
          <w:rFonts w:eastAsia="MS Mincho"/>
        </w:rPr>
        <w:tab/>
      </w:r>
      <w:r>
        <w:rPr>
          <w:rFonts w:eastAsia="MS Mincho"/>
        </w:rPr>
        <w:t>Test method for readily combustible solids (Test N.1)</w:t>
      </w:r>
    </w:p>
    <w:p w:rsidR="00154D43" w:rsidRDefault="00154D43" w:rsidP="00154D43">
      <w:pPr>
        <w:pStyle w:val="SingleTxtG"/>
        <w:tabs>
          <w:tab w:val="left" w:pos="3119"/>
        </w:tabs>
        <w:jc w:val="left"/>
        <w:rPr>
          <w:rFonts w:eastAsia="MS Mincho"/>
          <w:lang w:eastAsia="ja-JP"/>
        </w:rPr>
      </w:pPr>
      <w:r w:rsidRPr="00516216">
        <w:rPr>
          <w:rFonts w:eastAsia="MS Mincho"/>
          <w:i/>
          <w:lang w:eastAsia="ja-JP"/>
        </w:rPr>
        <w:t>Informal document</w:t>
      </w:r>
      <w:r w:rsidRPr="00516216">
        <w:rPr>
          <w:rFonts w:eastAsia="MS Mincho"/>
          <w:lang w:eastAsia="ja-JP"/>
        </w:rPr>
        <w:t>:</w:t>
      </w:r>
      <w:r w:rsidRPr="00516216">
        <w:rPr>
          <w:rFonts w:eastAsia="MS Mincho"/>
          <w:lang w:eastAsia="ja-JP"/>
        </w:rPr>
        <w:tab/>
      </w:r>
      <w:r>
        <w:rPr>
          <w:rFonts w:eastAsia="MS Mincho"/>
          <w:lang w:eastAsia="ja-JP"/>
        </w:rPr>
        <w:t>INF.36, item 8</w:t>
      </w:r>
      <w:r w:rsidRPr="00D05A07">
        <w:t xml:space="preserve"> (</w:t>
      </w:r>
      <w:r>
        <w:t>Secretariat</w:t>
      </w:r>
      <w:r w:rsidRPr="00D05A07">
        <w:t>)</w:t>
      </w:r>
    </w:p>
    <w:p w:rsidR="00154D43" w:rsidRDefault="00DF7FC3" w:rsidP="00154D43">
      <w:pPr>
        <w:pStyle w:val="SingleTxtG"/>
        <w:rPr>
          <w:rFonts w:eastAsia="MS Mincho"/>
          <w:lang w:eastAsia="ja-JP"/>
        </w:rPr>
      </w:pPr>
      <w:r>
        <w:rPr>
          <w:rFonts w:eastAsia="MS Mincho"/>
          <w:lang w:eastAsia="ja-JP"/>
        </w:rPr>
        <w:t>24</w:t>
      </w:r>
      <w:r w:rsidR="00154D43">
        <w:rPr>
          <w:rFonts w:eastAsia="MS Mincho"/>
          <w:lang w:eastAsia="ja-JP"/>
        </w:rPr>
        <w:t>.</w:t>
      </w:r>
      <w:r w:rsidR="00154D43">
        <w:rPr>
          <w:rFonts w:eastAsia="MS Mincho"/>
          <w:lang w:eastAsia="ja-JP"/>
        </w:rPr>
        <w:tab/>
        <w:t xml:space="preserve">The Sub-Committee noted that the TDG Sub-Committee adopted an amendment to Test N.1 to clarify the meaning of “the whole length of the sample”. Some considered it to be the length of the mould used during the test while others considered that it referred to the “timing zone” (i.e. the length over which the burning </w:t>
      </w:r>
      <w:r w:rsidR="00A33FEE">
        <w:rPr>
          <w:rFonts w:eastAsia="MS Mincho"/>
          <w:lang w:eastAsia="ja-JP"/>
        </w:rPr>
        <w:t xml:space="preserve">rate </w:t>
      </w:r>
      <w:r w:rsidR="00154D43">
        <w:rPr>
          <w:rFonts w:eastAsia="MS Mincho"/>
          <w:lang w:eastAsia="ja-JP"/>
        </w:rPr>
        <w:t xml:space="preserve">was measured). The TDG Sub-Committee confirmed that the </w:t>
      </w:r>
      <w:r w:rsidR="00A33FEE">
        <w:rPr>
          <w:rFonts w:eastAsia="MS Mincho"/>
          <w:lang w:eastAsia="ja-JP"/>
        </w:rPr>
        <w:t xml:space="preserve">phrase </w:t>
      </w:r>
      <w:r w:rsidR="00154D43">
        <w:rPr>
          <w:rFonts w:eastAsia="MS Mincho"/>
          <w:lang w:eastAsia="ja-JP"/>
        </w:rPr>
        <w:t>referred to the “timing zone” and agreed to include the exact length in the test provisions to avoid further misunderstandings.</w:t>
      </w:r>
    </w:p>
    <w:p w:rsidR="00154D43" w:rsidRDefault="00DF7FC3" w:rsidP="00154D43">
      <w:pPr>
        <w:pStyle w:val="SingleTxtG"/>
        <w:rPr>
          <w:rFonts w:eastAsia="MS Mincho"/>
          <w:lang w:eastAsia="ja-JP"/>
        </w:rPr>
      </w:pPr>
      <w:r>
        <w:rPr>
          <w:rFonts w:eastAsia="MS Mincho"/>
          <w:lang w:eastAsia="ja-JP"/>
        </w:rPr>
        <w:t>25</w:t>
      </w:r>
      <w:r w:rsidR="00154D43">
        <w:rPr>
          <w:rFonts w:eastAsia="MS Mincho"/>
          <w:lang w:eastAsia="ja-JP"/>
        </w:rPr>
        <w:t>.</w:t>
      </w:r>
      <w:r w:rsidR="00154D43">
        <w:rPr>
          <w:rFonts w:eastAsia="MS Mincho"/>
          <w:lang w:eastAsia="ja-JP"/>
        </w:rPr>
        <w:tab/>
        <w:t>Considering that this clarification might also be useful for GHS users, the Sub-Committee agreed to modify the corresponding text in Chapter 2.7, paragraph 2.7.2.2 of the GHS (see annex</w:t>
      </w:r>
      <w:r w:rsidR="00456432">
        <w:rPr>
          <w:rFonts w:eastAsia="MS Mincho"/>
          <w:lang w:eastAsia="ja-JP"/>
        </w:rPr>
        <w:t xml:space="preserve"> I</w:t>
      </w:r>
      <w:r w:rsidR="00154D43">
        <w:rPr>
          <w:rFonts w:eastAsia="MS Mincho"/>
          <w:lang w:eastAsia="ja-JP"/>
        </w:rPr>
        <w:t xml:space="preserve">). </w:t>
      </w:r>
    </w:p>
    <w:p w:rsidR="00C7058A" w:rsidRDefault="00C7058A" w:rsidP="00C7058A">
      <w:pPr>
        <w:pStyle w:val="H1G"/>
      </w:pPr>
      <w:r>
        <w:rPr>
          <w:rFonts w:eastAsia="MS Mincho"/>
          <w:lang w:eastAsia="ja-JP"/>
        </w:rPr>
        <w:tab/>
        <w:t>C.</w:t>
      </w:r>
      <w:r>
        <w:rPr>
          <w:rFonts w:eastAsia="MS Mincho"/>
          <w:lang w:eastAsia="ja-JP"/>
        </w:rPr>
        <w:tab/>
      </w:r>
      <w:r>
        <w:t>Dust explosion hazards</w:t>
      </w:r>
    </w:p>
    <w:p w:rsidR="00A677EA" w:rsidRDefault="00A677EA" w:rsidP="00A677EA">
      <w:pPr>
        <w:pStyle w:val="SingleTxtG"/>
        <w:tabs>
          <w:tab w:val="left" w:pos="3119"/>
        </w:tabs>
        <w:jc w:val="left"/>
        <w:rPr>
          <w:rFonts w:eastAsia="MS Mincho"/>
          <w:lang w:eastAsia="ja-JP"/>
        </w:rPr>
      </w:pPr>
      <w:r w:rsidRPr="00516216">
        <w:rPr>
          <w:rFonts w:eastAsia="MS Mincho"/>
          <w:i/>
          <w:lang w:eastAsia="ja-JP"/>
        </w:rPr>
        <w:t>Informal document</w:t>
      </w:r>
      <w:r w:rsidRPr="00516216">
        <w:rPr>
          <w:rFonts w:eastAsia="MS Mincho"/>
          <w:lang w:eastAsia="ja-JP"/>
        </w:rPr>
        <w:t>:</w:t>
      </w:r>
      <w:r w:rsidRPr="00516216">
        <w:rPr>
          <w:rFonts w:eastAsia="MS Mincho"/>
          <w:lang w:eastAsia="ja-JP"/>
        </w:rPr>
        <w:tab/>
      </w:r>
      <w:r>
        <w:rPr>
          <w:rFonts w:eastAsia="MS Mincho"/>
          <w:lang w:eastAsia="ja-JP"/>
        </w:rPr>
        <w:t>INF.23</w:t>
      </w:r>
      <w:r w:rsidRPr="00D05A07">
        <w:t xml:space="preserve"> (</w:t>
      </w:r>
      <w:r>
        <w:t>United States of America</w:t>
      </w:r>
      <w:r w:rsidRPr="00D05A07">
        <w:t>)</w:t>
      </w:r>
    </w:p>
    <w:p w:rsidR="00E53344" w:rsidRDefault="00DF7FC3" w:rsidP="00DF7FC3">
      <w:pPr>
        <w:pStyle w:val="SingleTxtG"/>
        <w:rPr>
          <w:rFonts w:eastAsia="MS Mincho"/>
          <w:lang w:eastAsia="ja-JP"/>
        </w:rPr>
      </w:pPr>
      <w:r w:rsidRPr="00917105">
        <w:rPr>
          <w:rFonts w:eastAsia="MS Mincho"/>
          <w:lang w:eastAsia="ja-JP"/>
        </w:rPr>
        <w:t>26.</w:t>
      </w:r>
      <w:r w:rsidRPr="00917105">
        <w:rPr>
          <w:rFonts w:eastAsia="MS Mincho"/>
          <w:lang w:eastAsia="ja-JP"/>
        </w:rPr>
        <w:tab/>
      </w:r>
      <w:r w:rsidR="00962986">
        <w:rPr>
          <w:rFonts w:eastAsia="MS Mincho"/>
          <w:lang w:eastAsia="ja-JP"/>
        </w:rPr>
        <w:t>The Sub-Committee agreed t</w:t>
      </w:r>
      <w:r w:rsidR="00E53344">
        <w:rPr>
          <w:rFonts w:eastAsia="MS Mincho"/>
          <w:lang w:eastAsia="ja-JP"/>
        </w:rPr>
        <w:t xml:space="preserve">hat the informal correspondence group should continue to work in accordance with the work plan detailed in paragraph 8 of INF.23. </w:t>
      </w:r>
    </w:p>
    <w:p w:rsidR="00EB7852" w:rsidRPr="00DF7FC3" w:rsidRDefault="00E53344" w:rsidP="00DF7FC3">
      <w:pPr>
        <w:pStyle w:val="SingleTxtG"/>
        <w:rPr>
          <w:rFonts w:eastAsia="MS Mincho"/>
          <w:lang w:eastAsia="ja-JP"/>
        </w:rPr>
      </w:pPr>
      <w:r w:rsidRPr="0036633F">
        <w:rPr>
          <w:rFonts w:eastAsia="MS Mincho"/>
          <w:lang w:eastAsia="ja-JP"/>
        </w:rPr>
        <w:t>27.</w:t>
      </w:r>
      <w:r w:rsidRPr="0036633F">
        <w:rPr>
          <w:rFonts w:eastAsia="MS Mincho"/>
          <w:lang w:eastAsia="ja-JP"/>
        </w:rPr>
        <w:tab/>
        <w:t xml:space="preserve">It noted </w:t>
      </w:r>
      <w:r w:rsidR="0066188B" w:rsidRPr="0036633F">
        <w:rPr>
          <w:rFonts w:eastAsia="MS Mincho"/>
          <w:lang w:eastAsia="ja-JP"/>
        </w:rPr>
        <w:t xml:space="preserve">that the informal correspondence group reviewed and discussed </w:t>
      </w:r>
      <w:r w:rsidR="00917105" w:rsidRPr="0036633F">
        <w:rPr>
          <w:rFonts w:eastAsia="MS Mincho"/>
          <w:lang w:eastAsia="ja-JP"/>
        </w:rPr>
        <w:t xml:space="preserve">the </w:t>
      </w:r>
      <w:r w:rsidR="0066188B" w:rsidRPr="0036633F">
        <w:rPr>
          <w:rFonts w:eastAsia="MS Mincho"/>
          <w:lang w:eastAsia="ja-JP"/>
        </w:rPr>
        <w:t xml:space="preserve">labelling requirements for combustible dusts </w:t>
      </w:r>
      <w:r w:rsidR="000E15A8" w:rsidRPr="0036633F">
        <w:rPr>
          <w:rFonts w:eastAsia="MS Mincho"/>
          <w:lang w:eastAsia="ja-JP"/>
        </w:rPr>
        <w:t>prescribed by</w:t>
      </w:r>
      <w:r w:rsidR="0066188B" w:rsidRPr="0036633F">
        <w:rPr>
          <w:rFonts w:eastAsia="MS Mincho"/>
          <w:lang w:eastAsia="ja-JP"/>
        </w:rPr>
        <w:t xml:space="preserve"> the applicable </w:t>
      </w:r>
      <w:r w:rsidR="000E15A8" w:rsidRPr="0036633F">
        <w:rPr>
          <w:rFonts w:eastAsia="MS Mincho"/>
          <w:lang w:eastAsia="ja-JP"/>
        </w:rPr>
        <w:t xml:space="preserve">legislation in the </w:t>
      </w:r>
      <w:r w:rsidR="0066188B" w:rsidRPr="0036633F">
        <w:rPr>
          <w:rFonts w:eastAsia="MS Mincho"/>
          <w:lang w:eastAsia="ja-JP"/>
        </w:rPr>
        <w:t xml:space="preserve">United States of America and </w:t>
      </w:r>
      <w:r w:rsidR="000E15A8" w:rsidRPr="0036633F">
        <w:rPr>
          <w:rFonts w:eastAsia="MS Mincho"/>
          <w:lang w:eastAsia="ja-JP"/>
        </w:rPr>
        <w:t xml:space="preserve">in </w:t>
      </w:r>
      <w:r w:rsidR="0066188B" w:rsidRPr="0036633F">
        <w:rPr>
          <w:rFonts w:eastAsia="MS Mincho"/>
          <w:lang w:eastAsia="ja-JP"/>
        </w:rPr>
        <w:t>Canada</w:t>
      </w:r>
      <w:r w:rsidR="009B23F4" w:rsidRPr="0036633F">
        <w:rPr>
          <w:rFonts w:eastAsia="MS Mincho"/>
          <w:lang w:eastAsia="ja-JP"/>
        </w:rPr>
        <w:t xml:space="preserve"> during the meeting held on 8 December 2016</w:t>
      </w:r>
      <w:r w:rsidR="0066188B" w:rsidRPr="0036633F">
        <w:rPr>
          <w:rFonts w:eastAsia="MS Mincho"/>
          <w:lang w:eastAsia="ja-JP"/>
        </w:rPr>
        <w:t xml:space="preserve">. </w:t>
      </w:r>
      <w:r w:rsidR="00D17A48" w:rsidRPr="0036633F">
        <w:rPr>
          <w:rFonts w:eastAsia="MS Mincho"/>
          <w:lang w:eastAsia="ja-JP"/>
        </w:rPr>
        <w:t xml:space="preserve">This </w:t>
      </w:r>
      <w:r w:rsidR="009B23F4" w:rsidRPr="0036633F">
        <w:rPr>
          <w:rFonts w:eastAsia="MS Mincho"/>
          <w:lang w:eastAsia="ja-JP"/>
        </w:rPr>
        <w:t xml:space="preserve">discussion </w:t>
      </w:r>
      <w:r w:rsidR="00D17A48" w:rsidRPr="0036633F">
        <w:rPr>
          <w:rFonts w:eastAsia="MS Mincho"/>
          <w:lang w:eastAsia="ja-JP"/>
        </w:rPr>
        <w:t xml:space="preserve">resulted in </w:t>
      </w:r>
      <w:r w:rsidR="005D3836" w:rsidRPr="0036633F">
        <w:rPr>
          <w:rFonts w:eastAsia="MS Mincho"/>
          <w:lang w:eastAsia="ja-JP"/>
        </w:rPr>
        <w:t xml:space="preserve">a better understanding </w:t>
      </w:r>
      <w:r w:rsidR="009B23F4" w:rsidRPr="0036633F">
        <w:rPr>
          <w:rFonts w:eastAsia="MS Mincho"/>
          <w:lang w:eastAsia="ja-JP"/>
        </w:rPr>
        <w:t xml:space="preserve">as to how </w:t>
      </w:r>
      <w:r w:rsidR="00E54B3E" w:rsidRPr="0036633F">
        <w:rPr>
          <w:rFonts w:eastAsia="MS Mincho"/>
          <w:lang w:eastAsia="ja-JP"/>
        </w:rPr>
        <w:t>labelling requirements are</w:t>
      </w:r>
      <w:r w:rsidR="009B23F4" w:rsidRPr="0036633F">
        <w:rPr>
          <w:rFonts w:eastAsia="MS Mincho"/>
          <w:lang w:eastAsia="ja-JP"/>
        </w:rPr>
        <w:t xml:space="preserve"> applied </w:t>
      </w:r>
      <w:r w:rsidR="00E54B3E" w:rsidRPr="0036633F">
        <w:rPr>
          <w:rFonts w:eastAsia="MS Mincho"/>
          <w:lang w:eastAsia="ja-JP"/>
        </w:rPr>
        <w:t xml:space="preserve">in these countries </w:t>
      </w:r>
      <w:r w:rsidR="009B23F4" w:rsidRPr="0036633F">
        <w:rPr>
          <w:rFonts w:eastAsia="MS Mincho"/>
          <w:lang w:eastAsia="ja-JP"/>
        </w:rPr>
        <w:t xml:space="preserve">to chemicals </w:t>
      </w:r>
      <w:r w:rsidR="005D3836" w:rsidRPr="0036633F">
        <w:rPr>
          <w:rFonts w:eastAsia="MS Mincho"/>
          <w:lang w:eastAsia="ja-JP"/>
        </w:rPr>
        <w:t xml:space="preserve">shipped in a dust form </w:t>
      </w:r>
      <w:r w:rsidR="009B23F4" w:rsidRPr="0036633F">
        <w:rPr>
          <w:rFonts w:eastAsia="MS Mincho"/>
          <w:lang w:eastAsia="ja-JP"/>
        </w:rPr>
        <w:t xml:space="preserve">and to </w:t>
      </w:r>
      <w:r w:rsidR="005D3836" w:rsidRPr="0036633F">
        <w:rPr>
          <w:rFonts w:eastAsia="MS Mincho"/>
          <w:lang w:eastAsia="ja-JP"/>
        </w:rPr>
        <w:t>those form</w:t>
      </w:r>
      <w:r w:rsidR="00D17A48" w:rsidRPr="0036633F">
        <w:rPr>
          <w:rFonts w:eastAsia="MS Mincho"/>
          <w:lang w:eastAsia="ja-JP"/>
        </w:rPr>
        <w:t>ing</w:t>
      </w:r>
      <w:r w:rsidR="005D3836" w:rsidRPr="0036633F">
        <w:rPr>
          <w:rFonts w:eastAsia="MS Mincho"/>
          <w:lang w:eastAsia="ja-JP"/>
        </w:rPr>
        <w:t xml:space="preserve"> a dust when processed. </w:t>
      </w:r>
      <w:r w:rsidR="000E15A8" w:rsidRPr="0036633F">
        <w:rPr>
          <w:rFonts w:eastAsia="MS Mincho"/>
          <w:lang w:eastAsia="ja-JP"/>
        </w:rPr>
        <w:t>The informal correspondence group considered th</w:t>
      </w:r>
      <w:r w:rsidR="00917105" w:rsidRPr="0036633F">
        <w:rPr>
          <w:rFonts w:eastAsia="MS Mincho"/>
          <w:lang w:eastAsia="ja-JP"/>
        </w:rPr>
        <w:t>is</w:t>
      </w:r>
      <w:r w:rsidR="000E15A8" w:rsidRPr="0036633F">
        <w:rPr>
          <w:rFonts w:eastAsia="MS Mincho"/>
          <w:lang w:eastAsia="ja-JP"/>
        </w:rPr>
        <w:t xml:space="preserve"> information to determine what </w:t>
      </w:r>
      <w:r w:rsidR="000952EC" w:rsidRPr="0036633F">
        <w:rPr>
          <w:rFonts w:eastAsia="MS Mincho"/>
          <w:lang w:eastAsia="ja-JP"/>
        </w:rPr>
        <w:t>could</w:t>
      </w:r>
      <w:r w:rsidR="000E15A8" w:rsidRPr="0036633F">
        <w:rPr>
          <w:rFonts w:eastAsia="MS Mincho"/>
          <w:lang w:eastAsia="ja-JP"/>
        </w:rPr>
        <w:t xml:space="preserve"> be included in </w:t>
      </w:r>
      <w:r w:rsidR="009B23F4" w:rsidRPr="0036633F">
        <w:rPr>
          <w:rFonts w:eastAsia="MS Mincho"/>
          <w:lang w:eastAsia="ja-JP"/>
        </w:rPr>
        <w:t>the draft annex</w:t>
      </w:r>
      <w:r w:rsidR="0036633F" w:rsidRPr="0036633F">
        <w:rPr>
          <w:rFonts w:eastAsia="MS Mincho"/>
          <w:lang w:eastAsia="ja-JP"/>
        </w:rPr>
        <w:t>,</w:t>
      </w:r>
      <w:r w:rsidR="009B23F4" w:rsidRPr="0036633F">
        <w:rPr>
          <w:rFonts w:eastAsia="MS Mincho"/>
          <w:lang w:eastAsia="ja-JP"/>
        </w:rPr>
        <w:t xml:space="preserve"> in </w:t>
      </w:r>
      <w:r w:rsidR="000E15A8" w:rsidRPr="0036633F">
        <w:rPr>
          <w:rFonts w:eastAsia="MS Mincho"/>
          <w:lang w:eastAsia="ja-JP"/>
        </w:rPr>
        <w:t>the section on supplemental information for hazard communication.</w:t>
      </w:r>
      <w:r w:rsidRPr="0036633F">
        <w:rPr>
          <w:rFonts w:eastAsia="MS Mincho"/>
          <w:lang w:eastAsia="ja-JP"/>
        </w:rPr>
        <w:t xml:space="preserve"> </w:t>
      </w:r>
      <w:r w:rsidR="00040ECA" w:rsidRPr="0036633F">
        <w:rPr>
          <w:rFonts w:eastAsia="MS Mincho"/>
          <w:lang w:eastAsia="ja-JP"/>
        </w:rPr>
        <w:t xml:space="preserve">The Sub-Committee also noted that the informal correspondence group started the review of the draft annex </w:t>
      </w:r>
      <w:r w:rsidR="00C94B23" w:rsidRPr="0036633F">
        <w:rPr>
          <w:rFonts w:eastAsia="MS Mincho"/>
          <w:lang w:eastAsia="ja-JP"/>
        </w:rPr>
        <w:t xml:space="preserve">in INF.23 </w:t>
      </w:r>
      <w:r w:rsidR="00FA33D4" w:rsidRPr="0036633F">
        <w:rPr>
          <w:rFonts w:eastAsia="MS Mincho"/>
          <w:lang w:eastAsia="ja-JP"/>
        </w:rPr>
        <w:t xml:space="preserve">and intended to </w:t>
      </w:r>
      <w:r w:rsidR="0036633F">
        <w:rPr>
          <w:rFonts w:eastAsia="MS Mincho"/>
          <w:lang w:eastAsia="ja-JP"/>
        </w:rPr>
        <w:t>finalise it</w:t>
      </w:r>
      <w:r w:rsidR="00FA33D4" w:rsidRPr="0036633F">
        <w:rPr>
          <w:rFonts w:eastAsia="MS Mincho"/>
          <w:lang w:eastAsia="ja-JP"/>
        </w:rPr>
        <w:t xml:space="preserve"> </w:t>
      </w:r>
      <w:r w:rsidR="00040ECA" w:rsidRPr="0036633F">
        <w:rPr>
          <w:rFonts w:eastAsia="MS Mincho"/>
          <w:lang w:eastAsia="ja-JP"/>
        </w:rPr>
        <w:t>in time to submit a formal proposal for the thirty-third session.</w:t>
      </w:r>
      <w:r w:rsidR="00EB7852">
        <w:t xml:space="preserve">  </w:t>
      </w:r>
    </w:p>
    <w:p w:rsidR="00154D43" w:rsidRDefault="00154D43" w:rsidP="00154D43">
      <w:pPr>
        <w:pStyle w:val="H1G"/>
      </w:pPr>
      <w:r>
        <w:rPr>
          <w:rFonts w:eastAsia="MS Mincho"/>
          <w:lang w:eastAsia="ja-JP"/>
        </w:rPr>
        <w:tab/>
        <w:t>D.</w:t>
      </w:r>
      <w:r>
        <w:rPr>
          <w:rFonts w:eastAsia="MS Mincho"/>
          <w:lang w:eastAsia="ja-JP"/>
        </w:rPr>
        <w:tab/>
      </w:r>
      <w:r>
        <w:t>Practical classification issues</w:t>
      </w:r>
    </w:p>
    <w:p w:rsidR="00154D43" w:rsidRDefault="00154D43" w:rsidP="00154D43">
      <w:pPr>
        <w:pStyle w:val="SingleTxtG"/>
        <w:tabs>
          <w:tab w:val="left" w:pos="3119"/>
        </w:tabs>
        <w:jc w:val="left"/>
        <w:rPr>
          <w:rFonts w:eastAsia="MS Mincho"/>
          <w:lang w:eastAsia="ja-JP"/>
        </w:rPr>
      </w:pPr>
      <w:r w:rsidRPr="00516216">
        <w:rPr>
          <w:rFonts w:eastAsia="MS Mincho"/>
          <w:i/>
          <w:lang w:eastAsia="ja-JP"/>
        </w:rPr>
        <w:t>Informal document</w:t>
      </w:r>
      <w:r w:rsidR="00B312C7">
        <w:rPr>
          <w:rFonts w:eastAsia="MS Mincho"/>
          <w:i/>
          <w:lang w:eastAsia="ja-JP"/>
        </w:rPr>
        <w:t>s</w:t>
      </w:r>
      <w:r w:rsidRPr="00516216">
        <w:rPr>
          <w:rFonts w:eastAsia="MS Mincho"/>
          <w:lang w:eastAsia="ja-JP"/>
        </w:rPr>
        <w:t>:</w:t>
      </w:r>
      <w:r w:rsidRPr="00516216">
        <w:rPr>
          <w:rFonts w:eastAsia="MS Mincho"/>
          <w:lang w:eastAsia="ja-JP"/>
        </w:rPr>
        <w:tab/>
      </w:r>
      <w:r>
        <w:rPr>
          <w:rFonts w:eastAsia="MS Mincho"/>
          <w:lang w:eastAsia="ja-JP"/>
        </w:rPr>
        <w:t>INF.35</w:t>
      </w:r>
      <w:r w:rsidRPr="00D05A07">
        <w:t xml:space="preserve"> (</w:t>
      </w:r>
      <w:r>
        <w:t>European Union</w:t>
      </w:r>
      <w:r w:rsidRPr="00D05A07">
        <w:t>)</w:t>
      </w:r>
      <w:r w:rsidR="00B312C7">
        <w:br/>
      </w:r>
      <w:r w:rsidR="00B312C7">
        <w:rPr>
          <w:rFonts w:eastAsia="MS Mincho"/>
          <w:lang w:eastAsia="ja-JP"/>
        </w:rPr>
        <w:tab/>
        <w:t>INF.39</w:t>
      </w:r>
      <w:r w:rsidR="00B312C7" w:rsidRPr="00D05A07">
        <w:t xml:space="preserve"> (</w:t>
      </w:r>
      <w:r w:rsidR="00B312C7">
        <w:t>United States of America</w:t>
      </w:r>
      <w:r w:rsidR="00B312C7" w:rsidRPr="00D05A07">
        <w:t>)</w:t>
      </w:r>
    </w:p>
    <w:p w:rsidR="00154D43" w:rsidRDefault="00882F73" w:rsidP="00154D43">
      <w:pPr>
        <w:pStyle w:val="SingleTxtG"/>
        <w:rPr>
          <w:rFonts w:eastAsia="MS Mincho"/>
        </w:rPr>
      </w:pPr>
      <w:r>
        <w:rPr>
          <w:rFonts w:eastAsia="MS Mincho"/>
        </w:rPr>
        <w:t>28</w:t>
      </w:r>
      <w:r w:rsidR="00154D43">
        <w:rPr>
          <w:rFonts w:eastAsia="MS Mincho"/>
        </w:rPr>
        <w:t>.</w:t>
      </w:r>
      <w:r w:rsidR="00154D43">
        <w:rPr>
          <w:rFonts w:eastAsia="MS Mincho"/>
        </w:rPr>
        <w:tab/>
        <w:t>The Sub-Committee entrusted consideration of the issue raised in paragraph 6 in INF.35 to the informal correspondence group on practical classification issues.</w:t>
      </w:r>
    </w:p>
    <w:p w:rsidR="004A4C65" w:rsidRDefault="00882F73" w:rsidP="004A4C65">
      <w:pPr>
        <w:pStyle w:val="SingleTxtG"/>
        <w:rPr>
          <w:rFonts w:eastAsia="MS Mincho"/>
        </w:rPr>
      </w:pPr>
      <w:r>
        <w:rPr>
          <w:rFonts w:eastAsia="MS Mincho"/>
        </w:rPr>
        <w:t>29</w:t>
      </w:r>
      <w:r w:rsidR="004A4C65">
        <w:rPr>
          <w:rFonts w:eastAsia="MS Mincho"/>
        </w:rPr>
        <w:t>.</w:t>
      </w:r>
      <w:r w:rsidR="004A4C65">
        <w:rPr>
          <w:rFonts w:eastAsia="MS Mincho"/>
        </w:rPr>
        <w:tab/>
        <w:t xml:space="preserve">The expert from the United States of America informed the Sub-Committee that, during its meeting on Wednesday 7 December, the informal </w:t>
      </w:r>
      <w:r w:rsidR="00A45178">
        <w:rPr>
          <w:rFonts w:eastAsia="MS Mincho"/>
        </w:rPr>
        <w:t xml:space="preserve">correspondence </w:t>
      </w:r>
      <w:r w:rsidR="004A4C65">
        <w:rPr>
          <w:rFonts w:eastAsia="MS Mincho"/>
        </w:rPr>
        <w:t>group had considered items for its programme of work for the next biennium and continued its discussions on the application of the bridging principles.</w:t>
      </w:r>
    </w:p>
    <w:p w:rsidR="004A4C65" w:rsidRDefault="00882F73" w:rsidP="004A4C65">
      <w:pPr>
        <w:pStyle w:val="SingleTxtG"/>
        <w:rPr>
          <w:rFonts w:eastAsia="MS Mincho"/>
        </w:rPr>
      </w:pPr>
      <w:r>
        <w:rPr>
          <w:rFonts w:eastAsia="MS Mincho"/>
        </w:rPr>
        <w:t>30</w:t>
      </w:r>
      <w:r w:rsidR="004A4C65">
        <w:rPr>
          <w:rFonts w:eastAsia="MS Mincho"/>
        </w:rPr>
        <w:t>.</w:t>
      </w:r>
      <w:r w:rsidR="004A4C65">
        <w:rPr>
          <w:rFonts w:eastAsia="MS Mincho"/>
        </w:rPr>
        <w:tab/>
        <w:t xml:space="preserve">The Sub-Committee agreed to the terms of reference for the informal </w:t>
      </w:r>
      <w:r w:rsidR="00A45178">
        <w:rPr>
          <w:rFonts w:eastAsia="MS Mincho"/>
        </w:rPr>
        <w:t xml:space="preserve">correspondence </w:t>
      </w:r>
      <w:r w:rsidR="004A4C65">
        <w:rPr>
          <w:rFonts w:eastAsia="MS Mincho"/>
        </w:rPr>
        <w:t>group contained in INF.39.</w:t>
      </w:r>
    </w:p>
    <w:p w:rsidR="004A4C65" w:rsidRPr="00B26F54" w:rsidRDefault="004A4C65" w:rsidP="004A4C65">
      <w:pPr>
        <w:pStyle w:val="H1G"/>
        <w:rPr>
          <w:rFonts w:eastAsia="MS Mincho"/>
          <w:lang w:eastAsia="ja-JP"/>
        </w:rPr>
      </w:pPr>
      <w:r>
        <w:rPr>
          <w:rFonts w:eastAsia="MS Mincho"/>
          <w:lang w:eastAsia="ja-JP"/>
        </w:rPr>
        <w:lastRenderedPageBreak/>
        <w:tab/>
        <w:t>E.</w:t>
      </w:r>
      <w:r>
        <w:rPr>
          <w:rFonts w:eastAsia="MS Mincho"/>
          <w:lang w:eastAsia="ja-JP"/>
        </w:rPr>
        <w:tab/>
      </w:r>
      <w:r>
        <w:t>Aspiration hazard</w:t>
      </w:r>
    </w:p>
    <w:p w:rsidR="004A4C65" w:rsidRPr="00A27E31" w:rsidRDefault="00882F73" w:rsidP="004A4C65">
      <w:pPr>
        <w:pStyle w:val="SingleTxtG"/>
        <w:jc w:val="left"/>
        <w:rPr>
          <w:rFonts w:eastAsia="MS Mincho"/>
          <w:lang w:val="en-US" w:eastAsia="ja-JP"/>
        </w:rPr>
      </w:pPr>
      <w:r w:rsidRPr="00A27E31">
        <w:rPr>
          <w:rFonts w:eastAsia="MS Mincho"/>
          <w:lang w:val="en-US" w:eastAsia="ja-JP"/>
        </w:rPr>
        <w:t>31</w:t>
      </w:r>
      <w:r w:rsidR="004A4C65" w:rsidRPr="00A27E31">
        <w:rPr>
          <w:rFonts w:eastAsia="MS Mincho"/>
          <w:lang w:val="en-US" w:eastAsia="ja-JP"/>
        </w:rPr>
        <w:t>.</w:t>
      </w:r>
      <w:r w:rsidR="004A4C65" w:rsidRPr="00A27E31">
        <w:rPr>
          <w:rFonts w:eastAsia="MS Mincho"/>
          <w:lang w:val="en-US" w:eastAsia="ja-JP"/>
        </w:rPr>
        <w:tab/>
        <w:t>The Sub-Committee considered this issue under agenda item 7.</w:t>
      </w:r>
    </w:p>
    <w:p w:rsidR="004A4C65" w:rsidRPr="00FD2D5D" w:rsidRDefault="004A4C65" w:rsidP="004A4C65">
      <w:pPr>
        <w:pStyle w:val="H1G"/>
        <w:rPr>
          <w:rFonts w:eastAsia="MS Mincho"/>
          <w:lang w:val="fr-CH" w:eastAsia="ja-JP"/>
        </w:rPr>
      </w:pPr>
      <w:r w:rsidRPr="00A27E31">
        <w:rPr>
          <w:rFonts w:eastAsia="MS Mincho"/>
          <w:lang w:val="en-US" w:eastAsia="ja-JP"/>
        </w:rPr>
        <w:tab/>
      </w:r>
      <w:r w:rsidRPr="00FD2D5D">
        <w:rPr>
          <w:rFonts w:eastAsia="MS Mincho"/>
          <w:lang w:val="fr-CH" w:eastAsia="ja-JP"/>
        </w:rPr>
        <w:t>F.</w:t>
      </w:r>
      <w:r w:rsidRPr="00FD2D5D">
        <w:rPr>
          <w:rFonts w:eastAsia="MS Mincho"/>
          <w:lang w:val="fr-CH" w:eastAsia="ja-JP"/>
        </w:rPr>
        <w:tab/>
      </w:r>
      <w:proofErr w:type="spellStart"/>
      <w:r w:rsidRPr="00FD2D5D">
        <w:rPr>
          <w:lang w:val="fr-CH"/>
        </w:rPr>
        <w:t>Nanomaterials</w:t>
      </w:r>
      <w:proofErr w:type="spellEnd"/>
    </w:p>
    <w:p w:rsidR="004A4C65" w:rsidRPr="00FD2D5D" w:rsidRDefault="004A4C65" w:rsidP="004A4C65">
      <w:pPr>
        <w:pStyle w:val="SingleTxtG"/>
        <w:tabs>
          <w:tab w:val="left" w:pos="3119"/>
        </w:tabs>
        <w:jc w:val="left"/>
        <w:rPr>
          <w:lang w:val="fr-CH"/>
        </w:rPr>
      </w:pPr>
      <w:r w:rsidRPr="00FD2D5D">
        <w:rPr>
          <w:rFonts w:eastAsia="MS Mincho"/>
          <w:i/>
          <w:lang w:val="fr-CH" w:eastAsia="ja-JP"/>
        </w:rPr>
        <w:t xml:space="preserve">Informal </w:t>
      </w:r>
      <w:proofErr w:type="gramStart"/>
      <w:r w:rsidRPr="00FD2D5D">
        <w:rPr>
          <w:rFonts w:eastAsia="MS Mincho"/>
          <w:i/>
          <w:lang w:val="fr-CH" w:eastAsia="ja-JP"/>
        </w:rPr>
        <w:t>document</w:t>
      </w:r>
      <w:r w:rsidRPr="00FD2D5D">
        <w:rPr>
          <w:rFonts w:eastAsia="MS Mincho"/>
          <w:lang w:val="fr-CH" w:eastAsia="ja-JP"/>
        </w:rPr>
        <w:t>:</w:t>
      </w:r>
      <w:proofErr w:type="gramEnd"/>
      <w:r w:rsidRPr="00FD2D5D">
        <w:rPr>
          <w:rFonts w:eastAsia="MS Mincho"/>
          <w:lang w:val="fr-CH" w:eastAsia="ja-JP"/>
        </w:rPr>
        <w:tab/>
      </w:r>
      <w:r w:rsidRPr="00FD2D5D">
        <w:rPr>
          <w:lang w:val="fr-CH"/>
        </w:rPr>
        <w:t>INF.27 (France)</w:t>
      </w:r>
    </w:p>
    <w:p w:rsidR="004A4C65" w:rsidRPr="00FA33D4" w:rsidRDefault="00882F73" w:rsidP="00FA33D4">
      <w:pPr>
        <w:pStyle w:val="SingleTxtG"/>
        <w:rPr>
          <w:rFonts w:eastAsia="MS Mincho"/>
        </w:rPr>
      </w:pPr>
      <w:r>
        <w:rPr>
          <w:rFonts w:eastAsia="MS Mincho"/>
        </w:rPr>
        <w:t>32</w:t>
      </w:r>
      <w:r w:rsidR="004A4C65" w:rsidRPr="00FA33D4">
        <w:rPr>
          <w:rFonts w:eastAsia="MS Mincho"/>
        </w:rPr>
        <w:t>.</w:t>
      </w:r>
      <w:r w:rsidR="004A4C65" w:rsidRPr="00FA33D4">
        <w:rPr>
          <w:rFonts w:eastAsia="MS Mincho"/>
        </w:rPr>
        <w:tab/>
        <w:t xml:space="preserve">The Sub-Committee noted the information on the progress made by the informal </w:t>
      </w:r>
      <w:r w:rsidR="000A321A" w:rsidRPr="00FA33D4">
        <w:rPr>
          <w:rFonts w:eastAsia="MS Mincho"/>
        </w:rPr>
        <w:t xml:space="preserve">correspondence </w:t>
      </w:r>
      <w:r w:rsidR="004A4C65" w:rsidRPr="00FA33D4">
        <w:rPr>
          <w:rFonts w:eastAsia="MS Mincho"/>
        </w:rPr>
        <w:t>group and agreed to the programme of work for the next biennium proposed in paragraph 9 of INF.27 (see annex</w:t>
      </w:r>
      <w:r w:rsidR="00456432">
        <w:rPr>
          <w:rFonts w:eastAsia="MS Mincho"/>
        </w:rPr>
        <w:t xml:space="preserve"> III</w:t>
      </w:r>
      <w:r w:rsidR="004A4C65" w:rsidRPr="00FA33D4">
        <w:rPr>
          <w:rFonts w:eastAsia="MS Mincho"/>
        </w:rPr>
        <w:t xml:space="preserve">). The expert from France reiterated </w:t>
      </w:r>
      <w:r w:rsidR="007B6E42" w:rsidRPr="00FA33D4">
        <w:rPr>
          <w:rFonts w:eastAsia="MS Mincho"/>
        </w:rPr>
        <w:t xml:space="preserve">his </w:t>
      </w:r>
      <w:r w:rsidR="004A4C65" w:rsidRPr="00FA33D4">
        <w:rPr>
          <w:rFonts w:eastAsia="MS Mincho"/>
        </w:rPr>
        <w:t xml:space="preserve">invitation to interested experts to participate in the work of the informal </w:t>
      </w:r>
      <w:r w:rsidR="000A321A" w:rsidRPr="00FA33D4">
        <w:rPr>
          <w:rFonts w:eastAsia="MS Mincho"/>
        </w:rPr>
        <w:t xml:space="preserve">correspondence </w:t>
      </w:r>
      <w:r w:rsidR="004A4C65" w:rsidRPr="00FA33D4">
        <w:rPr>
          <w:rFonts w:eastAsia="MS Mincho"/>
        </w:rPr>
        <w:t xml:space="preserve">group. </w:t>
      </w:r>
    </w:p>
    <w:p w:rsidR="004A4C65" w:rsidRDefault="004A4C65" w:rsidP="004A4C65">
      <w:pPr>
        <w:pStyle w:val="H1G"/>
      </w:pPr>
      <w:r w:rsidRPr="00A27E31">
        <w:rPr>
          <w:rFonts w:eastAsia="MS Mincho"/>
          <w:lang w:val="en-US" w:eastAsia="ja-JP"/>
        </w:rPr>
        <w:tab/>
      </w:r>
      <w:r>
        <w:rPr>
          <w:rFonts w:eastAsia="MS Mincho"/>
          <w:lang w:eastAsia="ja-JP"/>
        </w:rPr>
        <w:t>G.</w:t>
      </w:r>
      <w:r>
        <w:rPr>
          <w:rFonts w:eastAsia="MS Mincho"/>
          <w:lang w:eastAsia="ja-JP"/>
        </w:rPr>
        <w:tab/>
      </w:r>
      <w:r>
        <w:t>Miscellaneous</w:t>
      </w:r>
    </w:p>
    <w:p w:rsidR="004A4C65" w:rsidRDefault="004A4C65" w:rsidP="004A4C65">
      <w:pPr>
        <w:pStyle w:val="H23G"/>
      </w:pPr>
      <w:r>
        <w:tab/>
      </w:r>
      <w:r w:rsidR="00A677EA">
        <w:t>1</w:t>
      </w:r>
      <w:r>
        <w:t>.</w:t>
      </w:r>
      <w:r>
        <w:tab/>
        <w:t>Chemicals under pressure</w:t>
      </w:r>
    </w:p>
    <w:p w:rsidR="004A4C65" w:rsidRDefault="004A4C65" w:rsidP="004A4C65">
      <w:pPr>
        <w:pStyle w:val="SingleTxtG"/>
        <w:tabs>
          <w:tab w:val="left" w:pos="3119"/>
        </w:tabs>
        <w:jc w:val="left"/>
      </w:pPr>
      <w:r w:rsidRPr="004D3309">
        <w:rPr>
          <w:i/>
        </w:rPr>
        <w:t>Informal documents</w:t>
      </w:r>
      <w:r>
        <w:t>:</w:t>
      </w:r>
      <w:r>
        <w:tab/>
        <w:t>INF.26 (CEFIC, EIGA)</w:t>
      </w:r>
      <w:r>
        <w:br/>
      </w:r>
      <w:r>
        <w:tab/>
        <w:t>INF.28 (EIGA)</w:t>
      </w:r>
    </w:p>
    <w:p w:rsidR="004A4C65" w:rsidRPr="00FA33D4" w:rsidRDefault="00882F73" w:rsidP="00FA33D4">
      <w:pPr>
        <w:pStyle w:val="SingleTxtG"/>
      </w:pPr>
      <w:r>
        <w:t>33</w:t>
      </w:r>
      <w:r w:rsidR="004A4C65" w:rsidRPr="00FA33D4">
        <w:t>.</w:t>
      </w:r>
      <w:r w:rsidR="004A4C65" w:rsidRPr="00FA33D4">
        <w:tab/>
        <w:t xml:space="preserve">The Sub-Committee agreed that classification and labelling of chemicals under pressure was an issue that needed to be addressed during the next biennium. </w:t>
      </w:r>
    </w:p>
    <w:p w:rsidR="004A4C65" w:rsidRDefault="00882F73" w:rsidP="004A4C65">
      <w:pPr>
        <w:pStyle w:val="SingleTxtG"/>
      </w:pPr>
      <w:r>
        <w:t>34</w:t>
      </w:r>
      <w:r w:rsidR="004A4C65">
        <w:t>.</w:t>
      </w:r>
      <w:r w:rsidR="004A4C65">
        <w:tab/>
      </w:r>
      <w:r w:rsidR="004A4C65" w:rsidRPr="003B0856">
        <w:t xml:space="preserve">Some experts thought that a new separate chapter should be developed for a new hazard class “chemicals under pressure”. Others considered that current chapter 2.3 on aerosols could be modified to incorporate criteria for classification and labelling of chemicals under pressure. </w:t>
      </w:r>
      <w:r w:rsidR="00A45178">
        <w:t>A few</w:t>
      </w:r>
      <w:r w:rsidR="00A45178" w:rsidRPr="003B0856">
        <w:t xml:space="preserve"> </w:t>
      </w:r>
      <w:r w:rsidR="005E3CB9">
        <w:t>other</w:t>
      </w:r>
      <w:r w:rsidR="00A45178">
        <w:t>s</w:t>
      </w:r>
      <w:r w:rsidR="005E3CB9" w:rsidRPr="003B0856">
        <w:t xml:space="preserve"> </w:t>
      </w:r>
      <w:r w:rsidR="004A4C65" w:rsidRPr="003B0856">
        <w:t xml:space="preserve">indicated that they had some additional comments on the proposal in INF.26 and volunteered to share them with the </w:t>
      </w:r>
      <w:r w:rsidR="007B6E42">
        <w:t>representatives</w:t>
      </w:r>
      <w:r w:rsidR="007B6E42" w:rsidRPr="003B0856">
        <w:t xml:space="preserve"> </w:t>
      </w:r>
      <w:r w:rsidR="007B6E42">
        <w:t>of</w:t>
      </w:r>
      <w:r w:rsidR="007B6E42" w:rsidRPr="003B0856">
        <w:t xml:space="preserve"> </w:t>
      </w:r>
      <w:r w:rsidR="004A4C65" w:rsidRPr="003B0856">
        <w:t xml:space="preserve">CEFIC and EIGA. </w:t>
      </w:r>
    </w:p>
    <w:p w:rsidR="004A4C65" w:rsidRDefault="00882F73" w:rsidP="004A4C65">
      <w:pPr>
        <w:pStyle w:val="SingleTxtG"/>
      </w:pPr>
      <w:r>
        <w:t>35</w:t>
      </w:r>
      <w:r w:rsidR="004A4C65">
        <w:t>.</w:t>
      </w:r>
      <w:r w:rsidR="004A4C65">
        <w:tab/>
      </w:r>
      <w:r w:rsidR="004A4C65" w:rsidRPr="003B0856">
        <w:t>The Sub-Committee invited the authors of the proposal to take account of the comments made and deferred its decision on the location of the new provisions (i.e. in a new chapter or in a revised version of current chapter 2.3) until the proposal was further developed</w:t>
      </w:r>
      <w:r w:rsidR="007B6E42">
        <w:t xml:space="preserve"> by the </w:t>
      </w:r>
      <w:r w:rsidR="000A321A">
        <w:t xml:space="preserve">informal </w:t>
      </w:r>
      <w:r w:rsidR="007B6E42">
        <w:t>correspondence group led by CEFIC and EIGA</w:t>
      </w:r>
      <w:r w:rsidR="004A4C65" w:rsidRPr="003B0856">
        <w:t>.</w:t>
      </w:r>
    </w:p>
    <w:p w:rsidR="004A4C65" w:rsidRDefault="004A4C65" w:rsidP="004A4C65">
      <w:pPr>
        <w:pStyle w:val="H23G"/>
      </w:pPr>
      <w:r>
        <w:tab/>
      </w:r>
      <w:r w:rsidR="00B312C7">
        <w:t>2</w:t>
      </w:r>
      <w:r>
        <w:t>.</w:t>
      </w:r>
      <w:r>
        <w:tab/>
        <w:t>Use of non-animal testing methods for the classification of health hazards</w:t>
      </w:r>
    </w:p>
    <w:p w:rsidR="004A4C65" w:rsidRDefault="00882F73" w:rsidP="004A4C65">
      <w:pPr>
        <w:pStyle w:val="SingleTxtG"/>
      </w:pPr>
      <w:r>
        <w:t>36</w:t>
      </w:r>
      <w:r w:rsidR="004A4C65">
        <w:t>.</w:t>
      </w:r>
      <w:r w:rsidR="004A4C65">
        <w:tab/>
        <w:t xml:space="preserve">The Sub-Committee noted that work on this issue had started following the adoption of the terms of reference for the work of the informal </w:t>
      </w:r>
      <w:r w:rsidR="000A321A">
        <w:t xml:space="preserve">correspondence </w:t>
      </w:r>
      <w:r w:rsidR="004A4C65">
        <w:t xml:space="preserve">group at the thirty-first session. It was noted that the group had started examination of existing guidelines on skin irritation/corrosion and that four </w:t>
      </w:r>
      <w:r w:rsidR="004A4C65" w:rsidRPr="001A4BC3">
        <w:rPr>
          <w:i/>
        </w:rPr>
        <w:t>in vitro</w:t>
      </w:r>
      <w:r w:rsidR="004A4C65" w:rsidRPr="001A4BC3">
        <w:t xml:space="preserve"> </w:t>
      </w:r>
      <w:r w:rsidR="00040C4E">
        <w:t>t</w:t>
      </w:r>
      <w:r w:rsidR="00040C4E" w:rsidRPr="001A4BC3">
        <w:t xml:space="preserve">est </w:t>
      </w:r>
      <w:r w:rsidR="00040C4E">
        <w:t>g</w:t>
      </w:r>
      <w:r w:rsidR="00040C4E" w:rsidRPr="001A4BC3">
        <w:t xml:space="preserve">uidelines </w:t>
      </w:r>
      <w:r w:rsidR="004A4C65" w:rsidRPr="001A4BC3">
        <w:t>had been selected.</w:t>
      </w:r>
      <w:r w:rsidR="004A4C65" w:rsidRPr="009E311E">
        <w:rPr>
          <w:color w:val="0070C0"/>
          <w:lang w:val="en-US"/>
        </w:rPr>
        <w:t xml:space="preserve"> </w:t>
      </w:r>
      <w:r w:rsidR="004A4C65" w:rsidRPr="00A109A3">
        <w:t>Work continue</w:t>
      </w:r>
      <w:r w:rsidR="004A4C65">
        <w:t>s within the group</w:t>
      </w:r>
      <w:r w:rsidR="004A4C65" w:rsidRPr="00A109A3">
        <w:t xml:space="preserve"> to determine the best way to include a reference to these test guidelines in the GHS</w:t>
      </w:r>
      <w:r w:rsidR="004A4C65">
        <w:t xml:space="preserve">. The informal </w:t>
      </w:r>
      <w:r w:rsidR="00A45178">
        <w:t xml:space="preserve">correspondence </w:t>
      </w:r>
      <w:r w:rsidR="004A4C65">
        <w:t>group will inform the Sub-Committee at its thirty-</w:t>
      </w:r>
      <w:r w:rsidR="005E3CB9">
        <w:t xml:space="preserve">third </w:t>
      </w:r>
      <w:r w:rsidR="004A4C65">
        <w:t xml:space="preserve">session about the progress made.  </w:t>
      </w:r>
    </w:p>
    <w:p w:rsidR="004A4C65" w:rsidRPr="00F520B1" w:rsidRDefault="004A4C65" w:rsidP="004A4C65">
      <w:pPr>
        <w:pStyle w:val="HChG"/>
      </w:pPr>
      <w:r w:rsidRPr="00D259AD">
        <w:tab/>
      </w:r>
      <w:r w:rsidRPr="00F520B1">
        <w:t>IV.</w:t>
      </w:r>
      <w:r w:rsidRPr="00F520B1">
        <w:tab/>
        <w:t>Hazard communication issues (agenda item 3)</w:t>
      </w:r>
    </w:p>
    <w:p w:rsidR="004A4C65" w:rsidRDefault="004A4C65" w:rsidP="004A4C65">
      <w:pPr>
        <w:pStyle w:val="H1G"/>
        <w:rPr>
          <w:rFonts w:eastAsia="MS Mincho"/>
          <w:lang w:eastAsia="ja-JP"/>
        </w:rPr>
      </w:pPr>
      <w:r>
        <w:rPr>
          <w:rFonts w:eastAsia="MS Mincho"/>
          <w:lang w:eastAsia="ja-JP"/>
        </w:rPr>
        <w:tab/>
        <w:t>A.</w:t>
      </w:r>
      <w:r>
        <w:rPr>
          <w:rFonts w:eastAsia="MS Mincho"/>
          <w:lang w:eastAsia="ja-JP"/>
        </w:rPr>
        <w:tab/>
        <w:t xml:space="preserve">Labelling and small </w:t>
      </w:r>
      <w:proofErr w:type="spellStart"/>
      <w:r>
        <w:rPr>
          <w:rFonts w:eastAsia="MS Mincho"/>
          <w:lang w:eastAsia="ja-JP"/>
        </w:rPr>
        <w:t>packagings</w:t>
      </w:r>
      <w:proofErr w:type="spellEnd"/>
    </w:p>
    <w:p w:rsidR="004A4C65" w:rsidRPr="004D3309" w:rsidRDefault="004A4C65" w:rsidP="004A4C65">
      <w:pPr>
        <w:pStyle w:val="H23G"/>
        <w:rPr>
          <w:rFonts w:eastAsia="MS Mincho"/>
          <w:lang w:eastAsia="ja-JP"/>
        </w:rPr>
      </w:pPr>
      <w:r>
        <w:rPr>
          <w:rFonts w:eastAsia="MS Mincho"/>
          <w:lang w:eastAsia="ja-JP"/>
        </w:rPr>
        <w:tab/>
        <w:t>1.</w:t>
      </w:r>
      <w:r>
        <w:rPr>
          <w:rFonts w:eastAsia="MS Mincho"/>
          <w:lang w:eastAsia="ja-JP"/>
        </w:rPr>
        <w:tab/>
        <w:t>Example for fold-out labels</w:t>
      </w:r>
    </w:p>
    <w:p w:rsidR="004A4C65" w:rsidRDefault="004A4C65" w:rsidP="004A4C65">
      <w:pPr>
        <w:pStyle w:val="SingleTxtG"/>
        <w:tabs>
          <w:tab w:val="left" w:pos="3119"/>
        </w:tabs>
        <w:rPr>
          <w:rFonts w:eastAsia="MS Mincho"/>
          <w:lang w:eastAsia="ja-JP"/>
        </w:rPr>
      </w:pPr>
      <w:r w:rsidRPr="001A1290">
        <w:rPr>
          <w:rFonts w:eastAsia="MS Mincho"/>
          <w:i/>
          <w:lang w:eastAsia="ja-JP"/>
        </w:rPr>
        <w:t>Document</w:t>
      </w:r>
      <w:r>
        <w:rPr>
          <w:rFonts w:eastAsia="MS Mincho"/>
          <w:lang w:eastAsia="ja-JP"/>
        </w:rPr>
        <w:t>:</w:t>
      </w:r>
      <w:r>
        <w:rPr>
          <w:rFonts w:eastAsia="MS Mincho"/>
          <w:lang w:eastAsia="ja-JP"/>
        </w:rPr>
        <w:tab/>
        <w:t>ST/SG/AC.10/C.3/2016/19 (CEFIC)</w:t>
      </w:r>
    </w:p>
    <w:p w:rsidR="004A4C65" w:rsidRDefault="00882F73" w:rsidP="004A4C65">
      <w:pPr>
        <w:pStyle w:val="SingleTxtG"/>
        <w:tabs>
          <w:tab w:val="left" w:pos="1701"/>
          <w:tab w:val="left" w:pos="3119"/>
        </w:tabs>
        <w:rPr>
          <w:rFonts w:eastAsia="MS Mincho"/>
          <w:lang w:eastAsia="ja-JP"/>
        </w:rPr>
      </w:pPr>
      <w:r>
        <w:rPr>
          <w:rFonts w:eastAsia="MS Mincho"/>
          <w:lang w:eastAsia="ja-JP"/>
        </w:rPr>
        <w:lastRenderedPageBreak/>
        <w:t>37</w:t>
      </w:r>
      <w:r w:rsidR="004A4C65">
        <w:rPr>
          <w:rFonts w:eastAsia="MS Mincho"/>
          <w:lang w:eastAsia="ja-JP"/>
        </w:rPr>
        <w:t>.</w:t>
      </w:r>
      <w:r w:rsidR="004A4C65">
        <w:rPr>
          <w:rFonts w:eastAsia="MS Mincho"/>
          <w:lang w:eastAsia="ja-JP"/>
        </w:rPr>
        <w:tab/>
        <w:t>The Sub-Committee adopted without modifications the example proposed in the annex to the document (see annex</w:t>
      </w:r>
      <w:r w:rsidR="00040C4E">
        <w:rPr>
          <w:rFonts w:eastAsia="MS Mincho"/>
          <w:lang w:eastAsia="ja-JP"/>
        </w:rPr>
        <w:t xml:space="preserve"> I</w:t>
      </w:r>
      <w:r w:rsidR="004A4C65">
        <w:rPr>
          <w:rFonts w:eastAsia="MS Mincho"/>
          <w:lang w:eastAsia="ja-JP"/>
        </w:rPr>
        <w:t>).</w:t>
      </w:r>
    </w:p>
    <w:p w:rsidR="00C7058A" w:rsidRDefault="00C7058A" w:rsidP="00C7058A">
      <w:pPr>
        <w:pStyle w:val="H23G"/>
        <w:rPr>
          <w:rFonts w:eastAsia="MS Mincho"/>
          <w:lang w:eastAsia="ja-JP"/>
        </w:rPr>
      </w:pPr>
      <w:r>
        <w:rPr>
          <w:rFonts w:eastAsia="MS Mincho"/>
          <w:lang w:eastAsia="ja-JP"/>
        </w:rPr>
        <w:tab/>
        <w:t>2.</w:t>
      </w:r>
      <w:r>
        <w:rPr>
          <w:rFonts w:eastAsia="MS Mincho"/>
          <w:lang w:eastAsia="ja-JP"/>
        </w:rPr>
        <w:tab/>
        <w:t>Development of examples for sets and kits</w:t>
      </w:r>
    </w:p>
    <w:p w:rsidR="00717389" w:rsidRPr="00717389" w:rsidRDefault="00717389" w:rsidP="00717389">
      <w:pPr>
        <w:rPr>
          <w:rFonts w:eastAsia="MS Mincho"/>
          <w:lang w:eastAsia="ja-JP"/>
        </w:rPr>
      </w:pPr>
      <w:r>
        <w:rPr>
          <w:rFonts w:eastAsia="MS Mincho"/>
          <w:i/>
          <w:lang w:eastAsia="ja-JP"/>
        </w:rPr>
        <w:tab/>
      </w:r>
      <w:r>
        <w:rPr>
          <w:rFonts w:eastAsia="MS Mincho"/>
          <w:i/>
          <w:lang w:eastAsia="ja-JP"/>
        </w:rPr>
        <w:tab/>
      </w:r>
      <w:r w:rsidRPr="001A1290">
        <w:rPr>
          <w:rFonts w:eastAsia="MS Mincho"/>
          <w:i/>
          <w:lang w:eastAsia="ja-JP"/>
        </w:rPr>
        <w:t>Informal document</w:t>
      </w:r>
      <w:r>
        <w:rPr>
          <w:rFonts w:eastAsia="MS Mincho"/>
          <w:lang w:eastAsia="ja-JP"/>
        </w:rPr>
        <w:t>:</w:t>
      </w:r>
      <w:r>
        <w:rPr>
          <w:rFonts w:eastAsia="MS Mincho"/>
          <w:lang w:eastAsia="ja-JP"/>
        </w:rPr>
        <w:tab/>
      </w:r>
      <w:r>
        <w:rPr>
          <w:rFonts w:eastAsia="MS Mincho"/>
          <w:lang w:eastAsia="ja-JP"/>
        </w:rPr>
        <w:tab/>
        <w:t>INF.19 (CEFIC)</w:t>
      </w:r>
      <w:r>
        <w:rPr>
          <w:rFonts w:eastAsia="MS Mincho"/>
          <w:lang w:eastAsia="ja-JP"/>
        </w:rPr>
        <w:br/>
      </w:r>
    </w:p>
    <w:p w:rsidR="00C7058A" w:rsidRDefault="00882F73" w:rsidP="00C7058A">
      <w:pPr>
        <w:pStyle w:val="SingleTxtG"/>
        <w:rPr>
          <w:rFonts w:eastAsia="MS Mincho"/>
          <w:lang w:eastAsia="ja-JP"/>
        </w:rPr>
      </w:pPr>
      <w:r>
        <w:rPr>
          <w:rFonts w:eastAsia="MS Mincho"/>
          <w:lang w:eastAsia="ja-JP"/>
        </w:rPr>
        <w:t>38</w:t>
      </w:r>
      <w:r w:rsidR="00C7058A">
        <w:rPr>
          <w:rFonts w:eastAsia="MS Mincho"/>
          <w:lang w:eastAsia="ja-JP"/>
        </w:rPr>
        <w:t>.</w:t>
      </w:r>
      <w:r w:rsidR="00C7058A">
        <w:rPr>
          <w:rFonts w:eastAsia="MS Mincho"/>
          <w:lang w:eastAsia="ja-JP"/>
        </w:rPr>
        <w:tab/>
        <w:t xml:space="preserve">The Sub-Committee noted that the informal correspondence group on labelling of small </w:t>
      </w:r>
      <w:proofErr w:type="spellStart"/>
      <w:r w:rsidR="00C7058A">
        <w:rPr>
          <w:rFonts w:eastAsia="MS Mincho"/>
          <w:lang w:eastAsia="ja-JP"/>
        </w:rPr>
        <w:t>packagings</w:t>
      </w:r>
      <w:proofErr w:type="spellEnd"/>
      <w:r w:rsidR="00C7058A">
        <w:rPr>
          <w:rFonts w:eastAsia="MS Mincho"/>
          <w:lang w:eastAsia="ja-JP"/>
        </w:rPr>
        <w:t xml:space="preserve"> </w:t>
      </w:r>
      <w:r w:rsidR="00040C4E">
        <w:rPr>
          <w:rFonts w:eastAsia="MS Mincho"/>
          <w:lang w:eastAsia="ja-JP"/>
        </w:rPr>
        <w:t xml:space="preserve">had </w:t>
      </w:r>
      <w:r w:rsidR="00717389">
        <w:rPr>
          <w:rFonts w:eastAsia="MS Mincho"/>
          <w:lang w:eastAsia="ja-JP"/>
        </w:rPr>
        <w:t xml:space="preserve">reviewed INF.19 and </w:t>
      </w:r>
      <w:r w:rsidR="00C7058A">
        <w:rPr>
          <w:rFonts w:eastAsia="MS Mincho"/>
          <w:lang w:eastAsia="ja-JP"/>
        </w:rPr>
        <w:t>continued to work on the development of examples for sets and kits. Regarding the programme of work for the next biennium, the representative of CEFIC indicated that the informal correspondence group intended to complete the development of examples for sets and kits, asses</w:t>
      </w:r>
      <w:r w:rsidR="00717389">
        <w:rPr>
          <w:rFonts w:eastAsia="MS Mincho"/>
          <w:lang w:eastAsia="ja-JP"/>
        </w:rPr>
        <w:t>s</w:t>
      </w:r>
      <w:r w:rsidR="00C7058A">
        <w:rPr>
          <w:rFonts w:eastAsia="MS Mincho"/>
          <w:lang w:eastAsia="ja-JP"/>
        </w:rPr>
        <w:t xml:space="preserve"> the need for additional examples to be included in Annex 7 of the GHS and start developing them if appropriate.</w:t>
      </w:r>
    </w:p>
    <w:p w:rsidR="004A4C65" w:rsidRDefault="004A4C65" w:rsidP="004A4C65">
      <w:pPr>
        <w:pStyle w:val="H1G"/>
        <w:rPr>
          <w:rFonts w:eastAsia="MS Mincho"/>
          <w:lang w:eastAsia="ja-JP"/>
        </w:rPr>
      </w:pPr>
      <w:r>
        <w:rPr>
          <w:rFonts w:eastAsia="MS Mincho"/>
          <w:lang w:eastAsia="ja-JP"/>
        </w:rPr>
        <w:tab/>
        <w:t>B.</w:t>
      </w:r>
      <w:r>
        <w:rPr>
          <w:rFonts w:eastAsia="MS Mincho"/>
          <w:lang w:eastAsia="ja-JP"/>
        </w:rPr>
        <w:tab/>
        <w:t>Improvement of annexes 1 to 3 and further rationalization of precautionary statements</w:t>
      </w:r>
    </w:p>
    <w:p w:rsidR="004A4C65" w:rsidRDefault="004A4C65" w:rsidP="004A4C65">
      <w:pPr>
        <w:pStyle w:val="H23G"/>
        <w:rPr>
          <w:rFonts w:eastAsia="MS Mincho"/>
          <w:lang w:eastAsia="ja-JP"/>
        </w:rPr>
      </w:pPr>
      <w:r>
        <w:rPr>
          <w:rFonts w:eastAsia="MS Mincho"/>
          <w:lang w:eastAsia="ja-JP"/>
        </w:rPr>
        <w:tab/>
        <w:t>1.</w:t>
      </w:r>
      <w:r>
        <w:rPr>
          <w:rFonts w:eastAsia="MS Mincho"/>
          <w:lang w:eastAsia="ja-JP"/>
        </w:rPr>
        <w:tab/>
        <w:t>Work of the informal correspondence group</w:t>
      </w:r>
    </w:p>
    <w:p w:rsidR="004A4C65" w:rsidRDefault="004A4C65" w:rsidP="004A4C65">
      <w:pPr>
        <w:pStyle w:val="SingleTxtG"/>
        <w:tabs>
          <w:tab w:val="left" w:pos="3119"/>
        </w:tabs>
        <w:jc w:val="left"/>
        <w:rPr>
          <w:rFonts w:eastAsia="MS Mincho"/>
          <w:lang w:eastAsia="ja-JP"/>
        </w:rPr>
      </w:pPr>
      <w:r w:rsidRPr="001A1290">
        <w:rPr>
          <w:rFonts w:eastAsia="MS Mincho"/>
          <w:i/>
          <w:lang w:eastAsia="ja-JP"/>
        </w:rPr>
        <w:t>Document</w:t>
      </w:r>
      <w:r>
        <w:rPr>
          <w:rFonts w:eastAsia="MS Mincho"/>
          <w:lang w:eastAsia="ja-JP"/>
        </w:rPr>
        <w:t>:</w:t>
      </w:r>
      <w:r>
        <w:rPr>
          <w:rFonts w:eastAsia="MS Mincho"/>
          <w:lang w:eastAsia="ja-JP"/>
        </w:rPr>
        <w:tab/>
        <w:t>ST/SG/AC.10/C.3/2016/17 (United Kingdom)</w:t>
      </w:r>
    </w:p>
    <w:p w:rsidR="004A4C65" w:rsidRDefault="004A4C65" w:rsidP="004A4C65">
      <w:pPr>
        <w:pStyle w:val="SingleTxtG"/>
        <w:tabs>
          <w:tab w:val="left" w:pos="3119"/>
        </w:tabs>
        <w:jc w:val="left"/>
        <w:rPr>
          <w:rFonts w:eastAsia="MS Mincho"/>
          <w:lang w:eastAsia="ja-JP"/>
        </w:rPr>
      </w:pPr>
      <w:r w:rsidRPr="001A1290">
        <w:rPr>
          <w:rFonts w:eastAsia="MS Mincho"/>
          <w:i/>
          <w:lang w:eastAsia="ja-JP"/>
        </w:rPr>
        <w:t>Informal documents</w:t>
      </w:r>
      <w:r>
        <w:rPr>
          <w:rFonts w:eastAsia="MS Mincho"/>
          <w:lang w:eastAsia="ja-JP"/>
        </w:rPr>
        <w:t>:</w:t>
      </w:r>
      <w:r>
        <w:rPr>
          <w:rFonts w:eastAsia="MS Mincho"/>
          <w:lang w:eastAsia="ja-JP"/>
        </w:rPr>
        <w:tab/>
        <w:t xml:space="preserve">INF.3 and </w:t>
      </w:r>
      <w:r w:rsidR="00206CAB">
        <w:rPr>
          <w:rFonts w:eastAsia="MS Mincho"/>
          <w:lang w:eastAsia="ja-JP"/>
        </w:rPr>
        <w:t>Adds</w:t>
      </w:r>
      <w:r>
        <w:rPr>
          <w:rFonts w:eastAsia="MS Mincho"/>
          <w:lang w:eastAsia="ja-JP"/>
        </w:rPr>
        <w:t>. 1</w:t>
      </w:r>
      <w:r w:rsidR="00206CAB">
        <w:rPr>
          <w:rFonts w:eastAsia="MS Mincho"/>
          <w:lang w:eastAsia="ja-JP"/>
        </w:rPr>
        <w:t xml:space="preserve"> and</w:t>
      </w:r>
      <w:r>
        <w:rPr>
          <w:rFonts w:eastAsia="MS Mincho"/>
          <w:lang w:eastAsia="ja-JP"/>
        </w:rPr>
        <w:t xml:space="preserve"> 2 (United Kingdom)</w:t>
      </w:r>
      <w:r>
        <w:rPr>
          <w:rFonts w:eastAsia="MS Mincho"/>
          <w:lang w:eastAsia="ja-JP"/>
        </w:rPr>
        <w:br/>
      </w:r>
      <w:r>
        <w:rPr>
          <w:rFonts w:eastAsia="MS Mincho"/>
          <w:lang w:eastAsia="ja-JP"/>
        </w:rPr>
        <w:tab/>
        <w:t>INF.12 and INF.12/Rev.1 (United Kingdom)</w:t>
      </w:r>
    </w:p>
    <w:p w:rsidR="004A4C65" w:rsidRDefault="00882F73" w:rsidP="004A4C65">
      <w:pPr>
        <w:pStyle w:val="SingleTxtG"/>
        <w:rPr>
          <w:rFonts w:eastAsia="MS Mincho"/>
        </w:rPr>
      </w:pPr>
      <w:r>
        <w:rPr>
          <w:rFonts w:eastAsia="MS Mincho"/>
        </w:rPr>
        <w:t>39</w:t>
      </w:r>
      <w:r w:rsidR="004A4C65" w:rsidRPr="00C857B7">
        <w:rPr>
          <w:rFonts w:eastAsia="MS Mincho"/>
        </w:rPr>
        <w:t>.</w:t>
      </w:r>
      <w:r w:rsidR="004A4C65" w:rsidRPr="00C857B7">
        <w:rPr>
          <w:rFonts w:eastAsia="MS Mincho"/>
        </w:rPr>
        <w:tab/>
        <w:t>The Sub-Committee adopted the amendments in document ST/SG/AC.10/C.3/2016/17 with some additional corrections (see annex</w:t>
      </w:r>
      <w:r w:rsidR="00040C4E">
        <w:rPr>
          <w:rFonts w:eastAsia="MS Mincho"/>
        </w:rPr>
        <w:t xml:space="preserve"> I</w:t>
      </w:r>
      <w:r w:rsidR="004A4C65" w:rsidRPr="00C857B7">
        <w:rPr>
          <w:rFonts w:eastAsia="MS Mincho"/>
        </w:rPr>
        <w:t>).</w:t>
      </w:r>
    </w:p>
    <w:p w:rsidR="004A4C65" w:rsidRDefault="00882F73" w:rsidP="004A4C65">
      <w:pPr>
        <w:pStyle w:val="SingleTxtG"/>
        <w:rPr>
          <w:rFonts w:eastAsia="MS Mincho"/>
          <w:lang w:eastAsia="ja-JP"/>
        </w:rPr>
      </w:pPr>
      <w:r>
        <w:rPr>
          <w:rFonts w:eastAsia="MS Mincho"/>
          <w:lang w:eastAsia="ja-JP"/>
        </w:rPr>
        <w:t>40</w:t>
      </w:r>
      <w:r w:rsidR="004A4C65">
        <w:rPr>
          <w:rFonts w:eastAsia="MS Mincho"/>
          <w:lang w:eastAsia="ja-JP"/>
        </w:rPr>
        <w:t>.</w:t>
      </w:r>
      <w:r w:rsidR="004A4C65">
        <w:rPr>
          <w:rFonts w:eastAsia="MS Mincho"/>
          <w:lang w:eastAsia="ja-JP"/>
        </w:rPr>
        <w:tab/>
        <w:t>T</w:t>
      </w:r>
      <w:r w:rsidR="004A4C65" w:rsidRPr="00207DD9">
        <w:rPr>
          <w:rFonts w:eastAsia="MS Mincho"/>
          <w:lang w:eastAsia="ja-JP"/>
        </w:rPr>
        <w:t xml:space="preserve">he expert from the United Kingdom informed the Sub-Committee that the </w:t>
      </w:r>
      <w:r w:rsidR="004A4C65">
        <w:rPr>
          <w:rFonts w:eastAsia="MS Mincho"/>
          <w:lang w:eastAsia="ja-JP"/>
        </w:rPr>
        <w:t>informal correspondence</w:t>
      </w:r>
      <w:r w:rsidR="004A4C65" w:rsidRPr="00207DD9">
        <w:rPr>
          <w:rFonts w:eastAsia="MS Mincho"/>
          <w:lang w:eastAsia="ja-JP"/>
        </w:rPr>
        <w:t xml:space="preserve"> group had reviewed the documents in the agenda for this session and had considered its programme of work for the next biennium based on informal document INF.12. However, after consideration of some additional proposals by AISE and the Secretariat</w:t>
      </w:r>
      <w:r w:rsidR="004A4C65">
        <w:rPr>
          <w:rFonts w:eastAsia="MS Mincho"/>
          <w:lang w:eastAsia="ja-JP"/>
        </w:rPr>
        <w:t xml:space="preserve">, as well as of the request from the Sub-Committee to address the issue raised in document </w:t>
      </w:r>
      <w:r w:rsidR="004A4C65" w:rsidRPr="00210F77">
        <w:t>ST/SG/AC.10/C.4/2016/</w:t>
      </w:r>
      <w:r w:rsidR="004A4C65">
        <w:t>20,</w:t>
      </w:r>
      <w:r w:rsidR="004A4C65" w:rsidRPr="00210F77">
        <w:t xml:space="preserve"> </w:t>
      </w:r>
      <w:r w:rsidR="004A4C65">
        <w:t>t</w:t>
      </w:r>
      <w:r w:rsidR="004A4C65" w:rsidRPr="00207DD9">
        <w:rPr>
          <w:rFonts w:eastAsia="MS Mincho"/>
          <w:lang w:eastAsia="ja-JP"/>
        </w:rPr>
        <w:t xml:space="preserve">he informal </w:t>
      </w:r>
      <w:r w:rsidR="004A4C65">
        <w:rPr>
          <w:rFonts w:eastAsia="MS Mincho"/>
          <w:lang w:eastAsia="ja-JP"/>
        </w:rPr>
        <w:t>correspondence</w:t>
      </w:r>
      <w:r w:rsidR="004A4C65" w:rsidRPr="00207DD9">
        <w:rPr>
          <w:rFonts w:eastAsia="MS Mincho"/>
          <w:lang w:eastAsia="ja-JP"/>
        </w:rPr>
        <w:t xml:space="preserve"> group had agreed to include them in its programme of work, as reflected in INF.12/Rev.1.</w:t>
      </w:r>
    </w:p>
    <w:p w:rsidR="004A4C65" w:rsidRDefault="00DF7FC3" w:rsidP="004A4C65">
      <w:pPr>
        <w:pStyle w:val="SingleTxtG"/>
        <w:rPr>
          <w:rFonts w:eastAsia="MS Mincho"/>
          <w:lang w:eastAsia="ja-JP"/>
        </w:rPr>
      </w:pPr>
      <w:r>
        <w:rPr>
          <w:rFonts w:eastAsia="MS Mincho"/>
          <w:lang w:eastAsia="ja-JP"/>
        </w:rPr>
        <w:t>4</w:t>
      </w:r>
      <w:r w:rsidR="00882F73">
        <w:rPr>
          <w:rFonts w:eastAsia="MS Mincho"/>
          <w:lang w:eastAsia="ja-JP"/>
        </w:rPr>
        <w:t>1</w:t>
      </w:r>
      <w:r w:rsidR="004A4C65">
        <w:rPr>
          <w:rFonts w:eastAsia="MS Mincho"/>
          <w:lang w:eastAsia="ja-JP"/>
        </w:rPr>
        <w:t>.</w:t>
      </w:r>
      <w:r w:rsidR="004A4C65">
        <w:rPr>
          <w:rFonts w:eastAsia="MS Mincho"/>
          <w:lang w:eastAsia="ja-JP"/>
        </w:rPr>
        <w:tab/>
        <w:t>The Sub-Committee agreed to the programme of work for the informal correspondence group in INF.12/Rev.1.</w:t>
      </w:r>
    </w:p>
    <w:p w:rsidR="004A4C65" w:rsidRDefault="004A4C65" w:rsidP="004A4C65">
      <w:pPr>
        <w:pStyle w:val="H23G"/>
        <w:rPr>
          <w:rFonts w:eastAsia="MS Mincho"/>
          <w:lang w:eastAsia="ja-JP"/>
        </w:rPr>
      </w:pPr>
      <w:r>
        <w:rPr>
          <w:rFonts w:eastAsia="MS Mincho"/>
          <w:lang w:eastAsia="ja-JP"/>
        </w:rPr>
        <w:tab/>
        <w:t>2.</w:t>
      </w:r>
      <w:r>
        <w:rPr>
          <w:rFonts w:eastAsia="MS Mincho"/>
          <w:lang w:eastAsia="ja-JP"/>
        </w:rPr>
        <w:tab/>
        <w:t>Precautionary statements addressing medical advice/attention</w:t>
      </w:r>
    </w:p>
    <w:p w:rsidR="004A4C65" w:rsidRDefault="004A4C65" w:rsidP="004A4C65">
      <w:pPr>
        <w:pStyle w:val="SingleTxtG"/>
        <w:tabs>
          <w:tab w:val="left" w:pos="3119"/>
        </w:tabs>
        <w:jc w:val="left"/>
        <w:rPr>
          <w:rFonts w:eastAsia="MS Mincho"/>
          <w:lang w:eastAsia="ja-JP"/>
        </w:rPr>
      </w:pPr>
      <w:r w:rsidRPr="001A1290">
        <w:rPr>
          <w:rFonts w:eastAsia="MS Mincho"/>
          <w:i/>
          <w:lang w:eastAsia="ja-JP"/>
        </w:rPr>
        <w:t>Document</w:t>
      </w:r>
      <w:r>
        <w:rPr>
          <w:rFonts w:eastAsia="MS Mincho"/>
          <w:lang w:eastAsia="ja-JP"/>
        </w:rPr>
        <w:t>:</w:t>
      </w:r>
      <w:r>
        <w:rPr>
          <w:rFonts w:eastAsia="MS Mincho"/>
          <w:lang w:eastAsia="ja-JP"/>
        </w:rPr>
        <w:tab/>
      </w:r>
      <w:r w:rsidRPr="00210F77">
        <w:t>ST/SG/AC.10/C.4/2016/</w:t>
      </w:r>
      <w:r>
        <w:t>20</w:t>
      </w:r>
      <w:r w:rsidRPr="00210F77">
        <w:t xml:space="preserve"> </w:t>
      </w:r>
      <w:r>
        <w:rPr>
          <w:rFonts w:eastAsia="MS Mincho"/>
          <w:lang w:eastAsia="ja-JP"/>
        </w:rPr>
        <w:t>(European Union)</w:t>
      </w:r>
    </w:p>
    <w:p w:rsidR="00605CD9" w:rsidRDefault="004A4C65" w:rsidP="004A4C65">
      <w:pPr>
        <w:pStyle w:val="SingleTxtG"/>
        <w:tabs>
          <w:tab w:val="left" w:pos="3119"/>
        </w:tabs>
        <w:jc w:val="left"/>
        <w:rPr>
          <w:rFonts w:eastAsia="MS Mincho"/>
          <w:lang w:eastAsia="ja-JP"/>
        </w:rPr>
      </w:pPr>
      <w:r w:rsidRPr="001A1290">
        <w:rPr>
          <w:rFonts w:eastAsia="MS Mincho"/>
          <w:i/>
          <w:lang w:eastAsia="ja-JP"/>
        </w:rPr>
        <w:t>Informal document</w:t>
      </w:r>
      <w:r w:rsidR="00605CD9">
        <w:rPr>
          <w:rFonts w:eastAsia="MS Mincho"/>
          <w:i/>
          <w:lang w:eastAsia="ja-JP"/>
        </w:rPr>
        <w:t>s</w:t>
      </w:r>
      <w:r>
        <w:rPr>
          <w:rFonts w:eastAsia="MS Mincho"/>
          <w:lang w:eastAsia="ja-JP"/>
        </w:rPr>
        <w:t>:</w:t>
      </w:r>
      <w:r>
        <w:rPr>
          <w:rFonts w:eastAsia="MS Mincho"/>
          <w:lang w:eastAsia="ja-JP"/>
        </w:rPr>
        <w:tab/>
      </w:r>
      <w:r>
        <w:t xml:space="preserve">INF.13 </w:t>
      </w:r>
      <w:r w:rsidRPr="00210F77">
        <w:t>(</w:t>
      </w:r>
      <w:r>
        <w:t>United Kingdom</w:t>
      </w:r>
      <w:r w:rsidRPr="00210F77">
        <w:t>)</w:t>
      </w:r>
      <w:r w:rsidR="00605CD9">
        <w:br/>
      </w:r>
      <w:r w:rsidR="00605CD9">
        <w:tab/>
        <w:t xml:space="preserve">INF.34 </w:t>
      </w:r>
      <w:r w:rsidR="00605CD9" w:rsidRPr="00210F77">
        <w:t>(</w:t>
      </w:r>
      <w:r w:rsidR="00605CD9">
        <w:t>United States of America</w:t>
      </w:r>
      <w:r w:rsidR="00605CD9" w:rsidRPr="00210F77">
        <w:t>)</w:t>
      </w:r>
    </w:p>
    <w:p w:rsidR="004A4C65" w:rsidRDefault="00DF7FC3" w:rsidP="004A4C65">
      <w:pPr>
        <w:pStyle w:val="SingleTxtG"/>
        <w:rPr>
          <w:rFonts w:eastAsia="MS Mincho"/>
        </w:rPr>
      </w:pPr>
      <w:r>
        <w:rPr>
          <w:rFonts w:eastAsia="MS Mincho"/>
        </w:rPr>
        <w:t>4</w:t>
      </w:r>
      <w:r w:rsidR="00882F73">
        <w:rPr>
          <w:rFonts w:eastAsia="MS Mincho"/>
        </w:rPr>
        <w:t>2</w:t>
      </w:r>
      <w:r w:rsidR="004A4C65">
        <w:rPr>
          <w:rFonts w:eastAsia="MS Mincho"/>
        </w:rPr>
        <w:t>.</w:t>
      </w:r>
      <w:r w:rsidR="004A4C65">
        <w:rPr>
          <w:rFonts w:eastAsia="MS Mincho"/>
        </w:rPr>
        <w:tab/>
      </w:r>
      <w:r w:rsidR="004A4C65" w:rsidRPr="009C7924">
        <w:rPr>
          <w:rFonts w:eastAsia="MS Mincho"/>
        </w:rPr>
        <w:t xml:space="preserve">Several experts considered that </w:t>
      </w:r>
      <w:r w:rsidR="00605CD9">
        <w:rPr>
          <w:rFonts w:eastAsia="MS Mincho"/>
        </w:rPr>
        <w:t>the distinction between “medical advice” and “medical attention”</w:t>
      </w:r>
      <w:r w:rsidR="004A4C65" w:rsidRPr="009C7924">
        <w:rPr>
          <w:rFonts w:eastAsia="MS Mincho"/>
        </w:rPr>
        <w:t xml:space="preserve"> should be retained as </w:t>
      </w:r>
      <w:r w:rsidR="00605CD9">
        <w:rPr>
          <w:rFonts w:eastAsia="MS Mincho"/>
        </w:rPr>
        <w:t>it is</w:t>
      </w:r>
      <w:r w:rsidR="004A4C65" w:rsidRPr="009C7924">
        <w:rPr>
          <w:rFonts w:eastAsia="MS Mincho"/>
        </w:rPr>
        <w:t xml:space="preserve"> intended to address two different levels of hazard severity and response, i.e. warning against an immediate </w:t>
      </w:r>
      <w:r w:rsidR="004A4C65">
        <w:rPr>
          <w:rFonts w:eastAsia="MS Mincho"/>
        </w:rPr>
        <w:t>or</w:t>
      </w:r>
      <w:r w:rsidR="004A4C65" w:rsidRPr="009C7924">
        <w:rPr>
          <w:rFonts w:eastAsia="MS Mincho"/>
        </w:rPr>
        <w:t xml:space="preserve"> severe hazard versus a less severe hazard. Others considered that </w:t>
      </w:r>
      <w:r w:rsidR="004A4C65">
        <w:rPr>
          <w:rFonts w:eastAsia="MS Mincho"/>
        </w:rPr>
        <w:t>the terms</w:t>
      </w:r>
      <w:r w:rsidR="004A4C65" w:rsidRPr="009C7924">
        <w:rPr>
          <w:rFonts w:eastAsia="MS Mincho"/>
        </w:rPr>
        <w:t xml:space="preserve"> “advice” and “attention”</w:t>
      </w:r>
      <w:r w:rsidR="004A4C65">
        <w:rPr>
          <w:rFonts w:eastAsia="MS Mincho"/>
        </w:rPr>
        <w:t xml:space="preserve"> did not adequately convey that message and suggested that the text of the precautionary statements be </w:t>
      </w:r>
      <w:r w:rsidR="00605CD9">
        <w:rPr>
          <w:rFonts w:eastAsia="MS Mincho"/>
        </w:rPr>
        <w:t>reviewed</w:t>
      </w:r>
      <w:r w:rsidR="004A4C65" w:rsidRPr="009C7924">
        <w:rPr>
          <w:rFonts w:eastAsia="MS Mincho"/>
        </w:rPr>
        <w:t>.</w:t>
      </w:r>
    </w:p>
    <w:p w:rsidR="004A4C65" w:rsidRDefault="00882F73" w:rsidP="004A4C65">
      <w:pPr>
        <w:pStyle w:val="SingleTxtG"/>
        <w:rPr>
          <w:rFonts w:eastAsia="MS Mincho"/>
        </w:rPr>
      </w:pPr>
      <w:r>
        <w:rPr>
          <w:rFonts w:eastAsia="MS Mincho"/>
        </w:rPr>
        <w:t>43</w:t>
      </w:r>
      <w:r w:rsidR="004A4C65">
        <w:rPr>
          <w:rFonts w:eastAsia="MS Mincho"/>
        </w:rPr>
        <w:t>.</w:t>
      </w:r>
      <w:r w:rsidR="004A4C65">
        <w:rPr>
          <w:rFonts w:eastAsia="MS Mincho"/>
        </w:rPr>
        <w:tab/>
      </w:r>
      <w:r w:rsidR="004A4C65" w:rsidRPr="009C7924">
        <w:rPr>
          <w:rFonts w:eastAsia="MS Mincho"/>
        </w:rPr>
        <w:t xml:space="preserve">After some discussion, the Sub-Committee agreed that the current assignment of the terms “medical advice” and “medical attention” </w:t>
      </w:r>
      <w:r w:rsidR="004A4C65">
        <w:rPr>
          <w:rFonts w:eastAsia="MS Mincho"/>
        </w:rPr>
        <w:t>to precautionary statements P313, P314 and P315</w:t>
      </w:r>
      <w:r w:rsidR="004A4C65" w:rsidRPr="009C7924">
        <w:rPr>
          <w:rFonts w:eastAsia="MS Mincho"/>
        </w:rPr>
        <w:t xml:space="preserve"> needed to be reconsidered on a case-by-</w:t>
      </w:r>
      <w:r w:rsidR="004A4C65">
        <w:rPr>
          <w:rFonts w:eastAsia="MS Mincho"/>
        </w:rPr>
        <w:t xml:space="preserve">case basis and entrusted consideration of this issue to the informal </w:t>
      </w:r>
      <w:r w:rsidR="004A4C65">
        <w:rPr>
          <w:rFonts w:eastAsia="MS Mincho"/>
          <w:lang w:eastAsia="ja-JP"/>
        </w:rPr>
        <w:t>correspondence</w:t>
      </w:r>
      <w:r w:rsidR="004A4C65">
        <w:rPr>
          <w:rFonts w:eastAsia="MS Mincho"/>
        </w:rPr>
        <w:t xml:space="preserve"> group on the improvement of annexes 1 to 3 ( see also  paragraph </w:t>
      </w:r>
      <w:r w:rsidR="00040C4E">
        <w:rPr>
          <w:rFonts w:eastAsia="MS Mincho"/>
        </w:rPr>
        <w:t>40</w:t>
      </w:r>
      <w:r w:rsidR="004A4C65">
        <w:rPr>
          <w:rFonts w:eastAsia="MS Mincho"/>
        </w:rPr>
        <w:t xml:space="preserve">). </w:t>
      </w:r>
    </w:p>
    <w:p w:rsidR="00605CD9" w:rsidRDefault="00882F73" w:rsidP="004A4C65">
      <w:pPr>
        <w:pStyle w:val="SingleTxtG"/>
        <w:rPr>
          <w:rFonts w:eastAsia="MS Mincho"/>
        </w:rPr>
      </w:pPr>
      <w:r w:rsidRPr="00416963">
        <w:rPr>
          <w:rFonts w:eastAsia="MS Mincho"/>
        </w:rPr>
        <w:lastRenderedPageBreak/>
        <w:t>44</w:t>
      </w:r>
      <w:r w:rsidR="00605CD9" w:rsidRPr="00416963">
        <w:rPr>
          <w:rFonts w:eastAsia="MS Mincho"/>
        </w:rPr>
        <w:t>.</w:t>
      </w:r>
      <w:r w:rsidR="00605CD9" w:rsidRPr="00416963">
        <w:rPr>
          <w:rFonts w:eastAsia="MS Mincho"/>
        </w:rPr>
        <w:tab/>
        <w:t xml:space="preserve">The representative of the European Union noted that as the inconsistency raised in </w:t>
      </w:r>
      <w:r w:rsidR="00605CD9" w:rsidRPr="00416963">
        <w:t xml:space="preserve">ST/SG/AC.10/C.4/2016/20 is retained, the condition for use currently applicable to </w:t>
      </w:r>
      <w:r w:rsidR="00605CD9" w:rsidRPr="00416963">
        <w:rPr>
          <w:rFonts w:eastAsia="MS Mincho"/>
        </w:rPr>
        <w:t xml:space="preserve">P313, P314 and P315 </w:t>
      </w:r>
      <w:r w:rsidR="00416963">
        <w:rPr>
          <w:rFonts w:eastAsia="MS Mincho"/>
        </w:rPr>
        <w:t xml:space="preserve">cannot </w:t>
      </w:r>
      <w:r w:rsidR="00605CD9" w:rsidRPr="00416963">
        <w:rPr>
          <w:rFonts w:eastAsia="MS Mincho"/>
        </w:rPr>
        <w:t xml:space="preserve">be </w:t>
      </w:r>
      <w:r w:rsidR="00D071F5" w:rsidRPr="00416963">
        <w:rPr>
          <w:rFonts w:eastAsia="MS Mincho"/>
        </w:rPr>
        <w:t>implemented</w:t>
      </w:r>
      <w:r w:rsidR="003D435E" w:rsidRPr="00416963">
        <w:rPr>
          <w:rFonts w:eastAsia="MS Mincho"/>
        </w:rPr>
        <w:t xml:space="preserve"> consistently in all linguistic versions</w:t>
      </w:r>
      <w:r w:rsidR="00605CD9" w:rsidRPr="00416963">
        <w:rPr>
          <w:rFonts w:eastAsia="MS Mincho"/>
        </w:rPr>
        <w:t>.</w:t>
      </w:r>
    </w:p>
    <w:p w:rsidR="004A4C65" w:rsidRDefault="004A4C65" w:rsidP="004A4C65">
      <w:pPr>
        <w:pStyle w:val="H1G"/>
        <w:rPr>
          <w:rFonts w:eastAsia="MS Mincho"/>
          <w:lang w:eastAsia="ja-JP"/>
        </w:rPr>
      </w:pPr>
      <w:r>
        <w:rPr>
          <w:rFonts w:eastAsia="MS Mincho"/>
          <w:lang w:eastAsia="ja-JP"/>
        </w:rPr>
        <w:tab/>
        <w:t>C.</w:t>
      </w:r>
      <w:r>
        <w:rPr>
          <w:rFonts w:eastAsia="MS Mincho"/>
          <w:lang w:eastAsia="ja-JP"/>
        </w:rPr>
        <w:tab/>
        <w:t>Miscellaneous</w:t>
      </w:r>
    </w:p>
    <w:p w:rsidR="004A4C65" w:rsidRPr="00A368C3" w:rsidRDefault="004A4C65" w:rsidP="004A4C65">
      <w:pPr>
        <w:pStyle w:val="H23G"/>
        <w:rPr>
          <w:rFonts w:eastAsia="MS Mincho"/>
          <w:lang w:eastAsia="ja-JP"/>
        </w:rPr>
      </w:pPr>
      <w:r w:rsidRPr="00A368C3">
        <w:rPr>
          <w:rFonts w:eastAsia="MS Mincho"/>
          <w:lang w:eastAsia="ja-JP"/>
        </w:rPr>
        <w:tab/>
        <w:t>1.</w:t>
      </w:r>
      <w:r w:rsidRPr="00A368C3">
        <w:rPr>
          <w:rFonts w:eastAsia="MS Mincho"/>
          <w:lang w:eastAsia="ja-JP"/>
        </w:rPr>
        <w:tab/>
        <w:t>Amendments to Annex 4, sub-section A4.3.</w:t>
      </w:r>
      <w:r w:rsidR="00D071F5">
        <w:rPr>
          <w:rFonts w:eastAsia="MS Mincho"/>
          <w:lang w:eastAsia="ja-JP"/>
        </w:rPr>
        <w:t>14</w:t>
      </w:r>
      <w:r w:rsidRPr="00A368C3">
        <w:rPr>
          <w:rFonts w:eastAsia="MS Mincho"/>
          <w:lang w:eastAsia="ja-JP"/>
        </w:rPr>
        <w:t>.7</w:t>
      </w:r>
    </w:p>
    <w:p w:rsidR="004A4C65" w:rsidRPr="00A368C3" w:rsidRDefault="004A4C65" w:rsidP="004A4C65">
      <w:pPr>
        <w:pStyle w:val="SingleTxtG"/>
        <w:tabs>
          <w:tab w:val="left" w:pos="3119"/>
        </w:tabs>
        <w:jc w:val="left"/>
        <w:rPr>
          <w:rFonts w:eastAsia="MS Mincho"/>
          <w:i/>
          <w:lang w:eastAsia="ja-JP"/>
        </w:rPr>
      </w:pPr>
      <w:r w:rsidRPr="00A368C3">
        <w:rPr>
          <w:rFonts w:eastAsia="MS Mincho"/>
          <w:i/>
          <w:lang w:eastAsia="ja-JP"/>
        </w:rPr>
        <w:t>Document:</w:t>
      </w:r>
      <w:r w:rsidRPr="00A368C3">
        <w:rPr>
          <w:rFonts w:eastAsia="MS Mincho"/>
          <w:i/>
          <w:lang w:eastAsia="ja-JP"/>
        </w:rPr>
        <w:tab/>
      </w:r>
      <w:r w:rsidRPr="00A368C3">
        <w:rPr>
          <w:rFonts w:eastAsia="MS Mincho"/>
          <w:lang w:eastAsia="ja-JP"/>
        </w:rPr>
        <w:t>ST/SG/AC.10/C.3/2016/21 (ICMM)</w:t>
      </w:r>
    </w:p>
    <w:p w:rsidR="004A4C65" w:rsidRPr="00A368C3" w:rsidRDefault="004A4C65" w:rsidP="004A4C65">
      <w:pPr>
        <w:pStyle w:val="SingleTxtG"/>
        <w:tabs>
          <w:tab w:val="left" w:pos="3119"/>
        </w:tabs>
        <w:jc w:val="left"/>
        <w:rPr>
          <w:rFonts w:eastAsia="MS Mincho"/>
          <w:i/>
          <w:lang w:eastAsia="ja-JP"/>
        </w:rPr>
      </w:pPr>
      <w:r w:rsidRPr="00A368C3">
        <w:rPr>
          <w:rFonts w:eastAsia="MS Mincho"/>
          <w:i/>
          <w:lang w:eastAsia="ja-JP"/>
        </w:rPr>
        <w:t>Informal documents:</w:t>
      </w:r>
      <w:r w:rsidRPr="00A368C3">
        <w:rPr>
          <w:rFonts w:eastAsia="MS Mincho"/>
          <w:i/>
          <w:lang w:eastAsia="ja-JP"/>
        </w:rPr>
        <w:tab/>
      </w:r>
      <w:r w:rsidRPr="00A368C3">
        <w:rPr>
          <w:rFonts w:eastAsia="MS Mincho"/>
          <w:lang w:eastAsia="ja-JP"/>
        </w:rPr>
        <w:t>INF.37 (United States of America)</w:t>
      </w:r>
      <w:r w:rsidRPr="00A368C3">
        <w:rPr>
          <w:rFonts w:eastAsia="MS Mincho"/>
          <w:i/>
          <w:lang w:eastAsia="ja-JP"/>
        </w:rPr>
        <w:br/>
      </w:r>
      <w:r w:rsidRPr="00A368C3">
        <w:rPr>
          <w:rFonts w:eastAsia="MS Mincho"/>
          <w:i/>
          <w:lang w:eastAsia="ja-JP"/>
        </w:rPr>
        <w:tab/>
      </w:r>
      <w:r w:rsidRPr="00A368C3">
        <w:rPr>
          <w:rFonts w:eastAsia="MS Mincho"/>
          <w:lang w:eastAsia="ja-JP"/>
        </w:rPr>
        <w:t>INF.43 (Secretariat)</w:t>
      </w:r>
    </w:p>
    <w:p w:rsidR="004A4C65" w:rsidRDefault="00882F73" w:rsidP="004A4C65">
      <w:pPr>
        <w:pStyle w:val="SingleTxtG"/>
        <w:rPr>
          <w:rFonts w:eastAsia="MS Mincho"/>
        </w:rPr>
      </w:pPr>
      <w:r>
        <w:rPr>
          <w:rFonts w:eastAsia="MS Mincho"/>
        </w:rPr>
        <w:t>45</w:t>
      </w:r>
      <w:r w:rsidR="004A4C65" w:rsidRPr="00A368C3">
        <w:rPr>
          <w:rFonts w:eastAsia="MS Mincho"/>
        </w:rPr>
        <w:t>.</w:t>
      </w:r>
      <w:r w:rsidR="004A4C65" w:rsidRPr="00A368C3">
        <w:rPr>
          <w:rFonts w:eastAsia="MS Mincho"/>
        </w:rPr>
        <w:tab/>
        <w:t>The Sub-Committee adopted the proposal in ST/SG/AC.10/C.3/2016/21 as amended by INF.43</w:t>
      </w:r>
      <w:r w:rsidR="00D071F5">
        <w:rPr>
          <w:rFonts w:eastAsia="MS Mincho"/>
        </w:rPr>
        <w:t xml:space="preserve"> with some additional corrections</w:t>
      </w:r>
      <w:r w:rsidR="004A4C65" w:rsidRPr="00A368C3">
        <w:rPr>
          <w:rFonts w:eastAsia="MS Mincho"/>
        </w:rPr>
        <w:t xml:space="preserve"> (see annex</w:t>
      </w:r>
      <w:r w:rsidR="00040C4E">
        <w:rPr>
          <w:rFonts w:eastAsia="MS Mincho"/>
        </w:rPr>
        <w:t xml:space="preserve"> I</w:t>
      </w:r>
      <w:r w:rsidR="004A4C65" w:rsidRPr="00A368C3">
        <w:rPr>
          <w:rFonts w:eastAsia="MS Mincho"/>
        </w:rPr>
        <w:t>).</w:t>
      </w:r>
    </w:p>
    <w:p w:rsidR="00C7058A" w:rsidRDefault="00C7058A" w:rsidP="00C7058A">
      <w:pPr>
        <w:pStyle w:val="H23G"/>
        <w:rPr>
          <w:rFonts w:eastAsia="MS Mincho"/>
          <w:lang w:eastAsia="ja-JP"/>
        </w:rPr>
      </w:pPr>
      <w:r>
        <w:rPr>
          <w:rFonts w:eastAsia="MS Mincho"/>
          <w:lang w:eastAsia="ja-JP"/>
        </w:rPr>
        <w:tab/>
        <w:t>2.</w:t>
      </w:r>
      <w:r>
        <w:rPr>
          <w:rFonts w:eastAsia="MS Mincho"/>
          <w:lang w:eastAsia="ja-JP"/>
        </w:rPr>
        <w:tab/>
        <w:t>Amendments to Annex 4, sub-section A4.3.3.2.3</w:t>
      </w:r>
    </w:p>
    <w:p w:rsidR="00C7058A" w:rsidRDefault="00C7058A" w:rsidP="00C7058A">
      <w:pPr>
        <w:pStyle w:val="SingleTxtG"/>
        <w:tabs>
          <w:tab w:val="left" w:pos="3119"/>
        </w:tabs>
        <w:jc w:val="left"/>
        <w:rPr>
          <w:rFonts w:eastAsia="MS Mincho"/>
          <w:lang w:eastAsia="ja-JP"/>
        </w:rPr>
      </w:pPr>
      <w:r>
        <w:rPr>
          <w:rFonts w:eastAsia="MS Mincho"/>
          <w:i/>
          <w:lang w:eastAsia="ja-JP"/>
        </w:rPr>
        <w:t>Informal document:</w:t>
      </w:r>
      <w:r>
        <w:rPr>
          <w:rFonts w:eastAsia="MS Mincho"/>
          <w:i/>
          <w:lang w:eastAsia="ja-JP"/>
        </w:rPr>
        <w:tab/>
      </w:r>
      <w:r>
        <w:rPr>
          <w:rFonts w:eastAsia="MS Mincho"/>
          <w:lang w:eastAsia="ja-JP"/>
        </w:rPr>
        <w:t>INF.17 (CEFIC)</w:t>
      </w:r>
    </w:p>
    <w:p w:rsidR="00C7058A" w:rsidRDefault="00882F73" w:rsidP="00C7058A">
      <w:pPr>
        <w:pStyle w:val="SingleTxtG"/>
        <w:rPr>
          <w:rFonts w:eastAsia="MS Mincho"/>
          <w:lang w:eastAsia="ja-JP"/>
        </w:rPr>
      </w:pPr>
      <w:r>
        <w:rPr>
          <w:rFonts w:eastAsia="MS Mincho"/>
          <w:lang w:eastAsia="ja-JP"/>
        </w:rPr>
        <w:t>46</w:t>
      </w:r>
      <w:r w:rsidR="00C7058A">
        <w:rPr>
          <w:rFonts w:eastAsia="MS Mincho"/>
          <w:lang w:eastAsia="ja-JP"/>
        </w:rPr>
        <w:t>.</w:t>
      </w:r>
      <w:r w:rsidR="00C7058A">
        <w:rPr>
          <w:rFonts w:eastAsia="MS Mincho"/>
          <w:lang w:eastAsia="ja-JP"/>
        </w:rPr>
        <w:tab/>
        <w:t>The majority of the experts who spoke expressed concern as regards the interpretation of GHS provisions on confidential business information in relation to the use of concentration ranges given in INF.17. Most experts considered that the GHS gives competent authorities the discretion to decide the provisions they consider appropriate for the protection of this information as stated in section 1.4.8 of the GHS.</w:t>
      </w:r>
    </w:p>
    <w:p w:rsidR="00C7058A" w:rsidRDefault="00882F73" w:rsidP="00C7058A">
      <w:pPr>
        <w:pStyle w:val="SingleTxtG"/>
        <w:rPr>
          <w:rFonts w:eastAsia="MS Mincho"/>
          <w:lang w:eastAsia="ja-JP"/>
        </w:rPr>
      </w:pPr>
      <w:r>
        <w:rPr>
          <w:rFonts w:eastAsia="MS Mincho"/>
          <w:lang w:eastAsia="ja-JP"/>
        </w:rPr>
        <w:t>47</w:t>
      </w:r>
      <w:r w:rsidR="00C7058A">
        <w:rPr>
          <w:rFonts w:eastAsia="MS Mincho"/>
          <w:lang w:eastAsia="ja-JP"/>
        </w:rPr>
        <w:t>.</w:t>
      </w:r>
      <w:r w:rsidR="00C7058A">
        <w:rPr>
          <w:rFonts w:eastAsia="MS Mincho"/>
          <w:lang w:eastAsia="ja-JP"/>
        </w:rPr>
        <w:tab/>
        <w:t xml:space="preserve">Some experts indicated that there </w:t>
      </w:r>
      <w:r w:rsidR="005E3CB9">
        <w:rPr>
          <w:rFonts w:eastAsia="MS Mincho"/>
          <w:lang w:eastAsia="ja-JP"/>
        </w:rPr>
        <w:t xml:space="preserve">might be practical difficulties in applying </w:t>
      </w:r>
      <w:r w:rsidR="00C7058A">
        <w:rPr>
          <w:rFonts w:eastAsia="MS Mincho"/>
          <w:lang w:eastAsia="ja-JP"/>
        </w:rPr>
        <w:t xml:space="preserve">the current text </w:t>
      </w:r>
      <w:r w:rsidR="00F90A50">
        <w:rPr>
          <w:rFonts w:eastAsia="MS Mincho"/>
          <w:lang w:eastAsia="ja-JP"/>
        </w:rPr>
        <w:t xml:space="preserve">in </w:t>
      </w:r>
      <w:r w:rsidR="00C7058A">
        <w:rPr>
          <w:rFonts w:eastAsia="MS Mincho"/>
          <w:lang w:eastAsia="ja-JP"/>
        </w:rPr>
        <w:t xml:space="preserve">paragraph A4.3.3.2.3 in Annex 4 of the GHS and suggested that this question be examined during the next biennium. </w:t>
      </w:r>
    </w:p>
    <w:p w:rsidR="00C7058A" w:rsidRDefault="00882F73" w:rsidP="00C7058A">
      <w:pPr>
        <w:pStyle w:val="SingleTxtG"/>
        <w:rPr>
          <w:rFonts w:eastAsia="MS Mincho"/>
          <w:lang w:eastAsia="ja-JP"/>
        </w:rPr>
      </w:pPr>
      <w:r>
        <w:rPr>
          <w:rFonts w:eastAsia="MS Mincho"/>
          <w:lang w:eastAsia="ja-JP"/>
        </w:rPr>
        <w:t>48</w:t>
      </w:r>
      <w:r w:rsidR="00C7058A">
        <w:rPr>
          <w:rFonts w:eastAsia="MS Mincho"/>
          <w:lang w:eastAsia="ja-JP"/>
        </w:rPr>
        <w:t>.</w:t>
      </w:r>
      <w:r w:rsidR="00C7058A">
        <w:rPr>
          <w:rFonts w:eastAsia="MS Mincho"/>
          <w:lang w:eastAsia="ja-JP"/>
        </w:rPr>
        <w:tab/>
        <w:t xml:space="preserve">The Sub-Committee agreed to consider proposals intended to examine whether the text of paragraph A4.3.3.2.3 needs to be further refined, provided that confidential business information issues are set aside. The representative </w:t>
      </w:r>
      <w:r w:rsidR="00040C4E">
        <w:rPr>
          <w:rFonts w:eastAsia="MS Mincho"/>
          <w:lang w:eastAsia="ja-JP"/>
        </w:rPr>
        <w:t xml:space="preserve">of </w:t>
      </w:r>
      <w:r w:rsidR="00C7058A">
        <w:rPr>
          <w:rFonts w:eastAsia="MS Mincho"/>
          <w:lang w:eastAsia="ja-JP"/>
        </w:rPr>
        <w:t xml:space="preserve">CEFIC was invited to </w:t>
      </w:r>
      <w:r w:rsidR="00F90A50">
        <w:rPr>
          <w:rFonts w:eastAsia="MS Mincho"/>
          <w:lang w:eastAsia="ja-JP"/>
        </w:rPr>
        <w:t>review the</w:t>
      </w:r>
      <w:r w:rsidR="00C7058A">
        <w:rPr>
          <w:rFonts w:eastAsia="MS Mincho"/>
          <w:lang w:eastAsia="ja-JP"/>
        </w:rPr>
        <w:t xml:space="preserve"> description of the issues raised in INF.17 to facilitate future discussions.</w:t>
      </w:r>
    </w:p>
    <w:p w:rsidR="00C7058A" w:rsidRDefault="00C7058A" w:rsidP="00C7058A">
      <w:pPr>
        <w:pStyle w:val="H23G"/>
        <w:rPr>
          <w:rFonts w:eastAsia="MS Mincho"/>
          <w:lang w:eastAsia="ja-JP"/>
        </w:rPr>
      </w:pPr>
      <w:r>
        <w:rPr>
          <w:rFonts w:eastAsia="MS Mincho"/>
          <w:lang w:eastAsia="ja-JP"/>
        </w:rPr>
        <w:tab/>
        <w:t>3.</w:t>
      </w:r>
      <w:r>
        <w:rPr>
          <w:rFonts w:eastAsia="MS Mincho"/>
          <w:lang w:eastAsia="ja-JP"/>
        </w:rPr>
        <w:tab/>
        <w:t>Examples of precautionary pictograms in Annex 3, section 5</w:t>
      </w:r>
    </w:p>
    <w:p w:rsidR="00C7058A" w:rsidRDefault="00C7058A" w:rsidP="00C7058A">
      <w:pPr>
        <w:pStyle w:val="SingleTxtG"/>
        <w:tabs>
          <w:tab w:val="left" w:pos="3119"/>
        </w:tabs>
        <w:jc w:val="left"/>
        <w:rPr>
          <w:rFonts w:eastAsia="MS Mincho"/>
          <w:lang w:eastAsia="ja-JP"/>
        </w:rPr>
      </w:pPr>
      <w:r>
        <w:rPr>
          <w:rFonts w:eastAsia="MS Mincho"/>
          <w:i/>
          <w:lang w:eastAsia="ja-JP"/>
        </w:rPr>
        <w:t>Informal document:</w:t>
      </w:r>
      <w:r>
        <w:rPr>
          <w:rFonts w:eastAsia="MS Mincho"/>
          <w:i/>
          <w:lang w:eastAsia="ja-JP"/>
        </w:rPr>
        <w:tab/>
      </w:r>
      <w:r>
        <w:rPr>
          <w:rFonts w:eastAsia="MS Mincho"/>
          <w:lang w:eastAsia="ja-JP"/>
        </w:rPr>
        <w:t>INF.6 (RPMASA)</w:t>
      </w:r>
    </w:p>
    <w:p w:rsidR="00C7058A" w:rsidRDefault="00882F73" w:rsidP="00C7058A">
      <w:pPr>
        <w:pStyle w:val="SingleTxtG"/>
        <w:rPr>
          <w:rFonts w:eastAsia="MS Mincho"/>
          <w:lang w:eastAsia="ja-JP"/>
        </w:rPr>
      </w:pPr>
      <w:r>
        <w:rPr>
          <w:rFonts w:eastAsia="MS Mincho"/>
          <w:lang w:eastAsia="ja-JP"/>
        </w:rPr>
        <w:t>49</w:t>
      </w:r>
      <w:r w:rsidR="00C7058A">
        <w:rPr>
          <w:rFonts w:eastAsia="MS Mincho"/>
          <w:lang w:eastAsia="ja-JP"/>
        </w:rPr>
        <w:t>.</w:t>
      </w:r>
      <w:r w:rsidR="00C7058A">
        <w:rPr>
          <w:rFonts w:eastAsia="MS Mincho"/>
          <w:lang w:eastAsia="ja-JP"/>
        </w:rPr>
        <w:tab/>
        <w:t>The Sub-Committee was informed that South African Standard SABS 0265:1999 had been cancelled and agreed to the deletion of the reference to that standard and its precautionary pictograms in Annex 3, section 5 of the GHS (see annex</w:t>
      </w:r>
      <w:r w:rsidR="007F3406">
        <w:rPr>
          <w:rFonts w:eastAsia="MS Mincho"/>
          <w:lang w:eastAsia="ja-JP"/>
        </w:rPr>
        <w:t xml:space="preserve"> I</w:t>
      </w:r>
      <w:r w:rsidR="00C7058A">
        <w:rPr>
          <w:rFonts w:eastAsia="MS Mincho"/>
          <w:lang w:eastAsia="ja-JP"/>
        </w:rPr>
        <w:t>).</w:t>
      </w:r>
    </w:p>
    <w:p w:rsidR="00C7058A" w:rsidRDefault="00C7058A" w:rsidP="00C7058A">
      <w:pPr>
        <w:pStyle w:val="H23G"/>
        <w:rPr>
          <w:rFonts w:eastAsia="MS Mincho"/>
          <w:lang w:eastAsia="ja-JP"/>
        </w:rPr>
      </w:pPr>
      <w:r>
        <w:rPr>
          <w:rFonts w:eastAsia="MS Mincho"/>
          <w:lang w:eastAsia="ja-JP"/>
        </w:rPr>
        <w:tab/>
        <w:t>4.</w:t>
      </w:r>
      <w:r>
        <w:rPr>
          <w:rFonts w:eastAsia="MS Mincho"/>
          <w:lang w:eastAsia="ja-JP"/>
        </w:rPr>
        <w:tab/>
        <w:t>Presentation of the information in the Safety Data Sheets</w:t>
      </w:r>
    </w:p>
    <w:p w:rsidR="00C7058A" w:rsidRDefault="00C7058A" w:rsidP="00C7058A">
      <w:pPr>
        <w:pStyle w:val="SingleTxtG"/>
        <w:tabs>
          <w:tab w:val="left" w:pos="3119"/>
        </w:tabs>
        <w:jc w:val="left"/>
        <w:rPr>
          <w:rFonts w:eastAsia="MS Mincho"/>
          <w:lang w:eastAsia="ja-JP"/>
        </w:rPr>
      </w:pPr>
      <w:r>
        <w:rPr>
          <w:rFonts w:eastAsia="MS Mincho"/>
          <w:i/>
          <w:lang w:eastAsia="ja-JP"/>
        </w:rPr>
        <w:t>Informal document:</w:t>
      </w:r>
      <w:r>
        <w:rPr>
          <w:rFonts w:eastAsia="MS Mincho"/>
          <w:i/>
          <w:lang w:eastAsia="ja-JP"/>
        </w:rPr>
        <w:tab/>
      </w:r>
      <w:r>
        <w:rPr>
          <w:rFonts w:eastAsia="MS Mincho"/>
          <w:lang w:eastAsia="ja-JP"/>
        </w:rPr>
        <w:t>INF.32 (RPMASA)</w:t>
      </w:r>
    </w:p>
    <w:p w:rsidR="00C7058A" w:rsidRDefault="00882F73" w:rsidP="00C7058A">
      <w:pPr>
        <w:pStyle w:val="SingleTxtG"/>
        <w:rPr>
          <w:rFonts w:eastAsia="MS Mincho"/>
          <w:lang w:eastAsia="ja-JP"/>
        </w:rPr>
      </w:pPr>
      <w:r>
        <w:rPr>
          <w:rFonts w:eastAsia="MS Mincho"/>
          <w:lang w:eastAsia="ja-JP"/>
        </w:rPr>
        <w:t>50</w:t>
      </w:r>
      <w:r w:rsidR="00C7058A">
        <w:rPr>
          <w:rFonts w:eastAsia="MS Mincho"/>
          <w:lang w:eastAsia="ja-JP"/>
        </w:rPr>
        <w:t>.</w:t>
      </w:r>
      <w:r w:rsidR="00C7058A">
        <w:rPr>
          <w:rFonts w:eastAsia="MS Mincho"/>
          <w:lang w:eastAsia="ja-JP"/>
        </w:rPr>
        <w:tab/>
        <w:t xml:space="preserve">The Sub-Committee noted that in Canada and the United States of America numbering of sub-headings in the SDS was accepted but not required. It also noted that in the European Union </w:t>
      </w:r>
      <w:r w:rsidR="00F90A50">
        <w:rPr>
          <w:rFonts w:eastAsia="MS Mincho"/>
          <w:lang w:eastAsia="ja-JP"/>
        </w:rPr>
        <w:t>there is an expectation to provide</w:t>
      </w:r>
      <w:r w:rsidR="00C7058A">
        <w:rPr>
          <w:rFonts w:eastAsia="MS Mincho"/>
          <w:lang w:eastAsia="ja-JP"/>
        </w:rPr>
        <w:t xml:space="preserve"> numbering of sub-headings. The Sub-Committee was of the opinion that it was the responsibility of the competent authorities to decide how they wish to implement GHS provisions in this respect.</w:t>
      </w:r>
    </w:p>
    <w:p w:rsidR="00C7058A" w:rsidRDefault="00882F73" w:rsidP="00C7058A">
      <w:pPr>
        <w:pStyle w:val="SingleTxtG"/>
        <w:rPr>
          <w:rFonts w:eastAsia="MS Mincho"/>
          <w:lang w:eastAsia="ja-JP"/>
        </w:rPr>
      </w:pPr>
      <w:r>
        <w:rPr>
          <w:rFonts w:eastAsia="MS Mincho"/>
          <w:lang w:eastAsia="ja-JP"/>
        </w:rPr>
        <w:t>51</w:t>
      </w:r>
      <w:r w:rsidR="00C7058A">
        <w:rPr>
          <w:rFonts w:eastAsia="MS Mincho"/>
          <w:lang w:eastAsia="ja-JP"/>
        </w:rPr>
        <w:t>.</w:t>
      </w:r>
      <w:r w:rsidR="00C7058A">
        <w:rPr>
          <w:rFonts w:eastAsia="MS Mincho"/>
          <w:lang w:eastAsia="ja-JP"/>
        </w:rPr>
        <w:tab/>
        <w:t xml:space="preserve">The representative of RPMASA welcomed information from other experts on how </w:t>
      </w:r>
      <w:r w:rsidR="005F289F">
        <w:rPr>
          <w:rFonts w:eastAsia="MS Mincho"/>
          <w:lang w:eastAsia="ja-JP"/>
        </w:rPr>
        <w:t xml:space="preserve">these </w:t>
      </w:r>
      <w:r w:rsidR="00C7058A">
        <w:rPr>
          <w:rFonts w:eastAsia="MS Mincho"/>
          <w:lang w:eastAsia="ja-JP"/>
        </w:rPr>
        <w:t>provisions are implemented in their countries.</w:t>
      </w:r>
    </w:p>
    <w:p w:rsidR="004A4C65" w:rsidRDefault="004A4C65" w:rsidP="002B01C8">
      <w:pPr>
        <w:pStyle w:val="HChG"/>
        <w:rPr>
          <w:rFonts w:eastAsia="MS Mincho"/>
          <w:lang w:eastAsia="ja-JP"/>
        </w:rPr>
      </w:pPr>
      <w:r w:rsidRPr="00D259AD">
        <w:lastRenderedPageBreak/>
        <w:tab/>
      </w:r>
      <w:r>
        <w:rPr>
          <w:rFonts w:eastAsia="MS Mincho"/>
          <w:lang w:eastAsia="ja-JP"/>
        </w:rPr>
        <w:t>V</w:t>
      </w:r>
      <w:r w:rsidRPr="00D259AD">
        <w:rPr>
          <w:rFonts w:eastAsia="MS Mincho"/>
          <w:lang w:eastAsia="ja-JP"/>
        </w:rPr>
        <w:t>.</w:t>
      </w:r>
      <w:r w:rsidRPr="00D259AD">
        <w:rPr>
          <w:rFonts w:eastAsia="MS Mincho"/>
          <w:lang w:eastAsia="ja-JP"/>
        </w:rPr>
        <w:tab/>
      </w:r>
      <w:r>
        <w:rPr>
          <w:rFonts w:eastAsia="MS Mincho"/>
          <w:lang w:eastAsia="ja-JP"/>
        </w:rPr>
        <w:t>Implementation of the GHS (agenda item 4</w:t>
      </w:r>
      <w:r w:rsidRPr="00D259AD">
        <w:rPr>
          <w:rFonts w:eastAsia="MS Mincho"/>
          <w:lang w:eastAsia="ja-JP"/>
        </w:rPr>
        <w:t>)</w:t>
      </w:r>
    </w:p>
    <w:p w:rsidR="004A4C65" w:rsidRDefault="004A4C65" w:rsidP="002B01C8">
      <w:pPr>
        <w:pStyle w:val="H1G"/>
        <w:rPr>
          <w:rFonts w:eastAsia="MS Mincho"/>
          <w:lang w:eastAsia="ja-JP"/>
        </w:rPr>
      </w:pPr>
      <w:r>
        <w:rPr>
          <w:rFonts w:eastAsia="MS Mincho"/>
          <w:lang w:eastAsia="ja-JP"/>
        </w:rPr>
        <w:tab/>
        <w:t>A.</w:t>
      </w:r>
      <w:r>
        <w:rPr>
          <w:rFonts w:eastAsia="MS Mincho"/>
          <w:lang w:eastAsia="ja-JP"/>
        </w:rPr>
        <w:tab/>
        <w:t>Development of a list of chemicals classified in accordance with the GHS</w:t>
      </w:r>
    </w:p>
    <w:p w:rsidR="004A4C65" w:rsidRPr="001A1290" w:rsidRDefault="004A4C65" w:rsidP="002B01C8">
      <w:pPr>
        <w:pStyle w:val="SingleTxtG"/>
        <w:keepNext/>
        <w:keepLines/>
        <w:tabs>
          <w:tab w:val="left" w:pos="3119"/>
        </w:tabs>
        <w:rPr>
          <w:rFonts w:eastAsia="MS Mincho"/>
          <w:lang w:eastAsia="ja-JP"/>
        </w:rPr>
      </w:pPr>
      <w:r w:rsidRPr="001A1290">
        <w:rPr>
          <w:rFonts w:eastAsia="MS Mincho"/>
          <w:i/>
          <w:lang w:eastAsia="ja-JP"/>
        </w:rPr>
        <w:t>Document</w:t>
      </w:r>
      <w:r>
        <w:rPr>
          <w:rFonts w:eastAsia="MS Mincho"/>
          <w:lang w:eastAsia="ja-JP"/>
        </w:rPr>
        <w:t>:</w:t>
      </w:r>
      <w:r>
        <w:rPr>
          <w:rFonts w:eastAsia="MS Mincho"/>
          <w:lang w:eastAsia="ja-JP"/>
        </w:rPr>
        <w:tab/>
        <w:t>ST/SG/AC.10/C.3/2016/18 (OECD)</w:t>
      </w:r>
    </w:p>
    <w:p w:rsidR="004A4C65" w:rsidRDefault="004A4C65" w:rsidP="004A4C65">
      <w:pPr>
        <w:pStyle w:val="SingleTxtG"/>
        <w:tabs>
          <w:tab w:val="left" w:pos="3119"/>
        </w:tabs>
        <w:jc w:val="left"/>
        <w:rPr>
          <w:rFonts w:eastAsia="MS Mincho"/>
        </w:rPr>
      </w:pPr>
      <w:r w:rsidRPr="001A1290">
        <w:rPr>
          <w:rFonts w:eastAsia="MS Mincho"/>
          <w:i/>
        </w:rPr>
        <w:t>Informal document</w:t>
      </w:r>
      <w:r>
        <w:rPr>
          <w:rFonts w:eastAsia="MS Mincho"/>
          <w:i/>
        </w:rPr>
        <w:t>s</w:t>
      </w:r>
      <w:r>
        <w:rPr>
          <w:rFonts w:eastAsia="MS Mincho"/>
        </w:rPr>
        <w:t>:</w:t>
      </w:r>
      <w:r>
        <w:rPr>
          <w:rFonts w:eastAsia="MS Mincho"/>
        </w:rPr>
        <w:tab/>
        <w:t xml:space="preserve">INF.4 and </w:t>
      </w:r>
      <w:r w:rsidR="00206CAB">
        <w:rPr>
          <w:rFonts w:eastAsia="MS Mincho"/>
        </w:rPr>
        <w:t>Adds</w:t>
      </w:r>
      <w:r>
        <w:rPr>
          <w:rFonts w:eastAsia="MS Mincho"/>
        </w:rPr>
        <w:t>. 1</w:t>
      </w:r>
      <w:r w:rsidR="000952EC">
        <w:rPr>
          <w:rFonts w:eastAsia="MS Mincho"/>
        </w:rPr>
        <w:t xml:space="preserve"> </w:t>
      </w:r>
      <w:r w:rsidR="00206CAB">
        <w:rPr>
          <w:rFonts w:eastAsia="MS Mincho"/>
        </w:rPr>
        <w:t xml:space="preserve">to </w:t>
      </w:r>
      <w:r>
        <w:rPr>
          <w:rFonts w:eastAsia="MS Mincho"/>
        </w:rPr>
        <w:t>3 (</w:t>
      </w:r>
      <w:r>
        <w:rPr>
          <w:rFonts w:eastAsia="MS Mincho"/>
          <w:lang w:eastAsia="ja-JP"/>
        </w:rPr>
        <w:t>OECD</w:t>
      </w:r>
      <w:r>
        <w:rPr>
          <w:rFonts w:eastAsia="MS Mincho"/>
        </w:rPr>
        <w:t>)</w:t>
      </w:r>
      <w:r>
        <w:rPr>
          <w:rFonts w:eastAsia="MS Mincho"/>
        </w:rPr>
        <w:br/>
      </w:r>
      <w:r>
        <w:rPr>
          <w:rFonts w:eastAsia="MS Mincho"/>
        </w:rPr>
        <w:tab/>
        <w:t>INF.25 (United States of America)</w:t>
      </w:r>
      <w:r>
        <w:rPr>
          <w:rFonts w:eastAsia="MS Mincho"/>
        </w:rPr>
        <w:br/>
      </w:r>
      <w:r>
        <w:rPr>
          <w:rFonts w:eastAsia="MS Mincho"/>
        </w:rPr>
        <w:tab/>
        <w:t>INF.40 (United States of America)</w:t>
      </w:r>
    </w:p>
    <w:p w:rsidR="004A4C65" w:rsidRDefault="00882F73" w:rsidP="004A4C65">
      <w:pPr>
        <w:pStyle w:val="SingleTxtG"/>
        <w:rPr>
          <w:rFonts w:eastAsia="MS Mincho"/>
        </w:rPr>
      </w:pPr>
      <w:r>
        <w:rPr>
          <w:rFonts w:eastAsia="MS Mincho"/>
        </w:rPr>
        <w:t>52</w:t>
      </w:r>
      <w:r w:rsidR="004A4C65">
        <w:rPr>
          <w:rFonts w:eastAsia="MS Mincho"/>
        </w:rPr>
        <w:t>.</w:t>
      </w:r>
      <w:r w:rsidR="004A4C65">
        <w:rPr>
          <w:rFonts w:eastAsia="MS Mincho"/>
        </w:rPr>
        <w:tab/>
      </w:r>
      <w:r w:rsidR="004A4C65" w:rsidRPr="00BA18F7">
        <w:rPr>
          <w:rFonts w:eastAsia="MS Mincho"/>
        </w:rPr>
        <w:t xml:space="preserve">The Sub-Committee noted the outcome of the meeting of the informal </w:t>
      </w:r>
      <w:r w:rsidR="004A4C65">
        <w:rPr>
          <w:rFonts w:eastAsia="MS Mincho"/>
          <w:lang w:eastAsia="ja-JP"/>
        </w:rPr>
        <w:t>correspondence</w:t>
      </w:r>
      <w:r w:rsidR="004A4C65" w:rsidRPr="00BA18F7">
        <w:rPr>
          <w:rFonts w:eastAsia="MS Mincho"/>
        </w:rPr>
        <w:t xml:space="preserve"> group in paragraphs 1 to 5 of INF.40.</w:t>
      </w:r>
    </w:p>
    <w:p w:rsidR="004A4C65" w:rsidRDefault="00882F73" w:rsidP="004A4C65">
      <w:pPr>
        <w:pStyle w:val="SingleTxtG"/>
        <w:rPr>
          <w:rFonts w:eastAsia="MS Mincho"/>
        </w:rPr>
      </w:pPr>
      <w:r>
        <w:rPr>
          <w:rFonts w:eastAsia="MS Mincho"/>
        </w:rPr>
        <w:t>53</w:t>
      </w:r>
      <w:r w:rsidR="004A4C65">
        <w:rPr>
          <w:rFonts w:eastAsia="MS Mincho"/>
        </w:rPr>
        <w:t>.</w:t>
      </w:r>
      <w:r w:rsidR="004A4C65">
        <w:rPr>
          <w:rFonts w:eastAsia="MS Mincho"/>
        </w:rPr>
        <w:tab/>
      </w:r>
      <w:r w:rsidR="004A4C65" w:rsidRPr="00BA18F7">
        <w:rPr>
          <w:rFonts w:eastAsia="MS Mincho"/>
        </w:rPr>
        <w:t xml:space="preserve">The Sub-Committee agreed to the programme of work for the </w:t>
      </w:r>
      <w:r w:rsidR="000A321A">
        <w:rPr>
          <w:rFonts w:eastAsia="MS Mincho"/>
        </w:rPr>
        <w:t xml:space="preserve">informal </w:t>
      </w:r>
      <w:r w:rsidR="004A4C65">
        <w:rPr>
          <w:rFonts w:eastAsia="MS Mincho"/>
          <w:lang w:eastAsia="ja-JP"/>
        </w:rPr>
        <w:t>correspondence</w:t>
      </w:r>
      <w:r w:rsidR="004A4C65" w:rsidRPr="00BA18F7">
        <w:rPr>
          <w:rFonts w:eastAsia="MS Mincho"/>
        </w:rPr>
        <w:t xml:space="preserve"> group for the next biennium outlined in para 6 of INF.40, on the understanding that a more detailed work plan would be developed by the informal </w:t>
      </w:r>
      <w:r w:rsidR="004A4C65">
        <w:rPr>
          <w:rFonts w:eastAsia="MS Mincho"/>
          <w:lang w:eastAsia="ja-JP"/>
        </w:rPr>
        <w:t>correspondence</w:t>
      </w:r>
      <w:r w:rsidR="004A4C65" w:rsidRPr="00BA18F7">
        <w:rPr>
          <w:rFonts w:eastAsia="MS Mincho"/>
        </w:rPr>
        <w:t xml:space="preserve"> group once agreement on some of the outstanding issues was reached</w:t>
      </w:r>
      <w:r w:rsidR="004A4C65">
        <w:rPr>
          <w:rFonts w:eastAsia="MS Mincho"/>
        </w:rPr>
        <w:t>.</w:t>
      </w:r>
    </w:p>
    <w:p w:rsidR="004A4C65" w:rsidRDefault="004A4C65" w:rsidP="004A4C65">
      <w:pPr>
        <w:pStyle w:val="H1G"/>
        <w:rPr>
          <w:rFonts w:eastAsia="MS Mincho"/>
          <w:lang w:eastAsia="ja-JP"/>
        </w:rPr>
      </w:pPr>
      <w:r>
        <w:rPr>
          <w:rFonts w:eastAsia="MS Mincho"/>
          <w:lang w:eastAsia="ja-JP"/>
        </w:rPr>
        <w:tab/>
        <w:t>B.</w:t>
      </w:r>
      <w:r>
        <w:rPr>
          <w:rFonts w:eastAsia="MS Mincho"/>
          <w:lang w:eastAsia="ja-JP"/>
        </w:rPr>
        <w:tab/>
        <w:t>Reports on the status of implementation</w:t>
      </w:r>
    </w:p>
    <w:p w:rsidR="004A4C65" w:rsidRDefault="004A4C65" w:rsidP="004A4C65">
      <w:pPr>
        <w:pStyle w:val="H23G"/>
        <w:rPr>
          <w:rFonts w:eastAsia="MS Mincho"/>
          <w:lang w:eastAsia="ja-JP"/>
        </w:rPr>
      </w:pPr>
      <w:r>
        <w:rPr>
          <w:rFonts w:eastAsia="MS Mincho"/>
          <w:lang w:eastAsia="ja-JP"/>
        </w:rPr>
        <w:tab/>
        <w:t xml:space="preserve">1. </w:t>
      </w:r>
      <w:r>
        <w:rPr>
          <w:rFonts w:eastAsia="MS Mincho"/>
          <w:lang w:eastAsia="ja-JP"/>
        </w:rPr>
        <w:tab/>
        <w:t>Information about the status of implementation worldwide</w:t>
      </w:r>
    </w:p>
    <w:p w:rsidR="004A4C65" w:rsidRDefault="00882F73" w:rsidP="004A4C65">
      <w:pPr>
        <w:pStyle w:val="SingleTxtG"/>
        <w:rPr>
          <w:rFonts w:eastAsia="MS Mincho"/>
        </w:rPr>
      </w:pPr>
      <w:r>
        <w:rPr>
          <w:rFonts w:eastAsia="MS Mincho"/>
        </w:rPr>
        <w:t>54</w:t>
      </w:r>
      <w:r w:rsidR="004A4C65">
        <w:rPr>
          <w:rFonts w:eastAsia="MS Mincho"/>
        </w:rPr>
        <w:t>.</w:t>
      </w:r>
      <w:r w:rsidR="004A4C65">
        <w:rPr>
          <w:rFonts w:eastAsia="MS Mincho"/>
        </w:rPr>
        <w:tab/>
        <w:t>The representative of CEFIC said that the information provided by the secretariat about the status of implementation of the GHS on the website</w:t>
      </w:r>
      <w:r w:rsidR="004A4C65">
        <w:rPr>
          <w:rStyle w:val="FootnoteReference"/>
          <w:rFonts w:eastAsia="MS Mincho"/>
        </w:rPr>
        <w:footnoteReference w:id="2"/>
      </w:r>
      <w:r w:rsidR="004A4C65">
        <w:rPr>
          <w:rFonts w:eastAsia="MS Mincho"/>
        </w:rPr>
        <w:t xml:space="preserve"> was greatly appreciated by the industry and invited Sub-Committee members to revise it and communicate to the Secretariat any relevant progress so that the webpage could be kept up to date. </w:t>
      </w:r>
    </w:p>
    <w:p w:rsidR="004A4C65" w:rsidRPr="00516216" w:rsidRDefault="004A4C65" w:rsidP="004A4C65">
      <w:pPr>
        <w:pStyle w:val="H23G"/>
        <w:rPr>
          <w:rFonts w:eastAsia="MS Mincho"/>
          <w:lang w:eastAsia="ja-JP"/>
        </w:rPr>
      </w:pPr>
      <w:r>
        <w:rPr>
          <w:rFonts w:eastAsia="MS Mincho"/>
          <w:lang w:eastAsia="ja-JP"/>
        </w:rPr>
        <w:tab/>
        <w:t>2</w:t>
      </w:r>
      <w:r w:rsidRPr="00516216">
        <w:rPr>
          <w:rFonts w:eastAsia="MS Mincho"/>
          <w:lang w:eastAsia="ja-JP"/>
        </w:rPr>
        <w:t>.</w:t>
      </w:r>
      <w:r w:rsidRPr="00516216">
        <w:rPr>
          <w:rFonts w:eastAsia="MS Mincho"/>
          <w:lang w:eastAsia="ja-JP"/>
        </w:rPr>
        <w:tab/>
        <w:t>Canada</w:t>
      </w:r>
    </w:p>
    <w:p w:rsidR="004A4C65" w:rsidRPr="00516216" w:rsidRDefault="004A4C65" w:rsidP="004A4C65">
      <w:pPr>
        <w:pStyle w:val="SingleTxtG"/>
        <w:tabs>
          <w:tab w:val="left" w:pos="3119"/>
        </w:tabs>
        <w:jc w:val="left"/>
        <w:rPr>
          <w:rFonts w:eastAsia="MS Mincho"/>
        </w:rPr>
      </w:pPr>
      <w:r w:rsidRPr="00516216">
        <w:rPr>
          <w:rFonts w:eastAsia="MS Mincho"/>
          <w:i/>
        </w:rPr>
        <w:t>Informal document</w:t>
      </w:r>
      <w:r w:rsidRPr="00516216">
        <w:rPr>
          <w:rFonts w:eastAsia="MS Mincho"/>
        </w:rPr>
        <w:t>:</w:t>
      </w:r>
      <w:r w:rsidRPr="00516216">
        <w:rPr>
          <w:rFonts w:eastAsia="MS Mincho"/>
        </w:rPr>
        <w:tab/>
      </w:r>
      <w:r w:rsidRPr="00516216">
        <w:rPr>
          <w:rFonts w:eastAsia="MS Mincho"/>
        </w:rPr>
        <w:tab/>
        <w:t>INF.30 (Canada)</w:t>
      </w:r>
    </w:p>
    <w:p w:rsidR="004A4C65" w:rsidRDefault="00882F73" w:rsidP="004A4C65">
      <w:pPr>
        <w:pStyle w:val="SingleTxtG"/>
        <w:rPr>
          <w:rFonts w:eastAsia="MS Mincho"/>
        </w:rPr>
      </w:pPr>
      <w:r>
        <w:rPr>
          <w:rFonts w:eastAsia="MS Mincho"/>
        </w:rPr>
        <w:t>55</w:t>
      </w:r>
      <w:r w:rsidR="004A4C65">
        <w:rPr>
          <w:rFonts w:eastAsia="MS Mincho"/>
        </w:rPr>
        <w:t>.</w:t>
      </w:r>
      <w:r w:rsidR="004A4C65">
        <w:rPr>
          <w:rFonts w:eastAsia="MS Mincho"/>
        </w:rPr>
        <w:tab/>
      </w:r>
      <w:r w:rsidR="004A4C65" w:rsidRPr="00B0428D">
        <w:rPr>
          <w:rFonts w:eastAsia="MS Mincho"/>
        </w:rPr>
        <w:t xml:space="preserve">The Sub-Committee noted that Canada had released on 2 December 2016 the complete Technical Guidance on the Requirements of the Hazardous Products Act and the Hazardous Products Regulations. This technical guidance will assist manufacturers and importers to comply with the requirements of the new GHS based Workplace Hazardous Materials System of Classification and Labelling of Chemicals (WHMIS 2015). </w:t>
      </w:r>
    </w:p>
    <w:p w:rsidR="004A4C65" w:rsidRPr="00D832F4" w:rsidRDefault="004A4C65" w:rsidP="004A4C65">
      <w:pPr>
        <w:pStyle w:val="H23G"/>
        <w:rPr>
          <w:rFonts w:eastAsia="MS Mincho"/>
          <w:lang w:eastAsia="ja-JP"/>
        </w:rPr>
      </w:pPr>
      <w:r>
        <w:rPr>
          <w:rFonts w:eastAsia="MS Mincho"/>
          <w:lang w:eastAsia="ja-JP"/>
        </w:rPr>
        <w:tab/>
        <w:t>3</w:t>
      </w:r>
      <w:r w:rsidRPr="00D832F4">
        <w:rPr>
          <w:rFonts w:eastAsia="MS Mincho"/>
          <w:lang w:eastAsia="ja-JP"/>
        </w:rPr>
        <w:t>.</w:t>
      </w:r>
      <w:r w:rsidRPr="00D832F4">
        <w:rPr>
          <w:rFonts w:eastAsia="MS Mincho"/>
          <w:lang w:eastAsia="ja-JP"/>
        </w:rPr>
        <w:tab/>
        <w:t>Russian Federation</w:t>
      </w:r>
    </w:p>
    <w:p w:rsidR="004A4C65" w:rsidRPr="00D832F4" w:rsidRDefault="004A4C65" w:rsidP="004A4C65">
      <w:pPr>
        <w:pStyle w:val="SingleTxtG"/>
        <w:tabs>
          <w:tab w:val="left" w:pos="3119"/>
        </w:tabs>
        <w:jc w:val="left"/>
        <w:rPr>
          <w:rFonts w:eastAsia="MS Mincho"/>
        </w:rPr>
      </w:pPr>
      <w:r w:rsidRPr="00D832F4">
        <w:rPr>
          <w:rFonts w:eastAsia="MS Mincho"/>
          <w:i/>
        </w:rPr>
        <w:t>Informal document</w:t>
      </w:r>
      <w:r w:rsidRPr="00D832F4">
        <w:rPr>
          <w:rFonts w:eastAsia="MS Mincho"/>
        </w:rPr>
        <w:t>:</w:t>
      </w:r>
      <w:r w:rsidRPr="00D832F4">
        <w:rPr>
          <w:rFonts w:eastAsia="MS Mincho"/>
        </w:rPr>
        <w:tab/>
      </w:r>
      <w:r w:rsidRPr="00D832F4">
        <w:rPr>
          <w:rFonts w:eastAsia="MS Mincho"/>
        </w:rPr>
        <w:tab/>
        <w:t>INF.</w:t>
      </w:r>
      <w:r>
        <w:rPr>
          <w:rFonts w:eastAsia="MS Mincho"/>
        </w:rPr>
        <w:t>31</w:t>
      </w:r>
      <w:r w:rsidRPr="00D832F4">
        <w:rPr>
          <w:rFonts w:eastAsia="MS Mincho"/>
        </w:rPr>
        <w:t xml:space="preserve"> (Russian Federation)</w:t>
      </w:r>
    </w:p>
    <w:p w:rsidR="004A4C65" w:rsidRDefault="00882F73" w:rsidP="004A4C65">
      <w:pPr>
        <w:pStyle w:val="SingleTxtG"/>
        <w:rPr>
          <w:rFonts w:eastAsia="MS Mincho"/>
        </w:rPr>
      </w:pPr>
      <w:r>
        <w:rPr>
          <w:rFonts w:eastAsia="MS Mincho"/>
        </w:rPr>
        <w:t>56</w:t>
      </w:r>
      <w:r w:rsidR="004A4C65">
        <w:rPr>
          <w:rFonts w:eastAsia="MS Mincho"/>
        </w:rPr>
        <w:t>.</w:t>
      </w:r>
      <w:r w:rsidR="004A4C65">
        <w:rPr>
          <w:rFonts w:eastAsia="MS Mincho"/>
        </w:rPr>
        <w:tab/>
      </w:r>
      <w:r w:rsidR="004A4C65" w:rsidRPr="0003336E">
        <w:rPr>
          <w:rFonts w:eastAsia="MS Mincho"/>
        </w:rPr>
        <w:t xml:space="preserve">The Sub-Committee noted that the technical regulation “on the safety of chemical products” </w:t>
      </w:r>
      <w:r w:rsidR="004A4C65">
        <w:rPr>
          <w:rFonts w:eastAsia="MS Mincho"/>
        </w:rPr>
        <w:t>was</w:t>
      </w:r>
      <w:r w:rsidR="004A4C65" w:rsidRPr="0003336E">
        <w:rPr>
          <w:rFonts w:eastAsia="MS Mincho"/>
        </w:rPr>
        <w:t xml:space="preserve"> adopted on 7 October 2016 through Government Decree No.1019</w:t>
      </w:r>
      <w:r w:rsidR="004A4C65">
        <w:rPr>
          <w:rFonts w:eastAsia="MS Mincho"/>
        </w:rPr>
        <w:t>. With this regulation the provisions of GHS based national standards (GOSTs) on test methods, classification criteria and hazard communication elements become mandatory.</w:t>
      </w:r>
      <w:r w:rsidR="00040C4E">
        <w:rPr>
          <w:rFonts w:eastAsia="MS Mincho"/>
        </w:rPr>
        <w:t xml:space="preserve"> </w:t>
      </w:r>
      <w:r w:rsidR="004A4C65">
        <w:rPr>
          <w:rFonts w:eastAsia="MS Mincho"/>
        </w:rPr>
        <w:t>The</w:t>
      </w:r>
      <w:r w:rsidR="00040C4E">
        <w:rPr>
          <w:rFonts w:eastAsia="MS Mincho"/>
        </w:rPr>
        <w:t> </w:t>
      </w:r>
      <w:r w:rsidR="00D071F5">
        <w:rPr>
          <w:rFonts w:eastAsia="MS Mincho"/>
        </w:rPr>
        <w:t xml:space="preserve">transitional period ending on 1 July 2021 gives </w:t>
      </w:r>
      <w:r w:rsidR="004A4C65">
        <w:rPr>
          <w:rFonts w:eastAsia="MS Mincho"/>
        </w:rPr>
        <w:t xml:space="preserve">manufacturers and suppliers </w:t>
      </w:r>
      <w:r w:rsidR="00165AAF">
        <w:rPr>
          <w:rFonts w:eastAsia="MS Mincho"/>
        </w:rPr>
        <w:t>the opportunity</w:t>
      </w:r>
      <w:r w:rsidR="004A4C65">
        <w:rPr>
          <w:rFonts w:eastAsia="MS Mincho"/>
        </w:rPr>
        <w:t xml:space="preserve"> to adapt to the new provisions.</w:t>
      </w:r>
    </w:p>
    <w:p w:rsidR="004A4C65" w:rsidRDefault="004A4C65" w:rsidP="002B01C8">
      <w:pPr>
        <w:pStyle w:val="H23G"/>
        <w:rPr>
          <w:rFonts w:eastAsia="MS Mincho"/>
          <w:lang w:eastAsia="ja-JP"/>
        </w:rPr>
      </w:pPr>
      <w:r>
        <w:rPr>
          <w:rFonts w:eastAsia="MS Mincho"/>
          <w:lang w:eastAsia="ja-JP"/>
        </w:rPr>
        <w:lastRenderedPageBreak/>
        <w:tab/>
        <w:t>4</w:t>
      </w:r>
      <w:r w:rsidRPr="00D832F4">
        <w:rPr>
          <w:rFonts w:eastAsia="MS Mincho"/>
          <w:lang w:eastAsia="ja-JP"/>
        </w:rPr>
        <w:t>.</w:t>
      </w:r>
      <w:r w:rsidRPr="00D832F4">
        <w:rPr>
          <w:rFonts w:eastAsia="MS Mincho"/>
          <w:lang w:eastAsia="ja-JP"/>
        </w:rPr>
        <w:tab/>
      </w:r>
      <w:r>
        <w:rPr>
          <w:rFonts w:eastAsia="MS Mincho"/>
          <w:lang w:eastAsia="ja-JP"/>
        </w:rPr>
        <w:t>South Africa</w:t>
      </w:r>
    </w:p>
    <w:p w:rsidR="004A4C65" w:rsidRDefault="00882F73" w:rsidP="002B01C8">
      <w:pPr>
        <w:pStyle w:val="SingleTxtG"/>
        <w:keepNext/>
        <w:keepLines/>
        <w:rPr>
          <w:rFonts w:eastAsia="MS Mincho"/>
          <w:lang w:eastAsia="ja-JP"/>
        </w:rPr>
      </w:pPr>
      <w:r>
        <w:rPr>
          <w:rFonts w:eastAsia="MS Mincho"/>
          <w:lang w:eastAsia="ja-JP"/>
        </w:rPr>
        <w:t>57</w:t>
      </w:r>
      <w:r w:rsidR="004A4C65">
        <w:rPr>
          <w:rFonts w:eastAsia="MS Mincho"/>
          <w:lang w:eastAsia="ja-JP"/>
        </w:rPr>
        <w:t>.</w:t>
      </w:r>
      <w:r w:rsidR="004A4C65">
        <w:rPr>
          <w:rFonts w:eastAsia="MS Mincho"/>
          <w:lang w:eastAsia="ja-JP"/>
        </w:rPr>
        <w:tab/>
        <w:t xml:space="preserve">The Sub-Committee noted that several pieces of legislation were in the final stages of development and that work on the development and update of a GHS national implementation plan continued. The involvement of government stakeholders responsible for chemicals management in capacity building and awareness raising activities was also noted. </w:t>
      </w:r>
    </w:p>
    <w:p w:rsidR="004A4C65" w:rsidRDefault="004A4C65" w:rsidP="004A4C65">
      <w:pPr>
        <w:pStyle w:val="H23G"/>
        <w:rPr>
          <w:rFonts w:eastAsia="MS Mincho"/>
          <w:lang w:eastAsia="ja-JP"/>
        </w:rPr>
      </w:pPr>
      <w:r>
        <w:rPr>
          <w:rFonts w:eastAsia="MS Mincho"/>
          <w:lang w:eastAsia="ja-JP"/>
        </w:rPr>
        <w:tab/>
        <w:t>5</w:t>
      </w:r>
      <w:r w:rsidRPr="00D832F4">
        <w:rPr>
          <w:rFonts w:eastAsia="MS Mincho"/>
          <w:lang w:eastAsia="ja-JP"/>
        </w:rPr>
        <w:t>.</w:t>
      </w:r>
      <w:r w:rsidRPr="00D832F4">
        <w:rPr>
          <w:rFonts w:eastAsia="MS Mincho"/>
          <w:lang w:eastAsia="ja-JP"/>
        </w:rPr>
        <w:tab/>
      </w:r>
      <w:r>
        <w:rPr>
          <w:rFonts w:eastAsia="MS Mincho"/>
          <w:lang w:eastAsia="ja-JP"/>
        </w:rPr>
        <w:t>Australia</w:t>
      </w:r>
    </w:p>
    <w:p w:rsidR="004A4C65" w:rsidRDefault="00882F73" w:rsidP="004A4C65">
      <w:pPr>
        <w:pStyle w:val="SingleTxtG"/>
        <w:rPr>
          <w:rFonts w:eastAsia="MS Mincho"/>
          <w:lang w:eastAsia="ja-JP"/>
        </w:rPr>
      </w:pPr>
      <w:r>
        <w:rPr>
          <w:rFonts w:eastAsia="MS Mincho"/>
          <w:lang w:eastAsia="ja-JP"/>
        </w:rPr>
        <w:t>58</w:t>
      </w:r>
      <w:r w:rsidR="004A4C65">
        <w:rPr>
          <w:rFonts w:eastAsia="MS Mincho"/>
          <w:lang w:eastAsia="ja-JP"/>
        </w:rPr>
        <w:t>.</w:t>
      </w:r>
      <w:r w:rsidR="004A4C65">
        <w:rPr>
          <w:rFonts w:eastAsia="MS Mincho"/>
          <w:lang w:eastAsia="ja-JP"/>
        </w:rPr>
        <w:tab/>
        <w:t xml:space="preserve">The Sub-Committee noted that Australia had implemented the third revised edition of the GHS for chemical classification and hazard communication requirements for workplace chemicals. Six states and territories had implemented GHS through the Work Health Safety (WHS) Regulations (2011). Implementation in three other jurisdictions is expected during 2017. It was noted that the GHS is already recognised in these states through other pieces of legislation. </w:t>
      </w:r>
    </w:p>
    <w:p w:rsidR="004A4C65" w:rsidRDefault="00882F73" w:rsidP="004A4C65">
      <w:pPr>
        <w:pStyle w:val="SingleTxtG"/>
        <w:rPr>
          <w:rFonts w:eastAsia="MS Mincho"/>
          <w:lang w:eastAsia="ja-JP"/>
        </w:rPr>
      </w:pPr>
      <w:r>
        <w:rPr>
          <w:rFonts w:eastAsia="MS Mincho"/>
          <w:lang w:eastAsia="ja-JP"/>
        </w:rPr>
        <w:t>59</w:t>
      </w:r>
      <w:r w:rsidR="004A4C65">
        <w:rPr>
          <w:rFonts w:eastAsia="MS Mincho"/>
          <w:lang w:eastAsia="ja-JP"/>
        </w:rPr>
        <w:t>.</w:t>
      </w:r>
      <w:r w:rsidR="004A4C65">
        <w:rPr>
          <w:rFonts w:eastAsia="MS Mincho"/>
          <w:lang w:eastAsia="ja-JP"/>
        </w:rPr>
        <w:tab/>
      </w:r>
      <w:r w:rsidR="004A4C65" w:rsidRPr="009F58E1">
        <w:rPr>
          <w:rFonts w:eastAsia="MS Mincho"/>
          <w:lang w:eastAsia="ja-JP"/>
        </w:rPr>
        <w:t>Consumer goods, human thera</w:t>
      </w:r>
      <w:r w:rsidR="004A4C65">
        <w:rPr>
          <w:rFonts w:eastAsia="MS Mincho"/>
          <w:lang w:eastAsia="ja-JP"/>
        </w:rPr>
        <w:t xml:space="preserve">peutics, cosmetics, toiletries </w:t>
      </w:r>
      <w:r w:rsidR="004A4C65" w:rsidRPr="009F58E1">
        <w:rPr>
          <w:rFonts w:eastAsia="MS Mincho"/>
          <w:lang w:eastAsia="ja-JP"/>
        </w:rPr>
        <w:t xml:space="preserve">and some veterinary chemicals are exempted from the GHS labelling requirements under the model WHS Regulations. Pesticides registered by the Australian Pesticides and Veterinary Medicines Authority (APVMA) are </w:t>
      </w:r>
      <w:r w:rsidR="004A4C65">
        <w:rPr>
          <w:rFonts w:eastAsia="MS Mincho"/>
          <w:lang w:eastAsia="ja-JP"/>
        </w:rPr>
        <w:t xml:space="preserve">also </w:t>
      </w:r>
      <w:r w:rsidR="004A4C65" w:rsidRPr="009F58E1">
        <w:rPr>
          <w:rFonts w:eastAsia="MS Mincho"/>
          <w:lang w:eastAsia="ja-JP"/>
        </w:rPr>
        <w:t>partially exempted from GHS labelling requirements</w:t>
      </w:r>
      <w:r w:rsidR="004A4C65">
        <w:rPr>
          <w:rFonts w:eastAsia="MS Mincho"/>
          <w:lang w:eastAsia="ja-JP"/>
        </w:rPr>
        <w:t xml:space="preserve"> (</w:t>
      </w:r>
      <w:r w:rsidR="004A4C65" w:rsidRPr="009F58E1">
        <w:rPr>
          <w:rFonts w:eastAsia="MS Mincho"/>
          <w:lang w:eastAsia="ja-JP"/>
        </w:rPr>
        <w:t>only hazard and precautionary statements are required to be included if they are not already on the approved APVMA label</w:t>
      </w:r>
      <w:r w:rsidR="004A4C65">
        <w:rPr>
          <w:rFonts w:eastAsia="MS Mincho"/>
          <w:lang w:eastAsia="ja-JP"/>
        </w:rPr>
        <w:t>)</w:t>
      </w:r>
      <w:r w:rsidR="004A4C65" w:rsidRPr="009F58E1">
        <w:rPr>
          <w:rFonts w:eastAsia="MS Mincho"/>
          <w:lang w:eastAsia="ja-JP"/>
        </w:rPr>
        <w:t xml:space="preserve">. </w:t>
      </w:r>
    </w:p>
    <w:p w:rsidR="004A4C65" w:rsidRDefault="00882F73" w:rsidP="004A4C65">
      <w:pPr>
        <w:pStyle w:val="SingleTxtG"/>
        <w:rPr>
          <w:rFonts w:eastAsia="MS Mincho"/>
          <w:lang w:eastAsia="ja-JP"/>
        </w:rPr>
      </w:pPr>
      <w:r>
        <w:rPr>
          <w:rFonts w:eastAsia="MS Mincho"/>
          <w:lang w:eastAsia="ja-JP"/>
        </w:rPr>
        <w:t>60</w:t>
      </w:r>
      <w:r w:rsidR="004A4C65">
        <w:rPr>
          <w:rFonts w:eastAsia="MS Mincho"/>
          <w:lang w:eastAsia="ja-JP"/>
        </w:rPr>
        <w:t>.</w:t>
      </w:r>
      <w:r w:rsidR="004A4C65">
        <w:rPr>
          <w:rFonts w:eastAsia="MS Mincho"/>
          <w:lang w:eastAsia="ja-JP"/>
        </w:rPr>
        <w:tab/>
        <w:t xml:space="preserve">During the transitional period (1 January 2012 to 31 December 2016), </w:t>
      </w:r>
      <w:r w:rsidR="004A4C65" w:rsidRPr="009F58E1">
        <w:rPr>
          <w:rFonts w:eastAsia="MS Mincho"/>
          <w:lang w:eastAsia="ja-JP"/>
        </w:rPr>
        <w:t xml:space="preserve">manufacturers and importers </w:t>
      </w:r>
      <w:r w:rsidR="004A4C65">
        <w:rPr>
          <w:rFonts w:eastAsia="MS Mincho"/>
          <w:lang w:eastAsia="ja-JP"/>
        </w:rPr>
        <w:t xml:space="preserve">were allowed </w:t>
      </w:r>
      <w:r w:rsidR="004A4C65" w:rsidRPr="009F58E1">
        <w:rPr>
          <w:rFonts w:eastAsia="MS Mincho"/>
          <w:lang w:eastAsia="ja-JP"/>
        </w:rPr>
        <w:t>to use either the GHS for</w:t>
      </w:r>
      <w:r w:rsidR="004A4C65">
        <w:rPr>
          <w:rFonts w:eastAsia="MS Mincho"/>
          <w:lang w:eastAsia="ja-JP"/>
        </w:rPr>
        <w:t xml:space="preserve"> classification, labelling and safety data sheets</w:t>
      </w:r>
      <w:r w:rsidR="004A4C65" w:rsidRPr="009F58E1">
        <w:rPr>
          <w:rFonts w:eastAsia="MS Mincho"/>
          <w:lang w:eastAsia="ja-JP"/>
        </w:rPr>
        <w:t>, or the previous hazardous substances and dangerous goods based classification systems.</w:t>
      </w:r>
      <w:r w:rsidR="004A4C65">
        <w:rPr>
          <w:rFonts w:eastAsia="MS Mincho"/>
          <w:lang w:eastAsia="ja-JP"/>
        </w:rPr>
        <w:t xml:space="preserve"> </w:t>
      </w:r>
      <w:r w:rsidR="004A4C65" w:rsidRPr="009F58E1">
        <w:rPr>
          <w:rFonts w:eastAsia="MS Mincho"/>
          <w:lang w:eastAsia="ja-JP"/>
        </w:rPr>
        <w:t xml:space="preserve">After 31 December 2016, manufacturers and importers of workplace chemicals must classify according to the GHS and labels and </w:t>
      </w:r>
      <w:r w:rsidR="004A4C65">
        <w:rPr>
          <w:rFonts w:eastAsia="MS Mincho"/>
          <w:lang w:eastAsia="ja-JP"/>
        </w:rPr>
        <w:t>safety data sheets</w:t>
      </w:r>
      <w:r w:rsidR="004A4C65" w:rsidRPr="009F58E1">
        <w:rPr>
          <w:rFonts w:eastAsia="MS Mincho"/>
          <w:lang w:eastAsia="ja-JP"/>
        </w:rPr>
        <w:t xml:space="preserve"> must be updated</w:t>
      </w:r>
      <w:r w:rsidR="004A4C65">
        <w:rPr>
          <w:rFonts w:eastAsia="MS Mincho"/>
          <w:lang w:eastAsia="ja-JP"/>
        </w:rPr>
        <w:t xml:space="preserve"> accordingly</w:t>
      </w:r>
      <w:r w:rsidR="004A4C65" w:rsidRPr="009F58E1">
        <w:rPr>
          <w:rFonts w:eastAsia="MS Mincho"/>
          <w:lang w:eastAsia="ja-JP"/>
        </w:rPr>
        <w:t>.</w:t>
      </w:r>
      <w:r w:rsidR="004A4C65">
        <w:rPr>
          <w:rFonts w:eastAsia="MS Mincho"/>
          <w:lang w:eastAsia="ja-JP"/>
        </w:rPr>
        <w:t xml:space="preserve"> </w:t>
      </w:r>
      <w:r w:rsidR="004A4C65" w:rsidRPr="009F58E1">
        <w:rPr>
          <w:rFonts w:eastAsia="MS Mincho"/>
          <w:lang w:eastAsia="ja-JP"/>
        </w:rPr>
        <w:t xml:space="preserve">Suppliers may continue to supply other workplaces with stock they have on hand after 1 January 2017 providing it was manufactured or imported prior to 1 January 2017 and correctly labelled at that time. Suppliers will also need to have GHS compliant </w:t>
      </w:r>
      <w:r w:rsidR="004A4C65">
        <w:rPr>
          <w:rFonts w:eastAsia="MS Mincho"/>
          <w:lang w:eastAsia="ja-JP"/>
        </w:rPr>
        <w:t>safety data sheets</w:t>
      </w:r>
      <w:r w:rsidR="004A4C65" w:rsidRPr="009F58E1">
        <w:rPr>
          <w:rFonts w:eastAsia="MS Mincho"/>
          <w:lang w:eastAsia="ja-JP"/>
        </w:rPr>
        <w:t xml:space="preserve"> available from this date.</w:t>
      </w:r>
      <w:r w:rsidR="004A4C65">
        <w:rPr>
          <w:rFonts w:eastAsia="MS Mincho"/>
          <w:lang w:eastAsia="ja-JP"/>
        </w:rPr>
        <w:t xml:space="preserve"> </w:t>
      </w:r>
      <w:r w:rsidR="004A4C65" w:rsidRPr="009F58E1">
        <w:rPr>
          <w:rFonts w:eastAsia="MS Mincho"/>
          <w:lang w:eastAsia="ja-JP"/>
        </w:rPr>
        <w:t>Users of hazardous chemicals are not required to re</w:t>
      </w:r>
      <w:r w:rsidR="004A4C65">
        <w:rPr>
          <w:rFonts w:eastAsia="MS Mincho"/>
          <w:lang w:eastAsia="ja-JP"/>
        </w:rPr>
        <w:t>-</w:t>
      </w:r>
      <w:r w:rsidR="004A4C65" w:rsidRPr="009F58E1">
        <w:rPr>
          <w:rFonts w:eastAsia="MS Mincho"/>
          <w:lang w:eastAsia="ja-JP"/>
        </w:rPr>
        <w:t>label or dispose of existing  non-GHS labelled stock.</w:t>
      </w:r>
    </w:p>
    <w:p w:rsidR="004A4C65" w:rsidRDefault="00882F73" w:rsidP="004A4C65">
      <w:pPr>
        <w:pStyle w:val="SingleTxtG"/>
        <w:rPr>
          <w:rFonts w:eastAsia="MS Mincho"/>
          <w:lang w:eastAsia="ja-JP"/>
        </w:rPr>
      </w:pPr>
      <w:r>
        <w:rPr>
          <w:rFonts w:eastAsia="MS Mincho"/>
          <w:lang w:eastAsia="ja-JP"/>
        </w:rPr>
        <w:t>61</w:t>
      </w:r>
      <w:r w:rsidR="004A4C65">
        <w:rPr>
          <w:rFonts w:eastAsia="MS Mincho"/>
          <w:lang w:eastAsia="ja-JP"/>
        </w:rPr>
        <w:t>.</w:t>
      </w:r>
      <w:r w:rsidR="004A4C65">
        <w:rPr>
          <w:rFonts w:eastAsia="MS Mincho"/>
          <w:lang w:eastAsia="ja-JP"/>
        </w:rPr>
        <w:tab/>
        <w:t>The Sub-Committee noted that p</w:t>
      </w:r>
      <w:r w:rsidR="004A4C65" w:rsidRPr="009F58E1">
        <w:rPr>
          <w:rFonts w:eastAsia="MS Mincho"/>
          <w:lang w:eastAsia="ja-JP"/>
        </w:rPr>
        <w:t xml:space="preserve">olicy agreement has been gained for the adoption of the sixth revised edition of the GHS, </w:t>
      </w:r>
      <w:r w:rsidR="004A4C65">
        <w:rPr>
          <w:rFonts w:eastAsia="MS Mincho"/>
          <w:lang w:eastAsia="ja-JP"/>
        </w:rPr>
        <w:t>although</w:t>
      </w:r>
      <w:r w:rsidR="004A4C65" w:rsidRPr="009F58E1">
        <w:rPr>
          <w:rFonts w:eastAsia="MS Mincho"/>
          <w:lang w:eastAsia="ja-JP"/>
        </w:rPr>
        <w:t xml:space="preserve"> a timeframe for adoption has not </w:t>
      </w:r>
      <w:r w:rsidR="004A4C65">
        <w:rPr>
          <w:rFonts w:eastAsia="MS Mincho"/>
          <w:lang w:eastAsia="ja-JP"/>
        </w:rPr>
        <w:t>yet been defined</w:t>
      </w:r>
      <w:r w:rsidR="004A4C65" w:rsidRPr="009F58E1">
        <w:rPr>
          <w:rFonts w:eastAsia="MS Mincho"/>
          <w:lang w:eastAsia="ja-JP"/>
        </w:rPr>
        <w:t xml:space="preserve">. </w:t>
      </w:r>
      <w:r w:rsidR="004A4C65">
        <w:rPr>
          <w:rFonts w:eastAsia="MS Mincho"/>
          <w:lang w:eastAsia="ja-JP"/>
        </w:rPr>
        <w:t>The expert from Australia announced that she would inform the Sub-Committee at its next session on progress with GHS implementation in her country.</w:t>
      </w:r>
    </w:p>
    <w:p w:rsidR="004A4C65" w:rsidRDefault="004A4C65" w:rsidP="004A4C65">
      <w:pPr>
        <w:pStyle w:val="H1G"/>
        <w:rPr>
          <w:rFonts w:eastAsia="MS Mincho"/>
          <w:lang w:eastAsia="ja-JP"/>
        </w:rPr>
      </w:pPr>
      <w:r>
        <w:rPr>
          <w:rFonts w:eastAsia="MS Mincho"/>
          <w:lang w:eastAsia="ja-JP"/>
        </w:rPr>
        <w:tab/>
        <w:t>C.</w:t>
      </w:r>
      <w:r>
        <w:rPr>
          <w:rFonts w:eastAsia="MS Mincho"/>
          <w:lang w:eastAsia="ja-JP"/>
        </w:rPr>
        <w:tab/>
        <w:t>Cooperation with other bodies or international organizations</w:t>
      </w:r>
    </w:p>
    <w:p w:rsidR="004A4C65" w:rsidRDefault="00882F73" w:rsidP="004A4C65">
      <w:pPr>
        <w:pStyle w:val="SingleTxtG"/>
      </w:pPr>
      <w:r>
        <w:t>62</w:t>
      </w:r>
      <w:r w:rsidR="004A4C65">
        <w:t>.</w:t>
      </w:r>
      <w:r w:rsidR="004A4C65">
        <w:tab/>
        <w:t>As no document had been submitted under this agenda item, no discussion took place on this subject.</w:t>
      </w:r>
    </w:p>
    <w:p w:rsidR="004A4C65" w:rsidRDefault="004A4C65" w:rsidP="004A4C65">
      <w:pPr>
        <w:pStyle w:val="H1G"/>
        <w:rPr>
          <w:rFonts w:eastAsia="MS Mincho"/>
          <w:lang w:eastAsia="ja-JP"/>
        </w:rPr>
      </w:pPr>
      <w:r>
        <w:rPr>
          <w:rFonts w:eastAsia="MS Mincho"/>
          <w:lang w:eastAsia="ja-JP"/>
        </w:rPr>
        <w:tab/>
        <w:t>D.</w:t>
      </w:r>
      <w:r>
        <w:rPr>
          <w:rFonts w:eastAsia="MS Mincho"/>
          <w:lang w:eastAsia="ja-JP"/>
        </w:rPr>
        <w:tab/>
        <w:t>Miscellaneous</w:t>
      </w:r>
    </w:p>
    <w:p w:rsidR="004A4C65" w:rsidRDefault="00882F73" w:rsidP="004A4C65">
      <w:pPr>
        <w:pStyle w:val="SingleTxtG"/>
      </w:pPr>
      <w:r>
        <w:t>63</w:t>
      </w:r>
      <w:r w:rsidR="004A4C65">
        <w:t>.</w:t>
      </w:r>
      <w:r w:rsidR="004A4C65">
        <w:tab/>
        <w:t>As no document had been submitted under this agenda item, no discussion took place on this subject.</w:t>
      </w:r>
    </w:p>
    <w:p w:rsidR="004A4C65" w:rsidRDefault="004A4C65" w:rsidP="004A4C65">
      <w:pPr>
        <w:pStyle w:val="HChG"/>
        <w:rPr>
          <w:rFonts w:eastAsia="MS Mincho"/>
          <w:lang w:eastAsia="ja-JP"/>
        </w:rPr>
      </w:pPr>
      <w:r w:rsidRPr="00D259AD">
        <w:lastRenderedPageBreak/>
        <w:tab/>
      </w:r>
      <w:r>
        <w:rPr>
          <w:rFonts w:eastAsia="MS Mincho"/>
          <w:lang w:eastAsia="ja-JP"/>
        </w:rPr>
        <w:t>VI</w:t>
      </w:r>
      <w:r w:rsidRPr="00D259AD">
        <w:rPr>
          <w:rFonts w:eastAsia="MS Mincho"/>
          <w:lang w:eastAsia="ja-JP"/>
        </w:rPr>
        <w:t>.</w:t>
      </w:r>
      <w:r w:rsidRPr="00D259AD">
        <w:rPr>
          <w:rFonts w:eastAsia="MS Mincho"/>
          <w:lang w:eastAsia="ja-JP"/>
        </w:rPr>
        <w:tab/>
      </w:r>
      <w:r>
        <w:rPr>
          <w:rFonts w:eastAsia="MS Mincho"/>
          <w:lang w:eastAsia="ja-JP"/>
        </w:rPr>
        <w:t>Development of guidance on the application of GHS criteria (agenda item 5</w:t>
      </w:r>
      <w:r w:rsidRPr="00D259AD">
        <w:rPr>
          <w:rFonts w:eastAsia="MS Mincho"/>
          <w:lang w:eastAsia="ja-JP"/>
        </w:rPr>
        <w:t>)</w:t>
      </w:r>
    </w:p>
    <w:p w:rsidR="004A4C65" w:rsidRDefault="004A4C65" w:rsidP="004A4C65">
      <w:pPr>
        <w:pStyle w:val="H23G"/>
        <w:rPr>
          <w:rFonts w:eastAsia="MS Mincho"/>
        </w:rPr>
      </w:pPr>
      <w:r>
        <w:rPr>
          <w:rFonts w:eastAsia="MS Mincho"/>
        </w:rPr>
        <w:tab/>
      </w:r>
      <w:r>
        <w:rPr>
          <w:rFonts w:eastAsia="MS Mincho"/>
        </w:rPr>
        <w:tab/>
      </w:r>
      <w:r w:rsidRPr="00067F09">
        <w:rPr>
          <w:rFonts w:eastAsia="MS Mincho"/>
        </w:rPr>
        <w:t>Guidance on the applicability of the GHS to classification and labelling of pesticides</w:t>
      </w:r>
    </w:p>
    <w:p w:rsidR="004A4C65" w:rsidRDefault="004A4C65" w:rsidP="004A4C65">
      <w:pPr>
        <w:pStyle w:val="SingleTxtG"/>
        <w:tabs>
          <w:tab w:val="left" w:pos="3119"/>
        </w:tabs>
        <w:jc w:val="left"/>
        <w:rPr>
          <w:rFonts w:eastAsia="MS Mincho"/>
        </w:rPr>
      </w:pPr>
      <w:r w:rsidRPr="001A1290">
        <w:rPr>
          <w:rFonts w:eastAsia="MS Mincho"/>
          <w:i/>
        </w:rPr>
        <w:t>Informal document</w:t>
      </w:r>
      <w:r>
        <w:rPr>
          <w:rFonts w:eastAsia="MS Mincho"/>
        </w:rPr>
        <w:t>:</w:t>
      </w:r>
      <w:r>
        <w:rPr>
          <w:rFonts w:eastAsia="MS Mincho"/>
        </w:rPr>
        <w:tab/>
      </w:r>
      <w:r>
        <w:rPr>
          <w:rFonts w:eastAsia="MS Mincho"/>
        </w:rPr>
        <w:tab/>
        <w:t>INF.24 (Secretariat)</w:t>
      </w:r>
    </w:p>
    <w:p w:rsidR="004A4C65" w:rsidRDefault="00DF7FC3" w:rsidP="004A4C65">
      <w:pPr>
        <w:pStyle w:val="SingleTxtG"/>
      </w:pPr>
      <w:r>
        <w:rPr>
          <w:rFonts w:eastAsia="MS Mincho"/>
        </w:rPr>
        <w:t>6</w:t>
      </w:r>
      <w:r w:rsidR="00882F73">
        <w:rPr>
          <w:rFonts w:eastAsia="MS Mincho"/>
        </w:rPr>
        <w:t>4</w:t>
      </w:r>
      <w:r w:rsidR="004A4C65">
        <w:rPr>
          <w:rFonts w:eastAsia="MS Mincho"/>
        </w:rPr>
        <w:t>.</w:t>
      </w:r>
      <w:r w:rsidR="004A4C65">
        <w:rPr>
          <w:rFonts w:eastAsia="MS Mincho"/>
        </w:rPr>
        <w:tab/>
      </w:r>
      <w:r w:rsidR="004A4C65" w:rsidRPr="003A010C">
        <w:rPr>
          <w:rFonts w:eastAsia="MS Mincho"/>
        </w:rPr>
        <w:t>The Sub-Committee noted that several FAO or WHO guidelines addressing classification and labelling of pesticides had been updated to take account of GHS provisions. In particular, it was noted that the FAO “Guidelines on highly hazardous pesticides” published in 2016</w:t>
      </w:r>
      <w:r w:rsidR="004A4C65">
        <w:rPr>
          <w:rFonts w:eastAsia="MS Mincho"/>
        </w:rPr>
        <w:t>,</w:t>
      </w:r>
      <w:r w:rsidR="004A4C65" w:rsidRPr="003A010C">
        <w:rPr>
          <w:rFonts w:eastAsia="MS Mincho"/>
        </w:rPr>
        <w:t xml:space="preserve"> the “</w:t>
      </w:r>
      <w:r w:rsidR="004A4C65" w:rsidRPr="003A010C">
        <w:t xml:space="preserve">Guidelines on good labelling practice for pesticides” published in 2015, </w:t>
      </w:r>
      <w:r w:rsidR="004A4C65">
        <w:t xml:space="preserve">and the “WHO recommended classification of pesticides by hazard and guidelines to classification” published in 2009, </w:t>
      </w:r>
      <w:r w:rsidR="004A4C65" w:rsidRPr="003A010C">
        <w:t>contain</w:t>
      </w:r>
      <w:r w:rsidR="004A4C65">
        <w:t>ed</w:t>
      </w:r>
      <w:r w:rsidR="004A4C65" w:rsidRPr="003A010C">
        <w:t xml:space="preserve"> multiple references to the applicability of the GHS to classification and</w:t>
      </w:r>
      <w:r w:rsidR="004A4C65">
        <w:t>/or</w:t>
      </w:r>
      <w:r w:rsidR="004A4C65" w:rsidRPr="003A010C">
        <w:t xml:space="preserve"> labelling of pesticides. </w:t>
      </w:r>
    </w:p>
    <w:p w:rsidR="004A4C65" w:rsidRDefault="004A4C65" w:rsidP="004A4C65">
      <w:pPr>
        <w:pStyle w:val="HChG"/>
        <w:rPr>
          <w:rFonts w:eastAsia="MS Mincho"/>
          <w:lang w:eastAsia="ja-JP"/>
        </w:rPr>
      </w:pPr>
      <w:r w:rsidRPr="00D259AD">
        <w:tab/>
      </w:r>
      <w:r>
        <w:rPr>
          <w:rFonts w:eastAsia="MS Mincho"/>
          <w:lang w:eastAsia="ja-JP"/>
        </w:rPr>
        <w:t>VII</w:t>
      </w:r>
      <w:r w:rsidRPr="00D259AD">
        <w:rPr>
          <w:rFonts w:eastAsia="MS Mincho"/>
          <w:lang w:eastAsia="ja-JP"/>
        </w:rPr>
        <w:t>.</w:t>
      </w:r>
      <w:r w:rsidRPr="00D259AD">
        <w:rPr>
          <w:rFonts w:eastAsia="MS Mincho"/>
          <w:lang w:eastAsia="ja-JP"/>
        </w:rPr>
        <w:tab/>
      </w:r>
      <w:r>
        <w:rPr>
          <w:rFonts w:eastAsia="MS Mincho"/>
          <w:lang w:eastAsia="ja-JP"/>
        </w:rPr>
        <w:t>Capacity building (agenda item 6</w:t>
      </w:r>
      <w:r w:rsidRPr="00D259AD">
        <w:rPr>
          <w:rFonts w:eastAsia="MS Mincho"/>
          <w:lang w:eastAsia="ja-JP"/>
        </w:rPr>
        <w:t>)</w:t>
      </w:r>
    </w:p>
    <w:p w:rsidR="004A4C65" w:rsidRPr="00A27E31" w:rsidRDefault="004A4C65" w:rsidP="004A4C65">
      <w:pPr>
        <w:pStyle w:val="SingleTxtG"/>
        <w:tabs>
          <w:tab w:val="left" w:pos="3119"/>
        </w:tabs>
        <w:jc w:val="left"/>
        <w:rPr>
          <w:rFonts w:eastAsia="MS Mincho"/>
          <w:lang w:val="en-US"/>
        </w:rPr>
      </w:pPr>
      <w:r w:rsidRPr="00A27E31">
        <w:rPr>
          <w:rFonts w:eastAsia="MS Mincho"/>
          <w:i/>
          <w:lang w:val="en-US"/>
        </w:rPr>
        <w:t>Informal documents :</w:t>
      </w:r>
      <w:r w:rsidRPr="00A27E31">
        <w:rPr>
          <w:rFonts w:eastAsia="MS Mincho"/>
          <w:lang w:val="en-US"/>
        </w:rPr>
        <w:tab/>
      </w:r>
      <w:r w:rsidRPr="00A27E31">
        <w:rPr>
          <w:rFonts w:eastAsia="MS Mincho"/>
          <w:lang w:val="en-US"/>
        </w:rPr>
        <w:tab/>
        <w:t>INF.29 (UNITAR)</w:t>
      </w:r>
      <w:r w:rsidRPr="00A27E31">
        <w:rPr>
          <w:rFonts w:eastAsia="MS Mincho"/>
          <w:lang w:val="en-US"/>
        </w:rPr>
        <w:br/>
      </w:r>
      <w:r w:rsidRPr="00A27E31">
        <w:rPr>
          <w:rFonts w:eastAsia="MS Mincho"/>
          <w:lang w:val="en-US"/>
        </w:rPr>
        <w:tab/>
      </w:r>
      <w:r w:rsidRPr="00A27E31">
        <w:rPr>
          <w:rFonts w:eastAsia="MS Mincho"/>
          <w:lang w:val="en-US"/>
        </w:rPr>
        <w:tab/>
        <w:t>INF.38 (Sweden)</w:t>
      </w:r>
      <w:r w:rsidRPr="00A27E31">
        <w:rPr>
          <w:rFonts w:eastAsia="MS Mincho"/>
          <w:lang w:val="en-US"/>
        </w:rPr>
        <w:br/>
      </w:r>
      <w:r w:rsidRPr="00A27E31">
        <w:rPr>
          <w:rFonts w:eastAsia="MS Mincho"/>
          <w:lang w:val="en-US"/>
        </w:rPr>
        <w:tab/>
      </w:r>
      <w:r w:rsidRPr="00A27E31">
        <w:rPr>
          <w:rFonts w:eastAsia="MS Mincho"/>
          <w:lang w:val="en-US"/>
        </w:rPr>
        <w:tab/>
        <w:t>INF.42 (RPMASA)</w:t>
      </w:r>
    </w:p>
    <w:p w:rsidR="004A4C65" w:rsidRPr="00A27E31" w:rsidRDefault="00DF7FC3" w:rsidP="004A4C65">
      <w:pPr>
        <w:pStyle w:val="SingleTxtG"/>
        <w:tabs>
          <w:tab w:val="left" w:pos="1701"/>
          <w:tab w:val="left" w:pos="3119"/>
        </w:tabs>
        <w:rPr>
          <w:rFonts w:eastAsia="MS Mincho"/>
          <w:lang w:val="en-US"/>
        </w:rPr>
      </w:pPr>
      <w:r w:rsidRPr="00A27E31">
        <w:rPr>
          <w:rFonts w:eastAsia="MS Mincho"/>
          <w:lang w:val="en-US"/>
        </w:rPr>
        <w:t>6</w:t>
      </w:r>
      <w:r w:rsidR="00882F73" w:rsidRPr="00A27E31">
        <w:rPr>
          <w:rFonts w:eastAsia="MS Mincho"/>
          <w:lang w:val="en-US"/>
        </w:rPr>
        <w:t>5</w:t>
      </w:r>
      <w:r w:rsidR="004A4C65" w:rsidRPr="00A27E31">
        <w:rPr>
          <w:rFonts w:eastAsia="MS Mincho"/>
          <w:lang w:val="en-US"/>
        </w:rPr>
        <w:t>.</w:t>
      </w:r>
      <w:r w:rsidR="004A4C65" w:rsidRPr="00A27E31">
        <w:rPr>
          <w:rFonts w:eastAsia="MS Mincho"/>
          <w:lang w:val="en-US"/>
        </w:rPr>
        <w:tab/>
        <w:t>The Sub-Committee took note of the GHS capacity-building and awareness raising activities undertaken by UNITAR, the Swedish Chemicals Agency (</w:t>
      </w:r>
      <w:r w:rsidR="007F3406" w:rsidRPr="00A27E31">
        <w:rPr>
          <w:rFonts w:eastAsia="MS Mincho"/>
          <w:lang w:val="en-US"/>
        </w:rPr>
        <w:t>KEMI</w:t>
      </w:r>
      <w:r w:rsidR="004A4C65" w:rsidRPr="00A27E31">
        <w:rPr>
          <w:rFonts w:eastAsia="MS Mincho"/>
          <w:lang w:val="en-US"/>
        </w:rPr>
        <w:t xml:space="preserve">) and RPMASA listed in informal documents INF.29, INF.38 and INF.42. </w:t>
      </w:r>
    </w:p>
    <w:p w:rsidR="004A4C65" w:rsidRPr="00C7058A" w:rsidRDefault="004A4C65" w:rsidP="004A4C65">
      <w:pPr>
        <w:pStyle w:val="HChG"/>
      </w:pPr>
      <w:r w:rsidRPr="00C7058A">
        <w:tab/>
        <w:t>VIII.</w:t>
      </w:r>
      <w:r w:rsidRPr="00C7058A">
        <w:tab/>
        <w:t>Programme of work for the biennium 2017-2018 (agenda item 7)</w:t>
      </w:r>
    </w:p>
    <w:p w:rsidR="00165AAF" w:rsidRPr="00516216" w:rsidRDefault="004A4C65" w:rsidP="00165AAF">
      <w:pPr>
        <w:pStyle w:val="SingleTxtG"/>
        <w:tabs>
          <w:tab w:val="left" w:pos="3119"/>
        </w:tabs>
        <w:jc w:val="left"/>
        <w:rPr>
          <w:rFonts w:eastAsia="MS Mincho"/>
        </w:rPr>
      </w:pPr>
      <w:r w:rsidRPr="00516216">
        <w:rPr>
          <w:rFonts w:eastAsia="MS Mincho"/>
          <w:i/>
        </w:rPr>
        <w:t>Informal documents</w:t>
      </w:r>
      <w:r w:rsidRPr="00516216">
        <w:rPr>
          <w:rFonts w:eastAsia="MS Mincho"/>
        </w:rPr>
        <w:t>:</w:t>
      </w:r>
      <w:r w:rsidRPr="00516216">
        <w:rPr>
          <w:rFonts w:eastAsia="MS Mincho"/>
        </w:rPr>
        <w:tab/>
        <w:t>INF.22 (Germany)</w:t>
      </w:r>
      <w:r w:rsidRPr="00516216">
        <w:rPr>
          <w:rFonts w:eastAsia="MS Mincho"/>
        </w:rPr>
        <w:br/>
      </w:r>
      <w:r w:rsidRPr="00516216">
        <w:rPr>
          <w:rFonts w:eastAsia="MS Mincho"/>
        </w:rPr>
        <w:tab/>
        <w:t>INF.33 (IPPIC)</w:t>
      </w:r>
      <w:r w:rsidR="00B312C7">
        <w:rPr>
          <w:rFonts w:eastAsia="MS Mincho"/>
        </w:rPr>
        <w:br/>
      </w:r>
      <w:r w:rsidR="00165AAF">
        <w:rPr>
          <w:rFonts w:eastAsia="MS Mincho"/>
        </w:rPr>
        <w:tab/>
        <w:t>INF.44 (Secretariat)</w:t>
      </w:r>
    </w:p>
    <w:p w:rsidR="004A4C65" w:rsidRDefault="00882F73" w:rsidP="000C0C15">
      <w:pPr>
        <w:pStyle w:val="SingleTxtG"/>
        <w:rPr>
          <w:rFonts w:eastAsia="MS Mincho"/>
        </w:rPr>
      </w:pPr>
      <w:r>
        <w:rPr>
          <w:rFonts w:eastAsia="MS Mincho"/>
        </w:rPr>
        <w:t>66</w:t>
      </w:r>
      <w:r w:rsidR="004A4C65">
        <w:rPr>
          <w:rFonts w:eastAsia="MS Mincho"/>
        </w:rPr>
        <w:t>.</w:t>
      </w:r>
      <w:r w:rsidR="004A4C65">
        <w:rPr>
          <w:rFonts w:eastAsia="MS Mincho"/>
        </w:rPr>
        <w:tab/>
      </w:r>
      <w:r w:rsidR="004A4C65" w:rsidRPr="004A2D4C">
        <w:rPr>
          <w:rFonts w:eastAsia="MS Mincho"/>
        </w:rPr>
        <w:t xml:space="preserve">The representative of ICMM confirmed that work on the alignment of </w:t>
      </w:r>
      <w:r w:rsidR="004A4C65">
        <w:rPr>
          <w:rFonts w:eastAsia="MS Mincho"/>
        </w:rPr>
        <w:t xml:space="preserve">the guidance in </w:t>
      </w:r>
      <w:r w:rsidR="004A4C65" w:rsidRPr="004A2D4C">
        <w:rPr>
          <w:rFonts w:eastAsia="MS Mincho"/>
        </w:rPr>
        <w:t>Annex 9 with Chapter 4.1 was almost completed</w:t>
      </w:r>
      <w:r w:rsidR="004A4C65">
        <w:rPr>
          <w:rFonts w:eastAsia="MS Mincho"/>
        </w:rPr>
        <w:t>. He</w:t>
      </w:r>
      <w:r w:rsidR="004A4C65" w:rsidRPr="004A2D4C">
        <w:rPr>
          <w:rFonts w:eastAsia="MS Mincho"/>
        </w:rPr>
        <w:t xml:space="preserve"> invited the Sub-Committee to consider keeping this item in its programme of work for 2017-2018. The Sub-Committee agreed to his request. </w:t>
      </w:r>
    </w:p>
    <w:p w:rsidR="004A4C65" w:rsidRDefault="00882F73" w:rsidP="004A4C65">
      <w:pPr>
        <w:pStyle w:val="SingleTxtG"/>
        <w:rPr>
          <w:rFonts w:eastAsia="MS Mincho"/>
        </w:rPr>
      </w:pPr>
      <w:r>
        <w:rPr>
          <w:rFonts w:eastAsia="MS Mincho"/>
        </w:rPr>
        <w:t>67</w:t>
      </w:r>
      <w:r w:rsidR="004A4C65">
        <w:rPr>
          <w:rFonts w:eastAsia="MS Mincho"/>
        </w:rPr>
        <w:t>.</w:t>
      </w:r>
      <w:r w:rsidR="004A4C65">
        <w:rPr>
          <w:rFonts w:eastAsia="MS Mincho"/>
        </w:rPr>
        <w:tab/>
      </w:r>
      <w:r w:rsidR="004A4C65" w:rsidRPr="004A2D4C">
        <w:rPr>
          <w:rFonts w:eastAsia="MS Mincho"/>
        </w:rPr>
        <w:t xml:space="preserve">On the basis of the proposals discussed and approved under </w:t>
      </w:r>
      <w:r w:rsidR="004A4C65">
        <w:rPr>
          <w:rFonts w:eastAsia="MS Mincho"/>
        </w:rPr>
        <w:t xml:space="preserve">this and other </w:t>
      </w:r>
      <w:r w:rsidR="004A4C65" w:rsidRPr="004A2D4C">
        <w:rPr>
          <w:rFonts w:eastAsia="MS Mincho"/>
        </w:rPr>
        <w:t xml:space="preserve">agenda items </w:t>
      </w:r>
      <w:r w:rsidR="004A4C65">
        <w:rPr>
          <w:rFonts w:eastAsia="MS Mincho"/>
        </w:rPr>
        <w:t xml:space="preserve">during this and </w:t>
      </w:r>
      <w:r w:rsidR="004A4C65" w:rsidRPr="004A2D4C">
        <w:rPr>
          <w:rFonts w:eastAsia="MS Mincho"/>
        </w:rPr>
        <w:t>previous sessions, the Sub-Committee agreed to the programme of work for 2017-2018 reproduced in Annex III.</w:t>
      </w:r>
    </w:p>
    <w:p w:rsidR="004A4C65" w:rsidRDefault="004A4C65" w:rsidP="004A4C65">
      <w:pPr>
        <w:pStyle w:val="HChG"/>
        <w:rPr>
          <w:rFonts w:eastAsia="MS Mincho"/>
          <w:lang w:eastAsia="ja-JP"/>
        </w:rPr>
      </w:pPr>
      <w:r w:rsidRPr="00D259AD">
        <w:tab/>
      </w:r>
      <w:r>
        <w:rPr>
          <w:rFonts w:eastAsia="MS Mincho"/>
          <w:lang w:eastAsia="ja-JP"/>
        </w:rPr>
        <w:t>IX</w:t>
      </w:r>
      <w:r w:rsidRPr="00D259AD">
        <w:rPr>
          <w:rFonts w:eastAsia="MS Mincho"/>
          <w:lang w:eastAsia="ja-JP"/>
        </w:rPr>
        <w:t>.</w:t>
      </w:r>
      <w:r w:rsidRPr="00D259AD">
        <w:rPr>
          <w:rFonts w:eastAsia="MS Mincho"/>
          <w:lang w:eastAsia="ja-JP"/>
        </w:rPr>
        <w:tab/>
      </w:r>
      <w:r>
        <w:rPr>
          <w:rFonts w:eastAsia="MS Mincho"/>
          <w:lang w:eastAsia="ja-JP"/>
        </w:rPr>
        <w:t>Draft resolution 2017/… of the Economic and Social Council (agenda item 8</w:t>
      </w:r>
      <w:r w:rsidRPr="00D259AD">
        <w:rPr>
          <w:rFonts w:eastAsia="MS Mincho"/>
          <w:lang w:eastAsia="ja-JP"/>
        </w:rPr>
        <w:t>)</w:t>
      </w:r>
    </w:p>
    <w:p w:rsidR="004A4C65" w:rsidRDefault="004A4C65" w:rsidP="004A4C65">
      <w:pPr>
        <w:pStyle w:val="SingleTxtG"/>
        <w:tabs>
          <w:tab w:val="left" w:pos="3119"/>
        </w:tabs>
        <w:rPr>
          <w:rFonts w:eastAsia="MS Mincho"/>
          <w:lang w:eastAsia="ja-JP"/>
        </w:rPr>
      </w:pPr>
      <w:r w:rsidRPr="00D92867">
        <w:rPr>
          <w:rFonts w:eastAsia="MS Mincho"/>
          <w:i/>
          <w:lang w:eastAsia="ja-JP"/>
        </w:rPr>
        <w:t>Informal document</w:t>
      </w:r>
      <w:r>
        <w:rPr>
          <w:rFonts w:eastAsia="MS Mincho"/>
          <w:lang w:eastAsia="ja-JP"/>
        </w:rPr>
        <w:t>:</w:t>
      </w:r>
      <w:r>
        <w:rPr>
          <w:rFonts w:eastAsia="MS Mincho"/>
          <w:lang w:eastAsia="ja-JP"/>
        </w:rPr>
        <w:tab/>
        <w:t>INF.16 (Secretariat)</w:t>
      </w:r>
    </w:p>
    <w:p w:rsidR="004A4C65" w:rsidRDefault="00882F73" w:rsidP="004A4C65">
      <w:pPr>
        <w:pStyle w:val="SingleTxtG"/>
        <w:rPr>
          <w:rFonts w:eastAsia="MS Mincho"/>
          <w:lang w:eastAsia="ja-JP"/>
        </w:rPr>
      </w:pPr>
      <w:r>
        <w:rPr>
          <w:rFonts w:eastAsia="MS Mincho"/>
          <w:lang w:eastAsia="ja-JP"/>
        </w:rPr>
        <w:t>68</w:t>
      </w:r>
      <w:r w:rsidR="004A4C65">
        <w:rPr>
          <w:rFonts w:eastAsia="MS Mincho"/>
          <w:lang w:eastAsia="ja-JP"/>
        </w:rPr>
        <w:t>.</w:t>
      </w:r>
      <w:r w:rsidR="004A4C65">
        <w:rPr>
          <w:rFonts w:eastAsia="MS Mincho"/>
          <w:lang w:eastAsia="ja-JP"/>
        </w:rPr>
        <w:tab/>
        <w:t xml:space="preserve">The Sub-Committee adopted part B of the proposed draft resolution to be submitted to the Economic and Social Council for consideration at its 2017 session, with a minor editorial correction to sub-paragraph (c).  </w:t>
      </w:r>
    </w:p>
    <w:p w:rsidR="004A4C65" w:rsidRPr="00C7058A" w:rsidRDefault="004A4C65" w:rsidP="00C7058A">
      <w:pPr>
        <w:pStyle w:val="HChG"/>
        <w:rPr>
          <w:rFonts w:eastAsia="MS Mincho"/>
        </w:rPr>
      </w:pPr>
      <w:r w:rsidRPr="00C7058A">
        <w:lastRenderedPageBreak/>
        <w:tab/>
      </w:r>
      <w:r w:rsidRPr="00C7058A">
        <w:rPr>
          <w:rFonts w:eastAsia="MS Mincho"/>
        </w:rPr>
        <w:t>X.</w:t>
      </w:r>
      <w:r w:rsidRPr="00C7058A">
        <w:rPr>
          <w:rFonts w:eastAsia="MS Mincho"/>
        </w:rPr>
        <w:tab/>
        <w:t>Election of officers for the biennium 2017-2018 (agenda item 9)</w:t>
      </w:r>
    </w:p>
    <w:p w:rsidR="004A4C65" w:rsidRDefault="00882F73" w:rsidP="004A4C65">
      <w:pPr>
        <w:pStyle w:val="SingleTxtG"/>
        <w:rPr>
          <w:rFonts w:eastAsia="MS Mincho"/>
          <w:lang w:eastAsia="ja-JP"/>
        </w:rPr>
      </w:pPr>
      <w:r>
        <w:rPr>
          <w:rFonts w:eastAsia="MS Mincho"/>
          <w:lang w:eastAsia="ja-JP"/>
        </w:rPr>
        <w:t>69</w:t>
      </w:r>
      <w:r w:rsidR="004A4C65">
        <w:rPr>
          <w:rFonts w:eastAsia="MS Mincho"/>
          <w:lang w:eastAsia="ja-JP"/>
        </w:rPr>
        <w:t>.</w:t>
      </w:r>
      <w:r w:rsidR="004A4C65">
        <w:rPr>
          <w:rFonts w:eastAsia="MS Mincho"/>
          <w:lang w:eastAsia="ja-JP"/>
        </w:rPr>
        <w:tab/>
      </w:r>
      <w:r w:rsidR="004A4C65" w:rsidRPr="00174633">
        <w:rPr>
          <w:rFonts w:eastAsia="MS Mincho"/>
          <w:lang w:eastAsia="ja-JP"/>
        </w:rPr>
        <w:t xml:space="preserve">Ms. Maureen Ruskin (United States of America) and Mr. Robin Foster (United Kingdom) were re-elected respectively </w:t>
      </w:r>
      <w:r w:rsidR="000952EC">
        <w:rPr>
          <w:rFonts w:eastAsia="MS Mincho"/>
          <w:lang w:eastAsia="ja-JP"/>
        </w:rPr>
        <w:t>c</w:t>
      </w:r>
      <w:r w:rsidR="004A4C65" w:rsidRPr="00174633">
        <w:rPr>
          <w:rFonts w:eastAsia="MS Mincho"/>
          <w:lang w:eastAsia="ja-JP"/>
        </w:rPr>
        <w:t>hair</w:t>
      </w:r>
      <w:r w:rsidR="000952EC">
        <w:rPr>
          <w:rFonts w:eastAsia="MS Mincho"/>
          <w:lang w:eastAsia="ja-JP"/>
        </w:rPr>
        <w:t>person</w:t>
      </w:r>
      <w:r w:rsidR="004A4C65" w:rsidRPr="00174633">
        <w:rPr>
          <w:rFonts w:eastAsia="MS Mincho"/>
          <w:lang w:eastAsia="ja-JP"/>
        </w:rPr>
        <w:t xml:space="preserve"> and vice-chair</w:t>
      </w:r>
      <w:r w:rsidR="004A4C65">
        <w:rPr>
          <w:rFonts w:eastAsia="MS Mincho"/>
          <w:lang w:eastAsia="ja-JP"/>
        </w:rPr>
        <w:t>person</w:t>
      </w:r>
      <w:r w:rsidR="004A4C65" w:rsidRPr="00174633">
        <w:rPr>
          <w:rFonts w:eastAsia="MS Mincho"/>
          <w:lang w:eastAsia="ja-JP"/>
        </w:rPr>
        <w:t xml:space="preserve"> of the Sub-Committee for the biennium 2017-2018</w:t>
      </w:r>
      <w:r w:rsidR="004A4C65">
        <w:rPr>
          <w:rFonts w:eastAsia="MS Mincho"/>
          <w:lang w:eastAsia="ja-JP"/>
        </w:rPr>
        <w:t xml:space="preserve"> by acclamation</w:t>
      </w:r>
      <w:r w:rsidR="004A4C65" w:rsidRPr="00174633">
        <w:rPr>
          <w:rFonts w:eastAsia="MS Mincho"/>
          <w:lang w:eastAsia="ja-JP"/>
        </w:rPr>
        <w:t>.</w:t>
      </w:r>
    </w:p>
    <w:p w:rsidR="004A4C65" w:rsidRDefault="004A4C65" w:rsidP="004A4C65">
      <w:pPr>
        <w:pStyle w:val="HChG"/>
        <w:rPr>
          <w:rFonts w:eastAsia="MS Mincho"/>
          <w:lang w:eastAsia="ja-JP"/>
        </w:rPr>
      </w:pPr>
      <w:r w:rsidRPr="00D259AD">
        <w:tab/>
      </w:r>
      <w:r>
        <w:rPr>
          <w:rFonts w:eastAsia="MS Mincho"/>
          <w:lang w:eastAsia="ja-JP"/>
        </w:rPr>
        <w:t>XI</w:t>
      </w:r>
      <w:r w:rsidRPr="00D259AD">
        <w:rPr>
          <w:rFonts w:eastAsia="MS Mincho"/>
          <w:lang w:eastAsia="ja-JP"/>
        </w:rPr>
        <w:t>.</w:t>
      </w:r>
      <w:r w:rsidRPr="00D259AD">
        <w:rPr>
          <w:rFonts w:eastAsia="MS Mincho"/>
          <w:lang w:eastAsia="ja-JP"/>
        </w:rPr>
        <w:tab/>
      </w:r>
      <w:r>
        <w:rPr>
          <w:rFonts w:eastAsia="MS Mincho"/>
          <w:lang w:eastAsia="ja-JP"/>
        </w:rPr>
        <w:t>Other business (agenda item 10</w:t>
      </w:r>
      <w:r w:rsidRPr="00D259AD">
        <w:rPr>
          <w:rFonts w:eastAsia="MS Mincho"/>
          <w:lang w:eastAsia="ja-JP"/>
        </w:rPr>
        <w:t>)</w:t>
      </w:r>
    </w:p>
    <w:p w:rsidR="004A4C65" w:rsidRDefault="00882F73" w:rsidP="004A4C65">
      <w:pPr>
        <w:pStyle w:val="SingleTxtG"/>
      </w:pPr>
      <w:r>
        <w:t>70</w:t>
      </w:r>
      <w:r w:rsidR="004A4C65">
        <w:t>.</w:t>
      </w:r>
      <w:r w:rsidR="004A4C65">
        <w:tab/>
        <w:t xml:space="preserve">The Sub-Committee noted the deadlines for submission of documents for its next session, as follows: </w:t>
      </w:r>
    </w:p>
    <w:p w:rsidR="004A4C65" w:rsidRDefault="004A4C65" w:rsidP="004A4C65">
      <w:pPr>
        <w:pStyle w:val="Bullet1G"/>
        <w:numPr>
          <w:ilvl w:val="0"/>
          <w:numId w:val="16"/>
        </w:numPr>
      </w:pPr>
      <w:r>
        <w:t xml:space="preserve">documents submitted for consideration by both sub-committees (TDG and GHS): 7 April 2017 </w:t>
      </w:r>
    </w:p>
    <w:p w:rsidR="004A4C65" w:rsidRPr="004A4C65" w:rsidRDefault="004A4C65" w:rsidP="004A4C65">
      <w:pPr>
        <w:pStyle w:val="Bullet1G"/>
        <w:numPr>
          <w:ilvl w:val="0"/>
          <w:numId w:val="16"/>
        </w:numPr>
        <w:rPr>
          <w:rFonts w:eastAsia="MS Mincho"/>
          <w:lang w:eastAsia="ja-JP"/>
        </w:rPr>
      </w:pPr>
      <w:r>
        <w:t>documents for the thirty-third session of the GHS Sub-Committee: 14 April 201</w:t>
      </w:r>
      <w:r w:rsidR="00D837C8">
        <w:t>7</w:t>
      </w:r>
    </w:p>
    <w:p w:rsidR="004A4C65" w:rsidRDefault="004A4C65" w:rsidP="004A4C65">
      <w:pPr>
        <w:pStyle w:val="HChG"/>
        <w:rPr>
          <w:rFonts w:eastAsia="MS Mincho"/>
          <w:lang w:eastAsia="ja-JP"/>
        </w:rPr>
      </w:pPr>
      <w:r w:rsidRPr="00D259AD">
        <w:tab/>
      </w:r>
      <w:r>
        <w:rPr>
          <w:rFonts w:eastAsia="MS Mincho"/>
          <w:lang w:eastAsia="ja-JP"/>
        </w:rPr>
        <w:t>XII</w:t>
      </w:r>
      <w:r w:rsidRPr="00D259AD">
        <w:rPr>
          <w:rFonts w:eastAsia="MS Mincho"/>
          <w:lang w:eastAsia="ja-JP"/>
        </w:rPr>
        <w:t>.</w:t>
      </w:r>
      <w:r w:rsidRPr="00D259AD">
        <w:rPr>
          <w:rFonts w:eastAsia="MS Mincho"/>
          <w:lang w:eastAsia="ja-JP"/>
        </w:rPr>
        <w:tab/>
      </w:r>
      <w:r>
        <w:rPr>
          <w:rFonts w:eastAsia="MS Mincho"/>
          <w:lang w:eastAsia="ja-JP"/>
        </w:rPr>
        <w:t>Adoption of the report (agenda item 11</w:t>
      </w:r>
      <w:r w:rsidRPr="00D259AD">
        <w:rPr>
          <w:rFonts w:eastAsia="MS Mincho"/>
          <w:lang w:eastAsia="ja-JP"/>
        </w:rPr>
        <w:t>)</w:t>
      </w:r>
    </w:p>
    <w:p w:rsidR="004A4C65" w:rsidRDefault="00882F73" w:rsidP="004A4C65">
      <w:pPr>
        <w:pStyle w:val="SingleTxtG"/>
        <w:rPr>
          <w:rFonts w:eastAsia="MS Mincho"/>
          <w:lang w:eastAsia="ja-JP"/>
        </w:rPr>
      </w:pPr>
      <w:r>
        <w:rPr>
          <w:rFonts w:eastAsia="MS Mincho"/>
          <w:lang w:eastAsia="ja-JP"/>
        </w:rPr>
        <w:t>71</w:t>
      </w:r>
      <w:r w:rsidR="004A4C65">
        <w:rPr>
          <w:rFonts w:eastAsia="MS Mincho"/>
          <w:lang w:eastAsia="ja-JP"/>
        </w:rPr>
        <w:t>.</w:t>
      </w:r>
      <w:r w:rsidR="004A4C65">
        <w:rPr>
          <w:rFonts w:eastAsia="MS Mincho"/>
          <w:lang w:eastAsia="ja-JP"/>
        </w:rPr>
        <w:tab/>
        <w:t>In accordance with the established practice, the Sub-Committee adopted the report on its thirty-second session based on a draft prepared by the secretariat.</w:t>
      </w:r>
    </w:p>
    <w:p w:rsidR="00CB050A" w:rsidRDefault="00CB050A">
      <w:pPr>
        <w:suppressAutoHyphens w:val="0"/>
        <w:spacing w:line="240" w:lineRule="auto"/>
        <w:rPr>
          <w:b/>
          <w:sz w:val="24"/>
        </w:rPr>
      </w:pPr>
      <w:bookmarkStart w:id="0" w:name="_GoBack"/>
      <w:bookmarkEnd w:id="0"/>
      <w:r>
        <w:br w:type="page"/>
      </w:r>
    </w:p>
    <w:p w:rsidR="00F57888" w:rsidRDefault="00CB050A" w:rsidP="00F57888">
      <w:pPr>
        <w:pStyle w:val="H1G"/>
      </w:pPr>
      <w:r>
        <w:lastRenderedPageBreak/>
        <w:tab/>
      </w:r>
      <w:r>
        <w:tab/>
      </w:r>
      <w:r w:rsidR="00F57888">
        <w:t>Annex I</w:t>
      </w:r>
    </w:p>
    <w:p w:rsidR="008B7EFE" w:rsidRDefault="00F57888" w:rsidP="00F57888">
      <w:pPr>
        <w:pStyle w:val="H1G"/>
        <w:rPr>
          <w:rFonts w:eastAsia="MS Mincho"/>
          <w:lang w:eastAsia="ja-JP"/>
        </w:rPr>
      </w:pPr>
      <w:r>
        <w:tab/>
      </w:r>
      <w:r>
        <w:tab/>
        <w:t xml:space="preserve">Draft amendments to the sixth revised edition of the </w:t>
      </w:r>
      <w:r w:rsidR="00047351">
        <w:t>GHS</w:t>
      </w:r>
      <w:r>
        <w:t xml:space="preserve"> (ST/SG/AC.10/30/Rev.6)</w:t>
      </w:r>
    </w:p>
    <w:p w:rsidR="00C25277" w:rsidRPr="004A19B0" w:rsidRDefault="00C25277" w:rsidP="003A1F9C">
      <w:pPr>
        <w:pStyle w:val="SingleTxtG"/>
      </w:pPr>
      <w:r w:rsidRPr="00EB5375">
        <w:rPr>
          <w:b/>
        </w:rPr>
        <w:t>Document ST/SG/AC.10/C.4/2016/11</w:t>
      </w:r>
      <w:r w:rsidR="00EB5375">
        <w:rPr>
          <w:b/>
        </w:rPr>
        <w:t xml:space="preserve"> </w:t>
      </w:r>
      <w:r w:rsidR="00EB5375" w:rsidRPr="00EB5375">
        <w:t>a</w:t>
      </w:r>
      <w:r w:rsidRPr="004A19B0">
        <w:t>dopted with the following modifications:</w:t>
      </w:r>
    </w:p>
    <w:p w:rsidR="00C25277" w:rsidRPr="00EB5375" w:rsidRDefault="00C25277" w:rsidP="00EB5375">
      <w:pPr>
        <w:pStyle w:val="H56G"/>
        <w:rPr>
          <w:b/>
        </w:rPr>
      </w:pPr>
      <w:r w:rsidRPr="00C25277">
        <w:tab/>
      </w:r>
      <w:r w:rsidRPr="00C25277">
        <w:tab/>
      </w:r>
      <w:r w:rsidRPr="00EB5375">
        <w:rPr>
          <w:b/>
        </w:rPr>
        <w:t>Chapter 1.2</w:t>
      </w:r>
    </w:p>
    <w:p w:rsidR="00C25277" w:rsidRDefault="00C25277" w:rsidP="00C25277">
      <w:pPr>
        <w:pStyle w:val="SingleTxtG"/>
      </w:pPr>
      <w:r>
        <w:t>The amendment to the definition of “Respiratory sensitizer” should read:</w:t>
      </w:r>
    </w:p>
    <w:p w:rsidR="00C25277" w:rsidRDefault="00C25277" w:rsidP="00C25277">
      <w:pPr>
        <w:pStyle w:val="SingleTxtG"/>
      </w:pPr>
      <w:r>
        <w:t>“Amend the definition of “</w:t>
      </w:r>
      <w:r>
        <w:rPr>
          <w:b/>
          <w:i/>
          <w:iCs/>
        </w:rPr>
        <w:t>Respiratory sensitizer</w:t>
      </w:r>
      <w:r>
        <w:t>” to read as follows:</w:t>
      </w:r>
    </w:p>
    <w:p w:rsidR="00C25277" w:rsidRDefault="00C25277" w:rsidP="00C25277">
      <w:pPr>
        <w:pStyle w:val="SingleTxtG"/>
      </w:pPr>
      <w:r>
        <w:t>“</w:t>
      </w:r>
      <w:r>
        <w:rPr>
          <w:b/>
          <w:i/>
          <w:iCs/>
        </w:rPr>
        <w:t>Respiratory sensitizer</w:t>
      </w:r>
      <w:r>
        <w:t xml:space="preserve"> </w:t>
      </w:r>
      <w:r>
        <w:rPr>
          <w:bCs/>
        </w:rPr>
        <w:t xml:space="preserve">means </w:t>
      </w:r>
      <w:r>
        <w:t>a substance or mixture that induces hypersensitivity of the airways occurring after inhalation of the substance or mixture;”.”</w:t>
      </w:r>
    </w:p>
    <w:p w:rsidR="00C25277" w:rsidRPr="00EB5375" w:rsidRDefault="00C25277" w:rsidP="000C3692">
      <w:pPr>
        <w:pStyle w:val="SingleTxtG"/>
        <w:rPr>
          <w:b/>
        </w:rPr>
      </w:pPr>
      <w:r w:rsidRPr="00EB5375">
        <w:rPr>
          <w:b/>
        </w:rPr>
        <w:t>Chapter 3.1</w:t>
      </w:r>
    </w:p>
    <w:p w:rsidR="00C25277" w:rsidRDefault="00C25277" w:rsidP="00C25277">
      <w:pPr>
        <w:pStyle w:val="SingleTxtG"/>
        <w:rPr>
          <w:i/>
        </w:rPr>
      </w:pPr>
      <w:r>
        <w:t xml:space="preserve">The </w:t>
      </w:r>
      <w:r w:rsidR="004344DC">
        <w:t xml:space="preserve">amendment to the definition of “acute toxicity” in French </w:t>
      </w:r>
      <w:r>
        <w:t>does not apply to the English version.</w:t>
      </w:r>
    </w:p>
    <w:p w:rsidR="00C25277" w:rsidRPr="00EB5375" w:rsidRDefault="00C25277" w:rsidP="000C3692">
      <w:pPr>
        <w:pStyle w:val="SingleTxtG"/>
        <w:rPr>
          <w:b/>
        </w:rPr>
      </w:pPr>
      <w:r w:rsidRPr="00EB5375">
        <w:rPr>
          <w:b/>
        </w:rPr>
        <w:t>Chapter 3.4</w:t>
      </w:r>
    </w:p>
    <w:p w:rsidR="00C25277" w:rsidRDefault="00C25277" w:rsidP="00C25277">
      <w:pPr>
        <w:pStyle w:val="SingleTxtG"/>
      </w:pPr>
      <w:r>
        <w:t>The amendment to 3.4.1.1 should read as follows:</w:t>
      </w:r>
    </w:p>
    <w:p w:rsidR="00C25277" w:rsidRPr="00943D42" w:rsidRDefault="00C25277" w:rsidP="00C25277">
      <w:pPr>
        <w:pStyle w:val="SingleTxtG"/>
        <w:keepNext/>
        <w:keepLines/>
      </w:pPr>
      <w:r>
        <w:t>“</w:t>
      </w:r>
      <w:r w:rsidRPr="00943D42">
        <w:t>3.4.1.1</w:t>
      </w:r>
      <w:r w:rsidRPr="00943D42">
        <w:tab/>
        <w:t>Amend to read as follows:</w:t>
      </w:r>
    </w:p>
    <w:p w:rsidR="00C25277" w:rsidRDefault="00C25277" w:rsidP="00C25277">
      <w:pPr>
        <w:pStyle w:val="SingleTxtG"/>
        <w:keepNext/>
        <w:keepLines/>
        <w:ind w:left="2268"/>
      </w:pPr>
      <w:r>
        <w:rPr>
          <w:i/>
        </w:rPr>
        <w:t>“Respiratory sensitization</w:t>
      </w:r>
      <w:r>
        <w:t xml:space="preserve"> refers </w:t>
      </w:r>
      <w:r w:rsidRPr="00E65F20">
        <w:t>to hypersensitivity</w:t>
      </w:r>
      <w:r>
        <w:t xml:space="preserve"> of the airways occurring after inhalation of a substance or a mixture.</w:t>
      </w:r>
    </w:p>
    <w:p w:rsidR="00C25277" w:rsidRDefault="00C25277" w:rsidP="00C25277">
      <w:pPr>
        <w:pStyle w:val="SingleTxtG"/>
        <w:ind w:left="2268"/>
      </w:pPr>
      <w:r>
        <w:rPr>
          <w:i/>
        </w:rPr>
        <w:t>Skin sensitization</w:t>
      </w:r>
      <w:r>
        <w:t xml:space="preserve"> refers to an allergic response occurring after skin contact </w:t>
      </w:r>
      <w:r w:rsidR="00502AA1">
        <w:t>with a substance or a mixture.”</w:t>
      </w:r>
    </w:p>
    <w:p w:rsidR="00C25277" w:rsidRDefault="00C25277" w:rsidP="00C25277">
      <w:pPr>
        <w:pStyle w:val="SingleTxtG"/>
        <w:ind w:left="2268"/>
      </w:pPr>
      <w:r w:rsidRPr="00EF6E9D">
        <w:rPr>
          <w:u w:val="single"/>
        </w:rPr>
        <w:t>Consequential amendment</w:t>
      </w:r>
      <w:r>
        <w:t>: Delete related footnote 1 and renumber subsequent footnotes accordingly.”.</w:t>
      </w:r>
      <w:r w:rsidR="004344DC">
        <w:t>”</w:t>
      </w:r>
    </w:p>
    <w:p w:rsidR="00C25277" w:rsidRPr="000C3692" w:rsidRDefault="00C25277" w:rsidP="000C3692">
      <w:pPr>
        <w:pStyle w:val="SingleTxtG"/>
        <w:rPr>
          <w:b/>
        </w:rPr>
      </w:pPr>
      <w:r w:rsidRPr="000C3692">
        <w:rPr>
          <w:b/>
        </w:rPr>
        <w:t>Chapter 3.6</w:t>
      </w:r>
    </w:p>
    <w:p w:rsidR="00C25277" w:rsidRDefault="00C25277" w:rsidP="00C25277">
      <w:pPr>
        <w:pStyle w:val="SingleTxtG"/>
      </w:pPr>
      <w:r>
        <w:t>The amendment to 3.6.1 should read as follows:</w:t>
      </w:r>
    </w:p>
    <w:p w:rsidR="00C25277" w:rsidRDefault="00C25277" w:rsidP="00C25277">
      <w:pPr>
        <w:pStyle w:val="SingleTxtG"/>
        <w:tabs>
          <w:tab w:val="left" w:pos="1985"/>
        </w:tabs>
      </w:pPr>
      <w:r>
        <w:t>“3.6.1</w:t>
      </w:r>
      <w:r>
        <w:tab/>
        <w:t xml:space="preserve">Amend the </w:t>
      </w:r>
      <w:r w:rsidRPr="00DA3BF0">
        <w:t xml:space="preserve">first sentence </w:t>
      </w:r>
      <w:r>
        <w:t>to read as follows</w:t>
      </w:r>
      <w:r w:rsidRPr="00DA3BF0">
        <w:t xml:space="preserve">: </w:t>
      </w:r>
    </w:p>
    <w:p w:rsidR="00C25277" w:rsidRDefault="00C25277" w:rsidP="00C25277">
      <w:pPr>
        <w:pStyle w:val="SingleTxtG"/>
        <w:ind w:left="1985"/>
      </w:pPr>
      <w:r>
        <w:rPr>
          <w:i/>
        </w:rPr>
        <w:t>“</w:t>
      </w:r>
      <w:r w:rsidRPr="00AE5B4F">
        <w:rPr>
          <w:i/>
        </w:rPr>
        <w:t>Carcinogenicity</w:t>
      </w:r>
      <w:r w:rsidRPr="00AE5B4F">
        <w:t xml:space="preserve"> refers to the</w:t>
      </w:r>
      <w:r w:rsidRPr="00AE5B4F">
        <w:rPr>
          <w:color w:val="1F497D"/>
        </w:rPr>
        <w:t xml:space="preserve"> </w:t>
      </w:r>
      <w:r w:rsidRPr="00AE5B4F">
        <w:t xml:space="preserve">induction of cancer or an increase in the incidence of cancer </w:t>
      </w:r>
      <w:r>
        <w:t xml:space="preserve">occurring </w:t>
      </w:r>
      <w:r w:rsidRPr="00AE5B4F">
        <w:t>after expo</w:t>
      </w:r>
      <w:r>
        <w:t>sur</w:t>
      </w:r>
      <w:r w:rsidR="00502AA1">
        <w:t>e to a substance or mixture.”.”</w:t>
      </w:r>
    </w:p>
    <w:p w:rsidR="00C25277" w:rsidRPr="000C3692" w:rsidRDefault="00C25277" w:rsidP="000C3692">
      <w:pPr>
        <w:pStyle w:val="SingleTxtG"/>
        <w:rPr>
          <w:b/>
        </w:rPr>
      </w:pPr>
      <w:r w:rsidRPr="000C3692">
        <w:rPr>
          <w:b/>
        </w:rPr>
        <w:t>Chapter 3.7</w:t>
      </w:r>
    </w:p>
    <w:p w:rsidR="00C25277" w:rsidRDefault="00C25277" w:rsidP="00C25277">
      <w:pPr>
        <w:pStyle w:val="SingleTxtG"/>
        <w:rPr>
          <w:i/>
        </w:rPr>
      </w:pPr>
      <w:r>
        <w:t>3.7.1.1</w:t>
      </w:r>
      <w:r>
        <w:tab/>
      </w:r>
      <w:r>
        <w:tab/>
        <w:t xml:space="preserve">The </w:t>
      </w:r>
      <w:r w:rsidR="000C3692">
        <w:t xml:space="preserve">amendment to the first sentence of this paragraph in French does </w:t>
      </w:r>
      <w:r>
        <w:t>not apply to the English version.</w:t>
      </w:r>
    </w:p>
    <w:p w:rsidR="00C25277" w:rsidRPr="000C3692" w:rsidRDefault="00C25277" w:rsidP="000C3692">
      <w:pPr>
        <w:pStyle w:val="SingleTxtG"/>
        <w:rPr>
          <w:b/>
        </w:rPr>
      </w:pPr>
      <w:r w:rsidRPr="000C3692">
        <w:rPr>
          <w:b/>
        </w:rPr>
        <w:t>Chapter 3.8</w:t>
      </w:r>
    </w:p>
    <w:p w:rsidR="00C25277" w:rsidRDefault="00C25277" w:rsidP="00C25277">
      <w:pPr>
        <w:pStyle w:val="SingleTxtG"/>
        <w:keepNext/>
        <w:keepLines/>
      </w:pPr>
      <w:r>
        <w:t>The amendment to 3.8.1.1 should read as follows:</w:t>
      </w:r>
    </w:p>
    <w:p w:rsidR="00C25277" w:rsidRPr="00484BE2" w:rsidRDefault="00C25277" w:rsidP="00C25277">
      <w:pPr>
        <w:pStyle w:val="SingleTxtG"/>
        <w:keepNext/>
        <w:keepLines/>
        <w:rPr>
          <w:snapToGrid w:val="0"/>
        </w:rPr>
      </w:pPr>
      <w:r>
        <w:rPr>
          <w:snapToGrid w:val="0"/>
        </w:rPr>
        <w:t>“3.8.1.1</w:t>
      </w:r>
      <w:r>
        <w:rPr>
          <w:snapToGrid w:val="0"/>
        </w:rPr>
        <w:tab/>
        <w:t>Amend the first sentence to read as follows</w:t>
      </w:r>
      <w:r w:rsidRPr="00484BE2">
        <w:rPr>
          <w:snapToGrid w:val="0"/>
        </w:rPr>
        <w:t>:</w:t>
      </w:r>
    </w:p>
    <w:p w:rsidR="00C25277" w:rsidRDefault="00C25277" w:rsidP="00C25277">
      <w:pPr>
        <w:pStyle w:val="SingleTxtG"/>
        <w:ind w:left="2268"/>
      </w:pPr>
      <w:r>
        <w:rPr>
          <w:i/>
          <w:snapToGrid w:val="0"/>
        </w:rPr>
        <w:t>“</w:t>
      </w:r>
      <w:r w:rsidRPr="00C7328C">
        <w:rPr>
          <w:i/>
          <w:snapToGrid w:val="0"/>
        </w:rPr>
        <w:t xml:space="preserve">Specific target organ toxicity – single exposure </w:t>
      </w:r>
      <w:r w:rsidRPr="005D6D71">
        <w:rPr>
          <w:snapToGrid w:val="0"/>
        </w:rPr>
        <w:t xml:space="preserve">refers to specific, non-lethal toxic effects on target organs </w:t>
      </w:r>
      <w:r>
        <w:rPr>
          <w:snapToGrid w:val="0"/>
        </w:rPr>
        <w:t>occurring after</w:t>
      </w:r>
      <w:r w:rsidRPr="005D6D71">
        <w:rPr>
          <w:snapToGrid w:val="0"/>
        </w:rPr>
        <w:t xml:space="preserve"> a single exposure to a substance or mixture.</w:t>
      </w:r>
      <w:r w:rsidR="004344DC">
        <w:rPr>
          <w:snapToGrid w:val="0"/>
        </w:rPr>
        <w:t>”.”</w:t>
      </w:r>
    </w:p>
    <w:p w:rsidR="00C25277" w:rsidRPr="000C3692" w:rsidRDefault="00C25277" w:rsidP="002B01C8">
      <w:pPr>
        <w:pStyle w:val="SingleTxtG"/>
        <w:keepNext/>
        <w:keepLines/>
        <w:rPr>
          <w:b/>
        </w:rPr>
      </w:pPr>
      <w:r w:rsidRPr="000C3692">
        <w:rPr>
          <w:b/>
        </w:rPr>
        <w:lastRenderedPageBreak/>
        <w:t>Chapter 3.9</w:t>
      </w:r>
    </w:p>
    <w:p w:rsidR="00C25277" w:rsidRDefault="00C25277" w:rsidP="002B01C8">
      <w:pPr>
        <w:pStyle w:val="SingleTxtG"/>
        <w:keepNext/>
        <w:keepLines/>
      </w:pPr>
      <w:r>
        <w:t>The amendment to 3.9.1.1 should read as follows:</w:t>
      </w:r>
    </w:p>
    <w:p w:rsidR="00C25277" w:rsidRPr="005D6D71" w:rsidRDefault="00C25277" w:rsidP="00C25277">
      <w:pPr>
        <w:pStyle w:val="SingleTxtG"/>
      </w:pPr>
      <w:r>
        <w:t>“3.9.1.1</w:t>
      </w:r>
      <w:r>
        <w:tab/>
        <w:t xml:space="preserve">Amend </w:t>
      </w:r>
      <w:r>
        <w:rPr>
          <w:snapToGrid w:val="0"/>
        </w:rPr>
        <w:t xml:space="preserve">the first sentence </w:t>
      </w:r>
      <w:r>
        <w:t>to read as follows:</w:t>
      </w:r>
    </w:p>
    <w:p w:rsidR="00C25277" w:rsidRDefault="00C25277" w:rsidP="00C25277">
      <w:pPr>
        <w:pStyle w:val="SingleTxtG"/>
        <w:ind w:left="2268"/>
      </w:pPr>
      <w:r>
        <w:rPr>
          <w:i/>
          <w:snapToGrid w:val="0"/>
        </w:rPr>
        <w:t>“</w:t>
      </w:r>
      <w:r w:rsidRPr="00C7328C">
        <w:rPr>
          <w:i/>
          <w:snapToGrid w:val="0"/>
        </w:rPr>
        <w:t xml:space="preserve">Specific target organ toxicity – repeated exposure </w:t>
      </w:r>
      <w:r w:rsidRPr="005D6D71">
        <w:rPr>
          <w:snapToGrid w:val="0"/>
        </w:rPr>
        <w:t xml:space="preserve">refers to specific toxic effects on target organs </w:t>
      </w:r>
      <w:r>
        <w:rPr>
          <w:snapToGrid w:val="0"/>
        </w:rPr>
        <w:t>occurring after</w:t>
      </w:r>
      <w:r w:rsidRPr="005D6D71">
        <w:rPr>
          <w:snapToGrid w:val="0"/>
        </w:rPr>
        <w:t xml:space="preserve"> </w:t>
      </w:r>
      <w:r>
        <w:rPr>
          <w:snapToGrid w:val="0"/>
        </w:rPr>
        <w:t>repeated</w:t>
      </w:r>
      <w:r w:rsidRPr="005D6D71">
        <w:rPr>
          <w:snapToGrid w:val="0"/>
        </w:rPr>
        <w:t xml:space="preserve"> expos</w:t>
      </w:r>
      <w:r>
        <w:rPr>
          <w:snapToGrid w:val="0"/>
        </w:rPr>
        <w:t>ure to a substance or mixture.</w:t>
      </w:r>
      <w:r w:rsidR="004344DC">
        <w:t>”.”</w:t>
      </w:r>
    </w:p>
    <w:p w:rsidR="00C25277" w:rsidRPr="000C3692" w:rsidRDefault="00C25277" w:rsidP="000C3692">
      <w:pPr>
        <w:pStyle w:val="SingleTxtG"/>
        <w:rPr>
          <w:b/>
        </w:rPr>
      </w:pPr>
      <w:r w:rsidRPr="000C3692">
        <w:rPr>
          <w:b/>
        </w:rPr>
        <w:t>Chapter 3.10</w:t>
      </w:r>
    </w:p>
    <w:p w:rsidR="00C25277" w:rsidRDefault="00C25277" w:rsidP="00C25277">
      <w:pPr>
        <w:pStyle w:val="SingleTxtG"/>
      </w:pPr>
      <w:r>
        <w:t>The amendment to 3.10.1.3 should read as follows:</w:t>
      </w:r>
    </w:p>
    <w:p w:rsidR="00C25277" w:rsidRDefault="00DB0FDE" w:rsidP="00C25277">
      <w:pPr>
        <w:pStyle w:val="SingleTxtG"/>
        <w:keepNext/>
        <w:keepLines/>
        <w:tabs>
          <w:tab w:val="left" w:pos="2268"/>
        </w:tabs>
        <w:spacing w:after="80"/>
      </w:pPr>
      <w:r>
        <w:t>“</w:t>
      </w:r>
      <w:r w:rsidR="00C25277">
        <w:t>3.10.1.3</w:t>
      </w:r>
      <w:r w:rsidR="00C25277">
        <w:tab/>
        <w:t>Renumber as 3.10.1.2 and amend to read:</w:t>
      </w:r>
    </w:p>
    <w:p w:rsidR="00C25277" w:rsidRDefault="00C25277" w:rsidP="00C25277">
      <w:pPr>
        <w:pStyle w:val="SingleTxtG"/>
        <w:spacing w:after="80"/>
        <w:ind w:left="2268"/>
        <w:rPr>
          <w:rFonts w:eastAsia="MS Mincho"/>
          <w:lang w:eastAsia="ja-JP"/>
        </w:rPr>
      </w:pPr>
      <w:r w:rsidRPr="002F55C8">
        <w:tab/>
        <w:t>“</w:t>
      </w:r>
      <w:r w:rsidRPr="002F55C8">
        <w:rPr>
          <w:i/>
        </w:rPr>
        <w:t>Aspiration hazard</w:t>
      </w:r>
      <w:r w:rsidRPr="002F55C8">
        <w:t xml:space="preserve"> refers to severe acute effects such as chemical pneumonia, pulmonary injury or death </w:t>
      </w:r>
      <w:r>
        <w:t xml:space="preserve">occurring </w:t>
      </w:r>
      <w:r w:rsidRPr="002F55C8">
        <w:t>after aspiration of a substance or mixture.</w:t>
      </w:r>
      <w:r>
        <w:t>”</w:t>
      </w:r>
      <w:r w:rsidR="00DB0FDE">
        <w:t>.”</w:t>
      </w:r>
    </w:p>
    <w:p w:rsidR="006A56A2" w:rsidRPr="00B87918" w:rsidRDefault="006A56A2" w:rsidP="00B87918">
      <w:pPr>
        <w:pStyle w:val="SingleTxtG"/>
        <w:spacing w:before="240"/>
      </w:pPr>
      <w:r w:rsidRPr="00B87918">
        <w:rPr>
          <w:b/>
        </w:rPr>
        <w:t>Document ST/SG/AC.10/C.4/2016/13</w:t>
      </w:r>
      <w:r w:rsidR="00434EF2">
        <w:rPr>
          <w:b/>
        </w:rPr>
        <w:t xml:space="preserve">, </w:t>
      </w:r>
      <w:r w:rsidR="00EB5375" w:rsidRPr="00B87918">
        <w:t>a</w:t>
      </w:r>
      <w:r w:rsidRPr="00B87918">
        <w:t>mendment to 2.6.4.2.2</w:t>
      </w:r>
      <w:r w:rsidR="00434EF2">
        <w:t>:</w:t>
      </w:r>
      <w:r w:rsidRPr="00B87918">
        <w:t xml:space="preserve"> adopted without </w:t>
      </w:r>
      <w:r w:rsidR="00EB5375" w:rsidRPr="00B87918">
        <w:t>m</w:t>
      </w:r>
      <w:r w:rsidRPr="00B87918">
        <w:t>odifications</w:t>
      </w:r>
    </w:p>
    <w:p w:rsidR="006A56A2" w:rsidRPr="00B87918" w:rsidRDefault="006A56A2" w:rsidP="00B87918">
      <w:pPr>
        <w:pStyle w:val="SingleTxtG"/>
        <w:rPr>
          <w:i/>
        </w:rPr>
      </w:pPr>
      <w:r w:rsidRPr="00B87918">
        <w:rPr>
          <w:i/>
        </w:rPr>
        <w:t xml:space="preserve">(For the consequential amendments to Appendix 6 to the Manual of Test and Criteria see </w:t>
      </w:r>
      <w:r w:rsidR="00B87918" w:rsidRPr="00B87918">
        <w:rPr>
          <w:i/>
        </w:rPr>
        <w:t>a</w:t>
      </w:r>
      <w:r w:rsidRPr="00B87918">
        <w:rPr>
          <w:i/>
        </w:rPr>
        <w:t>nnex II)</w:t>
      </w:r>
    </w:p>
    <w:p w:rsidR="00962926" w:rsidRPr="00434EF2" w:rsidRDefault="00962926" w:rsidP="00434EF2">
      <w:pPr>
        <w:pStyle w:val="SingleTxtG"/>
        <w:spacing w:before="240"/>
      </w:pPr>
      <w:r w:rsidRPr="00EB5375">
        <w:rPr>
          <w:b/>
        </w:rPr>
        <w:t>Document ST/SG/AC.10/C.4/2016/14</w:t>
      </w:r>
      <w:r w:rsidR="00434EF2">
        <w:rPr>
          <w:b/>
        </w:rPr>
        <w:t>,</w:t>
      </w:r>
      <w:r w:rsidR="00EB5375">
        <w:rPr>
          <w:b/>
        </w:rPr>
        <w:t xml:space="preserve"> </w:t>
      </w:r>
      <w:r w:rsidR="00434EF2" w:rsidRPr="00434EF2">
        <w:t>a</w:t>
      </w:r>
      <w:r w:rsidR="003A1F9C" w:rsidRPr="00434EF2">
        <w:t xml:space="preserve">mendments to 2.1.1.2 </w:t>
      </w:r>
      <w:r w:rsidR="00434EF2">
        <w:t>(c) and note b to table 2.1.1: a</w:t>
      </w:r>
      <w:r w:rsidRPr="00434EF2">
        <w:t>dopted without modifications</w:t>
      </w:r>
    </w:p>
    <w:p w:rsidR="006A56A2" w:rsidRPr="00F03113" w:rsidRDefault="006A56A2" w:rsidP="00EB5375">
      <w:pPr>
        <w:pStyle w:val="H56G"/>
      </w:pPr>
      <w:r w:rsidRPr="00EB5375">
        <w:rPr>
          <w:b/>
        </w:rPr>
        <w:tab/>
      </w:r>
      <w:r w:rsidRPr="00EB5375">
        <w:rPr>
          <w:b/>
        </w:rPr>
        <w:tab/>
        <w:t>Document ST/SG/AC.10/C.4/2016/19</w:t>
      </w:r>
      <w:r w:rsidR="00EB5375">
        <w:rPr>
          <w:b/>
        </w:rPr>
        <w:t xml:space="preserve"> </w:t>
      </w:r>
      <w:r w:rsidR="00B87918" w:rsidRPr="00B87918">
        <w:t>a</w:t>
      </w:r>
      <w:r w:rsidR="00434EF2">
        <w:t>dopted without modifications</w:t>
      </w:r>
    </w:p>
    <w:p w:rsidR="00C70C06" w:rsidRPr="00BF6457" w:rsidRDefault="00C70C06" w:rsidP="00EB5375">
      <w:pPr>
        <w:pStyle w:val="H56G"/>
      </w:pPr>
      <w:r w:rsidRPr="00EB5375">
        <w:rPr>
          <w:b/>
        </w:rPr>
        <w:tab/>
      </w:r>
      <w:r w:rsidRPr="00EB5375">
        <w:rPr>
          <w:b/>
        </w:rPr>
        <w:tab/>
        <w:t>Document ST/SG/AC.10/C.4/2016/12</w:t>
      </w:r>
      <w:r w:rsidR="00EB5375">
        <w:t xml:space="preserve"> </w:t>
      </w:r>
      <w:r w:rsidR="002F40B0">
        <w:t>a</w:t>
      </w:r>
      <w:r w:rsidRPr="00BF6457">
        <w:t>dopted with the corrections in informal document INF.11</w:t>
      </w:r>
      <w:r w:rsidR="00BF6457">
        <w:t>,</w:t>
      </w:r>
      <w:r w:rsidRPr="00BF6457">
        <w:t xml:space="preserve"> and </w:t>
      </w:r>
      <w:r w:rsidR="00BF6457">
        <w:t>the amendments</w:t>
      </w:r>
      <w:r w:rsidRPr="00BF6457">
        <w:t xml:space="preserve"> in informal documents INF.18</w:t>
      </w:r>
      <w:r w:rsidR="00BF6457">
        <w:t xml:space="preserve"> (</w:t>
      </w:r>
      <w:r w:rsidRPr="00BF6457">
        <w:t>option 1</w:t>
      </w:r>
      <w:r w:rsidR="00BF6457">
        <w:t>)</w:t>
      </w:r>
      <w:r w:rsidRPr="00BF6457">
        <w:t xml:space="preserve"> and INF.20 </w:t>
      </w:r>
      <w:r w:rsidR="00BF6457">
        <w:t>(</w:t>
      </w:r>
      <w:r w:rsidRPr="00BF6457">
        <w:t>proposal 2</w:t>
      </w:r>
      <w:r w:rsidR="00BF6457">
        <w:t>)</w:t>
      </w:r>
      <w:r w:rsidRPr="00BF6457">
        <w:t xml:space="preserve"> as follows:</w:t>
      </w:r>
    </w:p>
    <w:p w:rsidR="00C70C06" w:rsidRPr="000C3692" w:rsidRDefault="00C70C06" w:rsidP="000C3692">
      <w:pPr>
        <w:pStyle w:val="SingleTxtG"/>
        <w:rPr>
          <w:b/>
        </w:rPr>
      </w:pPr>
      <w:r w:rsidRPr="000C3692">
        <w:rPr>
          <w:b/>
        </w:rPr>
        <w:t>Annex 1</w:t>
      </w:r>
    </w:p>
    <w:p w:rsidR="00C70C06" w:rsidRPr="004A19B0" w:rsidRDefault="00C70C06" w:rsidP="00C70C06">
      <w:pPr>
        <w:pStyle w:val="SingleTxtG"/>
      </w:pPr>
      <w:r>
        <w:t>A</w:t>
      </w:r>
      <w:r w:rsidRPr="004A19B0">
        <w:t>mend A1.2 to read as follows:</w:t>
      </w:r>
    </w:p>
    <w:p w:rsidR="00C70C06" w:rsidRPr="004A19B0" w:rsidRDefault="00C70C06" w:rsidP="00C70C06">
      <w:pPr>
        <w:pStyle w:val="SingleTxtG"/>
        <w:tabs>
          <w:tab w:val="left" w:pos="2268"/>
        </w:tabs>
        <w:rPr>
          <w:rFonts w:eastAsia="SimSun"/>
        </w:rPr>
      </w:pPr>
      <w:r w:rsidRPr="004A19B0">
        <w:rPr>
          <w:rFonts w:eastAsia="SimSun"/>
          <w:b/>
        </w:rPr>
        <w:t>“A1.2</w:t>
      </w:r>
      <w:r w:rsidRPr="004A19B0">
        <w:rPr>
          <w:rFonts w:eastAsia="SimSun"/>
          <w:b/>
        </w:rPr>
        <w:tab/>
        <w:t>Flammable gases</w:t>
      </w:r>
      <w:r w:rsidRPr="004A19B0">
        <w:rPr>
          <w:rFonts w:eastAsia="SimSun"/>
        </w:rPr>
        <w:t xml:space="preserve"> (see Chapter 2.2 for classification criteria)</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980"/>
        <w:gridCol w:w="552"/>
        <w:gridCol w:w="992"/>
        <w:gridCol w:w="425"/>
        <w:gridCol w:w="1134"/>
        <w:gridCol w:w="1276"/>
        <w:gridCol w:w="992"/>
        <w:gridCol w:w="2410"/>
        <w:gridCol w:w="850"/>
      </w:tblGrid>
      <w:tr w:rsidR="00C70C06" w:rsidRPr="004A19B0" w:rsidTr="000A5D88">
        <w:trPr>
          <w:cantSplit/>
          <w:trHeight w:val="37"/>
          <w:tblHeader/>
        </w:trPr>
        <w:tc>
          <w:tcPr>
            <w:tcW w:w="2949" w:type="dxa"/>
            <w:gridSpan w:val="4"/>
            <w:shd w:val="clear" w:color="auto" w:fill="FFFFFF"/>
          </w:tcPr>
          <w:p w:rsidR="00C70C06" w:rsidRPr="004A19B0" w:rsidRDefault="00C70C06" w:rsidP="000A5D88">
            <w:pPr>
              <w:keepNext/>
              <w:keepLines/>
              <w:tabs>
                <w:tab w:val="left" w:pos="1425"/>
              </w:tabs>
              <w:spacing w:before="20" w:after="20" w:line="240" w:lineRule="auto"/>
              <w:jc w:val="center"/>
              <w:rPr>
                <w:b/>
                <w:sz w:val="16"/>
                <w:szCs w:val="16"/>
              </w:rPr>
            </w:pPr>
            <w:r w:rsidRPr="004A19B0">
              <w:rPr>
                <w:b/>
                <w:sz w:val="16"/>
                <w:szCs w:val="16"/>
              </w:rPr>
              <w:lastRenderedPageBreak/>
              <w:t>Classification</w:t>
            </w:r>
          </w:p>
        </w:tc>
        <w:tc>
          <w:tcPr>
            <w:tcW w:w="5812" w:type="dxa"/>
            <w:gridSpan w:val="4"/>
            <w:shd w:val="clear" w:color="auto" w:fill="FFFFFF"/>
          </w:tcPr>
          <w:p w:rsidR="00C70C06" w:rsidRPr="004A19B0" w:rsidRDefault="00C70C06" w:rsidP="000A5D88">
            <w:pPr>
              <w:pStyle w:val="Heading5"/>
              <w:tabs>
                <w:tab w:val="left" w:pos="1425"/>
              </w:tabs>
              <w:spacing w:before="20" w:after="20"/>
              <w:ind w:left="1600"/>
              <w:jc w:val="center"/>
              <w:rPr>
                <w:b/>
                <w:bCs/>
                <w:i/>
                <w:sz w:val="16"/>
                <w:szCs w:val="16"/>
              </w:rPr>
            </w:pPr>
            <w:r w:rsidRPr="004A19B0">
              <w:rPr>
                <w:b/>
                <w:sz w:val="16"/>
                <w:szCs w:val="16"/>
              </w:rPr>
              <w:t>Labelling</w:t>
            </w:r>
          </w:p>
        </w:tc>
        <w:tc>
          <w:tcPr>
            <w:tcW w:w="850" w:type="dxa"/>
            <w:vMerge w:val="restart"/>
            <w:shd w:val="clear" w:color="auto" w:fill="FFFFFF"/>
          </w:tcPr>
          <w:p w:rsidR="00C70C06" w:rsidRPr="004A19B0" w:rsidRDefault="00C70C06" w:rsidP="000A5D88">
            <w:pPr>
              <w:keepLines/>
              <w:tabs>
                <w:tab w:val="left" w:pos="1425"/>
              </w:tabs>
              <w:spacing w:before="20" w:after="20" w:line="240" w:lineRule="auto"/>
              <w:jc w:val="center"/>
              <w:rPr>
                <w:b/>
                <w:bCs/>
                <w:sz w:val="16"/>
                <w:szCs w:val="16"/>
              </w:rPr>
            </w:pPr>
            <w:r w:rsidRPr="004A19B0">
              <w:rPr>
                <w:b/>
                <w:bCs/>
                <w:sz w:val="16"/>
                <w:szCs w:val="16"/>
              </w:rPr>
              <w:t xml:space="preserve">Hazard statement codes </w:t>
            </w:r>
          </w:p>
        </w:tc>
      </w:tr>
      <w:tr w:rsidR="00C70C06" w:rsidRPr="004A19B0" w:rsidTr="0085202C">
        <w:trPr>
          <w:cantSplit/>
          <w:trHeight w:val="173"/>
          <w:tblHeader/>
        </w:trPr>
        <w:tc>
          <w:tcPr>
            <w:tcW w:w="980" w:type="dxa"/>
            <w:vMerge w:val="restart"/>
            <w:shd w:val="clear" w:color="auto" w:fill="FFFFFF"/>
          </w:tcPr>
          <w:p w:rsidR="00C70C06" w:rsidRPr="004A19B0" w:rsidRDefault="00C70C06" w:rsidP="000A5D88">
            <w:pPr>
              <w:keepNext/>
              <w:keepLines/>
              <w:tabs>
                <w:tab w:val="left" w:pos="1425"/>
              </w:tabs>
              <w:spacing w:before="20" w:after="20" w:line="240" w:lineRule="auto"/>
              <w:jc w:val="center"/>
              <w:rPr>
                <w:b/>
                <w:sz w:val="16"/>
                <w:szCs w:val="16"/>
              </w:rPr>
            </w:pPr>
            <w:r w:rsidRPr="004A19B0">
              <w:rPr>
                <w:b/>
                <w:sz w:val="16"/>
                <w:szCs w:val="16"/>
              </w:rPr>
              <w:t>Hazard class</w:t>
            </w:r>
          </w:p>
        </w:tc>
        <w:tc>
          <w:tcPr>
            <w:tcW w:w="1969" w:type="dxa"/>
            <w:gridSpan w:val="3"/>
            <w:vMerge w:val="restart"/>
            <w:shd w:val="clear" w:color="auto" w:fill="FFFFFF"/>
          </w:tcPr>
          <w:p w:rsidR="00C70C06" w:rsidRPr="004A19B0" w:rsidRDefault="00C70C06" w:rsidP="000A5D88">
            <w:pPr>
              <w:tabs>
                <w:tab w:val="left" w:pos="1425"/>
              </w:tabs>
              <w:spacing w:before="20" w:after="20" w:line="240" w:lineRule="auto"/>
              <w:jc w:val="center"/>
              <w:outlineLvl w:val="4"/>
              <w:rPr>
                <w:b/>
                <w:sz w:val="16"/>
                <w:szCs w:val="16"/>
              </w:rPr>
            </w:pPr>
            <w:r w:rsidRPr="004A19B0">
              <w:rPr>
                <w:b/>
                <w:sz w:val="16"/>
                <w:szCs w:val="16"/>
              </w:rPr>
              <w:t>Hazard category</w:t>
            </w:r>
          </w:p>
        </w:tc>
        <w:tc>
          <w:tcPr>
            <w:tcW w:w="2410" w:type="dxa"/>
            <w:gridSpan w:val="2"/>
            <w:shd w:val="clear" w:color="auto" w:fill="FFFFFF"/>
          </w:tcPr>
          <w:p w:rsidR="00C70C06" w:rsidRPr="004A19B0" w:rsidRDefault="00C70C06" w:rsidP="000A5D88">
            <w:pPr>
              <w:pStyle w:val="Heading5"/>
              <w:tabs>
                <w:tab w:val="left" w:pos="1425"/>
              </w:tabs>
              <w:spacing w:before="20" w:after="20"/>
              <w:ind w:left="624"/>
              <w:rPr>
                <w:b/>
                <w:bCs/>
                <w:i/>
                <w:sz w:val="16"/>
                <w:szCs w:val="16"/>
              </w:rPr>
            </w:pPr>
            <w:r w:rsidRPr="004A19B0">
              <w:rPr>
                <w:b/>
                <w:sz w:val="16"/>
                <w:szCs w:val="16"/>
              </w:rPr>
              <w:t>Pictogram</w:t>
            </w:r>
          </w:p>
        </w:tc>
        <w:tc>
          <w:tcPr>
            <w:tcW w:w="992" w:type="dxa"/>
            <w:vMerge w:val="restart"/>
            <w:shd w:val="clear" w:color="auto" w:fill="FFFFFF"/>
          </w:tcPr>
          <w:p w:rsidR="00C70C06" w:rsidRPr="00D874E5" w:rsidRDefault="00C70C06" w:rsidP="000A5D88">
            <w:pPr>
              <w:pStyle w:val="Heading5"/>
              <w:tabs>
                <w:tab w:val="left" w:pos="1425"/>
              </w:tabs>
              <w:spacing w:before="20" w:after="20"/>
              <w:jc w:val="center"/>
              <w:rPr>
                <w:b/>
                <w:sz w:val="16"/>
                <w:szCs w:val="16"/>
              </w:rPr>
            </w:pPr>
            <w:r w:rsidRPr="00D874E5">
              <w:rPr>
                <w:b/>
                <w:sz w:val="16"/>
                <w:szCs w:val="16"/>
              </w:rPr>
              <w:t>Signal word</w:t>
            </w:r>
          </w:p>
        </w:tc>
        <w:tc>
          <w:tcPr>
            <w:tcW w:w="2410" w:type="dxa"/>
            <w:vMerge w:val="restart"/>
            <w:shd w:val="clear" w:color="auto" w:fill="FFFFFF"/>
          </w:tcPr>
          <w:p w:rsidR="00C70C06" w:rsidRPr="004A19B0" w:rsidRDefault="00C70C06" w:rsidP="000A5D88">
            <w:pPr>
              <w:pStyle w:val="Heading5"/>
              <w:tabs>
                <w:tab w:val="left" w:pos="1425"/>
              </w:tabs>
              <w:spacing w:before="20" w:after="20"/>
              <w:rPr>
                <w:b/>
                <w:bCs/>
                <w:i/>
                <w:sz w:val="16"/>
                <w:szCs w:val="16"/>
              </w:rPr>
            </w:pPr>
            <w:r w:rsidRPr="004A19B0">
              <w:rPr>
                <w:b/>
                <w:sz w:val="16"/>
                <w:szCs w:val="16"/>
              </w:rPr>
              <w:t>Hazard statement</w:t>
            </w:r>
          </w:p>
        </w:tc>
        <w:tc>
          <w:tcPr>
            <w:tcW w:w="850" w:type="dxa"/>
            <w:vMerge/>
            <w:shd w:val="clear" w:color="auto" w:fill="FFFFFF"/>
          </w:tcPr>
          <w:p w:rsidR="00C70C06" w:rsidRPr="004A19B0" w:rsidRDefault="00C70C06" w:rsidP="000A5D88">
            <w:pPr>
              <w:pStyle w:val="Heading5"/>
              <w:tabs>
                <w:tab w:val="left" w:pos="1425"/>
              </w:tabs>
              <w:spacing w:before="20" w:after="20"/>
              <w:ind w:left="1600"/>
              <w:jc w:val="center"/>
              <w:rPr>
                <w:b/>
                <w:bCs/>
                <w:sz w:val="16"/>
                <w:szCs w:val="16"/>
              </w:rPr>
            </w:pPr>
          </w:p>
        </w:tc>
      </w:tr>
      <w:tr w:rsidR="00C70C06" w:rsidRPr="004A19B0" w:rsidTr="000A5D88">
        <w:trPr>
          <w:cantSplit/>
          <w:trHeight w:val="370"/>
        </w:trPr>
        <w:tc>
          <w:tcPr>
            <w:tcW w:w="980" w:type="dxa"/>
            <w:vMerge/>
            <w:shd w:val="clear" w:color="auto" w:fill="FFFFFF"/>
          </w:tcPr>
          <w:p w:rsidR="00C70C06" w:rsidRPr="004A19B0" w:rsidRDefault="00C70C06" w:rsidP="000A5D88">
            <w:pPr>
              <w:keepNext/>
              <w:keepLines/>
              <w:tabs>
                <w:tab w:val="left" w:pos="1425"/>
              </w:tabs>
              <w:spacing w:before="20" w:after="20" w:line="240" w:lineRule="auto"/>
              <w:jc w:val="center"/>
              <w:rPr>
                <w:b/>
                <w:sz w:val="16"/>
                <w:szCs w:val="16"/>
              </w:rPr>
            </w:pPr>
          </w:p>
        </w:tc>
        <w:tc>
          <w:tcPr>
            <w:tcW w:w="1969" w:type="dxa"/>
            <w:gridSpan w:val="3"/>
            <w:vMerge/>
            <w:tcBorders>
              <w:bottom w:val="single" w:sz="4" w:space="0" w:color="auto"/>
            </w:tcBorders>
            <w:shd w:val="clear" w:color="auto" w:fill="FFFFFF"/>
          </w:tcPr>
          <w:p w:rsidR="00C70C06" w:rsidRPr="004A19B0" w:rsidRDefault="00C70C06" w:rsidP="000A5D88">
            <w:pPr>
              <w:keepNext/>
              <w:keepLines/>
              <w:tabs>
                <w:tab w:val="left" w:pos="1425"/>
              </w:tabs>
              <w:spacing w:before="20" w:after="20" w:line="240" w:lineRule="auto"/>
              <w:rPr>
                <w:b/>
                <w:sz w:val="16"/>
                <w:szCs w:val="16"/>
              </w:rPr>
            </w:pPr>
          </w:p>
        </w:tc>
        <w:tc>
          <w:tcPr>
            <w:tcW w:w="1134" w:type="dxa"/>
            <w:tcBorders>
              <w:bottom w:val="single" w:sz="4" w:space="0" w:color="auto"/>
            </w:tcBorders>
            <w:shd w:val="clear" w:color="auto" w:fill="auto"/>
          </w:tcPr>
          <w:p w:rsidR="00C70C06" w:rsidRPr="004A19B0" w:rsidRDefault="00C70C06" w:rsidP="000A5D88">
            <w:pPr>
              <w:spacing w:before="20" w:after="20" w:line="240" w:lineRule="auto"/>
              <w:jc w:val="center"/>
              <w:outlineLvl w:val="4"/>
              <w:rPr>
                <w:b/>
                <w:bCs/>
                <w:sz w:val="16"/>
                <w:szCs w:val="16"/>
              </w:rPr>
            </w:pPr>
            <w:r w:rsidRPr="004A19B0">
              <w:rPr>
                <w:b/>
                <w:bCs/>
                <w:sz w:val="16"/>
                <w:szCs w:val="16"/>
              </w:rPr>
              <w:t>GHS</w:t>
            </w:r>
          </w:p>
        </w:tc>
        <w:tc>
          <w:tcPr>
            <w:tcW w:w="1276" w:type="dxa"/>
            <w:shd w:val="clear" w:color="auto" w:fill="FFFFFF"/>
          </w:tcPr>
          <w:p w:rsidR="00C70C06" w:rsidRPr="004A19B0" w:rsidRDefault="00C70C06" w:rsidP="000A5D88">
            <w:pPr>
              <w:spacing w:before="20" w:after="20" w:line="240" w:lineRule="auto"/>
              <w:jc w:val="center"/>
              <w:outlineLvl w:val="4"/>
              <w:rPr>
                <w:b/>
                <w:bCs/>
                <w:sz w:val="16"/>
                <w:szCs w:val="16"/>
              </w:rPr>
            </w:pPr>
            <w:r w:rsidRPr="004A19B0">
              <w:rPr>
                <w:b/>
                <w:bCs/>
                <w:sz w:val="16"/>
                <w:szCs w:val="16"/>
              </w:rPr>
              <w:t xml:space="preserve">UN Model </w:t>
            </w:r>
            <w:proofErr w:type="spellStart"/>
            <w:r w:rsidRPr="004A19B0">
              <w:rPr>
                <w:b/>
                <w:bCs/>
                <w:sz w:val="16"/>
                <w:szCs w:val="16"/>
              </w:rPr>
              <w:t>Regulations</w:t>
            </w:r>
            <w:r w:rsidRPr="004A19B0">
              <w:rPr>
                <w:b/>
                <w:bCs/>
                <w:sz w:val="16"/>
                <w:szCs w:val="16"/>
                <w:vertAlign w:val="superscript"/>
              </w:rPr>
              <w:t>a</w:t>
            </w:r>
            <w:proofErr w:type="spellEnd"/>
          </w:p>
        </w:tc>
        <w:tc>
          <w:tcPr>
            <w:tcW w:w="992" w:type="dxa"/>
            <w:vMerge/>
            <w:shd w:val="clear" w:color="auto" w:fill="FFFFFF"/>
          </w:tcPr>
          <w:p w:rsidR="00C70C06" w:rsidRPr="004A19B0" w:rsidRDefault="00C70C06" w:rsidP="000A5D88">
            <w:pPr>
              <w:keepNext/>
              <w:keepLines/>
              <w:tabs>
                <w:tab w:val="left" w:pos="1425"/>
              </w:tabs>
              <w:spacing w:before="20" w:after="20" w:line="240" w:lineRule="auto"/>
              <w:jc w:val="center"/>
              <w:rPr>
                <w:b/>
                <w:sz w:val="16"/>
                <w:szCs w:val="16"/>
              </w:rPr>
            </w:pPr>
          </w:p>
        </w:tc>
        <w:tc>
          <w:tcPr>
            <w:tcW w:w="2410" w:type="dxa"/>
            <w:vMerge/>
            <w:shd w:val="clear" w:color="auto" w:fill="FFFFFF"/>
          </w:tcPr>
          <w:p w:rsidR="00C70C06" w:rsidRPr="004A19B0" w:rsidRDefault="00C70C06" w:rsidP="000A5D88">
            <w:pPr>
              <w:keepNext/>
              <w:keepLines/>
              <w:tabs>
                <w:tab w:val="left" w:pos="1425"/>
              </w:tabs>
              <w:spacing w:before="20" w:after="20" w:line="240" w:lineRule="auto"/>
              <w:rPr>
                <w:b/>
                <w:noProof/>
                <w:sz w:val="16"/>
                <w:szCs w:val="16"/>
                <w:lang w:eastAsia="sv-SE"/>
              </w:rPr>
            </w:pPr>
          </w:p>
        </w:tc>
        <w:tc>
          <w:tcPr>
            <w:tcW w:w="850" w:type="dxa"/>
            <w:vMerge/>
            <w:shd w:val="clear" w:color="auto" w:fill="FFFFFF"/>
          </w:tcPr>
          <w:p w:rsidR="00C70C06" w:rsidRPr="004A19B0" w:rsidRDefault="00C70C06" w:rsidP="000A5D88">
            <w:pPr>
              <w:keepNext/>
              <w:keepLines/>
              <w:tabs>
                <w:tab w:val="left" w:pos="1425"/>
              </w:tabs>
              <w:spacing w:before="20" w:after="20" w:line="240" w:lineRule="auto"/>
              <w:jc w:val="center"/>
              <w:rPr>
                <w:noProof/>
                <w:sz w:val="16"/>
                <w:szCs w:val="16"/>
                <w:lang w:eastAsia="sv-SE"/>
              </w:rPr>
            </w:pPr>
          </w:p>
        </w:tc>
      </w:tr>
      <w:tr w:rsidR="00C70C06" w:rsidRPr="004A19B0" w:rsidTr="00AE2300">
        <w:trPr>
          <w:cantSplit/>
          <w:trHeight w:val="634"/>
        </w:trPr>
        <w:tc>
          <w:tcPr>
            <w:tcW w:w="980" w:type="dxa"/>
            <w:vMerge w:val="restart"/>
            <w:shd w:val="clear" w:color="auto" w:fill="FFFFFF"/>
            <w:vAlign w:val="center"/>
          </w:tcPr>
          <w:p w:rsidR="00C70C06" w:rsidRPr="004A19B0" w:rsidRDefault="00C70C06" w:rsidP="00C70C06">
            <w:pPr>
              <w:keepNext/>
              <w:keepLines/>
              <w:tabs>
                <w:tab w:val="left" w:pos="1425"/>
              </w:tabs>
              <w:spacing w:before="40" w:after="40"/>
              <w:jc w:val="center"/>
              <w:rPr>
                <w:b/>
                <w:sz w:val="16"/>
                <w:szCs w:val="16"/>
              </w:rPr>
            </w:pPr>
            <w:r w:rsidRPr="004A19B0">
              <w:rPr>
                <w:b/>
                <w:sz w:val="16"/>
                <w:szCs w:val="16"/>
              </w:rPr>
              <w:t>Flammable gases</w:t>
            </w:r>
          </w:p>
        </w:tc>
        <w:tc>
          <w:tcPr>
            <w:tcW w:w="552" w:type="dxa"/>
            <w:vMerge w:val="restart"/>
            <w:shd w:val="clear" w:color="auto" w:fill="auto"/>
            <w:vAlign w:val="center"/>
          </w:tcPr>
          <w:p w:rsidR="00C70C06" w:rsidRPr="004A19B0" w:rsidRDefault="00C70C06" w:rsidP="00C70C06">
            <w:pPr>
              <w:keepNext/>
              <w:keepLines/>
              <w:tabs>
                <w:tab w:val="left" w:pos="1425"/>
              </w:tabs>
              <w:spacing w:before="40" w:after="40"/>
              <w:jc w:val="center"/>
              <w:rPr>
                <w:b/>
                <w:sz w:val="16"/>
                <w:szCs w:val="16"/>
              </w:rPr>
            </w:pPr>
            <w:r w:rsidRPr="004A19B0">
              <w:rPr>
                <w:b/>
                <w:sz w:val="16"/>
                <w:szCs w:val="16"/>
              </w:rPr>
              <w:t>1A</w:t>
            </w:r>
          </w:p>
          <w:p w:rsidR="00C70C06" w:rsidRPr="004A19B0" w:rsidRDefault="00C70C06" w:rsidP="00C70C06">
            <w:pPr>
              <w:keepNext/>
              <w:keepLines/>
              <w:tabs>
                <w:tab w:val="left" w:pos="1425"/>
              </w:tabs>
              <w:spacing w:before="40" w:after="40"/>
              <w:jc w:val="center"/>
              <w:rPr>
                <w:b/>
                <w:sz w:val="16"/>
                <w:szCs w:val="16"/>
              </w:rPr>
            </w:pPr>
          </w:p>
        </w:tc>
        <w:tc>
          <w:tcPr>
            <w:tcW w:w="1417" w:type="dxa"/>
            <w:gridSpan w:val="2"/>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r w:rsidRPr="004A19B0">
              <w:rPr>
                <w:b/>
                <w:sz w:val="16"/>
                <w:szCs w:val="16"/>
              </w:rPr>
              <w:t xml:space="preserve">Flammable gas </w:t>
            </w:r>
          </w:p>
          <w:p w:rsidR="00C70C06" w:rsidRPr="004A19B0" w:rsidRDefault="00C70C06" w:rsidP="0085202C">
            <w:pPr>
              <w:keepNext/>
              <w:keepLines/>
              <w:tabs>
                <w:tab w:val="left" w:pos="1425"/>
              </w:tabs>
              <w:spacing w:line="240" w:lineRule="auto"/>
              <w:jc w:val="center"/>
              <w:rPr>
                <w:b/>
                <w:sz w:val="16"/>
                <w:szCs w:val="16"/>
              </w:rPr>
            </w:pPr>
          </w:p>
        </w:tc>
        <w:tc>
          <w:tcPr>
            <w:tcW w:w="1134" w:type="dxa"/>
            <w:shd w:val="clear" w:color="auto" w:fill="auto"/>
          </w:tcPr>
          <w:p w:rsidR="00C70C06" w:rsidRPr="004A19B0" w:rsidRDefault="00C70C06" w:rsidP="0085202C">
            <w:pPr>
              <w:keepNext/>
              <w:keepLines/>
              <w:tabs>
                <w:tab w:val="left" w:pos="1425"/>
              </w:tabs>
              <w:spacing w:before="20" w:after="20" w:line="240" w:lineRule="auto"/>
              <w:jc w:val="center"/>
              <w:rPr>
                <w:b/>
                <w:sz w:val="16"/>
                <w:szCs w:val="16"/>
              </w:rPr>
            </w:pPr>
            <w:r w:rsidRPr="004A19B0">
              <w:rPr>
                <w:b/>
                <w:noProof/>
                <w:sz w:val="16"/>
                <w:szCs w:val="16"/>
                <w:lang w:eastAsia="en-GB"/>
              </w:rPr>
              <w:drawing>
                <wp:inline distT="0" distB="0" distL="0" distR="0" wp14:anchorId="510B3723" wp14:editId="364F1235">
                  <wp:extent cx="394121" cy="400767"/>
                  <wp:effectExtent l="0" t="0" r="6350" b="0"/>
                  <wp:docPr id="21"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276" w:type="dxa"/>
            <w:shd w:val="clear" w:color="auto" w:fill="FFFFFF"/>
          </w:tcPr>
          <w:p w:rsidR="00C70C06" w:rsidRPr="004A19B0" w:rsidRDefault="0085202C" w:rsidP="0085202C">
            <w:pPr>
              <w:keepNext/>
              <w:keepLines/>
              <w:tabs>
                <w:tab w:val="left" w:pos="1425"/>
              </w:tabs>
              <w:spacing w:before="20" w:after="20" w:line="240" w:lineRule="auto"/>
              <w:jc w:val="center"/>
              <w:rPr>
                <w:b/>
                <w:sz w:val="16"/>
                <w:szCs w:val="16"/>
              </w:rPr>
            </w:pPr>
            <w:r w:rsidRPr="004A19B0">
              <w:rPr>
                <w:b/>
                <w:noProof/>
                <w:sz w:val="16"/>
                <w:szCs w:val="16"/>
                <w:lang w:eastAsia="en-GB"/>
              </w:rPr>
              <w:drawing>
                <wp:inline distT="0" distB="0" distL="0" distR="0" wp14:anchorId="127A4297" wp14:editId="77594B55">
                  <wp:extent cx="389467" cy="389467"/>
                  <wp:effectExtent l="0" t="0" r="0" b="0"/>
                  <wp:docPr id="22"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992" w:type="dxa"/>
            <w:shd w:val="clear" w:color="auto" w:fill="FFFFFF"/>
            <w:vAlign w:val="center"/>
          </w:tcPr>
          <w:p w:rsidR="00C70C06" w:rsidRPr="004A19B0" w:rsidRDefault="00C70C06" w:rsidP="00AE2300">
            <w:pPr>
              <w:keepNext/>
              <w:keepLines/>
              <w:tabs>
                <w:tab w:val="left" w:pos="1425"/>
              </w:tabs>
              <w:spacing w:line="240" w:lineRule="auto"/>
              <w:rPr>
                <w:b/>
                <w:sz w:val="16"/>
                <w:szCs w:val="16"/>
              </w:rPr>
            </w:pPr>
            <w:r w:rsidRPr="004A19B0">
              <w:rPr>
                <w:b/>
                <w:sz w:val="16"/>
                <w:szCs w:val="16"/>
              </w:rPr>
              <w:t>Danger</w:t>
            </w:r>
          </w:p>
        </w:tc>
        <w:tc>
          <w:tcPr>
            <w:tcW w:w="2410" w:type="dxa"/>
            <w:tcBorders>
              <w:bottom w:val="single" w:sz="4" w:space="0" w:color="auto"/>
            </w:tcBorders>
            <w:shd w:val="clear" w:color="auto" w:fill="FFFFFF"/>
            <w:vAlign w:val="center"/>
          </w:tcPr>
          <w:p w:rsidR="00C70C06" w:rsidRPr="004A19B0" w:rsidRDefault="00C70C06" w:rsidP="00AE2300">
            <w:pPr>
              <w:keepNext/>
              <w:keepLines/>
              <w:tabs>
                <w:tab w:val="left" w:pos="1425"/>
              </w:tabs>
              <w:spacing w:line="240" w:lineRule="auto"/>
              <w:rPr>
                <w:b/>
                <w:noProof/>
                <w:sz w:val="16"/>
                <w:szCs w:val="16"/>
                <w:lang w:eastAsia="sv-SE"/>
              </w:rPr>
            </w:pPr>
            <w:r w:rsidRPr="004A19B0">
              <w:rPr>
                <w:b/>
                <w:noProof/>
                <w:sz w:val="16"/>
                <w:szCs w:val="16"/>
                <w:lang w:eastAsia="sv-SE"/>
              </w:rPr>
              <w:t>Extremely flammable gas</w:t>
            </w:r>
          </w:p>
        </w:tc>
        <w:tc>
          <w:tcPr>
            <w:tcW w:w="850" w:type="dxa"/>
            <w:tcBorders>
              <w:bottom w:val="single" w:sz="4" w:space="0" w:color="auto"/>
            </w:tcBorders>
            <w:shd w:val="clear" w:color="auto" w:fill="FFFFFF"/>
            <w:vAlign w:val="center"/>
          </w:tcPr>
          <w:p w:rsidR="00C70C06" w:rsidRPr="004A19B0" w:rsidRDefault="00C70C06" w:rsidP="00AE2300">
            <w:pPr>
              <w:keepNext/>
              <w:keepLines/>
              <w:tabs>
                <w:tab w:val="left" w:pos="1425"/>
              </w:tabs>
              <w:spacing w:line="240" w:lineRule="auto"/>
              <w:jc w:val="center"/>
              <w:rPr>
                <w:noProof/>
                <w:sz w:val="16"/>
                <w:szCs w:val="16"/>
                <w:lang w:eastAsia="sv-SE"/>
              </w:rPr>
            </w:pPr>
            <w:r w:rsidRPr="004A19B0">
              <w:rPr>
                <w:noProof/>
                <w:sz w:val="16"/>
                <w:szCs w:val="16"/>
                <w:lang w:eastAsia="sv-SE"/>
              </w:rPr>
              <w:t>H220</w:t>
            </w:r>
          </w:p>
        </w:tc>
      </w:tr>
      <w:tr w:rsidR="00C70C06" w:rsidRPr="004A19B0" w:rsidTr="00AE2300">
        <w:trPr>
          <w:cantSplit/>
          <w:trHeight w:val="37"/>
        </w:trPr>
        <w:tc>
          <w:tcPr>
            <w:tcW w:w="980" w:type="dxa"/>
            <w:vMerge/>
            <w:shd w:val="clear" w:color="auto" w:fill="FFFFFF"/>
          </w:tcPr>
          <w:p w:rsidR="00C70C06" w:rsidRPr="004A19B0" w:rsidRDefault="00C70C06" w:rsidP="00C70C06">
            <w:pPr>
              <w:keepNext/>
              <w:keepLines/>
              <w:tabs>
                <w:tab w:val="left" w:pos="1425"/>
              </w:tabs>
              <w:spacing w:before="40" w:after="40"/>
              <w:jc w:val="center"/>
              <w:rPr>
                <w:b/>
                <w:sz w:val="16"/>
                <w:szCs w:val="16"/>
              </w:rPr>
            </w:pPr>
          </w:p>
        </w:tc>
        <w:tc>
          <w:tcPr>
            <w:tcW w:w="552" w:type="dxa"/>
            <w:vMerge/>
            <w:shd w:val="clear" w:color="auto" w:fill="auto"/>
            <w:vAlign w:val="center"/>
          </w:tcPr>
          <w:p w:rsidR="00C70C06" w:rsidRPr="004A19B0" w:rsidRDefault="00C70C06" w:rsidP="00C70C06">
            <w:pPr>
              <w:keepNext/>
              <w:keepLines/>
              <w:tabs>
                <w:tab w:val="left" w:pos="1425"/>
              </w:tabs>
              <w:jc w:val="center"/>
              <w:rPr>
                <w:b/>
                <w:sz w:val="16"/>
                <w:szCs w:val="16"/>
                <w:highlight w:val="yellow"/>
              </w:rPr>
            </w:pPr>
          </w:p>
        </w:tc>
        <w:tc>
          <w:tcPr>
            <w:tcW w:w="1417" w:type="dxa"/>
            <w:gridSpan w:val="2"/>
            <w:vMerge w:val="restart"/>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r w:rsidRPr="004A19B0">
              <w:rPr>
                <w:b/>
                <w:sz w:val="16"/>
                <w:szCs w:val="16"/>
              </w:rPr>
              <w:t>Pyrophoric gas</w:t>
            </w:r>
          </w:p>
        </w:tc>
        <w:tc>
          <w:tcPr>
            <w:tcW w:w="1134" w:type="dxa"/>
            <w:vMerge w:val="restart"/>
            <w:shd w:val="clear" w:color="auto" w:fill="auto"/>
          </w:tcPr>
          <w:p w:rsidR="00C70C06" w:rsidRPr="004A19B0" w:rsidRDefault="0085202C" w:rsidP="0085202C">
            <w:pPr>
              <w:keepNext/>
              <w:keepLines/>
              <w:tabs>
                <w:tab w:val="left" w:pos="1425"/>
              </w:tabs>
              <w:spacing w:before="20" w:after="20" w:line="240" w:lineRule="auto"/>
              <w:jc w:val="center"/>
              <w:rPr>
                <w:b/>
                <w:noProof/>
                <w:sz w:val="16"/>
                <w:szCs w:val="16"/>
              </w:rPr>
            </w:pPr>
            <w:r w:rsidRPr="004A19B0">
              <w:rPr>
                <w:b/>
                <w:noProof/>
                <w:sz w:val="16"/>
                <w:szCs w:val="16"/>
                <w:lang w:eastAsia="en-GB"/>
              </w:rPr>
              <w:drawing>
                <wp:inline distT="0" distB="0" distL="0" distR="0" wp14:anchorId="1C537A84" wp14:editId="498FDC6A">
                  <wp:extent cx="394121" cy="400767"/>
                  <wp:effectExtent l="0" t="0" r="6350" b="0"/>
                  <wp:docPr id="1"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276" w:type="dxa"/>
            <w:vMerge w:val="restart"/>
            <w:shd w:val="clear" w:color="auto" w:fill="auto"/>
          </w:tcPr>
          <w:p w:rsidR="00C70C06" w:rsidRPr="004A19B0" w:rsidRDefault="0085202C" w:rsidP="0085202C">
            <w:pPr>
              <w:keepNext/>
              <w:keepLines/>
              <w:tabs>
                <w:tab w:val="left" w:pos="1425"/>
              </w:tabs>
              <w:spacing w:before="20" w:after="20" w:line="240" w:lineRule="auto"/>
              <w:jc w:val="center"/>
              <w:rPr>
                <w:b/>
                <w:i/>
                <w:noProof/>
                <w:sz w:val="16"/>
                <w:szCs w:val="16"/>
              </w:rPr>
            </w:pPr>
            <w:r w:rsidRPr="004A19B0">
              <w:rPr>
                <w:b/>
                <w:noProof/>
                <w:sz w:val="16"/>
                <w:szCs w:val="16"/>
                <w:lang w:eastAsia="en-GB"/>
              </w:rPr>
              <w:drawing>
                <wp:inline distT="0" distB="0" distL="0" distR="0" wp14:anchorId="2F07ACC5" wp14:editId="547BC85F">
                  <wp:extent cx="389467" cy="389467"/>
                  <wp:effectExtent l="0" t="0" r="0" b="0"/>
                  <wp:docPr id="9"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992" w:type="dxa"/>
            <w:vMerge w:val="restart"/>
            <w:shd w:val="clear" w:color="auto" w:fill="FFFFFF"/>
            <w:vAlign w:val="center"/>
          </w:tcPr>
          <w:p w:rsidR="00C70C06" w:rsidRPr="004A19B0" w:rsidRDefault="00C70C06" w:rsidP="00AE2300">
            <w:pPr>
              <w:keepNext/>
              <w:keepLines/>
              <w:tabs>
                <w:tab w:val="left" w:pos="1425"/>
              </w:tabs>
              <w:spacing w:line="240" w:lineRule="auto"/>
              <w:rPr>
                <w:b/>
                <w:sz w:val="16"/>
                <w:szCs w:val="16"/>
              </w:rPr>
            </w:pPr>
            <w:r w:rsidRPr="004A19B0">
              <w:rPr>
                <w:b/>
                <w:sz w:val="16"/>
                <w:szCs w:val="16"/>
              </w:rPr>
              <w:t>Danger</w:t>
            </w:r>
          </w:p>
        </w:tc>
        <w:tc>
          <w:tcPr>
            <w:tcW w:w="2410" w:type="dxa"/>
            <w:tcBorders>
              <w:bottom w:val="nil"/>
            </w:tcBorders>
            <w:shd w:val="clear" w:color="auto" w:fill="FFFFFF"/>
            <w:vAlign w:val="center"/>
          </w:tcPr>
          <w:p w:rsidR="00C70C06" w:rsidRPr="004A19B0" w:rsidRDefault="00C70C06" w:rsidP="00AE2300">
            <w:pPr>
              <w:keepNext/>
              <w:keepLines/>
              <w:tabs>
                <w:tab w:val="left" w:pos="1425"/>
              </w:tabs>
              <w:spacing w:line="240" w:lineRule="auto"/>
              <w:rPr>
                <w:b/>
                <w:noProof/>
                <w:sz w:val="16"/>
                <w:szCs w:val="16"/>
                <w:lang w:eastAsia="sv-SE"/>
              </w:rPr>
            </w:pPr>
            <w:r w:rsidRPr="004A19B0">
              <w:rPr>
                <w:b/>
                <w:noProof/>
                <w:sz w:val="16"/>
                <w:szCs w:val="16"/>
                <w:lang w:eastAsia="sv-SE"/>
              </w:rPr>
              <w:t>Extremely flammable gas</w:t>
            </w:r>
            <w:r w:rsidRPr="004A19B0">
              <w:rPr>
                <w:b/>
                <w:sz w:val="16"/>
                <w:szCs w:val="16"/>
                <w:lang w:eastAsia="zh-CN"/>
              </w:rPr>
              <w:t xml:space="preserve"> </w:t>
            </w:r>
          </w:p>
        </w:tc>
        <w:tc>
          <w:tcPr>
            <w:tcW w:w="850" w:type="dxa"/>
            <w:tcBorders>
              <w:bottom w:val="nil"/>
            </w:tcBorders>
            <w:shd w:val="clear" w:color="auto" w:fill="FFFFFF"/>
            <w:vAlign w:val="center"/>
          </w:tcPr>
          <w:p w:rsidR="00C70C06" w:rsidRPr="004A19B0" w:rsidRDefault="00C70C06" w:rsidP="00AE2300">
            <w:pPr>
              <w:keepNext/>
              <w:keepLines/>
              <w:tabs>
                <w:tab w:val="left" w:pos="1425"/>
              </w:tabs>
              <w:spacing w:line="240" w:lineRule="auto"/>
              <w:jc w:val="center"/>
              <w:rPr>
                <w:noProof/>
                <w:sz w:val="16"/>
                <w:szCs w:val="16"/>
                <w:lang w:eastAsia="sv-SE"/>
              </w:rPr>
            </w:pPr>
            <w:r w:rsidRPr="004A19B0">
              <w:rPr>
                <w:noProof/>
                <w:sz w:val="16"/>
                <w:szCs w:val="16"/>
                <w:lang w:eastAsia="sv-SE"/>
              </w:rPr>
              <w:t>H220</w:t>
            </w:r>
          </w:p>
        </w:tc>
      </w:tr>
      <w:tr w:rsidR="00C70C06" w:rsidRPr="004A19B0" w:rsidTr="00AE2300">
        <w:trPr>
          <w:cantSplit/>
          <w:trHeight w:val="244"/>
        </w:trPr>
        <w:tc>
          <w:tcPr>
            <w:tcW w:w="980" w:type="dxa"/>
            <w:vMerge/>
            <w:shd w:val="clear" w:color="auto" w:fill="FFFFFF"/>
          </w:tcPr>
          <w:p w:rsidR="00C70C06" w:rsidRPr="004A19B0" w:rsidRDefault="00C70C06" w:rsidP="00C70C06">
            <w:pPr>
              <w:keepNext/>
              <w:keepLines/>
              <w:tabs>
                <w:tab w:val="left" w:pos="1425"/>
              </w:tabs>
              <w:spacing w:before="40" w:after="40"/>
              <w:jc w:val="center"/>
              <w:rPr>
                <w:b/>
                <w:sz w:val="16"/>
                <w:szCs w:val="16"/>
              </w:rPr>
            </w:pPr>
          </w:p>
        </w:tc>
        <w:tc>
          <w:tcPr>
            <w:tcW w:w="552" w:type="dxa"/>
            <w:vMerge/>
            <w:shd w:val="clear" w:color="auto" w:fill="auto"/>
            <w:vAlign w:val="center"/>
          </w:tcPr>
          <w:p w:rsidR="00C70C06" w:rsidRPr="004A19B0" w:rsidRDefault="00C70C06" w:rsidP="00C70C06">
            <w:pPr>
              <w:keepNext/>
              <w:keepLines/>
              <w:tabs>
                <w:tab w:val="left" w:pos="1425"/>
              </w:tabs>
              <w:jc w:val="center"/>
              <w:rPr>
                <w:b/>
                <w:sz w:val="16"/>
                <w:szCs w:val="16"/>
                <w:highlight w:val="yellow"/>
              </w:rPr>
            </w:pPr>
          </w:p>
        </w:tc>
        <w:tc>
          <w:tcPr>
            <w:tcW w:w="1417" w:type="dxa"/>
            <w:gridSpan w:val="2"/>
            <w:vMerge/>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p>
        </w:tc>
        <w:tc>
          <w:tcPr>
            <w:tcW w:w="1134" w:type="dxa"/>
            <w:vMerge/>
            <w:shd w:val="clear" w:color="auto" w:fill="auto"/>
          </w:tcPr>
          <w:p w:rsidR="00C70C06" w:rsidRPr="004A19B0" w:rsidRDefault="00C70C06" w:rsidP="0085202C">
            <w:pPr>
              <w:keepNext/>
              <w:keepLines/>
              <w:tabs>
                <w:tab w:val="left" w:pos="1425"/>
              </w:tabs>
              <w:spacing w:before="20" w:after="20" w:line="240" w:lineRule="auto"/>
              <w:jc w:val="center"/>
              <w:rPr>
                <w:b/>
                <w:noProof/>
                <w:sz w:val="16"/>
                <w:szCs w:val="16"/>
                <w:lang w:eastAsia="zh-CN"/>
              </w:rPr>
            </w:pPr>
          </w:p>
        </w:tc>
        <w:tc>
          <w:tcPr>
            <w:tcW w:w="1276" w:type="dxa"/>
            <w:vMerge/>
            <w:shd w:val="clear" w:color="auto" w:fill="auto"/>
          </w:tcPr>
          <w:p w:rsidR="00C70C06" w:rsidRPr="004A19B0" w:rsidRDefault="00C70C06" w:rsidP="0085202C">
            <w:pPr>
              <w:keepNext/>
              <w:keepLines/>
              <w:tabs>
                <w:tab w:val="left" w:pos="1425"/>
              </w:tabs>
              <w:spacing w:before="20" w:after="20" w:line="240" w:lineRule="auto"/>
              <w:jc w:val="center"/>
              <w:rPr>
                <w:b/>
                <w:noProof/>
                <w:sz w:val="16"/>
                <w:szCs w:val="16"/>
                <w:lang w:eastAsia="zh-CN"/>
              </w:rPr>
            </w:pPr>
          </w:p>
        </w:tc>
        <w:tc>
          <w:tcPr>
            <w:tcW w:w="992" w:type="dxa"/>
            <w:vMerge/>
            <w:shd w:val="clear" w:color="auto" w:fill="FFFFFF"/>
            <w:vAlign w:val="center"/>
          </w:tcPr>
          <w:p w:rsidR="00C70C06" w:rsidRPr="004A19B0" w:rsidRDefault="00C70C06" w:rsidP="00AE2300">
            <w:pPr>
              <w:keepNext/>
              <w:keepLines/>
              <w:tabs>
                <w:tab w:val="left" w:pos="1425"/>
              </w:tabs>
              <w:spacing w:line="240" w:lineRule="auto"/>
              <w:rPr>
                <w:b/>
                <w:sz w:val="16"/>
                <w:szCs w:val="16"/>
              </w:rPr>
            </w:pPr>
          </w:p>
        </w:tc>
        <w:tc>
          <w:tcPr>
            <w:tcW w:w="2410" w:type="dxa"/>
            <w:tcBorders>
              <w:top w:val="nil"/>
              <w:bottom w:val="single" w:sz="4" w:space="0" w:color="auto"/>
            </w:tcBorders>
            <w:shd w:val="clear" w:color="auto" w:fill="FFFFFF"/>
            <w:vAlign w:val="center"/>
          </w:tcPr>
          <w:p w:rsidR="00C70C06" w:rsidRPr="004A19B0" w:rsidRDefault="00C70C06" w:rsidP="00AE2300">
            <w:pPr>
              <w:keepNext/>
              <w:keepLines/>
              <w:tabs>
                <w:tab w:val="left" w:pos="1425"/>
              </w:tabs>
              <w:spacing w:line="240" w:lineRule="auto"/>
              <w:rPr>
                <w:b/>
                <w:noProof/>
                <w:sz w:val="16"/>
                <w:szCs w:val="16"/>
                <w:lang w:eastAsia="sv-SE"/>
              </w:rPr>
            </w:pPr>
            <w:r w:rsidRPr="004A19B0">
              <w:rPr>
                <w:b/>
                <w:sz w:val="16"/>
                <w:szCs w:val="16"/>
                <w:lang w:eastAsia="zh-CN"/>
              </w:rPr>
              <w:t>May ignite spontaneously if exposed to air</w:t>
            </w:r>
          </w:p>
        </w:tc>
        <w:tc>
          <w:tcPr>
            <w:tcW w:w="850" w:type="dxa"/>
            <w:tcBorders>
              <w:top w:val="nil"/>
              <w:bottom w:val="single" w:sz="4" w:space="0" w:color="auto"/>
            </w:tcBorders>
            <w:shd w:val="clear" w:color="auto" w:fill="FFFFFF"/>
            <w:vAlign w:val="center"/>
          </w:tcPr>
          <w:p w:rsidR="00C70C06" w:rsidRPr="004A19B0" w:rsidRDefault="00C70C06" w:rsidP="00AE2300">
            <w:pPr>
              <w:keepNext/>
              <w:keepLines/>
              <w:tabs>
                <w:tab w:val="left" w:pos="1425"/>
              </w:tabs>
              <w:spacing w:line="240" w:lineRule="auto"/>
              <w:jc w:val="center"/>
              <w:rPr>
                <w:noProof/>
                <w:sz w:val="16"/>
                <w:szCs w:val="16"/>
                <w:lang w:eastAsia="sv-SE"/>
              </w:rPr>
            </w:pPr>
            <w:r w:rsidRPr="004A19B0">
              <w:rPr>
                <w:sz w:val="16"/>
                <w:szCs w:val="16"/>
              </w:rPr>
              <w:t>H232</w:t>
            </w:r>
          </w:p>
        </w:tc>
      </w:tr>
      <w:tr w:rsidR="00C70C06" w:rsidRPr="004A19B0" w:rsidTr="00AE2300">
        <w:trPr>
          <w:cantSplit/>
          <w:trHeight w:val="136"/>
        </w:trPr>
        <w:tc>
          <w:tcPr>
            <w:tcW w:w="980" w:type="dxa"/>
            <w:vMerge/>
            <w:shd w:val="clear" w:color="auto" w:fill="FFFFFF"/>
          </w:tcPr>
          <w:p w:rsidR="00C70C06" w:rsidRPr="004A19B0" w:rsidRDefault="00C70C06" w:rsidP="00C70C06">
            <w:pPr>
              <w:keepNext/>
              <w:keepLines/>
              <w:tabs>
                <w:tab w:val="left" w:pos="1425"/>
              </w:tabs>
              <w:spacing w:before="40" w:after="40"/>
              <w:jc w:val="center"/>
              <w:rPr>
                <w:b/>
                <w:sz w:val="16"/>
                <w:szCs w:val="16"/>
              </w:rPr>
            </w:pPr>
          </w:p>
        </w:tc>
        <w:tc>
          <w:tcPr>
            <w:tcW w:w="552" w:type="dxa"/>
            <w:vMerge/>
            <w:shd w:val="clear" w:color="auto" w:fill="auto"/>
            <w:vAlign w:val="center"/>
          </w:tcPr>
          <w:p w:rsidR="00C70C06" w:rsidRPr="004A19B0" w:rsidRDefault="00C70C06" w:rsidP="00C70C06">
            <w:pPr>
              <w:keepNext/>
              <w:keepLines/>
              <w:tabs>
                <w:tab w:val="left" w:pos="1425"/>
              </w:tabs>
              <w:jc w:val="center"/>
              <w:rPr>
                <w:b/>
                <w:sz w:val="16"/>
                <w:szCs w:val="16"/>
                <w:highlight w:val="yellow"/>
              </w:rPr>
            </w:pPr>
          </w:p>
        </w:tc>
        <w:tc>
          <w:tcPr>
            <w:tcW w:w="992" w:type="dxa"/>
            <w:vMerge w:val="restart"/>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r>
              <w:rPr>
                <w:b/>
                <w:sz w:val="16"/>
                <w:szCs w:val="16"/>
              </w:rPr>
              <w:t>Chemically u</w:t>
            </w:r>
            <w:r w:rsidRPr="004A19B0">
              <w:rPr>
                <w:b/>
                <w:sz w:val="16"/>
                <w:szCs w:val="16"/>
              </w:rPr>
              <w:t xml:space="preserve">nstable gas </w:t>
            </w:r>
          </w:p>
        </w:tc>
        <w:tc>
          <w:tcPr>
            <w:tcW w:w="425" w:type="dxa"/>
            <w:vMerge w:val="restart"/>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r w:rsidRPr="004A19B0">
              <w:rPr>
                <w:b/>
                <w:sz w:val="16"/>
                <w:szCs w:val="16"/>
              </w:rPr>
              <w:t>A</w:t>
            </w:r>
          </w:p>
        </w:tc>
        <w:tc>
          <w:tcPr>
            <w:tcW w:w="1134" w:type="dxa"/>
            <w:vMerge w:val="restart"/>
            <w:shd w:val="clear" w:color="auto" w:fill="auto"/>
          </w:tcPr>
          <w:p w:rsidR="00C70C06" w:rsidRPr="004A19B0" w:rsidRDefault="0085202C" w:rsidP="0085202C">
            <w:pPr>
              <w:keepNext/>
              <w:keepLines/>
              <w:tabs>
                <w:tab w:val="left" w:pos="1425"/>
              </w:tabs>
              <w:spacing w:before="20" w:after="20" w:line="240" w:lineRule="auto"/>
              <w:jc w:val="center"/>
              <w:rPr>
                <w:b/>
                <w:noProof/>
                <w:sz w:val="16"/>
                <w:szCs w:val="16"/>
              </w:rPr>
            </w:pPr>
            <w:r w:rsidRPr="004A19B0">
              <w:rPr>
                <w:b/>
                <w:noProof/>
                <w:sz w:val="16"/>
                <w:szCs w:val="16"/>
                <w:lang w:eastAsia="en-GB"/>
              </w:rPr>
              <w:drawing>
                <wp:inline distT="0" distB="0" distL="0" distR="0" wp14:anchorId="1DE71523" wp14:editId="4522A998">
                  <wp:extent cx="394121" cy="400767"/>
                  <wp:effectExtent l="0" t="0" r="6350" b="0"/>
                  <wp:docPr id="3"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276" w:type="dxa"/>
            <w:vMerge w:val="restart"/>
            <w:shd w:val="clear" w:color="auto" w:fill="auto"/>
          </w:tcPr>
          <w:p w:rsidR="00C70C06" w:rsidRPr="004A19B0" w:rsidRDefault="0085202C" w:rsidP="0085202C">
            <w:pPr>
              <w:keepNext/>
              <w:keepLines/>
              <w:tabs>
                <w:tab w:val="left" w:pos="1425"/>
              </w:tabs>
              <w:spacing w:before="20" w:after="20" w:line="240" w:lineRule="auto"/>
              <w:jc w:val="center"/>
              <w:rPr>
                <w:b/>
                <w:i/>
                <w:noProof/>
                <w:sz w:val="16"/>
                <w:szCs w:val="16"/>
              </w:rPr>
            </w:pPr>
            <w:r w:rsidRPr="004A19B0">
              <w:rPr>
                <w:b/>
                <w:noProof/>
                <w:sz w:val="16"/>
                <w:szCs w:val="16"/>
                <w:lang w:eastAsia="en-GB"/>
              </w:rPr>
              <w:drawing>
                <wp:inline distT="0" distB="0" distL="0" distR="0" wp14:anchorId="5DD109CD" wp14:editId="3771F8A8">
                  <wp:extent cx="389467" cy="389467"/>
                  <wp:effectExtent l="0" t="0" r="0" b="0"/>
                  <wp:docPr id="10"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992" w:type="dxa"/>
            <w:vMerge w:val="restart"/>
            <w:shd w:val="clear" w:color="auto" w:fill="FFFFFF"/>
            <w:vAlign w:val="center"/>
          </w:tcPr>
          <w:p w:rsidR="00C70C06" w:rsidRPr="004A19B0" w:rsidRDefault="00C70C06" w:rsidP="00AE2300">
            <w:pPr>
              <w:keepNext/>
              <w:keepLines/>
              <w:tabs>
                <w:tab w:val="left" w:pos="1425"/>
              </w:tabs>
              <w:spacing w:line="240" w:lineRule="auto"/>
              <w:rPr>
                <w:b/>
                <w:sz w:val="16"/>
                <w:szCs w:val="16"/>
              </w:rPr>
            </w:pPr>
            <w:r w:rsidRPr="004A19B0">
              <w:rPr>
                <w:b/>
                <w:sz w:val="16"/>
                <w:szCs w:val="16"/>
              </w:rPr>
              <w:t>Danger</w:t>
            </w:r>
          </w:p>
        </w:tc>
        <w:tc>
          <w:tcPr>
            <w:tcW w:w="2410" w:type="dxa"/>
            <w:tcBorders>
              <w:bottom w:val="nil"/>
            </w:tcBorders>
            <w:shd w:val="clear" w:color="auto" w:fill="FFFFFF"/>
            <w:vAlign w:val="center"/>
          </w:tcPr>
          <w:p w:rsidR="00C70C06" w:rsidRPr="004A19B0" w:rsidRDefault="00C70C06" w:rsidP="00AE2300">
            <w:pPr>
              <w:keepNext/>
              <w:keepLines/>
              <w:tabs>
                <w:tab w:val="left" w:pos="1425"/>
              </w:tabs>
              <w:spacing w:line="240" w:lineRule="auto"/>
              <w:rPr>
                <w:b/>
                <w:noProof/>
                <w:sz w:val="16"/>
                <w:szCs w:val="16"/>
                <w:lang w:eastAsia="sv-SE"/>
              </w:rPr>
            </w:pPr>
            <w:r w:rsidRPr="004A19B0">
              <w:rPr>
                <w:b/>
                <w:noProof/>
                <w:sz w:val="16"/>
                <w:szCs w:val="16"/>
                <w:lang w:eastAsia="sv-SE"/>
              </w:rPr>
              <w:t>Extremely flammable gas</w:t>
            </w:r>
            <w:r w:rsidRPr="004A19B0">
              <w:rPr>
                <w:b/>
                <w:sz w:val="16"/>
                <w:szCs w:val="16"/>
                <w:lang w:eastAsia="zh-CN"/>
              </w:rPr>
              <w:t xml:space="preserve"> </w:t>
            </w:r>
          </w:p>
        </w:tc>
        <w:tc>
          <w:tcPr>
            <w:tcW w:w="850" w:type="dxa"/>
            <w:tcBorders>
              <w:bottom w:val="nil"/>
            </w:tcBorders>
            <w:shd w:val="clear" w:color="auto" w:fill="FFFFFF"/>
            <w:vAlign w:val="center"/>
          </w:tcPr>
          <w:p w:rsidR="00C70C06" w:rsidRPr="004A19B0" w:rsidRDefault="00C70C06" w:rsidP="00AE2300">
            <w:pPr>
              <w:keepNext/>
              <w:keepLines/>
              <w:tabs>
                <w:tab w:val="left" w:pos="1425"/>
              </w:tabs>
              <w:spacing w:line="240" w:lineRule="auto"/>
              <w:jc w:val="center"/>
              <w:rPr>
                <w:sz w:val="16"/>
                <w:szCs w:val="16"/>
              </w:rPr>
            </w:pPr>
            <w:r w:rsidRPr="004A19B0">
              <w:rPr>
                <w:noProof/>
                <w:sz w:val="16"/>
                <w:szCs w:val="16"/>
                <w:lang w:eastAsia="sv-SE"/>
              </w:rPr>
              <w:t>H220</w:t>
            </w:r>
          </w:p>
        </w:tc>
      </w:tr>
      <w:tr w:rsidR="00C70C06" w:rsidRPr="004A19B0" w:rsidTr="00AE2300">
        <w:trPr>
          <w:cantSplit/>
          <w:trHeight w:val="309"/>
        </w:trPr>
        <w:tc>
          <w:tcPr>
            <w:tcW w:w="980" w:type="dxa"/>
            <w:vMerge/>
            <w:shd w:val="clear" w:color="auto" w:fill="FFFFFF"/>
          </w:tcPr>
          <w:p w:rsidR="00C70C06" w:rsidRPr="004A19B0" w:rsidRDefault="00C70C06" w:rsidP="00C70C06">
            <w:pPr>
              <w:keepNext/>
              <w:keepLines/>
              <w:tabs>
                <w:tab w:val="left" w:pos="1425"/>
              </w:tabs>
              <w:spacing w:before="40" w:after="40"/>
              <w:jc w:val="center"/>
              <w:rPr>
                <w:b/>
                <w:sz w:val="16"/>
                <w:szCs w:val="16"/>
              </w:rPr>
            </w:pPr>
          </w:p>
        </w:tc>
        <w:tc>
          <w:tcPr>
            <w:tcW w:w="552" w:type="dxa"/>
            <w:vMerge/>
            <w:shd w:val="clear" w:color="auto" w:fill="auto"/>
            <w:vAlign w:val="center"/>
          </w:tcPr>
          <w:p w:rsidR="00C70C06" w:rsidRPr="004A19B0" w:rsidRDefault="00C70C06" w:rsidP="00C70C06">
            <w:pPr>
              <w:keepNext/>
              <w:keepLines/>
              <w:tabs>
                <w:tab w:val="left" w:pos="1425"/>
              </w:tabs>
              <w:jc w:val="center"/>
              <w:rPr>
                <w:b/>
                <w:sz w:val="16"/>
                <w:szCs w:val="16"/>
                <w:highlight w:val="yellow"/>
              </w:rPr>
            </w:pPr>
          </w:p>
        </w:tc>
        <w:tc>
          <w:tcPr>
            <w:tcW w:w="992" w:type="dxa"/>
            <w:vMerge/>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p>
        </w:tc>
        <w:tc>
          <w:tcPr>
            <w:tcW w:w="425" w:type="dxa"/>
            <w:vMerge/>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p>
        </w:tc>
        <w:tc>
          <w:tcPr>
            <w:tcW w:w="1134" w:type="dxa"/>
            <w:vMerge/>
            <w:shd w:val="clear" w:color="auto" w:fill="auto"/>
          </w:tcPr>
          <w:p w:rsidR="00C70C06" w:rsidRPr="004A19B0" w:rsidRDefault="00C70C06" w:rsidP="0085202C">
            <w:pPr>
              <w:keepNext/>
              <w:keepLines/>
              <w:tabs>
                <w:tab w:val="left" w:pos="1425"/>
              </w:tabs>
              <w:spacing w:before="20" w:after="20" w:line="240" w:lineRule="auto"/>
              <w:jc w:val="center"/>
              <w:rPr>
                <w:b/>
                <w:noProof/>
                <w:sz w:val="16"/>
                <w:szCs w:val="16"/>
                <w:lang w:eastAsia="zh-CN"/>
              </w:rPr>
            </w:pPr>
          </w:p>
        </w:tc>
        <w:tc>
          <w:tcPr>
            <w:tcW w:w="1276" w:type="dxa"/>
            <w:vMerge/>
            <w:shd w:val="clear" w:color="auto" w:fill="auto"/>
          </w:tcPr>
          <w:p w:rsidR="00C70C06" w:rsidRPr="004A19B0" w:rsidRDefault="00C70C06" w:rsidP="0085202C">
            <w:pPr>
              <w:keepNext/>
              <w:keepLines/>
              <w:tabs>
                <w:tab w:val="left" w:pos="1425"/>
              </w:tabs>
              <w:spacing w:before="20" w:after="20" w:line="240" w:lineRule="auto"/>
              <w:jc w:val="center"/>
              <w:rPr>
                <w:b/>
                <w:noProof/>
                <w:sz w:val="16"/>
                <w:szCs w:val="16"/>
                <w:lang w:eastAsia="zh-CN"/>
              </w:rPr>
            </w:pPr>
          </w:p>
        </w:tc>
        <w:tc>
          <w:tcPr>
            <w:tcW w:w="992" w:type="dxa"/>
            <w:vMerge/>
            <w:shd w:val="clear" w:color="auto" w:fill="FFFFFF"/>
            <w:vAlign w:val="center"/>
          </w:tcPr>
          <w:p w:rsidR="00C70C06" w:rsidRPr="004A19B0" w:rsidRDefault="00C70C06" w:rsidP="00AE2300">
            <w:pPr>
              <w:keepNext/>
              <w:keepLines/>
              <w:tabs>
                <w:tab w:val="left" w:pos="1425"/>
              </w:tabs>
              <w:spacing w:line="240" w:lineRule="auto"/>
              <w:rPr>
                <w:b/>
                <w:sz w:val="16"/>
                <w:szCs w:val="16"/>
              </w:rPr>
            </w:pPr>
          </w:p>
        </w:tc>
        <w:tc>
          <w:tcPr>
            <w:tcW w:w="2410" w:type="dxa"/>
            <w:tcBorders>
              <w:top w:val="nil"/>
              <w:bottom w:val="single" w:sz="4" w:space="0" w:color="auto"/>
            </w:tcBorders>
            <w:shd w:val="clear" w:color="auto" w:fill="FFFFFF"/>
            <w:vAlign w:val="center"/>
          </w:tcPr>
          <w:p w:rsidR="00C70C06" w:rsidRPr="004A19B0" w:rsidRDefault="00C70C06" w:rsidP="00AE2300">
            <w:pPr>
              <w:keepNext/>
              <w:keepLines/>
              <w:tabs>
                <w:tab w:val="left" w:pos="1425"/>
              </w:tabs>
              <w:spacing w:line="240" w:lineRule="auto"/>
              <w:rPr>
                <w:b/>
                <w:noProof/>
                <w:sz w:val="16"/>
                <w:szCs w:val="16"/>
                <w:lang w:eastAsia="sv-SE"/>
              </w:rPr>
            </w:pPr>
            <w:r w:rsidRPr="004A19B0">
              <w:rPr>
                <w:b/>
                <w:sz w:val="16"/>
                <w:szCs w:val="16"/>
              </w:rPr>
              <w:t>May react explosively even in the absence of air</w:t>
            </w:r>
          </w:p>
        </w:tc>
        <w:tc>
          <w:tcPr>
            <w:tcW w:w="850" w:type="dxa"/>
            <w:tcBorders>
              <w:top w:val="nil"/>
              <w:bottom w:val="single" w:sz="4" w:space="0" w:color="auto"/>
            </w:tcBorders>
            <w:shd w:val="clear" w:color="auto" w:fill="FFFFFF"/>
            <w:vAlign w:val="center"/>
          </w:tcPr>
          <w:p w:rsidR="00C70C06" w:rsidRPr="004A19B0" w:rsidRDefault="00C70C06" w:rsidP="00AE2300">
            <w:pPr>
              <w:keepNext/>
              <w:keepLines/>
              <w:tabs>
                <w:tab w:val="left" w:pos="1425"/>
              </w:tabs>
              <w:spacing w:line="240" w:lineRule="auto"/>
              <w:jc w:val="center"/>
              <w:rPr>
                <w:noProof/>
                <w:sz w:val="16"/>
                <w:szCs w:val="16"/>
                <w:lang w:eastAsia="sv-SE"/>
              </w:rPr>
            </w:pPr>
            <w:r w:rsidRPr="004A19B0">
              <w:rPr>
                <w:sz w:val="16"/>
                <w:szCs w:val="16"/>
              </w:rPr>
              <w:t>H230</w:t>
            </w:r>
          </w:p>
        </w:tc>
      </w:tr>
      <w:tr w:rsidR="00C70C06" w:rsidRPr="004A19B0" w:rsidTr="00AE2300">
        <w:trPr>
          <w:cantSplit/>
          <w:trHeight w:val="132"/>
        </w:trPr>
        <w:tc>
          <w:tcPr>
            <w:tcW w:w="980" w:type="dxa"/>
            <w:vMerge/>
            <w:shd w:val="clear" w:color="auto" w:fill="FFFFFF"/>
          </w:tcPr>
          <w:p w:rsidR="00C70C06" w:rsidRPr="004A19B0" w:rsidRDefault="00C70C06" w:rsidP="00C70C06">
            <w:pPr>
              <w:keepNext/>
              <w:keepLines/>
              <w:tabs>
                <w:tab w:val="left" w:pos="1425"/>
              </w:tabs>
              <w:spacing w:before="40" w:after="40"/>
              <w:jc w:val="center"/>
              <w:rPr>
                <w:b/>
                <w:sz w:val="16"/>
                <w:szCs w:val="16"/>
              </w:rPr>
            </w:pPr>
          </w:p>
        </w:tc>
        <w:tc>
          <w:tcPr>
            <w:tcW w:w="552" w:type="dxa"/>
            <w:vMerge/>
            <w:shd w:val="clear" w:color="auto" w:fill="auto"/>
            <w:vAlign w:val="center"/>
          </w:tcPr>
          <w:p w:rsidR="00C70C06" w:rsidRPr="004A19B0" w:rsidRDefault="00C70C06" w:rsidP="00C70C06">
            <w:pPr>
              <w:keepNext/>
              <w:keepLines/>
              <w:tabs>
                <w:tab w:val="left" w:pos="1425"/>
              </w:tabs>
              <w:jc w:val="center"/>
              <w:rPr>
                <w:b/>
                <w:sz w:val="16"/>
                <w:szCs w:val="16"/>
                <w:highlight w:val="yellow"/>
              </w:rPr>
            </w:pPr>
          </w:p>
        </w:tc>
        <w:tc>
          <w:tcPr>
            <w:tcW w:w="992" w:type="dxa"/>
            <w:vMerge/>
            <w:shd w:val="clear" w:color="auto" w:fill="auto"/>
            <w:vAlign w:val="center"/>
          </w:tcPr>
          <w:p w:rsidR="00C70C06" w:rsidRPr="004A19B0" w:rsidRDefault="00C70C06" w:rsidP="0085202C">
            <w:pPr>
              <w:keepNext/>
              <w:keepLines/>
              <w:tabs>
                <w:tab w:val="left" w:pos="1425"/>
              </w:tabs>
              <w:spacing w:line="240" w:lineRule="auto"/>
              <w:jc w:val="center"/>
              <w:rPr>
                <w:b/>
                <w:sz w:val="16"/>
                <w:szCs w:val="16"/>
                <w:highlight w:val="yellow"/>
              </w:rPr>
            </w:pPr>
          </w:p>
        </w:tc>
        <w:tc>
          <w:tcPr>
            <w:tcW w:w="425" w:type="dxa"/>
            <w:vMerge w:val="restart"/>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r w:rsidRPr="004A19B0">
              <w:rPr>
                <w:b/>
                <w:sz w:val="16"/>
                <w:szCs w:val="16"/>
              </w:rPr>
              <w:t>B</w:t>
            </w:r>
          </w:p>
        </w:tc>
        <w:tc>
          <w:tcPr>
            <w:tcW w:w="1134" w:type="dxa"/>
            <w:vMerge w:val="restart"/>
            <w:shd w:val="clear" w:color="auto" w:fill="auto"/>
          </w:tcPr>
          <w:p w:rsidR="00C70C06" w:rsidRPr="004A19B0" w:rsidRDefault="0085202C" w:rsidP="0085202C">
            <w:pPr>
              <w:keepNext/>
              <w:keepLines/>
              <w:tabs>
                <w:tab w:val="left" w:pos="1425"/>
              </w:tabs>
              <w:spacing w:before="20" w:after="20" w:line="240" w:lineRule="auto"/>
              <w:jc w:val="center"/>
              <w:rPr>
                <w:b/>
                <w:noProof/>
                <w:sz w:val="16"/>
                <w:szCs w:val="16"/>
              </w:rPr>
            </w:pPr>
            <w:r w:rsidRPr="004A19B0">
              <w:rPr>
                <w:b/>
                <w:noProof/>
                <w:sz w:val="16"/>
                <w:szCs w:val="16"/>
                <w:lang w:eastAsia="en-GB"/>
              </w:rPr>
              <w:drawing>
                <wp:inline distT="0" distB="0" distL="0" distR="0" wp14:anchorId="6DE71D01" wp14:editId="56508F88">
                  <wp:extent cx="394121" cy="400767"/>
                  <wp:effectExtent l="0" t="0" r="6350" b="0"/>
                  <wp:docPr id="4"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276" w:type="dxa"/>
            <w:vMerge w:val="restart"/>
            <w:shd w:val="clear" w:color="auto" w:fill="auto"/>
          </w:tcPr>
          <w:p w:rsidR="00C70C06" w:rsidRPr="004A19B0" w:rsidRDefault="0085202C" w:rsidP="0085202C">
            <w:pPr>
              <w:keepNext/>
              <w:keepLines/>
              <w:tabs>
                <w:tab w:val="left" w:pos="1425"/>
              </w:tabs>
              <w:spacing w:before="20" w:after="20" w:line="240" w:lineRule="auto"/>
              <w:jc w:val="center"/>
              <w:rPr>
                <w:b/>
                <w:i/>
                <w:noProof/>
                <w:sz w:val="16"/>
                <w:szCs w:val="16"/>
              </w:rPr>
            </w:pPr>
            <w:r w:rsidRPr="004A19B0">
              <w:rPr>
                <w:b/>
                <w:noProof/>
                <w:sz w:val="16"/>
                <w:szCs w:val="16"/>
                <w:lang w:eastAsia="en-GB"/>
              </w:rPr>
              <w:drawing>
                <wp:inline distT="0" distB="0" distL="0" distR="0" wp14:anchorId="6B9F46AB" wp14:editId="58670E66">
                  <wp:extent cx="389467" cy="389467"/>
                  <wp:effectExtent l="0" t="0" r="0" b="0"/>
                  <wp:docPr id="11"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992" w:type="dxa"/>
            <w:vMerge w:val="restart"/>
            <w:shd w:val="clear" w:color="auto" w:fill="FFFFFF"/>
            <w:vAlign w:val="center"/>
          </w:tcPr>
          <w:p w:rsidR="00C70C06" w:rsidRPr="004A19B0" w:rsidRDefault="00C70C06" w:rsidP="00AE2300">
            <w:pPr>
              <w:keepNext/>
              <w:keepLines/>
              <w:tabs>
                <w:tab w:val="left" w:pos="1425"/>
              </w:tabs>
              <w:spacing w:line="240" w:lineRule="auto"/>
              <w:rPr>
                <w:b/>
                <w:sz w:val="16"/>
                <w:szCs w:val="16"/>
              </w:rPr>
            </w:pPr>
            <w:r w:rsidRPr="004A19B0">
              <w:rPr>
                <w:b/>
                <w:sz w:val="16"/>
                <w:szCs w:val="16"/>
              </w:rPr>
              <w:t>Danger</w:t>
            </w:r>
          </w:p>
        </w:tc>
        <w:tc>
          <w:tcPr>
            <w:tcW w:w="2410" w:type="dxa"/>
            <w:tcBorders>
              <w:bottom w:val="nil"/>
            </w:tcBorders>
            <w:shd w:val="clear" w:color="auto" w:fill="FFFFFF"/>
            <w:vAlign w:val="center"/>
          </w:tcPr>
          <w:p w:rsidR="00C70C06" w:rsidRPr="004A19B0" w:rsidRDefault="00C70C06" w:rsidP="00AE2300">
            <w:pPr>
              <w:keepNext/>
              <w:keepLines/>
              <w:tabs>
                <w:tab w:val="left" w:pos="1425"/>
              </w:tabs>
              <w:spacing w:line="240" w:lineRule="auto"/>
              <w:rPr>
                <w:b/>
                <w:noProof/>
                <w:sz w:val="16"/>
                <w:szCs w:val="16"/>
                <w:lang w:eastAsia="sv-SE"/>
              </w:rPr>
            </w:pPr>
            <w:r w:rsidRPr="004A19B0">
              <w:rPr>
                <w:b/>
                <w:noProof/>
                <w:sz w:val="16"/>
                <w:szCs w:val="16"/>
                <w:lang w:eastAsia="sv-SE"/>
              </w:rPr>
              <w:t>Extremely flammable gas</w:t>
            </w:r>
            <w:r w:rsidRPr="004A19B0">
              <w:rPr>
                <w:b/>
                <w:sz w:val="16"/>
                <w:szCs w:val="16"/>
                <w:lang w:eastAsia="zh-CN"/>
              </w:rPr>
              <w:t xml:space="preserve"> </w:t>
            </w:r>
          </w:p>
        </w:tc>
        <w:tc>
          <w:tcPr>
            <w:tcW w:w="850" w:type="dxa"/>
            <w:tcBorders>
              <w:bottom w:val="nil"/>
            </w:tcBorders>
            <w:shd w:val="clear" w:color="auto" w:fill="FFFFFF"/>
            <w:vAlign w:val="center"/>
          </w:tcPr>
          <w:p w:rsidR="00C70C06" w:rsidRPr="004A19B0" w:rsidRDefault="00C70C06" w:rsidP="00AE2300">
            <w:pPr>
              <w:keepNext/>
              <w:keepLines/>
              <w:tabs>
                <w:tab w:val="left" w:pos="1425"/>
              </w:tabs>
              <w:spacing w:line="240" w:lineRule="auto"/>
              <w:jc w:val="center"/>
              <w:rPr>
                <w:sz w:val="16"/>
                <w:szCs w:val="16"/>
              </w:rPr>
            </w:pPr>
            <w:r w:rsidRPr="004A19B0">
              <w:rPr>
                <w:noProof/>
                <w:sz w:val="16"/>
                <w:szCs w:val="16"/>
                <w:lang w:eastAsia="sv-SE"/>
              </w:rPr>
              <w:t>H220</w:t>
            </w:r>
          </w:p>
        </w:tc>
      </w:tr>
      <w:tr w:rsidR="00C70C06" w:rsidRPr="004A19B0" w:rsidTr="00AE2300">
        <w:trPr>
          <w:cantSplit/>
          <w:trHeight w:val="473"/>
        </w:trPr>
        <w:tc>
          <w:tcPr>
            <w:tcW w:w="980" w:type="dxa"/>
            <w:vMerge/>
            <w:shd w:val="clear" w:color="auto" w:fill="FFFFFF"/>
          </w:tcPr>
          <w:p w:rsidR="00C70C06" w:rsidRPr="004A19B0" w:rsidRDefault="00C70C06" w:rsidP="00C70C06">
            <w:pPr>
              <w:keepNext/>
              <w:keepLines/>
              <w:tabs>
                <w:tab w:val="left" w:pos="1425"/>
              </w:tabs>
              <w:spacing w:before="40" w:after="40"/>
              <w:jc w:val="center"/>
              <w:rPr>
                <w:b/>
                <w:sz w:val="16"/>
                <w:szCs w:val="16"/>
              </w:rPr>
            </w:pPr>
          </w:p>
        </w:tc>
        <w:tc>
          <w:tcPr>
            <w:tcW w:w="552" w:type="dxa"/>
            <w:vMerge/>
            <w:shd w:val="clear" w:color="auto" w:fill="auto"/>
            <w:vAlign w:val="center"/>
          </w:tcPr>
          <w:p w:rsidR="00C70C06" w:rsidRPr="004A19B0" w:rsidRDefault="00C70C06" w:rsidP="00C70C06">
            <w:pPr>
              <w:keepNext/>
              <w:keepLines/>
              <w:tabs>
                <w:tab w:val="left" w:pos="1425"/>
              </w:tabs>
              <w:jc w:val="center"/>
              <w:rPr>
                <w:b/>
                <w:sz w:val="16"/>
                <w:szCs w:val="16"/>
                <w:highlight w:val="yellow"/>
              </w:rPr>
            </w:pPr>
          </w:p>
        </w:tc>
        <w:tc>
          <w:tcPr>
            <w:tcW w:w="992" w:type="dxa"/>
            <w:vMerge/>
            <w:shd w:val="clear" w:color="auto" w:fill="auto"/>
            <w:vAlign w:val="center"/>
          </w:tcPr>
          <w:p w:rsidR="00C70C06" w:rsidRPr="004A19B0" w:rsidRDefault="00C70C06" w:rsidP="0085202C">
            <w:pPr>
              <w:keepNext/>
              <w:keepLines/>
              <w:tabs>
                <w:tab w:val="left" w:pos="1425"/>
              </w:tabs>
              <w:spacing w:line="240" w:lineRule="auto"/>
              <w:jc w:val="center"/>
              <w:rPr>
                <w:b/>
                <w:sz w:val="16"/>
                <w:szCs w:val="16"/>
                <w:highlight w:val="yellow"/>
              </w:rPr>
            </w:pPr>
          </w:p>
        </w:tc>
        <w:tc>
          <w:tcPr>
            <w:tcW w:w="425" w:type="dxa"/>
            <w:vMerge/>
            <w:shd w:val="clear" w:color="auto" w:fill="auto"/>
            <w:vAlign w:val="center"/>
          </w:tcPr>
          <w:p w:rsidR="00C70C06" w:rsidRPr="004A19B0" w:rsidRDefault="00C70C06" w:rsidP="0085202C">
            <w:pPr>
              <w:keepNext/>
              <w:keepLines/>
              <w:tabs>
                <w:tab w:val="left" w:pos="1425"/>
              </w:tabs>
              <w:spacing w:line="240" w:lineRule="auto"/>
              <w:jc w:val="center"/>
              <w:rPr>
                <w:b/>
                <w:sz w:val="16"/>
                <w:szCs w:val="16"/>
              </w:rPr>
            </w:pPr>
          </w:p>
        </w:tc>
        <w:tc>
          <w:tcPr>
            <w:tcW w:w="1134" w:type="dxa"/>
            <w:vMerge/>
            <w:shd w:val="clear" w:color="auto" w:fill="auto"/>
          </w:tcPr>
          <w:p w:rsidR="00C70C06" w:rsidRPr="004A19B0" w:rsidRDefault="00C70C06" w:rsidP="0085202C">
            <w:pPr>
              <w:keepNext/>
              <w:keepLines/>
              <w:tabs>
                <w:tab w:val="left" w:pos="1425"/>
              </w:tabs>
              <w:spacing w:before="20" w:after="20" w:line="240" w:lineRule="auto"/>
              <w:jc w:val="center"/>
              <w:rPr>
                <w:b/>
                <w:noProof/>
                <w:sz w:val="16"/>
                <w:szCs w:val="16"/>
                <w:lang w:eastAsia="zh-CN"/>
              </w:rPr>
            </w:pPr>
          </w:p>
        </w:tc>
        <w:tc>
          <w:tcPr>
            <w:tcW w:w="1276" w:type="dxa"/>
            <w:vMerge/>
            <w:shd w:val="clear" w:color="auto" w:fill="auto"/>
          </w:tcPr>
          <w:p w:rsidR="00C70C06" w:rsidRPr="004A19B0" w:rsidRDefault="00C70C06" w:rsidP="0085202C">
            <w:pPr>
              <w:keepNext/>
              <w:keepLines/>
              <w:tabs>
                <w:tab w:val="left" w:pos="1425"/>
              </w:tabs>
              <w:spacing w:before="20" w:after="20" w:line="240" w:lineRule="auto"/>
              <w:jc w:val="center"/>
              <w:rPr>
                <w:b/>
                <w:noProof/>
                <w:sz w:val="16"/>
                <w:szCs w:val="16"/>
                <w:lang w:eastAsia="zh-CN"/>
              </w:rPr>
            </w:pPr>
          </w:p>
        </w:tc>
        <w:tc>
          <w:tcPr>
            <w:tcW w:w="992" w:type="dxa"/>
            <w:vMerge/>
            <w:shd w:val="clear" w:color="auto" w:fill="FFFFFF"/>
            <w:vAlign w:val="center"/>
          </w:tcPr>
          <w:p w:rsidR="00C70C06" w:rsidRPr="004A19B0" w:rsidRDefault="00C70C06" w:rsidP="00AE2300">
            <w:pPr>
              <w:keepNext/>
              <w:keepLines/>
              <w:tabs>
                <w:tab w:val="left" w:pos="1425"/>
              </w:tabs>
              <w:spacing w:line="240" w:lineRule="auto"/>
              <w:rPr>
                <w:b/>
                <w:sz w:val="16"/>
                <w:szCs w:val="16"/>
              </w:rPr>
            </w:pPr>
          </w:p>
        </w:tc>
        <w:tc>
          <w:tcPr>
            <w:tcW w:w="2410" w:type="dxa"/>
            <w:tcBorders>
              <w:top w:val="nil"/>
            </w:tcBorders>
            <w:shd w:val="clear" w:color="auto" w:fill="FFFFFF"/>
            <w:vAlign w:val="center"/>
          </w:tcPr>
          <w:p w:rsidR="00C70C06" w:rsidRPr="004A19B0" w:rsidRDefault="00C70C06" w:rsidP="00AE2300">
            <w:pPr>
              <w:keepNext/>
              <w:keepLines/>
              <w:tabs>
                <w:tab w:val="left" w:pos="1425"/>
              </w:tabs>
              <w:spacing w:line="240" w:lineRule="auto"/>
              <w:rPr>
                <w:b/>
                <w:noProof/>
                <w:sz w:val="16"/>
                <w:szCs w:val="16"/>
                <w:lang w:eastAsia="sv-SE"/>
              </w:rPr>
            </w:pPr>
            <w:r w:rsidRPr="004A19B0">
              <w:rPr>
                <w:b/>
                <w:sz w:val="16"/>
                <w:szCs w:val="16"/>
              </w:rPr>
              <w:t>May react explosively even in the absence of air at elevated pressure and/or temperature</w:t>
            </w:r>
          </w:p>
        </w:tc>
        <w:tc>
          <w:tcPr>
            <w:tcW w:w="850" w:type="dxa"/>
            <w:tcBorders>
              <w:top w:val="nil"/>
            </w:tcBorders>
            <w:shd w:val="clear" w:color="auto" w:fill="FFFFFF"/>
            <w:vAlign w:val="center"/>
          </w:tcPr>
          <w:p w:rsidR="00C70C06" w:rsidRPr="004A19B0" w:rsidRDefault="00C70C06" w:rsidP="00AE2300">
            <w:pPr>
              <w:keepNext/>
              <w:keepLines/>
              <w:tabs>
                <w:tab w:val="left" w:pos="1425"/>
              </w:tabs>
              <w:spacing w:line="240" w:lineRule="auto"/>
              <w:jc w:val="center"/>
              <w:rPr>
                <w:noProof/>
                <w:sz w:val="16"/>
                <w:szCs w:val="16"/>
                <w:lang w:eastAsia="sv-SE"/>
              </w:rPr>
            </w:pPr>
            <w:r w:rsidRPr="004A19B0">
              <w:rPr>
                <w:sz w:val="16"/>
                <w:szCs w:val="16"/>
              </w:rPr>
              <w:t>H231</w:t>
            </w:r>
          </w:p>
        </w:tc>
      </w:tr>
      <w:tr w:rsidR="00C70C06" w:rsidRPr="004A19B0" w:rsidTr="00AE2300">
        <w:trPr>
          <w:cantSplit/>
          <w:trHeight w:val="474"/>
        </w:trPr>
        <w:tc>
          <w:tcPr>
            <w:tcW w:w="980" w:type="dxa"/>
            <w:vMerge/>
            <w:shd w:val="clear" w:color="auto" w:fill="FFFFFF"/>
          </w:tcPr>
          <w:p w:rsidR="00C70C06" w:rsidRPr="004A19B0" w:rsidRDefault="00C70C06" w:rsidP="00C70C06">
            <w:pPr>
              <w:keepNext/>
              <w:keepLines/>
              <w:tabs>
                <w:tab w:val="left" w:pos="1425"/>
              </w:tabs>
              <w:spacing w:before="40" w:after="40"/>
              <w:jc w:val="center"/>
              <w:rPr>
                <w:b/>
                <w:sz w:val="16"/>
                <w:szCs w:val="16"/>
              </w:rPr>
            </w:pPr>
          </w:p>
        </w:tc>
        <w:tc>
          <w:tcPr>
            <w:tcW w:w="1969" w:type="dxa"/>
            <w:gridSpan w:val="3"/>
            <w:shd w:val="clear" w:color="auto" w:fill="FFFFFF"/>
            <w:vAlign w:val="center"/>
          </w:tcPr>
          <w:p w:rsidR="00C70C06" w:rsidRPr="004A19B0" w:rsidRDefault="00C70C06" w:rsidP="0085202C">
            <w:pPr>
              <w:keepNext/>
              <w:keepLines/>
              <w:tabs>
                <w:tab w:val="left" w:pos="1425"/>
              </w:tabs>
              <w:spacing w:line="240" w:lineRule="auto"/>
              <w:jc w:val="center"/>
              <w:rPr>
                <w:b/>
                <w:sz w:val="16"/>
                <w:szCs w:val="16"/>
              </w:rPr>
            </w:pPr>
            <w:r w:rsidRPr="004A19B0">
              <w:rPr>
                <w:b/>
                <w:sz w:val="16"/>
                <w:szCs w:val="16"/>
              </w:rPr>
              <w:t>1B</w:t>
            </w:r>
          </w:p>
        </w:tc>
        <w:tc>
          <w:tcPr>
            <w:tcW w:w="1134" w:type="dxa"/>
            <w:shd w:val="clear" w:color="auto" w:fill="auto"/>
            <w:vAlign w:val="center"/>
          </w:tcPr>
          <w:p w:rsidR="00C70C06" w:rsidRPr="004A19B0" w:rsidRDefault="0085202C" w:rsidP="00AE2300">
            <w:pPr>
              <w:keepNext/>
              <w:keepLines/>
              <w:tabs>
                <w:tab w:val="left" w:pos="1425"/>
              </w:tabs>
              <w:spacing w:before="20" w:after="20" w:line="240" w:lineRule="auto"/>
              <w:jc w:val="center"/>
              <w:rPr>
                <w:b/>
                <w:sz w:val="16"/>
                <w:szCs w:val="16"/>
              </w:rPr>
            </w:pPr>
            <w:r w:rsidRPr="004A19B0">
              <w:rPr>
                <w:b/>
                <w:noProof/>
                <w:sz w:val="16"/>
                <w:szCs w:val="16"/>
                <w:lang w:eastAsia="en-GB"/>
              </w:rPr>
              <w:drawing>
                <wp:inline distT="0" distB="0" distL="0" distR="0" wp14:anchorId="28A7E571" wp14:editId="4C19DB8B">
                  <wp:extent cx="394121" cy="400767"/>
                  <wp:effectExtent l="0" t="0" r="6350" b="0"/>
                  <wp:docPr id="5"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87" cy="404393"/>
                          </a:xfrm>
                          <a:prstGeom prst="rect">
                            <a:avLst/>
                          </a:prstGeom>
                          <a:noFill/>
                          <a:ln>
                            <a:noFill/>
                          </a:ln>
                        </pic:spPr>
                      </pic:pic>
                    </a:graphicData>
                  </a:graphic>
                </wp:inline>
              </w:drawing>
            </w:r>
          </w:p>
        </w:tc>
        <w:tc>
          <w:tcPr>
            <w:tcW w:w="1276" w:type="dxa"/>
            <w:shd w:val="clear" w:color="auto" w:fill="FFFFFF"/>
            <w:vAlign w:val="center"/>
          </w:tcPr>
          <w:p w:rsidR="00C70C06" w:rsidRPr="004A19B0" w:rsidRDefault="0085202C" w:rsidP="00AE2300">
            <w:pPr>
              <w:keepNext/>
              <w:keepLines/>
              <w:tabs>
                <w:tab w:val="left" w:pos="1425"/>
              </w:tabs>
              <w:spacing w:before="20" w:after="20" w:line="240" w:lineRule="auto"/>
              <w:jc w:val="center"/>
              <w:rPr>
                <w:b/>
                <w:sz w:val="16"/>
                <w:szCs w:val="16"/>
              </w:rPr>
            </w:pPr>
            <w:r w:rsidRPr="004A19B0">
              <w:rPr>
                <w:b/>
                <w:noProof/>
                <w:sz w:val="16"/>
                <w:szCs w:val="16"/>
                <w:lang w:eastAsia="en-GB"/>
              </w:rPr>
              <w:drawing>
                <wp:inline distT="0" distB="0" distL="0" distR="0" wp14:anchorId="1ACD3BD1" wp14:editId="4E7C8B7B">
                  <wp:extent cx="389467" cy="389467"/>
                  <wp:effectExtent l="0" t="0" r="0" b="0"/>
                  <wp:docPr id="12"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794" cy="388794"/>
                          </a:xfrm>
                          <a:prstGeom prst="rect">
                            <a:avLst/>
                          </a:prstGeom>
                          <a:noFill/>
                          <a:ln>
                            <a:noFill/>
                          </a:ln>
                        </pic:spPr>
                      </pic:pic>
                    </a:graphicData>
                  </a:graphic>
                </wp:inline>
              </w:drawing>
            </w:r>
          </w:p>
        </w:tc>
        <w:tc>
          <w:tcPr>
            <w:tcW w:w="992" w:type="dxa"/>
            <w:shd w:val="clear" w:color="auto" w:fill="FFFFFF"/>
            <w:vAlign w:val="center"/>
          </w:tcPr>
          <w:p w:rsidR="00C70C06" w:rsidRPr="004A19B0" w:rsidRDefault="00C70C06" w:rsidP="00AE2300">
            <w:pPr>
              <w:keepNext/>
              <w:keepLines/>
              <w:tabs>
                <w:tab w:val="left" w:pos="1425"/>
              </w:tabs>
              <w:spacing w:line="240" w:lineRule="auto"/>
              <w:jc w:val="center"/>
              <w:rPr>
                <w:b/>
                <w:sz w:val="16"/>
                <w:szCs w:val="16"/>
              </w:rPr>
            </w:pPr>
            <w:r w:rsidRPr="004A19B0">
              <w:rPr>
                <w:rFonts w:eastAsia="SimSun"/>
                <w:b/>
                <w:sz w:val="16"/>
                <w:szCs w:val="16"/>
              </w:rPr>
              <w:t>Danger</w:t>
            </w:r>
          </w:p>
        </w:tc>
        <w:tc>
          <w:tcPr>
            <w:tcW w:w="2410" w:type="dxa"/>
            <w:shd w:val="clear" w:color="auto" w:fill="FFFFFF"/>
            <w:vAlign w:val="center"/>
          </w:tcPr>
          <w:p w:rsidR="00C70C06" w:rsidRPr="004A19B0" w:rsidRDefault="00C70C06" w:rsidP="00AE2300">
            <w:pPr>
              <w:keepNext/>
              <w:keepLines/>
              <w:tabs>
                <w:tab w:val="left" w:pos="1425"/>
              </w:tabs>
              <w:spacing w:line="240" w:lineRule="auto"/>
              <w:jc w:val="center"/>
              <w:rPr>
                <w:b/>
                <w:noProof/>
                <w:sz w:val="16"/>
                <w:szCs w:val="16"/>
                <w:lang w:eastAsia="sv-SE"/>
              </w:rPr>
            </w:pPr>
            <w:r w:rsidRPr="004A19B0">
              <w:rPr>
                <w:rFonts w:eastAsia="SimSun"/>
                <w:b/>
                <w:sz w:val="16"/>
                <w:szCs w:val="16"/>
              </w:rPr>
              <w:t>Flammable gas</w:t>
            </w:r>
          </w:p>
        </w:tc>
        <w:tc>
          <w:tcPr>
            <w:tcW w:w="850" w:type="dxa"/>
            <w:shd w:val="clear" w:color="auto" w:fill="FFFFFF"/>
            <w:vAlign w:val="center"/>
          </w:tcPr>
          <w:p w:rsidR="00C70C06" w:rsidRPr="004A19B0" w:rsidRDefault="00C70C06" w:rsidP="00AE2300">
            <w:pPr>
              <w:keepNext/>
              <w:keepLines/>
              <w:tabs>
                <w:tab w:val="left" w:pos="1425"/>
              </w:tabs>
              <w:spacing w:line="240" w:lineRule="auto"/>
              <w:jc w:val="center"/>
              <w:rPr>
                <w:noProof/>
                <w:sz w:val="16"/>
                <w:szCs w:val="16"/>
                <w:lang w:eastAsia="sv-SE"/>
              </w:rPr>
            </w:pPr>
            <w:r w:rsidRPr="004A19B0">
              <w:rPr>
                <w:rFonts w:eastAsia="SimSun"/>
                <w:sz w:val="16"/>
                <w:szCs w:val="16"/>
              </w:rPr>
              <w:t>H221</w:t>
            </w:r>
          </w:p>
        </w:tc>
      </w:tr>
      <w:tr w:rsidR="00C70C06" w:rsidRPr="004A19B0" w:rsidTr="000A5D88">
        <w:trPr>
          <w:cantSplit/>
          <w:trHeight w:val="435"/>
        </w:trPr>
        <w:tc>
          <w:tcPr>
            <w:tcW w:w="980" w:type="dxa"/>
            <w:vMerge/>
            <w:shd w:val="clear" w:color="auto" w:fill="FFFFFF"/>
          </w:tcPr>
          <w:p w:rsidR="00C70C06" w:rsidRPr="004A19B0" w:rsidRDefault="00C70C06" w:rsidP="00C70C06">
            <w:pPr>
              <w:keepNext/>
              <w:keepLines/>
              <w:tabs>
                <w:tab w:val="left" w:pos="1425"/>
              </w:tabs>
              <w:spacing w:before="40" w:after="40"/>
              <w:jc w:val="center"/>
              <w:rPr>
                <w:b/>
                <w:sz w:val="16"/>
                <w:szCs w:val="16"/>
              </w:rPr>
            </w:pPr>
          </w:p>
        </w:tc>
        <w:tc>
          <w:tcPr>
            <w:tcW w:w="1969" w:type="dxa"/>
            <w:gridSpan w:val="3"/>
            <w:shd w:val="clear" w:color="auto" w:fill="FFFFFF"/>
            <w:vAlign w:val="center"/>
          </w:tcPr>
          <w:p w:rsidR="00C70C06" w:rsidRPr="004A19B0" w:rsidRDefault="00C70C06" w:rsidP="0085202C">
            <w:pPr>
              <w:keepNext/>
              <w:keepLines/>
              <w:tabs>
                <w:tab w:val="left" w:pos="1425"/>
              </w:tabs>
              <w:spacing w:line="240" w:lineRule="auto"/>
              <w:jc w:val="center"/>
              <w:rPr>
                <w:b/>
                <w:sz w:val="16"/>
                <w:szCs w:val="16"/>
              </w:rPr>
            </w:pPr>
            <w:r w:rsidRPr="004A19B0">
              <w:rPr>
                <w:b/>
                <w:sz w:val="16"/>
                <w:szCs w:val="16"/>
              </w:rPr>
              <w:t>2</w:t>
            </w:r>
          </w:p>
        </w:tc>
        <w:tc>
          <w:tcPr>
            <w:tcW w:w="1134" w:type="dxa"/>
            <w:shd w:val="clear" w:color="auto" w:fill="FFFFFF"/>
            <w:vAlign w:val="center"/>
          </w:tcPr>
          <w:p w:rsidR="00C70C06" w:rsidRPr="00D874E5" w:rsidRDefault="00C70C06" w:rsidP="00AE2300">
            <w:pPr>
              <w:keepNext/>
              <w:keepLines/>
              <w:tabs>
                <w:tab w:val="left" w:pos="1425"/>
              </w:tabs>
              <w:spacing w:line="240" w:lineRule="auto"/>
              <w:jc w:val="center"/>
              <w:rPr>
                <w:i/>
                <w:sz w:val="16"/>
                <w:szCs w:val="16"/>
              </w:rPr>
            </w:pPr>
            <w:r w:rsidRPr="00D874E5">
              <w:rPr>
                <w:i/>
                <w:sz w:val="16"/>
                <w:szCs w:val="16"/>
              </w:rPr>
              <w:t>No pictogram</w:t>
            </w:r>
          </w:p>
        </w:tc>
        <w:tc>
          <w:tcPr>
            <w:tcW w:w="1276" w:type="dxa"/>
            <w:shd w:val="clear" w:color="auto" w:fill="FFFFFF"/>
            <w:vAlign w:val="center"/>
          </w:tcPr>
          <w:p w:rsidR="00C70C06" w:rsidRPr="00D874E5" w:rsidRDefault="00C70C06" w:rsidP="00AE2300">
            <w:pPr>
              <w:keepNext/>
              <w:keepLines/>
              <w:tabs>
                <w:tab w:val="left" w:pos="1425"/>
              </w:tabs>
              <w:spacing w:line="240" w:lineRule="auto"/>
              <w:jc w:val="center"/>
              <w:rPr>
                <w:i/>
                <w:sz w:val="16"/>
                <w:szCs w:val="16"/>
              </w:rPr>
            </w:pPr>
            <w:r w:rsidRPr="00D874E5">
              <w:rPr>
                <w:i/>
                <w:sz w:val="16"/>
                <w:szCs w:val="16"/>
              </w:rPr>
              <w:t>Not required</w:t>
            </w:r>
          </w:p>
        </w:tc>
        <w:tc>
          <w:tcPr>
            <w:tcW w:w="992" w:type="dxa"/>
            <w:shd w:val="clear" w:color="auto" w:fill="FFFFFF"/>
            <w:vAlign w:val="center"/>
          </w:tcPr>
          <w:p w:rsidR="00C70C06" w:rsidRPr="004A19B0" w:rsidRDefault="00C70C06" w:rsidP="00AE2300">
            <w:pPr>
              <w:keepNext/>
              <w:keepLines/>
              <w:tabs>
                <w:tab w:val="left" w:pos="1425"/>
              </w:tabs>
              <w:spacing w:line="240" w:lineRule="auto"/>
              <w:jc w:val="center"/>
              <w:rPr>
                <w:b/>
                <w:sz w:val="16"/>
                <w:szCs w:val="16"/>
              </w:rPr>
            </w:pPr>
            <w:r w:rsidRPr="004A19B0">
              <w:rPr>
                <w:b/>
                <w:sz w:val="16"/>
                <w:szCs w:val="16"/>
              </w:rPr>
              <w:t>Warning</w:t>
            </w:r>
          </w:p>
        </w:tc>
        <w:tc>
          <w:tcPr>
            <w:tcW w:w="2410" w:type="dxa"/>
            <w:shd w:val="clear" w:color="auto" w:fill="FFFFFF"/>
            <w:vAlign w:val="center"/>
          </w:tcPr>
          <w:p w:rsidR="00C70C06" w:rsidRPr="004A19B0" w:rsidRDefault="00C70C06" w:rsidP="00AE2300">
            <w:pPr>
              <w:keepNext/>
              <w:keepLines/>
              <w:tabs>
                <w:tab w:val="left" w:pos="1425"/>
              </w:tabs>
              <w:spacing w:line="240" w:lineRule="auto"/>
              <w:jc w:val="center"/>
              <w:rPr>
                <w:b/>
                <w:sz w:val="16"/>
                <w:szCs w:val="16"/>
              </w:rPr>
            </w:pPr>
            <w:r w:rsidRPr="004A19B0">
              <w:rPr>
                <w:b/>
                <w:sz w:val="16"/>
                <w:szCs w:val="16"/>
              </w:rPr>
              <w:t>Flammable gas</w:t>
            </w:r>
          </w:p>
        </w:tc>
        <w:tc>
          <w:tcPr>
            <w:tcW w:w="850" w:type="dxa"/>
            <w:shd w:val="clear" w:color="auto" w:fill="FFFFFF"/>
            <w:vAlign w:val="center"/>
          </w:tcPr>
          <w:p w:rsidR="00C70C06" w:rsidRPr="004A19B0" w:rsidRDefault="00C70C06" w:rsidP="00AE2300">
            <w:pPr>
              <w:keepNext/>
              <w:keepLines/>
              <w:tabs>
                <w:tab w:val="left" w:pos="1425"/>
              </w:tabs>
              <w:spacing w:line="240" w:lineRule="auto"/>
              <w:jc w:val="center"/>
              <w:rPr>
                <w:sz w:val="16"/>
                <w:szCs w:val="16"/>
              </w:rPr>
            </w:pPr>
            <w:r w:rsidRPr="004A19B0">
              <w:rPr>
                <w:sz w:val="16"/>
                <w:szCs w:val="16"/>
              </w:rPr>
              <w:t>H221</w:t>
            </w:r>
          </w:p>
        </w:tc>
      </w:tr>
    </w:tbl>
    <w:p w:rsidR="00C70C06" w:rsidRPr="004A19B0" w:rsidRDefault="00C70C06" w:rsidP="000A5D88">
      <w:pPr>
        <w:spacing w:before="80" w:after="80"/>
        <w:ind w:left="284" w:hanging="142"/>
        <w:rPr>
          <w:rFonts w:eastAsia="SimSun"/>
          <w:i/>
          <w:sz w:val="18"/>
          <w:szCs w:val="18"/>
        </w:rPr>
      </w:pPr>
      <w:proofErr w:type="spellStart"/>
      <w:r w:rsidRPr="004A19B0">
        <w:rPr>
          <w:rFonts w:eastAsia="SimSun"/>
          <w:sz w:val="18"/>
          <w:szCs w:val="18"/>
          <w:vertAlign w:val="superscript"/>
        </w:rPr>
        <w:t>a</w:t>
      </w:r>
      <w:proofErr w:type="spellEnd"/>
      <w:r w:rsidRPr="004A19B0">
        <w:rPr>
          <w:rFonts w:eastAsia="SimSun"/>
          <w:sz w:val="18"/>
          <w:szCs w:val="18"/>
          <w:vertAlign w:val="superscript"/>
        </w:rPr>
        <w:tab/>
      </w:r>
      <w:r w:rsidRPr="004A19B0">
        <w:rPr>
          <w:rFonts w:eastAsia="SimSun"/>
          <w:i/>
          <w:sz w:val="18"/>
          <w:szCs w:val="18"/>
        </w:rPr>
        <w:t>Under the UN Recommendations on the Transport of Dangerous Goods, Model Regulations, the symbol, number and border line may be shown in black instead of white. The background colour stays red in both cases.”</w:t>
      </w:r>
    </w:p>
    <w:p w:rsidR="00C70C06" w:rsidRDefault="00C70C06" w:rsidP="00BF6457">
      <w:pPr>
        <w:pStyle w:val="H23G"/>
      </w:pPr>
      <w:r>
        <w:tab/>
      </w:r>
      <w:r>
        <w:tab/>
        <w:t>Chapter 2.2</w:t>
      </w:r>
    </w:p>
    <w:p w:rsidR="00C70C06" w:rsidRDefault="00C70C06" w:rsidP="00C70C06">
      <w:pPr>
        <w:pStyle w:val="SingleTxtG"/>
      </w:pPr>
      <w:r w:rsidRPr="004A19B0">
        <w:t xml:space="preserve">In 2.2.5, under </w:t>
      </w:r>
      <w:r>
        <w:t>“Calculation”, amend 3. to read as follows:</w:t>
      </w:r>
    </w:p>
    <w:p w:rsidR="00C70C06" w:rsidRPr="003C223D" w:rsidRDefault="00C70C06" w:rsidP="00C70C06">
      <w:pPr>
        <w:pStyle w:val="SingleTxtG"/>
        <w:rPr>
          <w:lang w:val="en-US"/>
        </w:rPr>
      </w:pPr>
      <w:r>
        <w:rPr>
          <w:lang w:val="en-US"/>
        </w:rPr>
        <w:t>“</w:t>
      </w:r>
      <w:r w:rsidRPr="003C223D">
        <w:rPr>
          <w:lang w:val="en-US"/>
        </w:rPr>
        <w:t>3.</w:t>
      </w:r>
      <w:r w:rsidRPr="003C223D">
        <w:rPr>
          <w:lang w:val="en-US"/>
        </w:rPr>
        <w:tab/>
        <w:t>Adjust the sum of the contents to 100%:</w:t>
      </w:r>
    </w:p>
    <w:p w:rsidR="00C70C06" w:rsidRPr="00C56C47" w:rsidRDefault="00C70C06" w:rsidP="00C70C06">
      <w:pPr>
        <w:pStyle w:val="SingleTxtG"/>
        <w:ind w:right="567"/>
        <w:rPr>
          <w:sz w:val="18"/>
          <w:szCs w:val="18"/>
          <w:lang w:val="en-US"/>
        </w:rPr>
      </w:pPr>
      <w:r w:rsidRPr="00C56C47">
        <w:rPr>
          <w:sz w:val="18"/>
          <w:szCs w:val="18"/>
          <w:lang w:val="en-US"/>
        </w:rPr>
        <w:tab/>
      </w:r>
      <w:r w:rsidR="008E3B05" w:rsidRPr="008E3B05">
        <w:rPr>
          <w:color w:val="FF0000"/>
          <w:position w:val="-20"/>
          <w:sz w:val="18"/>
          <w:szCs w:val="18"/>
          <w:lang w:val="en-US"/>
        </w:rPr>
        <w:object w:dxaOrig="5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75pt" o:ole="" fillcolor="window">
            <v:imagedata r:id="rId11" o:title=""/>
          </v:shape>
          <o:OLEObject Type="Embed" ProgID="Equation.3" ShapeID="_x0000_i1025" DrawAspect="Content" ObjectID="_1543840136" r:id="rId12"/>
        </w:object>
      </w:r>
      <w:r w:rsidRPr="00C56C47">
        <w:rPr>
          <w:sz w:val="18"/>
          <w:szCs w:val="18"/>
          <w:lang w:val="en-US"/>
        </w:rPr>
        <w:t xml:space="preserve"> × [2%(H</w:t>
      </w:r>
      <w:r w:rsidRPr="00C56C47">
        <w:rPr>
          <w:sz w:val="18"/>
          <w:szCs w:val="18"/>
          <w:vertAlign w:val="subscript"/>
          <w:lang w:val="en-US"/>
        </w:rPr>
        <w:t>2</w:t>
      </w:r>
      <w:r w:rsidRPr="00C56C47">
        <w:rPr>
          <w:sz w:val="18"/>
          <w:szCs w:val="18"/>
          <w:lang w:val="en-US"/>
        </w:rPr>
        <w:t>) + 6%(CH</w:t>
      </w:r>
      <w:r w:rsidRPr="00C56C47">
        <w:rPr>
          <w:sz w:val="18"/>
          <w:szCs w:val="18"/>
          <w:vertAlign w:val="subscript"/>
          <w:lang w:val="en-US"/>
        </w:rPr>
        <w:t>4</w:t>
      </w:r>
      <w:r w:rsidRPr="00C56C47">
        <w:rPr>
          <w:sz w:val="18"/>
          <w:szCs w:val="18"/>
          <w:lang w:val="en-US"/>
        </w:rPr>
        <w:t>) + 73.35%(N</w:t>
      </w:r>
      <w:r w:rsidRPr="00C56C47">
        <w:rPr>
          <w:sz w:val="18"/>
          <w:szCs w:val="18"/>
          <w:vertAlign w:val="subscript"/>
          <w:lang w:val="en-US"/>
        </w:rPr>
        <w:t>2</w:t>
      </w:r>
      <w:r w:rsidRPr="00C56C47">
        <w:rPr>
          <w:sz w:val="18"/>
          <w:szCs w:val="18"/>
          <w:lang w:val="en-US"/>
        </w:rPr>
        <w:t>)] = 2.46%(H</w:t>
      </w:r>
      <w:r w:rsidRPr="00C56C47">
        <w:rPr>
          <w:sz w:val="18"/>
          <w:szCs w:val="18"/>
          <w:vertAlign w:val="subscript"/>
          <w:lang w:val="en-US"/>
        </w:rPr>
        <w:t>2</w:t>
      </w:r>
      <w:r w:rsidRPr="00C56C47">
        <w:rPr>
          <w:sz w:val="18"/>
          <w:szCs w:val="18"/>
          <w:lang w:val="en-US"/>
        </w:rPr>
        <w:t>)</w:t>
      </w:r>
      <w:r w:rsidRPr="00C56C47">
        <w:rPr>
          <w:sz w:val="18"/>
          <w:szCs w:val="18"/>
          <w:vertAlign w:val="subscript"/>
          <w:lang w:val="en-US"/>
        </w:rPr>
        <w:t xml:space="preserve"> </w:t>
      </w:r>
      <w:r w:rsidRPr="00C56C47">
        <w:rPr>
          <w:sz w:val="18"/>
          <w:szCs w:val="18"/>
          <w:lang w:val="en-US"/>
        </w:rPr>
        <w:t>+ 7.37%(CH</w:t>
      </w:r>
      <w:r w:rsidRPr="00C56C47">
        <w:rPr>
          <w:sz w:val="18"/>
          <w:szCs w:val="18"/>
          <w:vertAlign w:val="subscript"/>
          <w:lang w:val="en-US"/>
        </w:rPr>
        <w:t>4</w:t>
      </w:r>
      <w:r w:rsidRPr="00C56C47">
        <w:rPr>
          <w:sz w:val="18"/>
          <w:szCs w:val="18"/>
          <w:lang w:val="en-US"/>
        </w:rPr>
        <w:t>) + 90.17%(N</w:t>
      </w:r>
      <w:r w:rsidRPr="00C56C47">
        <w:rPr>
          <w:sz w:val="18"/>
          <w:szCs w:val="18"/>
          <w:vertAlign w:val="subscript"/>
          <w:lang w:val="en-US"/>
        </w:rPr>
        <w:t>2</w:t>
      </w:r>
      <w:r w:rsidRPr="00C56C47">
        <w:rPr>
          <w:sz w:val="18"/>
          <w:szCs w:val="18"/>
          <w:lang w:val="en-US"/>
        </w:rPr>
        <w:t>)”.</w:t>
      </w:r>
    </w:p>
    <w:p w:rsidR="00C70C06" w:rsidRPr="00A0521E" w:rsidRDefault="006A56A2" w:rsidP="00EB5375">
      <w:pPr>
        <w:pStyle w:val="H56G"/>
        <w:rPr>
          <w:b/>
        </w:rPr>
      </w:pPr>
      <w:r w:rsidRPr="004A19B0" w:rsidDel="006A56A2">
        <w:t xml:space="preserve"> </w:t>
      </w:r>
      <w:r w:rsidR="00C70C06" w:rsidRPr="00A0521E">
        <w:tab/>
      </w:r>
      <w:r w:rsidR="00C70C06" w:rsidRPr="00EB5375">
        <w:rPr>
          <w:b/>
        </w:rPr>
        <w:tab/>
        <w:t>Document ST/SG/AC.10/C.4/2016/17</w:t>
      </w:r>
      <w:r w:rsidR="008E3B05">
        <w:rPr>
          <w:b/>
        </w:rPr>
        <w:t xml:space="preserve">, </w:t>
      </w:r>
      <w:r w:rsidR="008E3B05" w:rsidRPr="008E3B05">
        <w:t>a</w:t>
      </w:r>
      <w:r w:rsidR="00C70C06" w:rsidRPr="008E3B05">
        <w:t>dopted w</w:t>
      </w:r>
      <w:r w:rsidR="00387509" w:rsidRPr="008E3B05">
        <w:t>ith</w:t>
      </w:r>
      <w:r w:rsidR="00387509">
        <w:t xml:space="preserve"> the following modifications</w:t>
      </w:r>
      <w:r w:rsidR="008E3B05">
        <w:t>:</w:t>
      </w:r>
    </w:p>
    <w:p w:rsidR="00C70C06" w:rsidRDefault="000F7962" w:rsidP="00040C4E">
      <w:pPr>
        <w:pStyle w:val="SingleTxtG"/>
        <w:keepNext/>
        <w:keepLines/>
      </w:pPr>
      <w:r>
        <w:t>Replace t</w:t>
      </w:r>
      <w:r w:rsidR="00C70C06" w:rsidRPr="00A0521E">
        <w:t>he text of A</w:t>
      </w:r>
      <w:r w:rsidR="00C70C06">
        <w:t xml:space="preserve">3.3.2.2.2 </w:t>
      </w:r>
      <w:r>
        <w:t>with the following</w:t>
      </w:r>
      <w:r w:rsidR="00C70C06">
        <w:t>:</w:t>
      </w:r>
    </w:p>
    <w:p w:rsidR="00C70C06" w:rsidRPr="00A0521E" w:rsidRDefault="00C70C06" w:rsidP="00C70C06">
      <w:pPr>
        <w:pStyle w:val="SingleTxtG"/>
      </w:pPr>
      <w:r>
        <w:t>“</w:t>
      </w:r>
      <w:r w:rsidRPr="008671D0">
        <w:t>A3.3.2.2.2</w:t>
      </w:r>
      <w:r w:rsidRPr="008671D0">
        <w:tab/>
        <w:t xml:space="preserve">Combinations of precautionary statements can also be useful for different types of hazard where the precautionary behaviour is similar. Examples </w:t>
      </w:r>
      <w:r w:rsidRPr="00387509">
        <w:t>are P370 + P372 + P380 “</w:t>
      </w:r>
      <w:r w:rsidRPr="00387509">
        <w:rPr>
          <w:b/>
        </w:rPr>
        <w:t xml:space="preserve">In case of fire: Explosion risk. </w:t>
      </w:r>
      <w:r>
        <w:rPr>
          <w:b/>
        </w:rPr>
        <w:t>E</w:t>
      </w:r>
      <w:r w:rsidRPr="008671D0">
        <w:rPr>
          <w:b/>
        </w:rPr>
        <w:t>vacuate area</w:t>
      </w:r>
      <w:r>
        <w:rPr>
          <w:b/>
        </w:rPr>
        <w:t>.</w:t>
      </w:r>
      <w:r>
        <w:t>”</w:t>
      </w:r>
      <w:r w:rsidRPr="008671D0">
        <w:t xml:space="preserve"> and P210</w:t>
      </w:r>
      <w:r>
        <w:t xml:space="preserve"> </w:t>
      </w:r>
      <w:r w:rsidRPr="008671D0">
        <w:t xml:space="preserve">+ P403 </w:t>
      </w:r>
      <w:r>
        <w:t>“</w:t>
      </w:r>
      <w:r w:rsidRPr="008671D0">
        <w:rPr>
          <w:b/>
        </w:rPr>
        <w:t>Keep away from heat, sparks and open flame and store in a cool well ventilated place</w:t>
      </w:r>
      <w:r>
        <w:t>”.”</w:t>
      </w:r>
    </w:p>
    <w:p w:rsidR="00C70C06" w:rsidRDefault="000F7962" w:rsidP="00C70C06">
      <w:pPr>
        <w:pStyle w:val="SingleTxtG"/>
      </w:pPr>
      <w:r>
        <w:t>Replace t</w:t>
      </w:r>
      <w:r w:rsidRPr="00A0521E">
        <w:t>he text of</w:t>
      </w:r>
      <w:r w:rsidR="00C70C06" w:rsidRPr="00A0521E">
        <w:t xml:space="preserve"> A</w:t>
      </w:r>
      <w:r w:rsidR="00C70C06">
        <w:t xml:space="preserve">3.3.2.4.2 (a) </w:t>
      </w:r>
      <w:r>
        <w:t>with the following</w:t>
      </w:r>
      <w:r w:rsidR="00C70C06">
        <w:t>:</w:t>
      </w:r>
    </w:p>
    <w:p w:rsidR="00C70C06" w:rsidRDefault="00C70C06" w:rsidP="00387509">
      <w:pPr>
        <w:pStyle w:val="SingleTxtG"/>
        <w:ind w:left="1701" w:hanging="567"/>
      </w:pPr>
      <w:r>
        <w:t>“</w:t>
      </w:r>
      <w:r w:rsidRPr="00DA7DFF">
        <w:t>(a)</w:t>
      </w:r>
      <w:r w:rsidRPr="00DA7DFF">
        <w:tab/>
        <w:t>Where the classification of a substance or mixture triggers several different precautionary statements</w:t>
      </w:r>
      <w:r>
        <w:t xml:space="preserve"> a system of prioritisation should be applied.</w:t>
      </w:r>
      <w:r w:rsidRPr="00DA7DFF">
        <w:t xml:space="preserve"> </w:t>
      </w:r>
      <w:r w:rsidR="000F7962">
        <w:t>P310 </w:t>
      </w:r>
      <w:r>
        <w:t>“</w:t>
      </w:r>
      <w:r w:rsidRPr="00912CE5">
        <w:rPr>
          <w:b/>
        </w:rPr>
        <w:t>Immediately call a POISON CENTER/doctor/…</w:t>
      </w:r>
      <w:r>
        <w:t>”, should be prioritised over P311-P313; P311 “</w:t>
      </w:r>
      <w:r>
        <w:rPr>
          <w:b/>
        </w:rPr>
        <w:t>Call a POISON CENTER/doctor/…</w:t>
      </w:r>
      <w:r>
        <w:t>” over P312 and P313; and where only P312 “</w:t>
      </w:r>
      <w:r w:rsidRPr="00912CE5">
        <w:rPr>
          <w:b/>
        </w:rPr>
        <w:t xml:space="preserve">Call a POISON CENTER/doctor/…if you feel </w:t>
      </w:r>
      <w:r w:rsidRPr="000F7962">
        <w:rPr>
          <w:b/>
        </w:rPr>
        <w:t>unwell</w:t>
      </w:r>
      <w:r w:rsidRPr="000F7962">
        <w:t>”</w:t>
      </w:r>
      <w:r>
        <w:t xml:space="preserve"> and P313 “</w:t>
      </w:r>
      <w:r w:rsidRPr="00912CE5">
        <w:rPr>
          <w:b/>
        </w:rPr>
        <w:t>Get medical advice/attention</w:t>
      </w:r>
      <w:r>
        <w:t>” are triggered, P311 “</w:t>
      </w:r>
      <w:r w:rsidRPr="00211686">
        <w:rPr>
          <w:b/>
        </w:rPr>
        <w:t>Call a POISON CENTER/doctor/…</w:t>
      </w:r>
      <w:r w:rsidRPr="00211686">
        <w:t>”</w:t>
      </w:r>
      <w:r>
        <w:t xml:space="preserve"> should be used</w:t>
      </w:r>
      <w:r w:rsidRPr="00211686">
        <w:t>.</w:t>
      </w:r>
      <w:r>
        <w:t>”.</w:t>
      </w:r>
    </w:p>
    <w:p w:rsidR="00C70C06" w:rsidRDefault="00612BC3" w:rsidP="00C70C06">
      <w:pPr>
        <w:pStyle w:val="SingleTxtG"/>
      </w:pPr>
      <w:r>
        <w:t>Replace t</w:t>
      </w:r>
      <w:r w:rsidRPr="00A0521E">
        <w:t xml:space="preserve">he text </w:t>
      </w:r>
      <w:r w:rsidR="00C70C06" w:rsidRPr="00A0521E">
        <w:t>of A</w:t>
      </w:r>
      <w:r w:rsidR="00C70C06">
        <w:t>3.3.2.4.2 (b) (</w:t>
      </w:r>
      <w:proofErr w:type="spellStart"/>
      <w:r w:rsidR="00C70C06">
        <w:t>i</w:t>
      </w:r>
      <w:proofErr w:type="spellEnd"/>
      <w:r w:rsidR="00C70C06">
        <w:t xml:space="preserve">) </w:t>
      </w:r>
      <w:r>
        <w:t>with the following</w:t>
      </w:r>
      <w:r w:rsidR="00C70C06">
        <w:t>:</w:t>
      </w:r>
    </w:p>
    <w:p w:rsidR="00C70C06" w:rsidRDefault="00C70C06" w:rsidP="00387509">
      <w:pPr>
        <w:pStyle w:val="SingleTxtG"/>
        <w:ind w:left="1701" w:hanging="567"/>
      </w:pPr>
      <w:r>
        <w:t>“(</w:t>
      </w:r>
      <w:proofErr w:type="spellStart"/>
      <w:r>
        <w:t>i</w:t>
      </w:r>
      <w:proofErr w:type="spellEnd"/>
      <w:r>
        <w:t>)</w:t>
      </w:r>
      <w:r>
        <w:tab/>
        <w:t>i</w:t>
      </w:r>
      <w:r w:rsidRPr="00FD15CB">
        <w:t>f P301 and P30</w:t>
      </w:r>
      <w:r>
        <w:t>5</w:t>
      </w:r>
      <w:r w:rsidRPr="00FD15CB">
        <w:t xml:space="preserve"> </w:t>
      </w:r>
      <w:r>
        <w:t>“</w:t>
      </w:r>
      <w:r w:rsidRPr="007602C8">
        <w:rPr>
          <w:b/>
        </w:rPr>
        <w:t>IF SWALLOWED:</w:t>
      </w:r>
      <w:r>
        <w:t>”</w:t>
      </w:r>
      <w:r w:rsidRPr="00FD15CB">
        <w:t xml:space="preserve"> and </w:t>
      </w:r>
      <w:r>
        <w:t>“</w:t>
      </w:r>
      <w:r w:rsidRPr="007602C8">
        <w:rPr>
          <w:b/>
        </w:rPr>
        <w:t>IF IN EYES:</w:t>
      </w:r>
      <w:r>
        <w:t>”</w:t>
      </w:r>
      <w:r w:rsidRPr="00FD15CB">
        <w:t xml:space="preserve"> are triggered with P313 </w:t>
      </w:r>
      <w:r>
        <w:t>“</w:t>
      </w:r>
      <w:r w:rsidRPr="007602C8">
        <w:rPr>
          <w:b/>
        </w:rPr>
        <w:t>Get medical advice/attention</w:t>
      </w:r>
      <w:r>
        <w:t xml:space="preserve">”, and P312 </w:t>
      </w:r>
      <w:r w:rsidRPr="00612BC3">
        <w:t>“</w:t>
      </w:r>
      <w:r w:rsidRPr="00612BC3">
        <w:rPr>
          <w:b/>
        </w:rPr>
        <w:t>Call</w:t>
      </w:r>
      <w:r>
        <w:rPr>
          <w:b/>
        </w:rPr>
        <w:t xml:space="preserve"> a POISON CENTER/doctor/…if you feel unwell</w:t>
      </w:r>
      <w:r>
        <w:t>”</w:t>
      </w:r>
      <w:r w:rsidRPr="00FD15CB">
        <w:t xml:space="preserve">, </w:t>
      </w:r>
      <w:r>
        <w:t>then P301 + P305 + P311</w:t>
      </w:r>
      <w:r w:rsidRPr="00FD15CB">
        <w:t xml:space="preserve"> </w:t>
      </w:r>
      <w:r>
        <w:t>“</w:t>
      </w:r>
      <w:r w:rsidRPr="007602C8">
        <w:rPr>
          <w:b/>
        </w:rPr>
        <w:t xml:space="preserve">IF SWALLOWED OR IN EYES: </w:t>
      </w:r>
      <w:r>
        <w:rPr>
          <w:b/>
        </w:rPr>
        <w:t>Call a POISON CENTER/doctor/..</w:t>
      </w:r>
      <w:r w:rsidRPr="007602C8">
        <w:rPr>
          <w:b/>
        </w:rPr>
        <w:t>.</w:t>
      </w:r>
      <w:r w:rsidRPr="004F160A">
        <w:t xml:space="preserve">”, should </w:t>
      </w:r>
      <w:r>
        <w:t>appear</w:t>
      </w:r>
      <w:r>
        <w:rPr>
          <w:b/>
        </w:rPr>
        <w:t>.</w:t>
      </w:r>
      <w:r>
        <w:t>”.</w:t>
      </w:r>
    </w:p>
    <w:p w:rsidR="00C70C06" w:rsidRDefault="00612BC3" w:rsidP="00C70C06">
      <w:pPr>
        <w:pStyle w:val="SingleTxtG"/>
      </w:pPr>
      <w:r>
        <w:lastRenderedPageBreak/>
        <w:t>Replace t</w:t>
      </w:r>
      <w:r w:rsidRPr="00A0521E">
        <w:t xml:space="preserve">he text </w:t>
      </w:r>
      <w:r w:rsidR="00C70C06" w:rsidRPr="00A0521E">
        <w:t>of A</w:t>
      </w:r>
      <w:r w:rsidR="00C70C06">
        <w:t xml:space="preserve">3.3.2.4.2 (b) (iii) </w:t>
      </w:r>
      <w:r>
        <w:t>with the following</w:t>
      </w:r>
      <w:r w:rsidR="00C70C06">
        <w:t>:</w:t>
      </w:r>
    </w:p>
    <w:p w:rsidR="00C70C06" w:rsidRPr="00387509" w:rsidRDefault="00C70C06" w:rsidP="00387509">
      <w:pPr>
        <w:pStyle w:val="SingleTxtG"/>
        <w:ind w:left="1701" w:hanging="567"/>
      </w:pPr>
      <w:r>
        <w:t>“(iii)</w:t>
      </w:r>
      <w:r>
        <w:tab/>
        <w:t>i</w:t>
      </w:r>
      <w:r w:rsidRPr="007602C8">
        <w:t>f P305</w:t>
      </w:r>
      <w:r w:rsidRPr="004F160A">
        <w:t xml:space="preserve"> and</w:t>
      </w:r>
      <w:r>
        <w:rPr>
          <w:b/>
        </w:rPr>
        <w:t xml:space="preserve"> </w:t>
      </w:r>
      <w:r w:rsidRPr="004F160A">
        <w:t>P302</w:t>
      </w:r>
      <w:r>
        <w:rPr>
          <w:b/>
        </w:rPr>
        <w:t xml:space="preserve"> </w:t>
      </w:r>
      <w:r w:rsidRPr="007602C8">
        <w:t xml:space="preserve"> </w:t>
      </w:r>
      <w:r>
        <w:t>“</w:t>
      </w:r>
      <w:r w:rsidRPr="007602C8">
        <w:rPr>
          <w:b/>
        </w:rPr>
        <w:t>IF IN EYES:</w:t>
      </w:r>
      <w:r>
        <w:rPr>
          <w:b/>
        </w:rPr>
        <w:t xml:space="preserve">” </w:t>
      </w:r>
      <w:r w:rsidRPr="004F160A">
        <w:t>and</w:t>
      </w:r>
      <w:r>
        <w:rPr>
          <w:b/>
        </w:rPr>
        <w:t xml:space="preserve"> </w:t>
      </w:r>
      <w:r w:rsidRPr="004F160A">
        <w:t>“</w:t>
      </w:r>
      <w:r>
        <w:rPr>
          <w:b/>
        </w:rPr>
        <w:t>IF ON SKIN</w:t>
      </w:r>
      <w:r w:rsidRPr="004F160A">
        <w:t>”,</w:t>
      </w:r>
      <w:r>
        <w:rPr>
          <w:b/>
        </w:rPr>
        <w:t xml:space="preserve"> </w:t>
      </w:r>
      <w:r w:rsidRPr="004F160A">
        <w:t>are triggered with P310</w:t>
      </w:r>
      <w:r w:rsidRPr="007602C8">
        <w:rPr>
          <w:b/>
        </w:rPr>
        <w:t xml:space="preserve"> </w:t>
      </w:r>
      <w:r>
        <w:t>“</w:t>
      </w:r>
      <w:r w:rsidRPr="007602C8">
        <w:rPr>
          <w:b/>
        </w:rPr>
        <w:t>Immediately call a POISON CENTER/doctor/…</w:t>
      </w:r>
      <w:r>
        <w:t>”</w:t>
      </w:r>
      <w:r w:rsidRPr="007602C8">
        <w:t xml:space="preserve">, P313 </w:t>
      </w:r>
      <w:r>
        <w:t>“</w:t>
      </w:r>
      <w:r w:rsidRPr="007602C8">
        <w:rPr>
          <w:b/>
        </w:rPr>
        <w:t>Get medical advice/attention</w:t>
      </w:r>
      <w:r>
        <w:t>” and P314 “</w:t>
      </w:r>
      <w:r w:rsidRPr="004F160A">
        <w:rPr>
          <w:b/>
        </w:rPr>
        <w:t>Get medical advice/attention if you feel unwell</w:t>
      </w:r>
      <w:r>
        <w:t>”</w:t>
      </w:r>
      <w:r w:rsidRPr="007602C8">
        <w:t xml:space="preserve">, </w:t>
      </w:r>
      <w:r w:rsidRPr="00387509">
        <w:t>then P3</w:t>
      </w:r>
      <w:r w:rsidR="002F40B0">
        <w:t>05</w:t>
      </w:r>
      <w:r w:rsidRPr="00387509">
        <w:t xml:space="preserve"> + P302 + P310: “</w:t>
      </w:r>
      <w:r w:rsidRPr="00387509">
        <w:rPr>
          <w:b/>
        </w:rPr>
        <w:t>IF IN EYES OR ON SKIN: Immediately call a POISON CENTER/doctor/…</w:t>
      </w:r>
      <w:r w:rsidRPr="00387509">
        <w:t>” and P314 “</w:t>
      </w:r>
      <w:r w:rsidRPr="00387509">
        <w:rPr>
          <w:b/>
        </w:rPr>
        <w:t xml:space="preserve">Get medical advice/ attention if you feel unwell” </w:t>
      </w:r>
      <w:r w:rsidRPr="00387509">
        <w:t>should appear separately.”.</w:t>
      </w:r>
    </w:p>
    <w:p w:rsidR="00C70C06" w:rsidRDefault="00C70C06" w:rsidP="00EB5375">
      <w:pPr>
        <w:pStyle w:val="H56G"/>
      </w:pPr>
      <w:r w:rsidRPr="00A0521E">
        <w:tab/>
      </w:r>
      <w:r w:rsidRPr="00A0521E">
        <w:tab/>
      </w:r>
      <w:r w:rsidRPr="00EB5375">
        <w:rPr>
          <w:b/>
        </w:rPr>
        <w:t>Document ST/SG/AC.10/C.4/2016/21</w:t>
      </w:r>
      <w:r w:rsidR="00EB5375">
        <w:rPr>
          <w:b/>
        </w:rPr>
        <w:t xml:space="preserve">, </w:t>
      </w:r>
      <w:r w:rsidR="00EB5375" w:rsidRPr="00EB5375">
        <w:t>a</w:t>
      </w:r>
      <w:r w:rsidRPr="00A0521E">
        <w:t>dopted as amended in informal document INF.</w:t>
      </w:r>
      <w:r>
        <w:t>43, with some additional corrections, as follows:</w:t>
      </w:r>
      <w:r w:rsidRPr="00A0521E">
        <w:t xml:space="preserve"> </w:t>
      </w:r>
    </w:p>
    <w:p w:rsidR="00922382" w:rsidRDefault="002F080A" w:rsidP="00922382">
      <w:pPr>
        <w:rPr>
          <w:rFonts w:eastAsia="MS Mincho"/>
        </w:rPr>
      </w:pPr>
      <w:r>
        <w:rPr>
          <w:rFonts w:eastAsia="MS Mincho"/>
        </w:rPr>
        <w:tab/>
      </w:r>
      <w:r>
        <w:rPr>
          <w:rFonts w:eastAsia="MS Mincho"/>
        </w:rPr>
        <w:tab/>
      </w:r>
      <w:r w:rsidR="00922382">
        <w:rPr>
          <w:rFonts w:eastAsia="MS Mincho"/>
        </w:rPr>
        <w:t>Amend section A4.1.14.7 as follows:</w:t>
      </w:r>
    </w:p>
    <w:p w:rsidR="00922382" w:rsidRPr="00104A92" w:rsidRDefault="00922382" w:rsidP="00922382">
      <w:pPr>
        <w:rPr>
          <w:rFonts w:eastAsia="MS Mincho"/>
        </w:rPr>
      </w:pPr>
    </w:p>
    <w:p w:rsidR="00922382" w:rsidRPr="007F3406" w:rsidRDefault="00922382" w:rsidP="00922382">
      <w:pPr>
        <w:pStyle w:val="SingleTxtG"/>
        <w:rPr>
          <w:b/>
          <w:vertAlign w:val="superscript"/>
        </w:rPr>
      </w:pPr>
      <w:r w:rsidRPr="007F3406">
        <w:rPr>
          <w:b/>
        </w:rPr>
        <w:t xml:space="preserve">“A4.3.14.7 </w:t>
      </w:r>
      <w:r w:rsidRPr="007F3406">
        <w:rPr>
          <w:b/>
        </w:rPr>
        <w:tab/>
        <w:t>Transport in bulk according to IMO instruments</w:t>
      </w:r>
    </w:p>
    <w:p w:rsidR="00922382" w:rsidRPr="007F3406" w:rsidRDefault="00922382" w:rsidP="00922382">
      <w:pPr>
        <w:pStyle w:val="SingleTxtG"/>
      </w:pPr>
      <w:r w:rsidRPr="007F3406">
        <w:tab/>
      </w:r>
      <w:r w:rsidRPr="007F3406">
        <w:tab/>
        <w:t>This sub-section only applies when cargoes are intended to be carried in bulk according to IMO instruments: e.g., chapter VI or VII of SOLAS</w:t>
      </w:r>
      <w:r w:rsidR="000F6168" w:rsidRPr="007F3406">
        <w:rPr>
          <w:vertAlign w:val="superscript"/>
        </w:rPr>
        <w:t>9</w:t>
      </w:r>
      <w:r w:rsidRPr="007F3406">
        <w:t xml:space="preserve"> Annex II or Annex V of MARPOL</w:t>
      </w:r>
      <w:r w:rsidR="00CE2DB9" w:rsidRPr="007F3406">
        <w:rPr>
          <w:vertAlign w:val="superscript"/>
        </w:rPr>
        <w:t>10</w:t>
      </w:r>
      <w:r w:rsidRPr="007F3406">
        <w:t>, the IBC Code</w:t>
      </w:r>
      <w:r w:rsidR="00CE2DB9" w:rsidRPr="007F3406">
        <w:rPr>
          <w:vertAlign w:val="superscript"/>
        </w:rPr>
        <w:t>11</w:t>
      </w:r>
      <w:r w:rsidRPr="007F3406">
        <w:t>, the IMSBC Code</w:t>
      </w:r>
      <w:r w:rsidR="00CE2DB9" w:rsidRPr="007F3406">
        <w:rPr>
          <w:vertAlign w:val="superscript"/>
        </w:rPr>
        <w:t>12</w:t>
      </w:r>
      <w:r w:rsidRPr="007F3406">
        <w:t xml:space="preserve"> and the IGC Code</w:t>
      </w:r>
      <w:r w:rsidR="00CE2DB9" w:rsidRPr="007F3406">
        <w:rPr>
          <w:vertAlign w:val="superscript"/>
        </w:rPr>
        <w:t>13</w:t>
      </w:r>
      <w:r w:rsidRPr="007F3406">
        <w:t xml:space="preserve"> (or earlier versions </w:t>
      </w:r>
      <w:proofErr w:type="spellStart"/>
      <w:r w:rsidRPr="007F3406">
        <w:t>eGC</w:t>
      </w:r>
      <w:proofErr w:type="spellEnd"/>
      <w:r w:rsidRPr="007F3406">
        <w:t xml:space="preserve"> Code</w:t>
      </w:r>
      <w:r w:rsidR="00CE2DB9" w:rsidRPr="007F3406">
        <w:rPr>
          <w:vertAlign w:val="superscript"/>
        </w:rPr>
        <w:t>14</w:t>
      </w:r>
      <w:r w:rsidRPr="007F3406">
        <w:t xml:space="preserve"> or GC Code</w:t>
      </w:r>
      <w:r w:rsidR="00CE2DB9" w:rsidRPr="007F3406">
        <w:rPr>
          <w:vertAlign w:val="superscript"/>
        </w:rPr>
        <w:t>15</w:t>
      </w:r>
      <w:r w:rsidRPr="007F3406">
        <w:t>).</w:t>
      </w:r>
    </w:p>
    <w:p w:rsidR="00922382" w:rsidRPr="007F3406" w:rsidRDefault="00922382" w:rsidP="00922382">
      <w:pPr>
        <w:pStyle w:val="SingleTxtG"/>
      </w:pPr>
      <w:r w:rsidRPr="007F3406">
        <w:tab/>
      </w:r>
      <w:r w:rsidRPr="007F3406">
        <w:tab/>
        <w:t>For liquid bulk cargoes, provide the product name (if name is different to that given in A4.3.1.1) as required by the shipment document and in accordance with the name used in the lists of product names given in Chapters 17 or 18 of the IBC Code or the latest edition of the IMO’s MEPC.2/Circular. Indicate ship type required and pollution category.</w:t>
      </w:r>
    </w:p>
    <w:p w:rsidR="00922382" w:rsidRPr="007F3406" w:rsidRDefault="00922382" w:rsidP="00922382">
      <w:pPr>
        <w:pStyle w:val="SingleTxtG"/>
      </w:pPr>
      <w:r w:rsidRPr="007F3406">
        <w:tab/>
      </w:r>
      <w:r w:rsidRPr="007F3406">
        <w:tab/>
        <w:t>For solid bulk cargoes, provide the bulk cargo shipping name, whether or not the cargo is considered harmful to the marine environment (HME) according to MARPOL Annex V, whether it is a material hazardous only in bulk (MHB) according to the IMSBC Code, and which Group it should be shipped according to the IMSBC.</w:t>
      </w:r>
    </w:p>
    <w:p w:rsidR="00922382" w:rsidRPr="007F3406" w:rsidRDefault="00922382" w:rsidP="00922382">
      <w:pPr>
        <w:pStyle w:val="SingleTxtG"/>
      </w:pPr>
      <w:r w:rsidRPr="007F3406">
        <w:tab/>
      </w:r>
      <w:r w:rsidRPr="007F3406">
        <w:tab/>
        <w:t>For liquefied gas cargoes in bulk provide the product name and ship type according to the IGC Code (or earlier versions</w:t>
      </w:r>
      <w:r w:rsidR="00176516" w:rsidRPr="007F3406">
        <w:t xml:space="preserve">, i.e.: </w:t>
      </w:r>
      <w:r w:rsidRPr="007F3406">
        <w:t xml:space="preserve"> </w:t>
      </w:r>
      <w:r w:rsidR="007F3406">
        <w:t>E</w:t>
      </w:r>
      <w:r w:rsidRPr="007F3406">
        <w:t xml:space="preserve">GC Code </w:t>
      </w:r>
      <w:r w:rsidR="000F6168" w:rsidRPr="007F3406">
        <w:t xml:space="preserve">or </w:t>
      </w:r>
      <w:r w:rsidRPr="007F3406">
        <w:t>G</w:t>
      </w:r>
      <w:r w:rsidR="000F6168" w:rsidRPr="007F3406">
        <w:t>C</w:t>
      </w:r>
      <w:r w:rsidRPr="007F3406">
        <w:t xml:space="preserve"> Code)</w:t>
      </w:r>
      <w:r w:rsidR="00176516" w:rsidRPr="007F3406">
        <w:t>.</w:t>
      </w:r>
      <w:r w:rsidRPr="007F3406">
        <w:t>”.</w:t>
      </w:r>
    </w:p>
    <w:p w:rsidR="00922382" w:rsidRPr="007F3406" w:rsidRDefault="00CE2DB9" w:rsidP="00176516">
      <w:pPr>
        <w:pStyle w:val="SingleTxtG"/>
        <w:spacing w:before="240"/>
      </w:pPr>
      <w:r w:rsidRPr="007F3406">
        <w:t>Insert t</w:t>
      </w:r>
      <w:r w:rsidR="00922382" w:rsidRPr="007F3406">
        <w:t xml:space="preserve">he related footnotes </w:t>
      </w:r>
      <w:r w:rsidRPr="007F3406">
        <w:t>9 to 15 as follows</w:t>
      </w:r>
      <w:r w:rsidR="00873A8D" w:rsidRPr="007F3406">
        <w:t xml:space="preserve"> and renumber subsequent footnotes in Annex 4 accordingly</w:t>
      </w:r>
      <w:r w:rsidRPr="007F3406">
        <w:t>:</w:t>
      </w:r>
    </w:p>
    <w:p w:rsidR="007E1397" w:rsidRPr="00A27E31" w:rsidRDefault="007E1397" w:rsidP="0061406C">
      <w:pPr>
        <w:pStyle w:val="FootnoteText"/>
        <w:tabs>
          <w:tab w:val="clear" w:pos="1021"/>
        </w:tabs>
        <w:ind w:left="1418" w:hanging="284"/>
        <w:jc w:val="distribute"/>
        <w:rPr>
          <w:lang w:val="en-US"/>
        </w:rPr>
      </w:pPr>
      <w:r w:rsidRPr="007F3406">
        <w:t>“</w:t>
      </w:r>
      <w:r w:rsidR="00CE2DB9" w:rsidRPr="007F3406">
        <w:rPr>
          <w:rStyle w:val="FootnoteReference"/>
        </w:rPr>
        <w:t>9</w:t>
      </w:r>
      <w:r w:rsidRPr="007F3406">
        <w:t xml:space="preserve"> </w:t>
      </w:r>
      <w:r w:rsidRPr="007F3406">
        <w:tab/>
      </w:r>
      <w:r w:rsidRPr="007F3406">
        <w:rPr>
          <w:b/>
          <w:i/>
        </w:rPr>
        <w:t xml:space="preserve">SOLAS </w:t>
      </w:r>
      <w:r w:rsidRPr="007F3406">
        <w:rPr>
          <w:i/>
        </w:rPr>
        <w:t>means the International Convention for the Safety of Life at Sea, 1974, as amended.</w:t>
      </w:r>
    </w:p>
    <w:p w:rsidR="007E1397" w:rsidRPr="00A27E31" w:rsidRDefault="007E1397" w:rsidP="0061406C">
      <w:pPr>
        <w:pStyle w:val="FootnoteText"/>
        <w:tabs>
          <w:tab w:val="clear" w:pos="1021"/>
        </w:tabs>
        <w:ind w:left="1418" w:hanging="284"/>
        <w:jc w:val="distribute"/>
        <w:rPr>
          <w:lang w:val="en-US"/>
        </w:rPr>
      </w:pPr>
      <w:r w:rsidRPr="007F3406">
        <w:rPr>
          <w:rStyle w:val="FootnoteReference"/>
        </w:rPr>
        <w:footnoteRef/>
      </w:r>
      <w:r w:rsidR="00CE2DB9" w:rsidRPr="007F3406">
        <w:rPr>
          <w:vertAlign w:val="superscript"/>
        </w:rPr>
        <w:t>0</w:t>
      </w:r>
      <w:r w:rsidRPr="007F3406">
        <w:tab/>
      </w:r>
      <w:r w:rsidRPr="007F3406">
        <w:rPr>
          <w:b/>
          <w:bCs/>
          <w:i/>
          <w:iCs/>
          <w:sz w:val="20"/>
        </w:rPr>
        <w:t xml:space="preserve">MARPOL </w:t>
      </w:r>
      <w:r w:rsidRPr="007F3406">
        <w:rPr>
          <w:i/>
          <w:iCs/>
          <w:sz w:val="20"/>
        </w:rPr>
        <w:t>means the International Convention for the Prevention of Pollution from Ships, 1973, as modified by the Protocol of 1978 relating thereto, as amended</w:t>
      </w:r>
    </w:p>
    <w:p w:rsidR="007E1397" w:rsidRPr="00A27E31" w:rsidRDefault="00CE2DB9" w:rsidP="0061406C">
      <w:pPr>
        <w:pStyle w:val="FootnoteText"/>
        <w:tabs>
          <w:tab w:val="clear" w:pos="1021"/>
        </w:tabs>
        <w:ind w:left="1418" w:hanging="284"/>
        <w:jc w:val="distribute"/>
        <w:rPr>
          <w:lang w:val="en-US"/>
        </w:rPr>
      </w:pPr>
      <w:r w:rsidRPr="007F3406">
        <w:rPr>
          <w:rStyle w:val="FootnoteReference"/>
        </w:rPr>
        <w:t>1</w:t>
      </w:r>
      <w:r w:rsidRPr="007F3406">
        <w:rPr>
          <w:vertAlign w:val="superscript"/>
        </w:rPr>
        <w:t>1</w:t>
      </w:r>
      <w:r w:rsidR="007E1397" w:rsidRPr="007F3406">
        <w:t xml:space="preserve"> </w:t>
      </w:r>
      <w:r w:rsidR="007E1397" w:rsidRPr="007F3406">
        <w:tab/>
      </w:r>
      <w:r w:rsidR="007E1397" w:rsidRPr="007F3406">
        <w:rPr>
          <w:b/>
          <w:bCs/>
          <w:i/>
          <w:iCs/>
          <w:sz w:val="20"/>
        </w:rPr>
        <w:t>IBC Code</w:t>
      </w:r>
      <w:r w:rsidR="007E1397" w:rsidRPr="007F3406">
        <w:rPr>
          <w:i/>
          <w:iCs/>
          <w:sz w:val="20"/>
        </w:rPr>
        <w:t xml:space="preserve"> means the International Code for the Construction and Equipment of Ships carrying Dangerous Chemicals in Bulk (International Bulk Chemical Code).</w:t>
      </w:r>
    </w:p>
    <w:p w:rsidR="007E1397" w:rsidRPr="00A27E31" w:rsidRDefault="00CE2DB9" w:rsidP="0061406C">
      <w:pPr>
        <w:pStyle w:val="FootnoteText"/>
        <w:tabs>
          <w:tab w:val="clear" w:pos="1021"/>
        </w:tabs>
        <w:ind w:left="1418" w:hanging="284"/>
        <w:jc w:val="distribute"/>
        <w:rPr>
          <w:lang w:val="en-US"/>
        </w:rPr>
      </w:pPr>
      <w:r w:rsidRPr="007F3406">
        <w:rPr>
          <w:rStyle w:val="FootnoteReference"/>
        </w:rPr>
        <w:t>1</w:t>
      </w:r>
      <w:r w:rsidRPr="007F3406">
        <w:rPr>
          <w:vertAlign w:val="superscript"/>
        </w:rPr>
        <w:t>2</w:t>
      </w:r>
      <w:r w:rsidR="007E1397" w:rsidRPr="007F3406">
        <w:rPr>
          <w:vertAlign w:val="superscript"/>
        </w:rPr>
        <w:tab/>
      </w:r>
      <w:r w:rsidR="007E1397" w:rsidRPr="007F3406">
        <w:rPr>
          <w:b/>
          <w:i/>
        </w:rPr>
        <w:t>IMSBC Code</w:t>
      </w:r>
      <w:r w:rsidR="007E1397" w:rsidRPr="007F3406">
        <w:t xml:space="preserve"> </w:t>
      </w:r>
      <w:r w:rsidR="007E1397" w:rsidRPr="007F3406">
        <w:rPr>
          <w:i/>
        </w:rPr>
        <w:t>means</w:t>
      </w:r>
      <w:r w:rsidR="007E1397" w:rsidRPr="007F3406">
        <w:rPr>
          <w:i/>
          <w:vertAlign w:val="superscript"/>
        </w:rPr>
        <w:t xml:space="preserve"> </w:t>
      </w:r>
      <w:r w:rsidR="007E1397" w:rsidRPr="00A27E31">
        <w:rPr>
          <w:i/>
          <w:lang w:val="en-US"/>
        </w:rPr>
        <w:t>the International Maritime Solid Bulk Cargoes Code, as amended.</w:t>
      </w:r>
    </w:p>
    <w:p w:rsidR="007E1397" w:rsidRPr="00A27E31" w:rsidRDefault="00CE2DB9" w:rsidP="0061406C">
      <w:pPr>
        <w:pStyle w:val="FootnoteText"/>
        <w:tabs>
          <w:tab w:val="clear" w:pos="1021"/>
        </w:tabs>
        <w:ind w:left="1418" w:hanging="284"/>
        <w:jc w:val="both"/>
        <w:rPr>
          <w:lang w:val="en-US"/>
        </w:rPr>
      </w:pPr>
      <w:r w:rsidRPr="007F3406">
        <w:rPr>
          <w:rStyle w:val="FootnoteReference"/>
        </w:rPr>
        <w:t>1</w:t>
      </w:r>
      <w:r w:rsidRPr="007F3406">
        <w:rPr>
          <w:vertAlign w:val="superscript"/>
        </w:rPr>
        <w:t>3</w:t>
      </w:r>
      <w:r w:rsidR="007E1397" w:rsidRPr="007F3406">
        <w:t xml:space="preserve"> </w:t>
      </w:r>
      <w:r w:rsidR="007E1397" w:rsidRPr="007F3406">
        <w:tab/>
      </w:r>
      <w:r w:rsidR="007E1397" w:rsidRPr="007F3406">
        <w:rPr>
          <w:b/>
          <w:i/>
        </w:rPr>
        <w:t>IGC Code</w:t>
      </w:r>
      <w:r w:rsidR="007E1397" w:rsidRPr="007F3406">
        <w:rPr>
          <w:i/>
        </w:rPr>
        <w:t xml:space="preserve"> means the International Code for the Construction and Equipment of Ships Carrying Liquefied Gases in Bulk, including applicable amendments to which the vessel has been certified.</w:t>
      </w:r>
    </w:p>
    <w:p w:rsidR="007E1397" w:rsidRPr="00A27E31" w:rsidRDefault="00CE2DB9" w:rsidP="0061406C">
      <w:pPr>
        <w:pStyle w:val="FootnoteText"/>
        <w:tabs>
          <w:tab w:val="clear" w:pos="1021"/>
        </w:tabs>
        <w:ind w:left="1418" w:hanging="284"/>
        <w:jc w:val="distribute"/>
        <w:rPr>
          <w:lang w:val="en-US"/>
        </w:rPr>
      </w:pPr>
      <w:r w:rsidRPr="007F3406">
        <w:rPr>
          <w:rStyle w:val="FootnoteReference"/>
        </w:rPr>
        <w:t>1</w:t>
      </w:r>
      <w:r w:rsidRPr="007F3406">
        <w:rPr>
          <w:vertAlign w:val="superscript"/>
        </w:rPr>
        <w:t>4</w:t>
      </w:r>
      <w:r w:rsidR="007E1397" w:rsidRPr="007F3406">
        <w:rPr>
          <w:vertAlign w:val="superscript"/>
        </w:rPr>
        <w:t xml:space="preserve"> </w:t>
      </w:r>
      <w:r w:rsidR="007E1397" w:rsidRPr="00A27E31">
        <w:rPr>
          <w:lang w:val="en-US"/>
        </w:rPr>
        <w:t xml:space="preserve"> </w:t>
      </w:r>
      <w:r w:rsidR="007E1397" w:rsidRPr="00A27E31">
        <w:rPr>
          <w:lang w:val="en-US"/>
        </w:rPr>
        <w:tab/>
      </w:r>
      <w:r w:rsidR="007F3406" w:rsidRPr="00A27E31">
        <w:rPr>
          <w:i/>
          <w:lang w:val="en-US"/>
        </w:rPr>
        <w:t>E</w:t>
      </w:r>
      <w:r w:rsidR="007E1397" w:rsidRPr="00A27E31">
        <w:rPr>
          <w:b/>
          <w:i/>
          <w:lang w:val="en-US"/>
        </w:rPr>
        <w:t>GC Code</w:t>
      </w:r>
      <w:r w:rsidR="007E1397" w:rsidRPr="00A27E31">
        <w:rPr>
          <w:lang w:val="en-US"/>
        </w:rPr>
        <w:t xml:space="preserve"> </w:t>
      </w:r>
      <w:r w:rsidR="007E1397" w:rsidRPr="00A27E31">
        <w:rPr>
          <w:i/>
          <w:lang w:val="en-US"/>
        </w:rPr>
        <w:t>means the Code for Existing Ships Carrying Liquefied Gases in Bulk.</w:t>
      </w:r>
    </w:p>
    <w:p w:rsidR="00931D8C" w:rsidRDefault="00CE2DB9" w:rsidP="0061406C">
      <w:pPr>
        <w:pStyle w:val="FootnoteText"/>
        <w:tabs>
          <w:tab w:val="clear" w:pos="1021"/>
        </w:tabs>
        <w:spacing w:after="240"/>
        <w:ind w:left="1418" w:hanging="284"/>
        <w:jc w:val="both"/>
        <w:rPr>
          <w:i/>
        </w:rPr>
      </w:pPr>
      <w:r w:rsidRPr="007F3406">
        <w:rPr>
          <w:rStyle w:val="FootnoteReference"/>
        </w:rPr>
        <w:t>1</w:t>
      </w:r>
      <w:r w:rsidRPr="007F3406">
        <w:rPr>
          <w:vertAlign w:val="superscript"/>
        </w:rPr>
        <w:t>5</w:t>
      </w:r>
      <w:r w:rsidR="007E1397" w:rsidRPr="007F3406">
        <w:t xml:space="preserve"> </w:t>
      </w:r>
      <w:r w:rsidR="007E1397" w:rsidRPr="007F3406">
        <w:tab/>
      </w:r>
      <w:r w:rsidR="007E1397" w:rsidRPr="007F3406">
        <w:rPr>
          <w:b/>
          <w:i/>
        </w:rPr>
        <w:t>GC Code</w:t>
      </w:r>
      <w:r w:rsidR="007E1397" w:rsidRPr="007F3406">
        <w:t xml:space="preserve"> </w:t>
      </w:r>
      <w:r w:rsidR="007E1397" w:rsidRPr="007F3406">
        <w:rPr>
          <w:i/>
        </w:rPr>
        <w:t>means the Code for the Construction and Equipment of Ships Carrying Liquefied Gases in Bulk (Gas Carrier Code).”</w:t>
      </w:r>
    </w:p>
    <w:p w:rsidR="00CE2DB9" w:rsidRPr="00176516" w:rsidRDefault="00922382" w:rsidP="00CE2DB9">
      <w:pPr>
        <w:pStyle w:val="H23G"/>
        <w:rPr>
          <w:rFonts w:eastAsia="MS Mincho"/>
          <w:b w:val="0"/>
        </w:rPr>
      </w:pPr>
      <w:r w:rsidRPr="00176516">
        <w:tab/>
      </w:r>
      <w:r w:rsidR="00CE2DB9" w:rsidRPr="00176516">
        <w:rPr>
          <w:rFonts w:eastAsia="MS Mincho"/>
        </w:rPr>
        <w:tab/>
        <w:t>Consequential amendments</w:t>
      </w:r>
      <w:r w:rsidR="00176516">
        <w:rPr>
          <w:rFonts w:eastAsia="MS Mincho"/>
        </w:rPr>
        <w:t xml:space="preserve"> to Chapter 1.5</w:t>
      </w:r>
    </w:p>
    <w:p w:rsidR="00922382" w:rsidRDefault="00922382" w:rsidP="00922382">
      <w:pPr>
        <w:pStyle w:val="SingleTxtG"/>
      </w:pPr>
      <w:r>
        <w:t xml:space="preserve">In </w:t>
      </w:r>
      <w:r w:rsidRPr="00331ADF">
        <w:t xml:space="preserve">Table 1.5.2, amend item (g) under section 14 </w:t>
      </w:r>
      <w:r w:rsidRPr="004E506D">
        <w:t>“Transport information” to read as follows:</w:t>
      </w:r>
    </w:p>
    <w:p w:rsidR="00922382" w:rsidRDefault="00922382" w:rsidP="00922382">
      <w:pPr>
        <w:pStyle w:val="SingleTxtG"/>
      </w:pPr>
      <w:r w:rsidRPr="004F3E81">
        <w:t xml:space="preserve">“(g) </w:t>
      </w:r>
      <w:r>
        <w:tab/>
      </w:r>
      <w:r w:rsidRPr="004F3E81">
        <w:t>transport in bulk according to IMO instruments”</w:t>
      </w:r>
      <w:r>
        <w:t>.</w:t>
      </w:r>
    </w:p>
    <w:p w:rsidR="006A56A2" w:rsidRPr="00BB2F22" w:rsidRDefault="00C70C06" w:rsidP="00EB5375">
      <w:pPr>
        <w:pStyle w:val="H56G"/>
      </w:pPr>
      <w:r w:rsidRPr="00A0521E">
        <w:lastRenderedPageBreak/>
        <w:tab/>
      </w:r>
      <w:r w:rsidR="006A56A2" w:rsidRPr="004A19B0">
        <w:tab/>
      </w:r>
      <w:r w:rsidR="006A56A2" w:rsidRPr="00EB5375">
        <w:rPr>
          <w:b/>
        </w:rPr>
        <w:t>Informal document INF.36, annex I, proposal in section B</w:t>
      </w:r>
      <w:r w:rsidR="00EB5375">
        <w:rPr>
          <w:b/>
        </w:rPr>
        <w:t xml:space="preserve">, </w:t>
      </w:r>
      <w:r w:rsidR="00EB5375" w:rsidRPr="00EB5375">
        <w:t>a</w:t>
      </w:r>
      <w:r w:rsidR="006A56A2">
        <w:t>dopted without modifications as follows:</w:t>
      </w:r>
    </w:p>
    <w:p w:rsidR="006A56A2" w:rsidRPr="002F080A" w:rsidRDefault="006A56A2" w:rsidP="00FD2D5D">
      <w:pPr>
        <w:pStyle w:val="SingleTxtG"/>
        <w:keepNext/>
        <w:keepLines/>
        <w:rPr>
          <w:b/>
        </w:rPr>
      </w:pPr>
      <w:r w:rsidRPr="002F080A">
        <w:rPr>
          <w:b/>
        </w:rPr>
        <w:t>Chapter 2.7</w:t>
      </w:r>
    </w:p>
    <w:p w:rsidR="006A56A2" w:rsidRDefault="006A56A2" w:rsidP="00FD2D5D">
      <w:pPr>
        <w:pStyle w:val="SingleTxtG"/>
        <w:keepNext/>
        <w:keepLines/>
      </w:pPr>
      <w:r>
        <w:t>2.7.2.2</w:t>
      </w:r>
      <w:r>
        <w:tab/>
      </w:r>
      <w:r w:rsidRPr="004A19B0">
        <w:tab/>
      </w:r>
      <w:r w:rsidR="00176516">
        <w:t>Amend the end of the paragraph to read as follows: “…</w:t>
      </w:r>
      <w:r w:rsidRPr="00982B2C">
        <w:t xml:space="preserve">and the reaction spreads over the whole length of the sample </w:t>
      </w:r>
      <w:r w:rsidRPr="00176516">
        <w:t xml:space="preserve">(100 mm) </w:t>
      </w:r>
      <w:r w:rsidRPr="00C3106A">
        <w:t>in 10 min or less.”.</w:t>
      </w:r>
    </w:p>
    <w:p w:rsidR="006A56A2" w:rsidRDefault="006A56A2" w:rsidP="00EB5375">
      <w:pPr>
        <w:pStyle w:val="H56G"/>
      </w:pPr>
      <w:r>
        <w:tab/>
      </w:r>
      <w:r>
        <w:tab/>
      </w:r>
      <w:r w:rsidRPr="00EB5375">
        <w:rPr>
          <w:b/>
        </w:rPr>
        <w:t>Informal document INF.6</w:t>
      </w:r>
      <w:r w:rsidR="00EB5375">
        <w:t xml:space="preserve"> a</w:t>
      </w:r>
      <w:r>
        <w:t>dopted without modifications as follows:</w:t>
      </w:r>
    </w:p>
    <w:p w:rsidR="002F080A" w:rsidRPr="002F080A" w:rsidRDefault="002F080A" w:rsidP="002F080A">
      <w:pPr>
        <w:pStyle w:val="SingleTxtG"/>
        <w:rPr>
          <w:b/>
        </w:rPr>
      </w:pPr>
      <w:r w:rsidRPr="002F080A">
        <w:rPr>
          <w:b/>
        </w:rPr>
        <w:t>Annex 3, Section 5</w:t>
      </w:r>
    </w:p>
    <w:p w:rsidR="006A56A2" w:rsidRPr="00A0521E" w:rsidRDefault="006A56A2" w:rsidP="006A56A2">
      <w:pPr>
        <w:pStyle w:val="SingleTxtG"/>
      </w:pPr>
      <w:r w:rsidRPr="00A0521E">
        <w:t>A3.5.1</w:t>
      </w:r>
      <w:r w:rsidRPr="00A0521E">
        <w:tab/>
      </w:r>
      <w:r>
        <w:tab/>
      </w:r>
      <w:r w:rsidRPr="00A0521E">
        <w:t xml:space="preserve">Delete “From </w:t>
      </w:r>
      <w:r w:rsidRPr="00A0521E">
        <w:rPr>
          <w:snapToGrid w:val="0"/>
          <w:color w:val="000000"/>
          <w:lang w:eastAsia="de-DE"/>
        </w:rPr>
        <w:t>South African Bureau of Standards (SABS 0265:1999)</w:t>
      </w:r>
      <w:r w:rsidRPr="00A0521E">
        <w:t xml:space="preserve">” and </w:t>
      </w:r>
      <w:r w:rsidR="00040C4E">
        <w:t>related</w:t>
      </w:r>
      <w:r w:rsidRPr="00A0521E">
        <w:t xml:space="preserve"> pictograms. </w:t>
      </w:r>
    </w:p>
    <w:p w:rsidR="006A56A2" w:rsidRPr="00C3106A" w:rsidRDefault="006A56A2" w:rsidP="006A56A2">
      <w:pPr>
        <w:pStyle w:val="SingleTxtG"/>
      </w:pPr>
    </w:p>
    <w:p w:rsidR="00CB050A" w:rsidRDefault="00CB050A" w:rsidP="006A56A2">
      <w:pPr>
        <w:pStyle w:val="H1G"/>
        <w:spacing w:before="240"/>
      </w:pPr>
      <w:r>
        <w:br w:type="page"/>
      </w:r>
    </w:p>
    <w:p w:rsidR="00F57888" w:rsidRDefault="00F57888" w:rsidP="00F57888">
      <w:pPr>
        <w:pStyle w:val="H1G"/>
        <w:rPr>
          <w:rFonts w:eastAsia="MS Mincho"/>
          <w:lang w:eastAsia="ja-JP"/>
        </w:rPr>
      </w:pPr>
      <w:r>
        <w:rPr>
          <w:rFonts w:eastAsia="MS Mincho"/>
          <w:lang w:eastAsia="ja-JP"/>
        </w:rPr>
        <w:lastRenderedPageBreak/>
        <w:tab/>
      </w:r>
      <w:r>
        <w:rPr>
          <w:rFonts w:eastAsia="MS Mincho"/>
          <w:lang w:eastAsia="ja-JP"/>
        </w:rPr>
        <w:tab/>
        <w:t>Annex II</w:t>
      </w:r>
    </w:p>
    <w:p w:rsidR="00F57888" w:rsidRDefault="00F57888" w:rsidP="00F57888">
      <w:pPr>
        <w:pStyle w:val="H1G"/>
        <w:rPr>
          <w:rFonts w:eastAsia="MS Mincho"/>
          <w:lang w:eastAsia="ja-JP"/>
        </w:rPr>
      </w:pPr>
      <w:r>
        <w:rPr>
          <w:rFonts w:eastAsia="MS Mincho"/>
          <w:lang w:eastAsia="ja-JP"/>
        </w:rPr>
        <w:tab/>
      </w:r>
      <w:r>
        <w:rPr>
          <w:rFonts w:eastAsia="MS Mincho"/>
          <w:lang w:eastAsia="ja-JP"/>
        </w:rPr>
        <w:tab/>
      </w:r>
      <w:r w:rsidR="00E1332B">
        <w:rPr>
          <w:rFonts w:eastAsia="MS Mincho"/>
          <w:lang w:eastAsia="ja-JP"/>
        </w:rPr>
        <w:t>Draft</w:t>
      </w:r>
      <w:r>
        <w:rPr>
          <w:rFonts w:eastAsia="MS Mincho"/>
          <w:lang w:eastAsia="ja-JP"/>
        </w:rPr>
        <w:t xml:space="preserve"> amendments to the sixth revised edition of the Manual of Tests and Criteria (ST/SG/AC.10/11/Rev.6)</w:t>
      </w:r>
    </w:p>
    <w:p w:rsidR="00D904B5" w:rsidRDefault="00D904B5" w:rsidP="00D904B5">
      <w:pPr>
        <w:pStyle w:val="SingleTxtG"/>
        <w:rPr>
          <w:b/>
        </w:rPr>
      </w:pPr>
      <w:r>
        <w:rPr>
          <w:b/>
        </w:rPr>
        <w:t>Appendix 6</w:t>
      </w:r>
    </w:p>
    <w:p w:rsidR="00D904B5" w:rsidRPr="0057045D" w:rsidRDefault="00D904B5" w:rsidP="00D904B5">
      <w:pPr>
        <w:pStyle w:val="SingleTxtG"/>
      </w:pPr>
      <w:r>
        <w:t xml:space="preserve">In paragraph 4.1, at the end of the introductory sentence, delete “(23 °C and 60°C, respectively)”. </w:t>
      </w:r>
    </w:p>
    <w:p w:rsidR="00D904B5" w:rsidRPr="0057045D" w:rsidRDefault="00D904B5" w:rsidP="00D904B5">
      <w:pPr>
        <w:pStyle w:val="SingleTxtG"/>
        <w:rPr>
          <w:b/>
        </w:rPr>
      </w:pPr>
      <w:r w:rsidRPr="0029704E">
        <w:rPr>
          <w:i/>
        </w:rPr>
        <w:t>(Reference document: ST/SG/AC.10/C.4/2016/13)</w:t>
      </w:r>
    </w:p>
    <w:p w:rsidR="00F57888" w:rsidRDefault="00F57888" w:rsidP="00F57888">
      <w:pPr>
        <w:rPr>
          <w:rFonts w:eastAsia="MS Mincho"/>
          <w:lang w:eastAsia="ja-JP"/>
        </w:rPr>
      </w:pPr>
    </w:p>
    <w:p w:rsidR="00F57888" w:rsidRDefault="00F57888" w:rsidP="00F57888">
      <w:pPr>
        <w:rPr>
          <w:rFonts w:eastAsia="MS Mincho"/>
          <w:lang w:eastAsia="ja-JP"/>
        </w:rPr>
      </w:pPr>
    </w:p>
    <w:p w:rsidR="00F57888" w:rsidRDefault="00F57888">
      <w:pPr>
        <w:suppressAutoHyphens w:val="0"/>
        <w:spacing w:line="240" w:lineRule="auto"/>
        <w:rPr>
          <w:rFonts w:eastAsia="MS Mincho"/>
          <w:lang w:eastAsia="ja-JP"/>
        </w:rPr>
      </w:pPr>
      <w:r>
        <w:rPr>
          <w:rFonts w:eastAsia="MS Mincho"/>
          <w:lang w:eastAsia="ja-JP"/>
        </w:rPr>
        <w:br w:type="page"/>
      </w:r>
    </w:p>
    <w:p w:rsidR="00F57888" w:rsidRDefault="00F57888" w:rsidP="00F57888">
      <w:pPr>
        <w:pStyle w:val="H1G"/>
        <w:rPr>
          <w:rFonts w:eastAsia="MS Mincho"/>
          <w:lang w:eastAsia="ja-JP"/>
        </w:rPr>
      </w:pPr>
      <w:r>
        <w:rPr>
          <w:rFonts w:eastAsia="MS Mincho"/>
          <w:lang w:eastAsia="ja-JP"/>
        </w:rPr>
        <w:lastRenderedPageBreak/>
        <w:tab/>
      </w:r>
      <w:r>
        <w:rPr>
          <w:rFonts w:eastAsia="MS Mincho"/>
          <w:lang w:eastAsia="ja-JP"/>
        </w:rPr>
        <w:tab/>
        <w:t>Annex III</w:t>
      </w:r>
    </w:p>
    <w:p w:rsidR="00F57888" w:rsidRDefault="00F57888" w:rsidP="00F57888">
      <w:pPr>
        <w:pStyle w:val="H1G"/>
        <w:rPr>
          <w:rFonts w:eastAsia="MS Mincho"/>
          <w:lang w:eastAsia="ja-JP"/>
        </w:rPr>
      </w:pPr>
      <w:r>
        <w:rPr>
          <w:rFonts w:eastAsia="MS Mincho"/>
          <w:lang w:eastAsia="ja-JP"/>
        </w:rPr>
        <w:tab/>
      </w:r>
      <w:r>
        <w:rPr>
          <w:rFonts w:eastAsia="MS Mincho"/>
          <w:lang w:eastAsia="ja-JP"/>
        </w:rPr>
        <w:tab/>
        <w:t>Programme of work of the Sub-Committee for 2017-2018</w:t>
      </w:r>
    </w:p>
    <w:p w:rsidR="00F57888" w:rsidRPr="00495996" w:rsidRDefault="00F57888" w:rsidP="00040C4E">
      <w:pPr>
        <w:pStyle w:val="H23G"/>
      </w:pPr>
      <w:r>
        <w:tab/>
      </w:r>
      <w:r w:rsidRPr="00495996">
        <w:t>1.</w:t>
      </w:r>
      <w:r w:rsidRPr="00495996">
        <w:tab/>
        <w:t xml:space="preserve">Classification criteria </w:t>
      </w:r>
      <w:r>
        <w:t>and related hazard communication, including:</w:t>
      </w:r>
    </w:p>
    <w:p w:rsidR="00F57888" w:rsidRPr="00495996" w:rsidRDefault="00F57888" w:rsidP="00F57888">
      <w:pPr>
        <w:pStyle w:val="SingleTxtG"/>
        <w:ind w:left="1700" w:hanging="566"/>
      </w:pPr>
      <w:r w:rsidRPr="005F0991">
        <w:t>(a)</w:t>
      </w:r>
      <w:r w:rsidRPr="005F0991">
        <w:tab/>
      </w:r>
      <w:r>
        <w:t>R</w:t>
      </w:r>
      <w:r w:rsidRPr="005F0991">
        <w:t xml:space="preserve">eview of Chapter 2.1 (Explosives) </w:t>
      </w:r>
      <w:r w:rsidR="00FD4389">
        <w:t>of</w:t>
      </w:r>
      <w:r w:rsidRPr="005F0991">
        <w:t xml:space="preserve"> the GHS</w:t>
      </w:r>
    </w:p>
    <w:p w:rsidR="00F57888" w:rsidRDefault="00F57888" w:rsidP="00F57888">
      <w:pPr>
        <w:pStyle w:val="SingleTxtG"/>
        <w:ind w:left="1701"/>
      </w:pPr>
      <w:r w:rsidRPr="00495996">
        <w:rPr>
          <w:u w:val="single"/>
        </w:rPr>
        <w:t>Lead country</w:t>
      </w:r>
      <w:r w:rsidRPr="00495996">
        <w:t xml:space="preserve">: </w:t>
      </w:r>
      <w:r>
        <w:t>Sweden</w:t>
      </w:r>
    </w:p>
    <w:p w:rsidR="00F57888" w:rsidRDefault="00F57888" w:rsidP="00F57888">
      <w:pPr>
        <w:pStyle w:val="Bullet1G"/>
        <w:numPr>
          <w:ilvl w:val="0"/>
          <w:numId w:val="0"/>
        </w:numPr>
        <w:ind w:left="1701"/>
      </w:pPr>
      <w:r w:rsidRPr="00495996">
        <w:rPr>
          <w:u w:val="single"/>
        </w:rPr>
        <w:t>Mandate/Terms of reference</w:t>
      </w:r>
      <w:r w:rsidRPr="00495996">
        <w:t xml:space="preserve">: </w:t>
      </w:r>
      <w:r>
        <w:t xml:space="preserve">report of the Sub-Committee on its </w:t>
      </w:r>
      <w:r w:rsidR="00040C4E">
        <w:t xml:space="preserve">thirty-second </w:t>
      </w:r>
      <w:r w:rsidRPr="006759BD">
        <w:t xml:space="preserve">session (ST/SG/AC.10/C.4/64, paragraph </w:t>
      </w:r>
      <w:r w:rsidR="00967C78">
        <w:t>21</w:t>
      </w:r>
      <w:r>
        <w:t>)</w:t>
      </w:r>
    </w:p>
    <w:p w:rsidR="00F57888" w:rsidRDefault="00F57888" w:rsidP="00F57888">
      <w:pPr>
        <w:pStyle w:val="SingleTxtG"/>
      </w:pPr>
      <w:r w:rsidRPr="00495996">
        <w:t>(b)</w:t>
      </w:r>
      <w:r w:rsidRPr="00495996">
        <w:tab/>
      </w:r>
      <w:r>
        <w:t>Use of the Manual of Tests and Criteria in the context of the GHS</w:t>
      </w:r>
    </w:p>
    <w:p w:rsidR="00F57888" w:rsidRPr="0030646F" w:rsidRDefault="00F57888" w:rsidP="00F57888">
      <w:pPr>
        <w:pStyle w:val="Bullet1G"/>
        <w:numPr>
          <w:ilvl w:val="0"/>
          <w:numId w:val="0"/>
        </w:numPr>
        <w:ind w:left="1700"/>
      </w:pPr>
      <w:r w:rsidRPr="0030646F">
        <w:tab/>
      </w:r>
      <w:r w:rsidRPr="0030646F">
        <w:rPr>
          <w:u w:val="single"/>
        </w:rPr>
        <w:t>Focal point</w:t>
      </w:r>
      <w:r w:rsidRPr="0030646F">
        <w:t>: TDG Sub-Committee</w:t>
      </w:r>
    </w:p>
    <w:p w:rsidR="00F57888" w:rsidRPr="0030646F" w:rsidRDefault="00F57888" w:rsidP="00F57888">
      <w:pPr>
        <w:pStyle w:val="Bullet1G"/>
        <w:numPr>
          <w:ilvl w:val="0"/>
          <w:numId w:val="0"/>
        </w:numPr>
        <w:ind w:left="1700"/>
        <w:rPr>
          <w:u w:val="single"/>
        </w:rPr>
      </w:pPr>
      <w:r w:rsidRPr="000754F0">
        <w:rPr>
          <w:u w:val="single"/>
        </w:rPr>
        <w:t>Mandate/Terms of reference</w:t>
      </w:r>
      <w:r w:rsidRPr="00FD4389">
        <w:t xml:space="preserve">: </w:t>
      </w:r>
      <w:r w:rsidR="00FD4389" w:rsidRPr="00FD4389">
        <w:t xml:space="preserve">informal document </w:t>
      </w:r>
      <w:r w:rsidRPr="0030646F">
        <w:t xml:space="preserve">INF.19 </w:t>
      </w:r>
      <w:r w:rsidRPr="000754F0">
        <w:t>(</w:t>
      </w:r>
      <w:r w:rsidR="00424091">
        <w:t>twenty-eighth</w:t>
      </w:r>
      <w:r w:rsidR="00424091" w:rsidRPr="000754F0">
        <w:t xml:space="preserve"> </w:t>
      </w:r>
      <w:r w:rsidRPr="000754F0">
        <w:t xml:space="preserve">session) </w:t>
      </w:r>
    </w:p>
    <w:p w:rsidR="00F57888" w:rsidRPr="000418F1" w:rsidRDefault="00F57888" w:rsidP="00F57888">
      <w:pPr>
        <w:pStyle w:val="SingleTxtG"/>
        <w:ind w:left="1701" w:hanging="567"/>
      </w:pPr>
      <w:r w:rsidRPr="000418F1">
        <w:t>(</w:t>
      </w:r>
      <w:r w:rsidRPr="0030646F">
        <w:t>c</w:t>
      </w:r>
      <w:r w:rsidRPr="000418F1">
        <w:t>)</w:t>
      </w:r>
      <w:r w:rsidRPr="000418F1">
        <w:tab/>
      </w:r>
      <w:r>
        <w:t>Criteria for w</w:t>
      </w:r>
      <w:r w:rsidRPr="000418F1">
        <w:t xml:space="preserve">ater-reactivity </w:t>
      </w:r>
    </w:p>
    <w:p w:rsidR="00F57888" w:rsidRPr="000418F1" w:rsidRDefault="00F57888" w:rsidP="00F57888">
      <w:pPr>
        <w:pStyle w:val="SingleTxtG"/>
        <w:ind w:left="1700"/>
      </w:pPr>
      <w:r w:rsidRPr="000418F1">
        <w:rPr>
          <w:u w:val="single"/>
        </w:rPr>
        <w:t>Focal point</w:t>
      </w:r>
      <w:r w:rsidRPr="000418F1">
        <w:t>: TDG Sub-Committee</w:t>
      </w:r>
    </w:p>
    <w:p w:rsidR="00F57888" w:rsidRDefault="00F57888" w:rsidP="00F57888">
      <w:pPr>
        <w:pStyle w:val="Bullet1G"/>
        <w:numPr>
          <w:ilvl w:val="0"/>
          <w:numId w:val="0"/>
        </w:numPr>
        <w:ind w:left="1701"/>
      </w:pPr>
      <w:r w:rsidRPr="00CF6199">
        <w:rPr>
          <w:u w:val="single"/>
        </w:rPr>
        <w:t>Mandate/Terms of reference:</w:t>
      </w:r>
      <w:r w:rsidRPr="00CF6199">
        <w:t xml:space="preserve"> ST/SG/AC.10/C.4/40 (Annex II)</w:t>
      </w:r>
    </w:p>
    <w:p w:rsidR="00F57888" w:rsidRDefault="00F57888" w:rsidP="00F57888">
      <w:pPr>
        <w:pStyle w:val="SingleTxtG"/>
        <w:keepNext/>
        <w:keepLines/>
        <w:ind w:left="1700" w:hanging="566"/>
      </w:pPr>
      <w:r>
        <w:t>(d)</w:t>
      </w:r>
      <w:r>
        <w:tab/>
        <w:t>Tests for oxidizing liquids and oxidizing solids</w:t>
      </w:r>
    </w:p>
    <w:p w:rsidR="00F57888" w:rsidRDefault="00F57888" w:rsidP="00F57888">
      <w:pPr>
        <w:pStyle w:val="SingleTxtG"/>
        <w:ind w:left="1701"/>
      </w:pPr>
      <w:r w:rsidRPr="00495996">
        <w:rPr>
          <w:u w:val="single"/>
        </w:rPr>
        <w:t>Lead country</w:t>
      </w:r>
      <w:r w:rsidRPr="00495996">
        <w:t xml:space="preserve">: </w:t>
      </w:r>
      <w:r>
        <w:t>France</w:t>
      </w:r>
    </w:p>
    <w:p w:rsidR="001524C5" w:rsidRDefault="001524C5" w:rsidP="001524C5">
      <w:pPr>
        <w:pStyle w:val="SingleTxtG"/>
        <w:ind w:left="1700"/>
      </w:pPr>
      <w:r w:rsidRPr="000418F1">
        <w:rPr>
          <w:u w:val="single"/>
        </w:rPr>
        <w:t>Focal point</w:t>
      </w:r>
      <w:r w:rsidRPr="000418F1">
        <w:t>: TDG Sub-Committee</w:t>
      </w:r>
    </w:p>
    <w:p w:rsidR="00F57888" w:rsidRDefault="00F57888" w:rsidP="00F57888">
      <w:pPr>
        <w:pStyle w:val="Bullet1G"/>
        <w:numPr>
          <w:ilvl w:val="0"/>
          <w:numId w:val="0"/>
        </w:numPr>
        <w:ind w:left="1701"/>
      </w:pPr>
      <w:r w:rsidRPr="00495996">
        <w:rPr>
          <w:u w:val="single"/>
        </w:rPr>
        <w:t>Mandate/Terms of reference</w:t>
      </w:r>
      <w:r w:rsidRPr="00495996">
        <w:t xml:space="preserve">: </w:t>
      </w:r>
      <w:r>
        <w:t xml:space="preserve">report of the Sub-Committee on its </w:t>
      </w:r>
      <w:r w:rsidR="00040C4E">
        <w:t>thirty-second</w:t>
      </w:r>
      <w:r>
        <w:t xml:space="preserve"> </w:t>
      </w:r>
      <w:r w:rsidRPr="0011475D">
        <w:t xml:space="preserve">session (ST/SG/AC.10/C.4/64, paragraph </w:t>
      </w:r>
      <w:r w:rsidR="00962986">
        <w:t>14</w:t>
      </w:r>
      <w:r>
        <w:t>)</w:t>
      </w:r>
    </w:p>
    <w:p w:rsidR="00F57888" w:rsidRDefault="00F57888" w:rsidP="00F57888">
      <w:pPr>
        <w:pStyle w:val="SingleTxtG"/>
        <w:keepNext/>
        <w:keepLines/>
        <w:ind w:left="1700" w:hanging="566"/>
      </w:pPr>
      <w:r>
        <w:t>(e)</w:t>
      </w:r>
      <w:r>
        <w:tab/>
        <w:t>Stability tests for industrial nitrocellulose</w:t>
      </w:r>
    </w:p>
    <w:p w:rsidR="00F57888" w:rsidRDefault="00F57888" w:rsidP="00F57888">
      <w:pPr>
        <w:pStyle w:val="SingleTxtG"/>
        <w:ind w:left="1701"/>
      </w:pPr>
      <w:r w:rsidRPr="00495996">
        <w:rPr>
          <w:u w:val="single"/>
        </w:rPr>
        <w:t>Lead country</w:t>
      </w:r>
      <w:r w:rsidRPr="00495996">
        <w:t xml:space="preserve">: </w:t>
      </w:r>
      <w:r>
        <w:t>Germany</w:t>
      </w:r>
    </w:p>
    <w:p w:rsidR="00F57888" w:rsidRPr="0011475D" w:rsidRDefault="00F57888" w:rsidP="00F57888">
      <w:pPr>
        <w:pStyle w:val="Bullet1G"/>
        <w:numPr>
          <w:ilvl w:val="0"/>
          <w:numId w:val="0"/>
        </w:numPr>
        <w:ind w:left="1700"/>
      </w:pPr>
      <w:r w:rsidRPr="0011475D">
        <w:tab/>
      </w:r>
      <w:r w:rsidRPr="0011475D">
        <w:rPr>
          <w:u w:val="single"/>
        </w:rPr>
        <w:t>Focal point</w:t>
      </w:r>
      <w:r w:rsidRPr="0011475D">
        <w:t>: TDG Sub-Committee</w:t>
      </w:r>
    </w:p>
    <w:p w:rsidR="00F57888" w:rsidRDefault="00F57888" w:rsidP="00F57888">
      <w:pPr>
        <w:pStyle w:val="Bullet1G"/>
        <w:numPr>
          <w:ilvl w:val="0"/>
          <w:numId w:val="0"/>
        </w:numPr>
        <w:ind w:left="1701"/>
      </w:pPr>
      <w:r w:rsidRPr="00495996">
        <w:rPr>
          <w:u w:val="single"/>
        </w:rPr>
        <w:t>Mandate/Terms of reference</w:t>
      </w:r>
      <w:r w:rsidRPr="00495996">
        <w:t xml:space="preserve">: </w:t>
      </w:r>
      <w:r w:rsidR="00D07271" w:rsidRPr="00FD4389">
        <w:t xml:space="preserve">informal document </w:t>
      </w:r>
      <w:r w:rsidR="00962986">
        <w:t xml:space="preserve">INF.22 (thirty-second session) and </w:t>
      </w:r>
      <w:r>
        <w:t xml:space="preserve">report of the Sub-Committee on its </w:t>
      </w:r>
      <w:r w:rsidR="00040C4E">
        <w:t>thirty-second</w:t>
      </w:r>
      <w:r>
        <w:t xml:space="preserve"> </w:t>
      </w:r>
      <w:r w:rsidRPr="0011475D">
        <w:t xml:space="preserve">session (ST/SG/AC.10/C.4/64, paragraph </w:t>
      </w:r>
      <w:r w:rsidR="00962986">
        <w:t>67</w:t>
      </w:r>
      <w:r>
        <w:t>)</w:t>
      </w:r>
    </w:p>
    <w:p w:rsidR="00F57888" w:rsidRPr="00495996" w:rsidRDefault="00F57888" w:rsidP="00F57888">
      <w:pPr>
        <w:pStyle w:val="SingleTxtG"/>
        <w:keepNext/>
        <w:keepLines/>
        <w:ind w:left="1700" w:hanging="566"/>
      </w:pPr>
      <w:r w:rsidRPr="00495996">
        <w:t>(</w:t>
      </w:r>
      <w:r>
        <w:t>f</w:t>
      </w:r>
      <w:r w:rsidRPr="00495996">
        <w:t>)</w:t>
      </w:r>
      <w:r w:rsidRPr="00495996">
        <w:tab/>
        <w:t>Dust explosion hazards</w:t>
      </w:r>
    </w:p>
    <w:p w:rsidR="00F57888" w:rsidRPr="00495996" w:rsidRDefault="00F57888" w:rsidP="00F57888">
      <w:pPr>
        <w:pStyle w:val="SingleTxtG"/>
        <w:keepNext/>
        <w:keepLines/>
      </w:pPr>
      <w:r w:rsidRPr="00495996">
        <w:tab/>
      </w:r>
      <w:r w:rsidRPr="00495996">
        <w:rPr>
          <w:u w:val="single"/>
        </w:rPr>
        <w:t>Lead country</w:t>
      </w:r>
      <w:r w:rsidRPr="00495996">
        <w:t>: United States of America</w:t>
      </w:r>
    </w:p>
    <w:p w:rsidR="00F57888" w:rsidRDefault="00F57888" w:rsidP="00F57888">
      <w:pPr>
        <w:pStyle w:val="Bullet1G"/>
        <w:numPr>
          <w:ilvl w:val="0"/>
          <w:numId w:val="0"/>
        </w:numPr>
        <w:ind w:left="1701"/>
      </w:pPr>
      <w:r w:rsidRPr="00495996">
        <w:rPr>
          <w:u w:val="single"/>
        </w:rPr>
        <w:t>Mandate/Terms of reference</w:t>
      </w:r>
      <w:r w:rsidRPr="00495996">
        <w:t xml:space="preserve">: </w:t>
      </w:r>
      <w:r w:rsidR="00D07271" w:rsidRPr="00FD4389">
        <w:t xml:space="preserve">informal document </w:t>
      </w:r>
      <w:r w:rsidRPr="00CF6199">
        <w:t>INF.</w:t>
      </w:r>
      <w:r w:rsidR="00784600">
        <w:t>23</w:t>
      </w:r>
      <w:r>
        <w:t xml:space="preserve"> (</w:t>
      </w:r>
      <w:r w:rsidR="00040C4E">
        <w:t>thirty-second</w:t>
      </w:r>
      <w:r>
        <w:t xml:space="preserve"> session) and report of the Sub-Committee on its </w:t>
      </w:r>
      <w:r w:rsidR="00D95453">
        <w:t>thirty-second</w:t>
      </w:r>
      <w:r>
        <w:t xml:space="preserve"> </w:t>
      </w:r>
      <w:r w:rsidRPr="0011475D">
        <w:t xml:space="preserve">session (ST/SG/AC.10/C.4/64, paragraph </w:t>
      </w:r>
      <w:r w:rsidR="00784600">
        <w:t>26</w:t>
      </w:r>
      <w:r>
        <w:t>)</w:t>
      </w:r>
    </w:p>
    <w:p w:rsidR="00F57888" w:rsidRDefault="00F57888" w:rsidP="00F57888">
      <w:pPr>
        <w:pStyle w:val="SingleTxtG"/>
      </w:pPr>
      <w:r>
        <w:t>(g)</w:t>
      </w:r>
      <w:r>
        <w:tab/>
        <w:t>Use of non-animal testing methods for classification of health hazards</w:t>
      </w:r>
    </w:p>
    <w:p w:rsidR="00F57888" w:rsidRPr="00495996" w:rsidRDefault="00F57888" w:rsidP="00F57888">
      <w:pPr>
        <w:pStyle w:val="SingleTxtG"/>
      </w:pPr>
      <w:r>
        <w:rPr>
          <w:spacing w:val="-3"/>
          <w:sz w:val="18"/>
          <w:szCs w:val="18"/>
          <w:shd w:val="clear" w:color="auto" w:fill="FFFFFF"/>
        </w:rPr>
        <w:tab/>
      </w:r>
      <w:r>
        <w:rPr>
          <w:u w:val="single"/>
        </w:rPr>
        <w:t>Lead countries</w:t>
      </w:r>
      <w:r w:rsidRPr="00495996">
        <w:t xml:space="preserve">: </w:t>
      </w:r>
      <w:r>
        <w:t>Netherlands and United Kingdom</w:t>
      </w:r>
    </w:p>
    <w:p w:rsidR="00F57888" w:rsidRPr="00495996" w:rsidRDefault="00F57888" w:rsidP="002B01C8">
      <w:pPr>
        <w:pStyle w:val="SingleTxtG"/>
        <w:ind w:left="1701"/>
      </w:pPr>
      <w:r w:rsidRPr="000754F0">
        <w:rPr>
          <w:u w:val="single"/>
        </w:rPr>
        <w:t>Mandate/Terms of reference</w:t>
      </w:r>
      <w:r w:rsidRPr="00495996">
        <w:t xml:space="preserve">: </w:t>
      </w:r>
      <w:r w:rsidR="00FD4389" w:rsidRPr="00FD4389">
        <w:t xml:space="preserve">informal document </w:t>
      </w:r>
      <w:r w:rsidRPr="0030646F">
        <w:t>INF.27/Rev.2 (</w:t>
      </w:r>
      <w:r w:rsidR="00784600">
        <w:t>thirty-first</w:t>
      </w:r>
      <w:r w:rsidR="00784600" w:rsidRPr="0030646F">
        <w:t xml:space="preserve"> </w:t>
      </w:r>
      <w:r w:rsidRPr="0030646F">
        <w:t xml:space="preserve">session) and  report  of the Sub-Committee on its </w:t>
      </w:r>
      <w:r w:rsidR="00D95453">
        <w:t>thirty-first</w:t>
      </w:r>
      <w:r w:rsidRPr="0030646F">
        <w:t xml:space="preserve"> session (ST/SG/AC.10/C.4/62 paragraph </w:t>
      </w:r>
      <w:r w:rsidR="00784600">
        <w:t>3</w:t>
      </w:r>
      <w:r w:rsidR="00784600" w:rsidRPr="0030646F">
        <w:t>6</w:t>
      </w:r>
      <w:r>
        <w:t>)</w:t>
      </w:r>
    </w:p>
    <w:p w:rsidR="00F57888" w:rsidRPr="00495996" w:rsidRDefault="00F57888" w:rsidP="002B01C8">
      <w:pPr>
        <w:pStyle w:val="SingleTxtG"/>
        <w:keepNext/>
        <w:keepLines/>
      </w:pPr>
      <w:r w:rsidRPr="00495996">
        <w:lastRenderedPageBreak/>
        <w:t>(</w:t>
      </w:r>
      <w:r>
        <w:t>h</w:t>
      </w:r>
      <w:r w:rsidRPr="00495996">
        <w:t>)</w:t>
      </w:r>
      <w:r w:rsidRPr="00495996">
        <w:tab/>
        <w:t xml:space="preserve">Practical classification issues </w:t>
      </w:r>
    </w:p>
    <w:p w:rsidR="00F57888" w:rsidRDefault="00F57888" w:rsidP="002B01C8">
      <w:pPr>
        <w:pStyle w:val="SingleTxtG"/>
        <w:keepNext/>
        <w:keepLines/>
        <w:ind w:left="1700"/>
      </w:pPr>
      <w:r w:rsidRPr="00495996">
        <w:rPr>
          <w:u w:val="single"/>
        </w:rPr>
        <w:t>Lead country</w:t>
      </w:r>
      <w:r w:rsidRPr="00495996">
        <w:t>: United States of America</w:t>
      </w:r>
    </w:p>
    <w:p w:rsidR="00D07271" w:rsidRPr="00495996" w:rsidRDefault="00D07271" w:rsidP="002B01C8">
      <w:pPr>
        <w:pStyle w:val="SingleTxtG"/>
        <w:keepNext/>
        <w:keepLines/>
        <w:ind w:left="1700"/>
      </w:pPr>
      <w:r w:rsidRPr="00495996">
        <w:rPr>
          <w:u w:val="single"/>
        </w:rPr>
        <w:t>Focal point</w:t>
      </w:r>
      <w:r w:rsidRPr="00495996">
        <w:t xml:space="preserve">: Informal </w:t>
      </w:r>
      <w:r>
        <w:t xml:space="preserve">correspondence </w:t>
      </w:r>
      <w:r w:rsidRPr="00495996">
        <w:t>group on practical classification issues</w:t>
      </w:r>
    </w:p>
    <w:p w:rsidR="00F57888" w:rsidRPr="00495996" w:rsidRDefault="00F57888" w:rsidP="00F57888">
      <w:pPr>
        <w:pStyle w:val="SingleTxtG"/>
        <w:ind w:left="1701" w:hanging="567"/>
      </w:pPr>
      <w:r w:rsidRPr="00495996">
        <w:tab/>
      </w:r>
      <w:r w:rsidRPr="00D52D19">
        <w:rPr>
          <w:u w:val="single"/>
        </w:rPr>
        <w:t>Mandate/Terms of reference</w:t>
      </w:r>
      <w:r w:rsidRPr="00D52D19">
        <w:t xml:space="preserve">: </w:t>
      </w:r>
      <w:r w:rsidR="00FD4389" w:rsidRPr="00FD4389">
        <w:t xml:space="preserve">informal document </w:t>
      </w:r>
      <w:r w:rsidRPr="00D52D19">
        <w:t>INF.</w:t>
      </w:r>
      <w:r w:rsidRPr="0030646F">
        <w:t xml:space="preserve">39 </w:t>
      </w:r>
      <w:r>
        <w:t>(</w:t>
      </w:r>
      <w:r w:rsidR="00D95453">
        <w:t>thirty-second</w:t>
      </w:r>
      <w:r>
        <w:t xml:space="preserve"> session) </w:t>
      </w:r>
      <w:r w:rsidRPr="0030646F">
        <w:t xml:space="preserve">and </w:t>
      </w:r>
      <w:r>
        <w:t xml:space="preserve">report of the Sub-Committee on its </w:t>
      </w:r>
      <w:r w:rsidR="00D95453">
        <w:t>thirty-second</w:t>
      </w:r>
      <w:r>
        <w:t xml:space="preserve"> </w:t>
      </w:r>
      <w:r w:rsidRPr="0011475D">
        <w:t>session (ST/SG/AC.10/C.4/64, paragraph</w:t>
      </w:r>
      <w:r w:rsidR="00BD6A6D">
        <w:t xml:space="preserve"> 30</w:t>
      </w:r>
      <w:r>
        <w:t>)</w:t>
      </w:r>
    </w:p>
    <w:p w:rsidR="00F57888" w:rsidRPr="00495996" w:rsidRDefault="00F57888" w:rsidP="00F57888">
      <w:pPr>
        <w:pStyle w:val="SingleTxtG"/>
        <w:ind w:left="1700" w:hanging="566"/>
      </w:pPr>
      <w:r w:rsidRPr="00495996">
        <w:t>(</w:t>
      </w:r>
      <w:proofErr w:type="spellStart"/>
      <w:r>
        <w:t>i</w:t>
      </w:r>
      <w:proofErr w:type="spellEnd"/>
      <w:r w:rsidRPr="00495996">
        <w:t>)</w:t>
      </w:r>
      <w:r w:rsidRPr="00495996">
        <w:tab/>
        <w:t>Aspiration hazard</w:t>
      </w:r>
    </w:p>
    <w:p w:rsidR="00F57888" w:rsidRPr="00495996" w:rsidRDefault="00F57888" w:rsidP="00F57888">
      <w:pPr>
        <w:pStyle w:val="SingleTxtG"/>
      </w:pPr>
      <w:r w:rsidRPr="00495996">
        <w:tab/>
      </w:r>
      <w:r w:rsidRPr="00495996">
        <w:rPr>
          <w:u w:val="single"/>
        </w:rPr>
        <w:t>Lead organization</w:t>
      </w:r>
      <w:r w:rsidR="00FA3B0F">
        <w:rPr>
          <w:u w:val="single"/>
        </w:rPr>
        <w:t>s</w:t>
      </w:r>
      <w:r w:rsidRPr="00495996">
        <w:t xml:space="preserve">: </w:t>
      </w:r>
      <w:r w:rsidR="00FA3B0F">
        <w:t xml:space="preserve">IMO and </w:t>
      </w:r>
      <w:r w:rsidRPr="00495996">
        <w:t xml:space="preserve">IPPIC </w:t>
      </w:r>
    </w:p>
    <w:p w:rsidR="00F57888" w:rsidRPr="00495996" w:rsidRDefault="00F57888" w:rsidP="00F57888">
      <w:pPr>
        <w:pStyle w:val="SingleTxtG"/>
        <w:ind w:left="1700"/>
      </w:pPr>
      <w:r w:rsidRPr="00495996">
        <w:rPr>
          <w:u w:val="single"/>
        </w:rPr>
        <w:tab/>
      </w:r>
      <w:r w:rsidRPr="00D52D19">
        <w:rPr>
          <w:u w:val="single"/>
        </w:rPr>
        <w:t>Mandate/Terms of reference:</w:t>
      </w:r>
      <w:r w:rsidRPr="00D52D19">
        <w:t xml:space="preserve"> </w:t>
      </w:r>
      <w:r w:rsidR="00FD4389" w:rsidRPr="00FD4389">
        <w:t xml:space="preserve">informal document </w:t>
      </w:r>
      <w:r w:rsidRPr="00D52D19">
        <w:t xml:space="preserve">INF.33 </w:t>
      </w:r>
      <w:r>
        <w:t>(</w:t>
      </w:r>
      <w:r w:rsidR="00D95453">
        <w:t>thirty-second</w:t>
      </w:r>
      <w:r>
        <w:t xml:space="preserve"> session) </w:t>
      </w:r>
      <w:r w:rsidRPr="00D52D19">
        <w:t xml:space="preserve">and </w:t>
      </w:r>
      <w:r>
        <w:t xml:space="preserve">report of the Sub-Committee on its </w:t>
      </w:r>
      <w:r w:rsidR="00D95453">
        <w:t>thirty-second</w:t>
      </w:r>
      <w:r>
        <w:t xml:space="preserve"> </w:t>
      </w:r>
      <w:r w:rsidRPr="0011475D">
        <w:t>session (ST/SG/AC.10/C.4/64, paragraph</w:t>
      </w:r>
      <w:r w:rsidR="00BD6A6D">
        <w:t xml:space="preserve"> 67</w:t>
      </w:r>
      <w:r>
        <w:t>)</w:t>
      </w:r>
    </w:p>
    <w:p w:rsidR="00F57888" w:rsidRPr="00495996" w:rsidRDefault="00F57888" w:rsidP="00F57888">
      <w:pPr>
        <w:pStyle w:val="SingleTxtG"/>
        <w:keepNext/>
        <w:keepLines/>
      </w:pPr>
      <w:r w:rsidRPr="00495996">
        <w:t>(</w:t>
      </w:r>
      <w:r>
        <w:t>j</w:t>
      </w:r>
      <w:r w:rsidRPr="00495996">
        <w:t>)</w:t>
      </w:r>
      <w:r w:rsidRPr="00495996">
        <w:tab/>
        <w:t>Nanomaterials</w:t>
      </w:r>
    </w:p>
    <w:p w:rsidR="00F57888" w:rsidRPr="00495996" w:rsidRDefault="00F57888" w:rsidP="00D07271">
      <w:pPr>
        <w:pStyle w:val="SingleTxtG"/>
        <w:keepNext/>
        <w:keepLines/>
        <w:ind w:left="1700"/>
      </w:pPr>
      <w:r w:rsidRPr="00495996">
        <w:tab/>
      </w:r>
      <w:r w:rsidRPr="00495996">
        <w:rPr>
          <w:u w:val="single"/>
        </w:rPr>
        <w:t>Lead country</w:t>
      </w:r>
      <w:r w:rsidRPr="00495996">
        <w:t>: France</w:t>
      </w:r>
    </w:p>
    <w:p w:rsidR="00F57888" w:rsidRPr="00495996" w:rsidRDefault="00F57888" w:rsidP="00F57888">
      <w:pPr>
        <w:pStyle w:val="SingleTxtG"/>
        <w:ind w:left="1700"/>
      </w:pPr>
      <w:r w:rsidRPr="00495996">
        <w:tab/>
      </w:r>
      <w:r w:rsidRPr="00D52D19">
        <w:rPr>
          <w:u w:val="single"/>
        </w:rPr>
        <w:t>Mandate/Terms of reference</w:t>
      </w:r>
      <w:r w:rsidRPr="00D52D19">
        <w:t xml:space="preserve">: </w:t>
      </w:r>
      <w:r w:rsidR="001524C5" w:rsidRPr="00FD4389">
        <w:t xml:space="preserve">informal document </w:t>
      </w:r>
      <w:r w:rsidRPr="0030646F">
        <w:t>INF.27</w:t>
      </w:r>
      <w:r>
        <w:t xml:space="preserve"> (</w:t>
      </w:r>
      <w:r w:rsidR="00967C78">
        <w:t>thirty-second session</w:t>
      </w:r>
      <w:r>
        <w:t>)</w:t>
      </w:r>
      <w:r w:rsidRPr="00D52D19">
        <w:t xml:space="preserve"> and </w:t>
      </w:r>
      <w:r>
        <w:t xml:space="preserve">report of the Sub-Committee on its </w:t>
      </w:r>
      <w:r w:rsidR="00D95453">
        <w:t>thirty-second</w:t>
      </w:r>
      <w:r>
        <w:t xml:space="preserve"> </w:t>
      </w:r>
      <w:r w:rsidRPr="0011475D">
        <w:t xml:space="preserve">session (ST/SG/AC.10/C.4/64, paragraph </w:t>
      </w:r>
      <w:r w:rsidR="00BD6A6D">
        <w:t>32</w:t>
      </w:r>
      <w:r>
        <w:t>)</w:t>
      </w:r>
    </w:p>
    <w:p w:rsidR="00F57888" w:rsidRPr="00495996" w:rsidRDefault="00F57888" w:rsidP="00040C4E">
      <w:pPr>
        <w:pStyle w:val="H23G"/>
      </w:pPr>
      <w:r w:rsidRPr="00495996">
        <w:tab/>
        <w:t xml:space="preserve">2. </w:t>
      </w:r>
      <w:r w:rsidRPr="00495996">
        <w:tab/>
        <w:t>Hazard communication issues</w:t>
      </w:r>
      <w:r>
        <w:t>, including:</w:t>
      </w:r>
    </w:p>
    <w:p w:rsidR="00F57888" w:rsidRPr="00495996" w:rsidRDefault="00F57888" w:rsidP="00F57888">
      <w:pPr>
        <w:pStyle w:val="SingleTxtG"/>
        <w:keepNext/>
        <w:keepLines/>
      </w:pPr>
      <w:r w:rsidRPr="00495996">
        <w:t>(</w:t>
      </w:r>
      <w:r>
        <w:t>a</w:t>
      </w:r>
      <w:r w:rsidRPr="00495996">
        <w:t>)</w:t>
      </w:r>
      <w:r w:rsidRPr="00495996">
        <w:tab/>
        <w:t xml:space="preserve">Labelling of small </w:t>
      </w:r>
      <w:proofErr w:type="spellStart"/>
      <w:r w:rsidRPr="00495996">
        <w:t>packagings</w:t>
      </w:r>
      <w:proofErr w:type="spellEnd"/>
    </w:p>
    <w:p w:rsidR="00F57888" w:rsidRPr="00495996" w:rsidRDefault="00F57888" w:rsidP="00F57888">
      <w:pPr>
        <w:pStyle w:val="SingleTxtG"/>
        <w:keepNext/>
        <w:keepLines/>
        <w:ind w:left="1700"/>
      </w:pPr>
      <w:r w:rsidRPr="00495996">
        <w:rPr>
          <w:u w:val="single"/>
        </w:rPr>
        <w:t>Lead organization</w:t>
      </w:r>
      <w:r w:rsidRPr="00495996">
        <w:t>: CEFIC</w:t>
      </w:r>
    </w:p>
    <w:p w:rsidR="00F57888" w:rsidRPr="00495996" w:rsidRDefault="00F57888" w:rsidP="00F57888">
      <w:pPr>
        <w:pStyle w:val="SingleTxtG"/>
        <w:keepNext/>
        <w:keepLines/>
        <w:ind w:left="1700"/>
      </w:pPr>
      <w:r w:rsidRPr="00D52D19">
        <w:rPr>
          <w:u w:val="single"/>
        </w:rPr>
        <w:t>Mandate/Terms of reference</w:t>
      </w:r>
      <w:r w:rsidRPr="00D52D19">
        <w:t xml:space="preserve">: </w:t>
      </w:r>
      <w:r>
        <w:t xml:space="preserve">report of the Sub-Committee on its </w:t>
      </w:r>
      <w:r w:rsidR="00D95453">
        <w:t>thirty-second</w:t>
      </w:r>
      <w:r>
        <w:t xml:space="preserve"> </w:t>
      </w:r>
      <w:r w:rsidRPr="0011475D">
        <w:t xml:space="preserve">session (ST/SG/AC.10/C.4/64, paragraph </w:t>
      </w:r>
      <w:r w:rsidR="00BD6A6D">
        <w:t>38</w:t>
      </w:r>
      <w:r>
        <w:t>)</w:t>
      </w:r>
    </w:p>
    <w:p w:rsidR="00F57888" w:rsidRPr="00495996" w:rsidRDefault="00F57888" w:rsidP="001C6A3E">
      <w:pPr>
        <w:pStyle w:val="SingleTxtG"/>
        <w:keepLines/>
        <w:ind w:left="1701" w:hanging="567"/>
      </w:pPr>
      <w:r>
        <w:t>(b)</w:t>
      </w:r>
      <w:r>
        <w:tab/>
        <w:t>Improvement of A</w:t>
      </w:r>
      <w:r w:rsidRPr="00495996">
        <w:t>nnexes 1</w:t>
      </w:r>
      <w:r w:rsidR="001C6A3E">
        <w:t xml:space="preserve"> to </w:t>
      </w:r>
      <w:r w:rsidRPr="00495996">
        <w:t>3 and further rationali</w:t>
      </w:r>
      <w:r>
        <w:t>z</w:t>
      </w:r>
      <w:r w:rsidRPr="00495996">
        <w:t>ation of precautionary statements</w:t>
      </w:r>
    </w:p>
    <w:p w:rsidR="00F57888" w:rsidRPr="00495996" w:rsidRDefault="00F57888" w:rsidP="00F57888">
      <w:pPr>
        <w:pStyle w:val="SingleTxtG"/>
      </w:pPr>
      <w:r w:rsidRPr="00495996">
        <w:tab/>
      </w:r>
      <w:r w:rsidRPr="00495996">
        <w:rPr>
          <w:u w:val="single"/>
        </w:rPr>
        <w:t>Lead country</w:t>
      </w:r>
      <w:r w:rsidRPr="00495996">
        <w:t>: United Kingdom</w:t>
      </w:r>
    </w:p>
    <w:p w:rsidR="00F57888" w:rsidRDefault="00F57888" w:rsidP="00F57888">
      <w:pPr>
        <w:pStyle w:val="SingleTxtG"/>
        <w:ind w:left="1700"/>
      </w:pPr>
      <w:r w:rsidRPr="00495996">
        <w:tab/>
      </w:r>
      <w:r w:rsidRPr="00D52D19">
        <w:rPr>
          <w:u w:val="single"/>
        </w:rPr>
        <w:t>Mandate/Terms of reference</w:t>
      </w:r>
      <w:r w:rsidRPr="00D52D19">
        <w:t xml:space="preserve">: </w:t>
      </w:r>
      <w:r w:rsidR="001524C5" w:rsidRPr="00FD4389">
        <w:t xml:space="preserve">informal document </w:t>
      </w:r>
      <w:r w:rsidRPr="00D52D19">
        <w:t>INF.</w:t>
      </w:r>
      <w:r w:rsidR="00BD6A6D">
        <w:t>12</w:t>
      </w:r>
      <w:r w:rsidRPr="00D52D19">
        <w:t xml:space="preserve">/Rev.1 </w:t>
      </w:r>
      <w:r>
        <w:t>(</w:t>
      </w:r>
      <w:r w:rsidR="008A2F4F">
        <w:t>thirty-second session</w:t>
      </w:r>
      <w:r>
        <w:t xml:space="preserve">) </w:t>
      </w:r>
      <w:r w:rsidRPr="00D52D19">
        <w:t xml:space="preserve">and </w:t>
      </w:r>
      <w:r>
        <w:t xml:space="preserve">report of the Sub-Committee on its </w:t>
      </w:r>
      <w:r w:rsidR="00D95453">
        <w:t>thirty-second</w:t>
      </w:r>
      <w:r>
        <w:t xml:space="preserve"> </w:t>
      </w:r>
      <w:r w:rsidRPr="0011475D">
        <w:t xml:space="preserve">session (ST/SG/AC.10/C.4/64, paragraph </w:t>
      </w:r>
      <w:r w:rsidR="00A47B22">
        <w:t>41</w:t>
      </w:r>
      <w:r>
        <w:t>)</w:t>
      </w:r>
    </w:p>
    <w:p w:rsidR="00FA3B0F" w:rsidRPr="00495996" w:rsidRDefault="00FA3B0F" w:rsidP="00FA3B0F">
      <w:pPr>
        <w:pStyle w:val="SingleTxtG"/>
        <w:keepNext/>
        <w:keepLines/>
      </w:pPr>
      <w:r w:rsidRPr="00495996">
        <w:t>(</w:t>
      </w:r>
      <w:r>
        <w:t>c</w:t>
      </w:r>
      <w:r w:rsidRPr="00495996">
        <w:t>)</w:t>
      </w:r>
      <w:r w:rsidRPr="00495996">
        <w:tab/>
      </w:r>
      <w:r>
        <w:t>Review of Annex 4, sub-section A4.3.3.2.3</w:t>
      </w:r>
    </w:p>
    <w:p w:rsidR="00FA3B0F" w:rsidRPr="00495996" w:rsidRDefault="00FA3B0F" w:rsidP="00FA3B0F">
      <w:pPr>
        <w:pStyle w:val="SingleTxtG"/>
        <w:keepNext/>
        <w:keepLines/>
        <w:ind w:left="1700"/>
      </w:pPr>
      <w:r w:rsidRPr="00495996">
        <w:rPr>
          <w:u w:val="single"/>
        </w:rPr>
        <w:t>Lead organization</w:t>
      </w:r>
      <w:r w:rsidRPr="00495996">
        <w:t>: CEFIC</w:t>
      </w:r>
    </w:p>
    <w:p w:rsidR="00FA3B0F" w:rsidRPr="00495996" w:rsidRDefault="00FA3B0F" w:rsidP="00BB2C5C">
      <w:pPr>
        <w:pStyle w:val="SingleTxtG"/>
        <w:keepNext/>
        <w:keepLines/>
        <w:ind w:left="1700"/>
      </w:pPr>
      <w:r w:rsidRPr="00D52D19">
        <w:rPr>
          <w:u w:val="single"/>
        </w:rPr>
        <w:t>Mandate/Terms of reference</w:t>
      </w:r>
      <w:r w:rsidRPr="00D52D19">
        <w:t xml:space="preserve">: </w:t>
      </w:r>
      <w:r>
        <w:t xml:space="preserve">report of the Sub-Committee on its </w:t>
      </w:r>
      <w:r w:rsidR="00D95453">
        <w:t>thirty-second</w:t>
      </w:r>
      <w:r>
        <w:t xml:space="preserve"> </w:t>
      </w:r>
      <w:r w:rsidRPr="0011475D">
        <w:t xml:space="preserve">session (ST/SG/AC.10/C.4/64, paragraph </w:t>
      </w:r>
      <w:r w:rsidR="00A47B22">
        <w:t>48</w:t>
      </w:r>
      <w:r>
        <w:t>)</w:t>
      </w:r>
    </w:p>
    <w:p w:rsidR="00F57888" w:rsidRPr="00495996" w:rsidRDefault="00F57888" w:rsidP="00040C4E">
      <w:pPr>
        <w:pStyle w:val="H23G"/>
      </w:pPr>
      <w:r w:rsidRPr="00495996">
        <w:tab/>
        <w:t xml:space="preserve">3. </w:t>
      </w:r>
      <w:r w:rsidRPr="00495996">
        <w:tab/>
        <w:t>Implementation issues</w:t>
      </w:r>
      <w:r>
        <w:t>, including</w:t>
      </w:r>
      <w:r w:rsidR="00040C4E">
        <w:t>:</w:t>
      </w:r>
    </w:p>
    <w:p w:rsidR="00F57888" w:rsidRPr="00495996" w:rsidRDefault="00F57888" w:rsidP="00F57888">
      <w:pPr>
        <w:pStyle w:val="SingleTxtG"/>
        <w:keepNext/>
        <w:keepLines/>
        <w:ind w:left="1700" w:hanging="566"/>
      </w:pPr>
      <w:r w:rsidRPr="00495996">
        <w:t>(a)</w:t>
      </w:r>
      <w:r w:rsidRPr="00495996">
        <w:tab/>
        <w:t>Assessing the possible development of a list of chemicals classified in accordance with the GHS</w:t>
      </w:r>
    </w:p>
    <w:p w:rsidR="00F57888" w:rsidRPr="00495996" w:rsidRDefault="00F57888" w:rsidP="00F57888">
      <w:pPr>
        <w:pStyle w:val="SingleTxtG"/>
        <w:keepNext/>
        <w:keepLines/>
        <w:ind w:left="1701"/>
      </w:pPr>
      <w:r w:rsidRPr="00495996">
        <w:rPr>
          <w:u w:val="single"/>
        </w:rPr>
        <w:t>Lead country</w:t>
      </w:r>
      <w:r w:rsidRPr="00495996">
        <w:t>: United States of America</w:t>
      </w:r>
    </w:p>
    <w:p w:rsidR="00F57888" w:rsidRPr="00495996" w:rsidRDefault="00F57888" w:rsidP="00F57888">
      <w:pPr>
        <w:pStyle w:val="SingleTxtG"/>
        <w:keepNext/>
        <w:keepLines/>
        <w:ind w:left="1701"/>
      </w:pPr>
      <w:r w:rsidRPr="00B06ACC">
        <w:rPr>
          <w:u w:val="single"/>
        </w:rPr>
        <w:t>Mandate/Terms of reference</w:t>
      </w:r>
      <w:r w:rsidRPr="00B06ACC">
        <w:t xml:space="preserve">: </w:t>
      </w:r>
      <w:r w:rsidR="001524C5" w:rsidRPr="00FD4389">
        <w:t xml:space="preserve">informal document </w:t>
      </w:r>
      <w:r w:rsidRPr="00B06ACC">
        <w:t>INF.</w:t>
      </w:r>
      <w:r w:rsidRPr="0030646F">
        <w:t>40</w:t>
      </w:r>
      <w:r w:rsidRPr="00B06ACC">
        <w:t xml:space="preserve"> </w:t>
      </w:r>
      <w:r>
        <w:t>(</w:t>
      </w:r>
      <w:r w:rsidR="00D95453">
        <w:t>thirty-second</w:t>
      </w:r>
      <w:r>
        <w:t xml:space="preserve"> session) </w:t>
      </w:r>
      <w:r w:rsidRPr="00B06ACC">
        <w:t xml:space="preserve">and </w:t>
      </w:r>
      <w:r>
        <w:t xml:space="preserve">report of the Sub-Committee on its </w:t>
      </w:r>
      <w:r w:rsidR="00D95453">
        <w:t>thirty-second</w:t>
      </w:r>
      <w:r>
        <w:t xml:space="preserve"> </w:t>
      </w:r>
      <w:r w:rsidRPr="0011475D">
        <w:t xml:space="preserve">session (ST/SG/AC.10/C.4/64, paragraph </w:t>
      </w:r>
      <w:r w:rsidR="00A47B22">
        <w:t>53</w:t>
      </w:r>
      <w:r>
        <w:t>)</w:t>
      </w:r>
      <w:r w:rsidRPr="0011475D">
        <w:t>.</w:t>
      </w:r>
    </w:p>
    <w:p w:rsidR="00F57888" w:rsidRPr="00495996" w:rsidRDefault="00F57888" w:rsidP="00F57888">
      <w:pPr>
        <w:pStyle w:val="SingleTxtG"/>
        <w:ind w:left="1700" w:hanging="566"/>
      </w:pPr>
      <w:r w:rsidRPr="00495996">
        <w:t>(b)</w:t>
      </w:r>
      <w:r w:rsidRPr="00495996">
        <w:tab/>
        <w:t>Facilitate the coordinated implementation of the GHS in countries and monitor the status of implementation of the GHS</w:t>
      </w:r>
    </w:p>
    <w:p w:rsidR="00F57888" w:rsidRPr="00495996" w:rsidRDefault="00F57888" w:rsidP="00F57888">
      <w:pPr>
        <w:pStyle w:val="SingleTxtG"/>
        <w:ind w:left="1700" w:hanging="566"/>
      </w:pPr>
      <w:r w:rsidRPr="00495996">
        <w:lastRenderedPageBreak/>
        <w:t>(c)</w:t>
      </w:r>
      <w:r w:rsidRPr="00495996">
        <w:tab/>
        <w:t xml:space="preserve">Cooperate with other bodies or international organizations responsible for the administration of international agreements and conventions dealing with the management of chemicals </w:t>
      </w:r>
      <w:r w:rsidR="00BB2C5C" w:rsidRPr="00495996">
        <w:t>to</w:t>
      </w:r>
      <w:r w:rsidRPr="00495996">
        <w:t xml:space="preserve"> give effect to the GHS through such instruments</w:t>
      </w:r>
    </w:p>
    <w:p w:rsidR="00F57888" w:rsidRPr="00495996" w:rsidRDefault="00F57888" w:rsidP="000D3B41">
      <w:pPr>
        <w:pStyle w:val="H23G"/>
      </w:pPr>
      <w:r w:rsidRPr="00495996">
        <w:tab/>
        <w:t>4.</w:t>
      </w:r>
      <w:r w:rsidRPr="00495996">
        <w:tab/>
        <w:t>Guidance on the application of the GHS criteria</w:t>
      </w:r>
      <w:r>
        <w:t>, including</w:t>
      </w:r>
      <w:r w:rsidR="00040C4E">
        <w:t>:</w:t>
      </w:r>
    </w:p>
    <w:p w:rsidR="00F57888" w:rsidRPr="00495996" w:rsidRDefault="00F57888" w:rsidP="000D3B41">
      <w:pPr>
        <w:pStyle w:val="SingleTxtG"/>
        <w:keepNext/>
        <w:keepLines/>
        <w:ind w:left="1700" w:hanging="566"/>
      </w:pPr>
      <w:r w:rsidRPr="00495996">
        <w:t>(a)</w:t>
      </w:r>
      <w:r w:rsidRPr="00495996">
        <w:tab/>
        <w:t>Development of examples illustrating application of criteria and any related hazard communication issues, as needed</w:t>
      </w:r>
    </w:p>
    <w:p w:rsidR="00F57888" w:rsidRDefault="00F57888" w:rsidP="000D3B41">
      <w:pPr>
        <w:pStyle w:val="SingleTxtG"/>
        <w:keepNext/>
        <w:keepLines/>
        <w:ind w:left="1700"/>
      </w:pPr>
      <w:r w:rsidRPr="00495996">
        <w:rPr>
          <w:u w:val="single"/>
        </w:rPr>
        <w:t>Lead country</w:t>
      </w:r>
      <w:r w:rsidRPr="00495996">
        <w:t>: United States of America</w:t>
      </w:r>
    </w:p>
    <w:p w:rsidR="001C6A3E" w:rsidRPr="00495996" w:rsidRDefault="001C6A3E" w:rsidP="000D3B41">
      <w:pPr>
        <w:pStyle w:val="SingleTxtG"/>
        <w:keepNext/>
        <w:keepLines/>
        <w:ind w:left="1700"/>
      </w:pPr>
      <w:r w:rsidRPr="00495996">
        <w:rPr>
          <w:u w:val="single"/>
        </w:rPr>
        <w:t>Focal point</w:t>
      </w:r>
      <w:r w:rsidRPr="00495996">
        <w:t>: Informal correspondence group on practical classification issues</w:t>
      </w:r>
    </w:p>
    <w:p w:rsidR="00F57888" w:rsidRPr="00495996" w:rsidRDefault="00F57888" w:rsidP="00F57888">
      <w:pPr>
        <w:pStyle w:val="SingleTxtG"/>
        <w:ind w:left="1700"/>
      </w:pPr>
      <w:r w:rsidRPr="007D0FB9">
        <w:rPr>
          <w:u w:val="single"/>
        </w:rPr>
        <w:t>Mandate/Terms of reference</w:t>
      </w:r>
      <w:r w:rsidRPr="007D0FB9">
        <w:t xml:space="preserve">: </w:t>
      </w:r>
      <w:r w:rsidR="001524C5" w:rsidRPr="00FD4389">
        <w:t xml:space="preserve">informal document </w:t>
      </w:r>
      <w:r w:rsidRPr="007D0FB9">
        <w:t>INF.</w:t>
      </w:r>
      <w:r w:rsidRPr="0030646F">
        <w:t>39</w:t>
      </w:r>
      <w:r w:rsidRPr="007D0FB9">
        <w:t xml:space="preserve"> </w:t>
      </w:r>
      <w:r w:rsidRPr="0030646F">
        <w:t>(</w:t>
      </w:r>
      <w:r w:rsidR="00D95453">
        <w:t>thirty-second</w:t>
      </w:r>
      <w:r w:rsidR="00D95453" w:rsidRPr="0030646F" w:rsidDel="00D95453">
        <w:t xml:space="preserve"> </w:t>
      </w:r>
      <w:r w:rsidRPr="0030646F">
        <w:t xml:space="preserve">session) </w:t>
      </w:r>
      <w:r w:rsidRPr="007D0FB9">
        <w:t>and paragraph</w:t>
      </w:r>
      <w:r w:rsidR="00A47B22">
        <w:t xml:space="preserve"> 30</w:t>
      </w:r>
      <w:r w:rsidRPr="0030646F">
        <w:t xml:space="preserve"> of the </w:t>
      </w:r>
      <w:r w:rsidR="00D95453">
        <w:t>report of the Sub-Committee on its thirty-second session</w:t>
      </w:r>
      <w:r w:rsidR="001C6A3E">
        <w:t xml:space="preserve"> </w:t>
      </w:r>
      <w:r w:rsidR="001C6A3E" w:rsidRPr="00A27E31">
        <w:rPr>
          <w:lang w:val="en-US"/>
        </w:rPr>
        <w:t>(ST/SG/AC.10/C.4/64, paragraph 30)</w:t>
      </w:r>
      <w:r w:rsidRPr="007D0FB9">
        <w:t>.</w:t>
      </w:r>
    </w:p>
    <w:p w:rsidR="00F57888" w:rsidRPr="00495996" w:rsidRDefault="00F57888" w:rsidP="00F57888">
      <w:pPr>
        <w:pStyle w:val="SingleTxtG"/>
        <w:ind w:left="1700" w:hanging="566"/>
      </w:pPr>
      <w:r w:rsidRPr="00495996">
        <w:t xml:space="preserve">(b) </w:t>
      </w:r>
      <w:r w:rsidRPr="00495996">
        <w:tab/>
        <w:t>Alignment of guidance in Annex 9 (section A9.7) and Annex 10 of the GHS with the criteria in Chapter 4.1</w:t>
      </w:r>
    </w:p>
    <w:p w:rsidR="00F57888" w:rsidRPr="00495996" w:rsidRDefault="00F57888" w:rsidP="00F57888">
      <w:pPr>
        <w:pStyle w:val="SingleTxtG"/>
        <w:ind w:left="1701"/>
      </w:pPr>
      <w:r w:rsidRPr="00495996">
        <w:rPr>
          <w:u w:val="single"/>
        </w:rPr>
        <w:t>Lead organization</w:t>
      </w:r>
      <w:r w:rsidRPr="00495996">
        <w:t>: ICMM</w:t>
      </w:r>
    </w:p>
    <w:p w:rsidR="00F57888" w:rsidRPr="00495996" w:rsidRDefault="00F57888" w:rsidP="00F57888">
      <w:pPr>
        <w:pStyle w:val="SingleTxtG"/>
        <w:ind w:left="1701"/>
      </w:pPr>
      <w:r w:rsidRPr="00E96989">
        <w:rPr>
          <w:u w:val="single"/>
        </w:rPr>
        <w:t>Mandate/Terms of reference</w:t>
      </w:r>
      <w:r w:rsidRPr="00E96989">
        <w:t xml:space="preserve">: </w:t>
      </w:r>
      <w:r w:rsidR="001524C5" w:rsidRPr="00FD4389">
        <w:t xml:space="preserve">informal document </w:t>
      </w:r>
      <w:r w:rsidRPr="00E96989">
        <w:t>INF.</w:t>
      </w:r>
      <w:r w:rsidRPr="0030646F">
        <w:t>25</w:t>
      </w:r>
      <w:r>
        <w:t xml:space="preserve"> </w:t>
      </w:r>
      <w:r w:rsidRPr="0030646F">
        <w:t>(24th session)</w:t>
      </w:r>
      <w:r w:rsidRPr="00E96989">
        <w:t xml:space="preserve"> and </w:t>
      </w:r>
      <w:r>
        <w:t xml:space="preserve">report of the Sub-Committee on its </w:t>
      </w:r>
      <w:r w:rsidR="00D95453">
        <w:t>thirty-second</w:t>
      </w:r>
      <w:r>
        <w:t xml:space="preserve"> </w:t>
      </w:r>
      <w:r w:rsidRPr="0011475D">
        <w:t>session (ST/SG/AC.10/C.4/64, paragraph</w:t>
      </w:r>
      <w:r w:rsidR="00561B73">
        <w:t> </w:t>
      </w:r>
      <w:r w:rsidR="00BC2A4A">
        <w:t>66</w:t>
      </w:r>
      <w:r>
        <w:t>)</w:t>
      </w:r>
      <w:r w:rsidRPr="0011475D">
        <w:t>.</w:t>
      </w:r>
    </w:p>
    <w:p w:rsidR="00F57888" w:rsidRPr="00495996" w:rsidRDefault="00F57888" w:rsidP="00040C4E">
      <w:pPr>
        <w:pStyle w:val="H23G"/>
      </w:pPr>
      <w:r w:rsidRPr="00495996">
        <w:tab/>
        <w:t xml:space="preserve">5. </w:t>
      </w:r>
      <w:r w:rsidRPr="00495996">
        <w:tab/>
        <w:t>Capacity building</w:t>
      </w:r>
      <w:r w:rsidR="002D307D">
        <w:t>, including:</w:t>
      </w:r>
    </w:p>
    <w:p w:rsidR="00F57888" w:rsidRPr="00495996" w:rsidRDefault="00F57888" w:rsidP="00F57888">
      <w:pPr>
        <w:pStyle w:val="SingleTxtG"/>
        <w:ind w:left="1700" w:hanging="566"/>
      </w:pPr>
      <w:r w:rsidRPr="00495996">
        <w:t>(a)</w:t>
      </w:r>
      <w:r w:rsidRPr="00495996">
        <w:tab/>
        <w:t>Review reports on training and capacity-building activities</w:t>
      </w:r>
    </w:p>
    <w:p w:rsidR="007B07A6" w:rsidRDefault="00F57888" w:rsidP="00F57888">
      <w:pPr>
        <w:pStyle w:val="SingleTxtG"/>
        <w:ind w:left="1700" w:hanging="566"/>
      </w:pPr>
      <w:r w:rsidRPr="00495996">
        <w:t>(b)</w:t>
      </w:r>
      <w:r w:rsidRPr="00495996">
        <w:tab/>
        <w:t>Provide assistance to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p>
    <w:p w:rsidR="00F57888" w:rsidRDefault="007B07A6" w:rsidP="007B07A6">
      <w:pPr>
        <w:pStyle w:val="SingleTxtG"/>
        <w:spacing w:before="240" w:after="0"/>
        <w:jc w:val="center"/>
      </w:pPr>
      <w:r>
        <w:rPr>
          <w:u w:val="single"/>
        </w:rPr>
        <w:tab/>
      </w:r>
      <w:r>
        <w:rPr>
          <w:u w:val="single"/>
        </w:rPr>
        <w:tab/>
      </w:r>
      <w:r>
        <w:rPr>
          <w:u w:val="single"/>
        </w:rPr>
        <w:tab/>
      </w:r>
    </w:p>
    <w:p w:rsidR="00F57888" w:rsidRPr="00F57888" w:rsidRDefault="00F57888" w:rsidP="00F57888">
      <w:pPr>
        <w:rPr>
          <w:rFonts w:eastAsia="MS Mincho"/>
          <w:lang w:eastAsia="ja-JP"/>
        </w:rPr>
      </w:pPr>
    </w:p>
    <w:sectPr w:rsidR="00F57888" w:rsidRPr="00F57888" w:rsidSect="000C15C6">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E2" w:rsidRDefault="000A19E2"/>
  </w:endnote>
  <w:endnote w:type="continuationSeparator" w:id="0">
    <w:p w:rsidR="000A19E2" w:rsidRDefault="000A19E2"/>
  </w:endnote>
  <w:endnote w:type="continuationNotice" w:id="1">
    <w:p w:rsidR="000A19E2" w:rsidRDefault="000A1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A2" w:rsidRPr="000C15C6" w:rsidRDefault="000C49A2" w:rsidP="000C15C6">
    <w:pPr>
      <w:pStyle w:val="Footer"/>
      <w:tabs>
        <w:tab w:val="right" w:pos="9638"/>
      </w:tabs>
      <w:rPr>
        <w:sz w:val="18"/>
      </w:rPr>
    </w:pPr>
    <w:r w:rsidRPr="000C15C6">
      <w:rPr>
        <w:b/>
        <w:sz w:val="18"/>
      </w:rPr>
      <w:fldChar w:fldCharType="begin"/>
    </w:r>
    <w:r w:rsidRPr="000C15C6">
      <w:rPr>
        <w:b/>
        <w:sz w:val="18"/>
      </w:rPr>
      <w:instrText xml:space="preserve"> PAGE  \* MERGEFORMAT </w:instrText>
    </w:r>
    <w:r w:rsidRPr="000C15C6">
      <w:rPr>
        <w:b/>
        <w:sz w:val="18"/>
      </w:rPr>
      <w:fldChar w:fldCharType="separate"/>
    </w:r>
    <w:r w:rsidR="005D65BF">
      <w:rPr>
        <w:b/>
        <w:noProof/>
        <w:sz w:val="18"/>
      </w:rPr>
      <w:t>20</w:t>
    </w:r>
    <w:r w:rsidRPr="000C15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A2" w:rsidRPr="000C15C6" w:rsidRDefault="000C49A2" w:rsidP="000C15C6">
    <w:pPr>
      <w:pStyle w:val="Footer"/>
      <w:tabs>
        <w:tab w:val="right" w:pos="9638"/>
      </w:tabs>
      <w:rPr>
        <w:b/>
        <w:sz w:val="18"/>
      </w:rPr>
    </w:pPr>
    <w:r>
      <w:tab/>
    </w:r>
    <w:r w:rsidRPr="000C15C6">
      <w:rPr>
        <w:b/>
        <w:sz w:val="18"/>
      </w:rPr>
      <w:fldChar w:fldCharType="begin"/>
    </w:r>
    <w:r w:rsidRPr="000C15C6">
      <w:rPr>
        <w:b/>
        <w:sz w:val="18"/>
      </w:rPr>
      <w:instrText xml:space="preserve"> PAGE  \* MERGEFORMAT </w:instrText>
    </w:r>
    <w:r w:rsidRPr="000C15C6">
      <w:rPr>
        <w:b/>
        <w:sz w:val="18"/>
      </w:rPr>
      <w:fldChar w:fldCharType="separate"/>
    </w:r>
    <w:r w:rsidR="005D65BF">
      <w:rPr>
        <w:b/>
        <w:noProof/>
        <w:sz w:val="18"/>
      </w:rPr>
      <w:t>21</w:t>
    </w:r>
    <w:r w:rsidRPr="000C15C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E2" w:rsidRPr="000B175B" w:rsidRDefault="000A19E2" w:rsidP="000B175B">
      <w:pPr>
        <w:tabs>
          <w:tab w:val="right" w:pos="2155"/>
        </w:tabs>
        <w:spacing w:after="80"/>
        <w:ind w:left="680"/>
        <w:rPr>
          <w:u w:val="single"/>
        </w:rPr>
      </w:pPr>
      <w:r>
        <w:rPr>
          <w:u w:val="single"/>
        </w:rPr>
        <w:tab/>
      </w:r>
    </w:p>
  </w:footnote>
  <w:footnote w:type="continuationSeparator" w:id="0">
    <w:p w:rsidR="000A19E2" w:rsidRPr="00FC68B7" w:rsidRDefault="000A19E2" w:rsidP="00FC68B7">
      <w:pPr>
        <w:tabs>
          <w:tab w:val="left" w:pos="2155"/>
        </w:tabs>
        <w:spacing w:after="80"/>
        <w:ind w:left="680"/>
        <w:rPr>
          <w:u w:val="single"/>
        </w:rPr>
      </w:pPr>
      <w:r>
        <w:rPr>
          <w:u w:val="single"/>
        </w:rPr>
        <w:tab/>
      </w:r>
    </w:p>
  </w:footnote>
  <w:footnote w:type="continuationNotice" w:id="1">
    <w:p w:rsidR="000A19E2" w:rsidRDefault="000A19E2"/>
  </w:footnote>
  <w:footnote w:id="2">
    <w:p w:rsidR="000C49A2" w:rsidRPr="00A27E31" w:rsidRDefault="000C49A2" w:rsidP="004A4C65">
      <w:pPr>
        <w:pStyle w:val="FootnoteText"/>
      </w:pPr>
      <w:r>
        <w:tab/>
      </w:r>
      <w:r>
        <w:rPr>
          <w:rStyle w:val="FootnoteReference"/>
        </w:rPr>
        <w:footnoteRef/>
      </w:r>
      <w:r>
        <w:t xml:space="preserve"> </w:t>
      </w:r>
      <w:r>
        <w:tab/>
      </w:r>
      <w:r w:rsidRPr="00DC1EEB">
        <w:t>http://www.unece.org/trans/danger/publi/ghs/implementation_e.html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A2" w:rsidRPr="000C15C6" w:rsidRDefault="000C49A2">
    <w:pPr>
      <w:pStyle w:val="Header"/>
    </w:pPr>
    <w:r>
      <w:t>ST/SG/AC.10/C.4/64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A2" w:rsidRPr="000C15C6" w:rsidRDefault="000C49A2" w:rsidP="000C15C6">
    <w:pPr>
      <w:pStyle w:val="Header"/>
      <w:jc w:val="right"/>
    </w:pPr>
    <w:r>
      <w:t>ST/SG/AC.10/C.4/64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es-ES" w:vendorID="64" w:dllVersion="0" w:nlCheck="1" w:checkStyle="1"/>
  <w:activeWritingStyle w:appName="MSWord" w:lang="en-US" w:vendorID="64" w:dllVersion="131078" w:nlCheck="1" w:checkStyle="0"/>
  <w:activeWritingStyle w:appName="MSWord" w:lang="fr-CH" w:vendorID="64" w:dllVersion="131078"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C6"/>
    <w:rsid w:val="000163AB"/>
    <w:rsid w:val="00020E48"/>
    <w:rsid w:val="00040C4E"/>
    <w:rsid w:val="00040ECA"/>
    <w:rsid w:val="000422A7"/>
    <w:rsid w:val="0004324E"/>
    <w:rsid w:val="00047351"/>
    <w:rsid w:val="00050F6B"/>
    <w:rsid w:val="00052065"/>
    <w:rsid w:val="000547A7"/>
    <w:rsid w:val="00057FD8"/>
    <w:rsid w:val="00067F09"/>
    <w:rsid w:val="00072A56"/>
    <w:rsid w:val="00072C8C"/>
    <w:rsid w:val="00081B78"/>
    <w:rsid w:val="00091419"/>
    <w:rsid w:val="000931C0"/>
    <w:rsid w:val="000952EC"/>
    <w:rsid w:val="000A19E2"/>
    <w:rsid w:val="000A321A"/>
    <w:rsid w:val="000A5D88"/>
    <w:rsid w:val="000B175B"/>
    <w:rsid w:val="000B3691"/>
    <w:rsid w:val="000B3A0F"/>
    <w:rsid w:val="000C0C15"/>
    <w:rsid w:val="000C15C6"/>
    <w:rsid w:val="000C3692"/>
    <w:rsid w:val="000C49A2"/>
    <w:rsid w:val="000D0C89"/>
    <w:rsid w:val="000D3B41"/>
    <w:rsid w:val="000D6674"/>
    <w:rsid w:val="000E0415"/>
    <w:rsid w:val="000E15A8"/>
    <w:rsid w:val="000F6168"/>
    <w:rsid w:val="000F7962"/>
    <w:rsid w:val="000F7A13"/>
    <w:rsid w:val="00113248"/>
    <w:rsid w:val="0011582C"/>
    <w:rsid w:val="0011624E"/>
    <w:rsid w:val="00117787"/>
    <w:rsid w:val="00120B49"/>
    <w:rsid w:val="00131D42"/>
    <w:rsid w:val="00144465"/>
    <w:rsid w:val="001524C5"/>
    <w:rsid w:val="00154D43"/>
    <w:rsid w:val="00156A52"/>
    <w:rsid w:val="001633FB"/>
    <w:rsid w:val="00165AAF"/>
    <w:rsid w:val="00176516"/>
    <w:rsid w:val="00192093"/>
    <w:rsid w:val="001964FD"/>
    <w:rsid w:val="001A1290"/>
    <w:rsid w:val="001A5AB3"/>
    <w:rsid w:val="001B4B04"/>
    <w:rsid w:val="001C4989"/>
    <w:rsid w:val="001C6663"/>
    <w:rsid w:val="001C6A3E"/>
    <w:rsid w:val="001C7895"/>
    <w:rsid w:val="001D26DF"/>
    <w:rsid w:val="001D2FDC"/>
    <w:rsid w:val="00201F91"/>
    <w:rsid w:val="002021C3"/>
    <w:rsid w:val="00206CAB"/>
    <w:rsid w:val="00211E0B"/>
    <w:rsid w:val="002309A7"/>
    <w:rsid w:val="00233733"/>
    <w:rsid w:val="00237785"/>
    <w:rsid w:val="00241466"/>
    <w:rsid w:val="00250872"/>
    <w:rsid w:val="002637B2"/>
    <w:rsid w:val="0026569E"/>
    <w:rsid w:val="002725CA"/>
    <w:rsid w:val="00280EB7"/>
    <w:rsid w:val="00291BED"/>
    <w:rsid w:val="002B01C8"/>
    <w:rsid w:val="002B1CDA"/>
    <w:rsid w:val="002B2C4B"/>
    <w:rsid w:val="002C18C6"/>
    <w:rsid w:val="002C2D5A"/>
    <w:rsid w:val="002D0FD6"/>
    <w:rsid w:val="002D307D"/>
    <w:rsid w:val="002D6787"/>
    <w:rsid w:val="002E0D9B"/>
    <w:rsid w:val="002F080A"/>
    <w:rsid w:val="002F40B0"/>
    <w:rsid w:val="0030406C"/>
    <w:rsid w:val="003107FA"/>
    <w:rsid w:val="00310FA3"/>
    <w:rsid w:val="003229D8"/>
    <w:rsid w:val="00325AC7"/>
    <w:rsid w:val="003279AD"/>
    <w:rsid w:val="00337AFD"/>
    <w:rsid w:val="003659EE"/>
    <w:rsid w:val="00365C6A"/>
    <w:rsid w:val="0036633F"/>
    <w:rsid w:val="0038155B"/>
    <w:rsid w:val="00387509"/>
    <w:rsid w:val="003905F1"/>
    <w:rsid w:val="0039277A"/>
    <w:rsid w:val="0039358F"/>
    <w:rsid w:val="00396756"/>
    <w:rsid w:val="00396E73"/>
    <w:rsid w:val="003972E0"/>
    <w:rsid w:val="003A1F9C"/>
    <w:rsid w:val="003C2A36"/>
    <w:rsid w:val="003C2CC4"/>
    <w:rsid w:val="003D435E"/>
    <w:rsid w:val="003D4B23"/>
    <w:rsid w:val="004122AE"/>
    <w:rsid w:val="0041287C"/>
    <w:rsid w:val="00413028"/>
    <w:rsid w:val="00416963"/>
    <w:rsid w:val="00424091"/>
    <w:rsid w:val="004325CB"/>
    <w:rsid w:val="004344DC"/>
    <w:rsid w:val="00434EF2"/>
    <w:rsid w:val="00437F3F"/>
    <w:rsid w:val="00446DE4"/>
    <w:rsid w:val="00447526"/>
    <w:rsid w:val="004512CB"/>
    <w:rsid w:val="00456432"/>
    <w:rsid w:val="0046741D"/>
    <w:rsid w:val="0048407C"/>
    <w:rsid w:val="004A4C65"/>
    <w:rsid w:val="004B2C9D"/>
    <w:rsid w:val="004D3309"/>
    <w:rsid w:val="004E073B"/>
    <w:rsid w:val="00502AA1"/>
    <w:rsid w:val="00527910"/>
    <w:rsid w:val="005420F2"/>
    <w:rsid w:val="00553CDE"/>
    <w:rsid w:val="00561508"/>
    <w:rsid w:val="00561B73"/>
    <w:rsid w:val="00590144"/>
    <w:rsid w:val="005A49B0"/>
    <w:rsid w:val="005B3DB3"/>
    <w:rsid w:val="005C2A25"/>
    <w:rsid w:val="005D3836"/>
    <w:rsid w:val="005D5FE4"/>
    <w:rsid w:val="005D65BF"/>
    <w:rsid w:val="005E3CB9"/>
    <w:rsid w:val="005E5F6E"/>
    <w:rsid w:val="005F289F"/>
    <w:rsid w:val="005F4024"/>
    <w:rsid w:val="005F5AEE"/>
    <w:rsid w:val="00605CD9"/>
    <w:rsid w:val="00611FC4"/>
    <w:rsid w:val="00612BC3"/>
    <w:rsid w:val="0061406C"/>
    <w:rsid w:val="006176FB"/>
    <w:rsid w:val="0063419C"/>
    <w:rsid w:val="00635C4B"/>
    <w:rsid w:val="00640B26"/>
    <w:rsid w:val="00647679"/>
    <w:rsid w:val="006533D3"/>
    <w:rsid w:val="0066188B"/>
    <w:rsid w:val="006621F6"/>
    <w:rsid w:val="00675062"/>
    <w:rsid w:val="006937CE"/>
    <w:rsid w:val="0069632C"/>
    <w:rsid w:val="006A56A2"/>
    <w:rsid w:val="006A7392"/>
    <w:rsid w:val="006B27A0"/>
    <w:rsid w:val="006B7C08"/>
    <w:rsid w:val="006C0D34"/>
    <w:rsid w:val="006D11B5"/>
    <w:rsid w:val="006E2DCC"/>
    <w:rsid w:val="006E564B"/>
    <w:rsid w:val="006F5832"/>
    <w:rsid w:val="006F7464"/>
    <w:rsid w:val="00712EE8"/>
    <w:rsid w:val="00717389"/>
    <w:rsid w:val="0072632A"/>
    <w:rsid w:val="0074691F"/>
    <w:rsid w:val="007676CE"/>
    <w:rsid w:val="00784600"/>
    <w:rsid w:val="00790791"/>
    <w:rsid w:val="007B07A6"/>
    <w:rsid w:val="007B6BA5"/>
    <w:rsid w:val="007B6E42"/>
    <w:rsid w:val="007C3390"/>
    <w:rsid w:val="007C4F4B"/>
    <w:rsid w:val="007D645C"/>
    <w:rsid w:val="007E1397"/>
    <w:rsid w:val="007F0D86"/>
    <w:rsid w:val="007F3406"/>
    <w:rsid w:val="007F6611"/>
    <w:rsid w:val="00816C40"/>
    <w:rsid w:val="008175E9"/>
    <w:rsid w:val="0081764A"/>
    <w:rsid w:val="00823AE8"/>
    <w:rsid w:val="008242D7"/>
    <w:rsid w:val="00824611"/>
    <w:rsid w:val="00845050"/>
    <w:rsid w:val="0085202C"/>
    <w:rsid w:val="008640C2"/>
    <w:rsid w:val="00871FD5"/>
    <w:rsid w:val="00873A8D"/>
    <w:rsid w:val="00882F73"/>
    <w:rsid w:val="008867C1"/>
    <w:rsid w:val="00893AA4"/>
    <w:rsid w:val="008979B1"/>
    <w:rsid w:val="008A2F4F"/>
    <w:rsid w:val="008A5F27"/>
    <w:rsid w:val="008A6B25"/>
    <w:rsid w:val="008A6C4F"/>
    <w:rsid w:val="008B58A4"/>
    <w:rsid w:val="008B7EFE"/>
    <w:rsid w:val="008C2A4B"/>
    <w:rsid w:val="008C4C0C"/>
    <w:rsid w:val="008C782D"/>
    <w:rsid w:val="008E0E46"/>
    <w:rsid w:val="008E3B05"/>
    <w:rsid w:val="00917105"/>
    <w:rsid w:val="00922382"/>
    <w:rsid w:val="00930DC5"/>
    <w:rsid w:val="00931D8C"/>
    <w:rsid w:val="00932893"/>
    <w:rsid w:val="009459B9"/>
    <w:rsid w:val="00945A5D"/>
    <w:rsid w:val="00952EE9"/>
    <w:rsid w:val="00962926"/>
    <w:rsid w:val="00962986"/>
    <w:rsid w:val="00963CBA"/>
    <w:rsid w:val="009679CC"/>
    <w:rsid w:val="00967C78"/>
    <w:rsid w:val="0099124E"/>
    <w:rsid w:val="00991261"/>
    <w:rsid w:val="0099386C"/>
    <w:rsid w:val="00997A28"/>
    <w:rsid w:val="009B23F4"/>
    <w:rsid w:val="009F0F06"/>
    <w:rsid w:val="00A1427D"/>
    <w:rsid w:val="00A21904"/>
    <w:rsid w:val="00A27E31"/>
    <w:rsid w:val="00A27EC0"/>
    <w:rsid w:val="00A30999"/>
    <w:rsid w:val="00A33FEE"/>
    <w:rsid w:val="00A45178"/>
    <w:rsid w:val="00A47B22"/>
    <w:rsid w:val="00A56BA9"/>
    <w:rsid w:val="00A575CD"/>
    <w:rsid w:val="00A677EA"/>
    <w:rsid w:val="00A7083F"/>
    <w:rsid w:val="00A72F22"/>
    <w:rsid w:val="00A748A6"/>
    <w:rsid w:val="00A75EC9"/>
    <w:rsid w:val="00A81FD3"/>
    <w:rsid w:val="00A879A4"/>
    <w:rsid w:val="00A87D11"/>
    <w:rsid w:val="00A927DB"/>
    <w:rsid w:val="00AB7E81"/>
    <w:rsid w:val="00AC002B"/>
    <w:rsid w:val="00AC6477"/>
    <w:rsid w:val="00AC7748"/>
    <w:rsid w:val="00AD5D4C"/>
    <w:rsid w:val="00AE2300"/>
    <w:rsid w:val="00AE4E70"/>
    <w:rsid w:val="00AF1E36"/>
    <w:rsid w:val="00AF5916"/>
    <w:rsid w:val="00B23F7E"/>
    <w:rsid w:val="00B26F54"/>
    <w:rsid w:val="00B30179"/>
    <w:rsid w:val="00B312C7"/>
    <w:rsid w:val="00B3317B"/>
    <w:rsid w:val="00B45C48"/>
    <w:rsid w:val="00B63F3C"/>
    <w:rsid w:val="00B64BD7"/>
    <w:rsid w:val="00B70EEE"/>
    <w:rsid w:val="00B81E12"/>
    <w:rsid w:val="00B8236B"/>
    <w:rsid w:val="00B87918"/>
    <w:rsid w:val="00B93068"/>
    <w:rsid w:val="00BB2C5C"/>
    <w:rsid w:val="00BB2F22"/>
    <w:rsid w:val="00BB5021"/>
    <w:rsid w:val="00BC2A4A"/>
    <w:rsid w:val="00BC74E9"/>
    <w:rsid w:val="00BD52B2"/>
    <w:rsid w:val="00BD6A6D"/>
    <w:rsid w:val="00BE00B4"/>
    <w:rsid w:val="00BE42D1"/>
    <w:rsid w:val="00BE618E"/>
    <w:rsid w:val="00BF4FBC"/>
    <w:rsid w:val="00BF6457"/>
    <w:rsid w:val="00C04434"/>
    <w:rsid w:val="00C14AAC"/>
    <w:rsid w:val="00C25277"/>
    <w:rsid w:val="00C463DD"/>
    <w:rsid w:val="00C62F76"/>
    <w:rsid w:val="00C7058A"/>
    <w:rsid w:val="00C70C06"/>
    <w:rsid w:val="00C745C3"/>
    <w:rsid w:val="00C94B23"/>
    <w:rsid w:val="00CA12A0"/>
    <w:rsid w:val="00CA4CA0"/>
    <w:rsid w:val="00CB050A"/>
    <w:rsid w:val="00CD384B"/>
    <w:rsid w:val="00CE2DB9"/>
    <w:rsid w:val="00CE4A8F"/>
    <w:rsid w:val="00CE697F"/>
    <w:rsid w:val="00CF5DB3"/>
    <w:rsid w:val="00D05A07"/>
    <w:rsid w:val="00D071F5"/>
    <w:rsid w:val="00D07271"/>
    <w:rsid w:val="00D17A48"/>
    <w:rsid w:val="00D2031B"/>
    <w:rsid w:val="00D25FE2"/>
    <w:rsid w:val="00D43252"/>
    <w:rsid w:val="00D43A93"/>
    <w:rsid w:val="00D44FD6"/>
    <w:rsid w:val="00D53036"/>
    <w:rsid w:val="00D54887"/>
    <w:rsid w:val="00D753D8"/>
    <w:rsid w:val="00D832F4"/>
    <w:rsid w:val="00D837C8"/>
    <w:rsid w:val="00D83913"/>
    <w:rsid w:val="00D904B5"/>
    <w:rsid w:val="00D92867"/>
    <w:rsid w:val="00D93C95"/>
    <w:rsid w:val="00D95453"/>
    <w:rsid w:val="00D96CC5"/>
    <w:rsid w:val="00D978C6"/>
    <w:rsid w:val="00DA196B"/>
    <w:rsid w:val="00DA67AD"/>
    <w:rsid w:val="00DA67C7"/>
    <w:rsid w:val="00DB0FDE"/>
    <w:rsid w:val="00DB1671"/>
    <w:rsid w:val="00DD0208"/>
    <w:rsid w:val="00DF7FC3"/>
    <w:rsid w:val="00E003D2"/>
    <w:rsid w:val="00E00599"/>
    <w:rsid w:val="00E128F6"/>
    <w:rsid w:val="00E130AB"/>
    <w:rsid w:val="00E1332B"/>
    <w:rsid w:val="00E2173E"/>
    <w:rsid w:val="00E53344"/>
    <w:rsid w:val="00E54B3E"/>
    <w:rsid w:val="00E5644E"/>
    <w:rsid w:val="00E57276"/>
    <w:rsid w:val="00E70D79"/>
    <w:rsid w:val="00E7260F"/>
    <w:rsid w:val="00E7678A"/>
    <w:rsid w:val="00E773AB"/>
    <w:rsid w:val="00E8027E"/>
    <w:rsid w:val="00E80F07"/>
    <w:rsid w:val="00E8535A"/>
    <w:rsid w:val="00E96630"/>
    <w:rsid w:val="00EA772F"/>
    <w:rsid w:val="00EB0F8F"/>
    <w:rsid w:val="00EB5375"/>
    <w:rsid w:val="00EB6832"/>
    <w:rsid w:val="00EB7852"/>
    <w:rsid w:val="00ED7A2A"/>
    <w:rsid w:val="00EE0955"/>
    <w:rsid w:val="00EF0732"/>
    <w:rsid w:val="00EF1D7F"/>
    <w:rsid w:val="00EF7881"/>
    <w:rsid w:val="00F03113"/>
    <w:rsid w:val="00F403E6"/>
    <w:rsid w:val="00F40E75"/>
    <w:rsid w:val="00F54674"/>
    <w:rsid w:val="00F57888"/>
    <w:rsid w:val="00F65BCC"/>
    <w:rsid w:val="00F90A50"/>
    <w:rsid w:val="00F9395E"/>
    <w:rsid w:val="00F96780"/>
    <w:rsid w:val="00FA1B5B"/>
    <w:rsid w:val="00FA33D4"/>
    <w:rsid w:val="00FA3B0F"/>
    <w:rsid w:val="00FC5A01"/>
    <w:rsid w:val="00FC68B7"/>
    <w:rsid w:val="00FD2D5D"/>
    <w:rsid w:val="00FD4389"/>
    <w:rsid w:val="00FD6B2B"/>
    <w:rsid w:val="00FF03BB"/>
    <w:rsid w:val="00FF06D4"/>
    <w:rsid w:val="00FF2C05"/>
    <w:rsid w:val="00FF5D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B9A52"/>
  <w15:docId w15:val="{00524459-2F96-4E77-A824-6DD64D89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0C15C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15C6"/>
    <w:rPr>
      <w:rFonts w:ascii="Tahoma" w:hAnsi="Tahoma" w:cs="Tahoma"/>
      <w:sz w:val="16"/>
      <w:szCs w:val="16"/>
      <w:lang w:eastAsia="en-US"/>
    </w:rPr>
  </w:style>
  <w:style w:type="character" w:customStyle="1" w:styleId="H1GChar">
    <w:name w:val="_ H_1_G Char"/>
    <w:link w:val="H1G"/>
    <w:rsid w:val="00845050"/>
    <w:rPr>
      <w:b/>
      <w:sz w:val="24"/>
      <w:lang w:eastAsia="en-US"/>
    </w:rPr>
  </w:style>
  <w:style w:type="character" w:customStyle="1" w:styleId="HChGChar">
    <w:name w:val="_ H _Ch_G Char"/>
    <w:link w:val="HChG"/>
    <w:rsid w:val="00845050"/>
    <w:rPr>
      <w:b/>
      <w:sz w:val="28"/>
      <w:lang w:eastAsia="en-US"/>
    </w:rPr>
  </w:style>
  <w:style w:type="character" w:customStyle="1" w:styleId="SingleTxtGChar">
    <w:name w:val="_ Single Txt_G Char"/>
    <w:link w:val="SingleTxtG"/>
    <w:qFormat/>
    <w:rsid w:val="00845050"/>
    <w:rPr>
      <w:lang w:eastAsia="en-US"/>
    </w:rPr>
  </w:style>
  <w:style w:type="character" w:customStyle="1" w:styleId="FootnoteTextChar">
    <w:name w:val="Footnote Text Char"/>
    <w:aliases w:val="5_G Char"/>
    <w:link w:val="FootnoteText"/>
    <w:rsid w:val="00C04434"/>
    <w:rPr>
      <w:sz w:val="18"/>
      <w:lang w:eastAsia="en-US"/>
    </w:rPr>
  </w:style>
  <w:style w:type="paragraph" w:styleId="ListParagraph">
    <w:name w:val="List Paragraph"/>
    <w:basedOn w:val="Normal"/>
    <w:uiPriority w:val="34"/>
    <w:qFormat/>
    <w:rsid w:val="00CE697F"/>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85E6-D8B7-4CA8-96F8-089FB5CD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0</TotalTime>
  <Pages>24</Pages>
  <Words>7104</Words>
  <Characters>40495</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Lucille</cp:lastModifiedBy>
  <cp:revision>2</cp:revision>
  <cp:lastPrinted>2016-12-20T09:17:00Z</cp:lastPrinted>
  <dcterms:created xsi:type="dcterms:W3CDTF">2016-12-21T14:42:00Z</dcterms:created>
  <dcterms:modified xsi:type="dcterms:W3CDTF">2016-12-21T14:42:00Z</dcterms:modified>
</cp:coreProperties>
</file>