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F825E3" w14:paraId="2F0CF98E" w14:textId="77777777" w:rsidTr="009F0F06">
        <w:trPr>
          <w:trHeight w:val="851"/>
        </w:trPr>
        <w:tc>
          <w:tcPr>
            <w:tcW w:w="1259" w:type="dxa"/>
            <w:tcBorders>
              <w:top w:val="nil"/>
              <w:left w:val="nil"/>
              <w:bottom w:val="single" w:sz="4" w:space="0" w:color="auto"/>
              <w:right w:val="nil"/>
            </w:tcBorders>
          </w:tcPr>
          <w:p w14:paraId="7F783C6D" w14:textId="77777777" w:rsidR="00446DE4" w:rsidRDefault="00446DE4" w:rsidP="00F54674">
            <w:pPr>
              <w:spacing w:after="80" w:line="340" w:lineRule="exact"/>
            </w:pPr>
          </w:p>
        </w:tc>
        <w:tc>
          <w:tcPr>
            <w:tcW w:w="2236" w:type="dxa"/>
            <w:tcBorders>
              <w:top w:val="nil"/>
              <w:left w:val="nil"/>
              <w:bottom w:val="single" w:sz="4" w:space="0" w:color="auto"/>
              <w:right w:val="nil"/>
            </w:tcBorders>
            <w:vAlign w:val="bottom"/>
          </w:tcPr>
          <w:p w14:paraId="42B32E3D" w14:textId="77777777" w:rsidR="00446DE4" w:rsidRPr="00963CBA" w:rsidRDefault="00B3317B" w:rsidP="00F5467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F01B1C0" w14:textId="63B62E69" w:rsidR="00446DE4" w:rsidRPr="00F825E3" w:rsidRDefault="00657335" w:rsidP="00F825E3">
            <w:pPr>
              <w:jc w:val="right"/>
            </w:pPr>
            <w:r w:rsidRPr="00F825E3">
              <w:rPr>
                <w:sz w:val="40"/>
              </w:rPr>
              <w:t>ST</w:t>
            </w:r>
            <w:r w:rsidRPr="00F825E3">
              <w:t>/SG/AC.10/C.4/2016/</w:t>
            </w:r>
            <w:r w:rsidR="00F825E3" w:rsidRPr="00F825E3">
              <w:t>20</w:t>
            </w:r>
          </w:p>
        </w:tc>
      </w:tr>
      <w:tr w:rsidR="003107FA" w14:paraId="671A0AA3" w14:textId="77777777" w:rsidTr="009F0F06">
        <w:trPr>
          <w:trHeight w:val="2835"/>
        </w:trPr>
        <w:tc>
          <w:tcPr>
            <w:tcW w:w="1259" w:type="dxa"/>
            <w:tcBorders>
              <w:top w:val="single" w:sz="4" w:space="0" w:color="auto"/>
              <w:left w:val="nil"/>
              <w:bottom w:val="single" w:sz="12" w:space="0" w:color="auto"/>
              <w:right w:val="nil"/>
            </w:tcBorders>
          </w:tcPr>
          <w:p w14:paraId="1FCE7828" w14:textId="77777777" w:rsidR="003107FA" w:rsidRDefault="00057FD8" w:rsidP="002B1CDA">
            <w:pPr>
              <w:spacing w:before="120"/>
              <w:jc w:val="center"/>
            </w:pPr>
            <w:r>
              <w:rPr>
                <w:noProof/>
                <w:lang w:eastAsia="en-GB"/>
              </w:rPr>
              <w:drawing>
                <wp:inline distT="0" distB="0" distL="0" distR="0" wp14:anchorId="370CF3C7" wp14:editId="06F0F682">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EE45984" w14:textId="77777777" w:rsidR="003107FA" w:rsidRPr="00F825E3" w:rsidRDefault="00D96CC5" w:rsidP="001633FB">
            <w:pPr>
              <w:spacing w:before="120" w:line="420" w:lineRule="exact"/>
              <w:rPr>
                <w:b/>
                <w:sz w:val="40"/>
                <w:szCs w:val="40"/>
              </w:rPr>
            </w:pPr>
            <w:r w:rsidRPr="00F825E3">
              <w:rPr>
                <w:b/>
                <w:sz w:val="40"/>
                <w:szCs w:val="40"/>
              </w:rPr>
              <w:t>Secretariat</w:t>
            </w:r>
          </w:p>
        </w:tc>
        <w:tc>
          <w:tcPr>
            <w:tcW w:w="2930" w:type="dxa"/>
            <w:tcBorders>
              <w:top w:val="single" w:sz="4" w:space="0" w:color="auto"/>
              <w:left w:val="nil"/>
              <w:bottom w:val="single" w:sz="12" w:space="0" w:color="auto"/>
              <w:right w:val="nil"/>
            </w:tcBorders>
          </w:tcPr>
          <w:p w14:paraId="294B05A1" w14:textId="77777777" w:rsidR="003107FA" w:rsidRPr="00F825E3" w:rsidRDefault="00657335" w:rsidP="00657335">
            <w:pPr>
              <w:spacing w:before="240" w:line="240" w:lineRule="exact"/>
            </w:pPr>
            <w:r w:rsidRPr="00F825E3">
              <w:t>Distr.: General</w:t>
            </w:r>
          </w:p>
          <w:p w14:paraId="3E23C1D0" w14:textId="3001C589" w:rsidR="00657335" w:rsidRPr="00F825E3" w:rsidRDefault="004973C9" w:rsidP="00657335">
            <w:pPr>
              <w:spacing w:line="240" w:lineRule="exact"/>
            </w:pPr>
            <w:r>
              <w:t>26</w:t>
            </w:r>
            <w:r w:rsidR="00657335" w:rsidRPr="00F825E3">
              <w:t xml:space="preserve"> September 2016</w:t>
            </w:r>
          </w:p>
          <w:p w14:paraId="7CCF179C" w14:textId="77777777" w:rsidR="00657335" w:rsidRPr="00F825E3" w:rsidRDefault="00657335" w:rsidP="00657335">
            <w:pPr>
              <w:spacing w:line="240" w:lineRule="exact"/>
            </w:pPr>
          </w:p>
          <w:p w14:paraId="2FC9ADB7" w14:textId="77777777" w:rsidR="00657335" w:rsidRPr="00F825E3" w:rsidRDefault="00657335" w:rsidP="00657335">
            <w:pPr>
              <w:spacing w:line="240" w:lineRule="exact"/>
            </w:pPr>
            <w:r w:rsidRPr="00F825E3">
              <w:t>Original: English</w:t>
            </w:r>
          </w:p>
        </w:tc>
      </w:tr>
    </w:tbl>
    <w:p w14:paraId="6D170227" w14:textId="77777777" w:rsidR="009F0F06" w:rsidRPr="009F0F06" w:rsidRDefault="009F0F06" w:rsidP="009F0F06">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26BA846F" w14:textId="77777777" w:rsidR="009F0F06" w:rsidRPr="009F0F06" w:rsidRDefault="009F0F06" w:rsidP="009F0F06">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5C777050" w14:textId="77777777" w:rsidR="003972E0" w:rsidRDefault="00FD3606" w:rsidP="009F0F06">
      <w:pPr>
        <w:spacing w:before="120"/>
        <w:rPr>
          <w:b/>
        </w:rPr>
      </w:pPr>
      <w:r>
        <w:rPr>
          <w:b/>
        </w:rPr>
        <w:t>Thirty-second</w:t>
      </w:r>
      <w:r w:rsidR="009F0F06">
        <w:rPr>
          <w:b/>
        </w:rPr>
        <w:t xml:space="preserve"> session</w:t>
      </w:r>
    </w:p>
    <w:p w14:paraId="6D1C8CAB" w14:textId="28BCAF15" w:rsidR="009F0F06" w:rsidRDefault="00CF5DB3" w:rsidP="009F0F06">
      <w:r>
        <w:t xml:space="preserve">Geneva, </w:t>
      </w:r>
      <w:r w:rsidR="00FD3606">
        <w:t>7</w:t>
      </w:r>
      <w:r w:rsidR="001E7E3E">
        <w:t>-</w:t>
      </w:r>
      <w:r w:rsidR="00FD3606">
        <w:t>9 December 2016</w:t>
      </w:r>
    </w:p>
    <w:p w14:paraId="7B4D73A1" w14:textId="0B69B0FC" w:rsidR="009F0F06" w:rsidRPr="00F825E3" w:rsidRDefault="009F0F06" w:rsidP="009F0F06">
      <w:r w:rsidRPr="00F825E3">
        <w:t xml:space="preserve">Item </w:t>
      </w:r>
      <w:r w:rsidR="00F825E3" w:rsidRPr="00F825E3">
        <w:t>3</w:t>
      </w:r>
      <w:r w:rsidRPr="00F825E3">
        <w:t xml:space="preserve"> </w:t>
      </w:r>
      <w:r w:rsidR="00F825E3" w:rsidRPr="00F825E3">
        <w:t xml:space="preserve">(b) </w:t>
      </w:r>
      <w:r w:rsidRPr="00F825E3">
        <w:t>of the provisional agenda</w:t>
      </w:r>
    </w:p>
    <w:p w14:paraId="6559DCE6" w14:textId="765C4A9D" w:rsidR="00FD3606" w:rsidRPr="00F825E3" w:rsidRDefault="00FD3606" w:rsidP="00042140">
      <w:pPr>
        <w:rPr>
          <w:b/>
        </w:rPr>
      </w:pPr>
      <w:r w:rsidRPr="00F825E3">
        <w:rPr>
          <w:b/>
        </w:rPr>
        <w:t>Hazard communication issues</w:t>
      </w:r>
      <w:r w:rsidR="00042140" w:rsidRPr="00F825E3">
        <w:rPr>
          <w:b/>
        </w:rPr>
        <w:t>:</w:t>
      </w:r>
      <w:r w:rsidR="001E7E3E">
        <w:rPr>
          <w:b/>
        </w:rPr>
        <w:t xml:space="preserve"> i</w:t>
      </w:r>
      <w:r w:rsidR="00F825E3" w:rsidRPr="00F825E3">
        <w:rPr>
          <w:b/>
        </w:rPr>
        <w:t xml:space="preserve">mprovement of annexes 1 to 3 </w:t>
      </w:r>
      <w:r w:rsidR="001E7E3E">
        <w:rPr>
          <w:b/>
        </w:rPr>
        <w:br/>
      </w:r>
      <w:r w:rsidR="00F825E3" w:rsidRPr="00F825E3">
        <w:rPr>
          <w:b/>
        </w:rPr>
        <w:t>and further rationalization of precautionary statements</w:t>
      </w:r>
      <w:r w:rsidR="00042140" w:rsidRPr="00F825E3">
        <w:rPr>
          <w:b/>
          <w:highlight w:val="yellow"/>
        </w:rPr>
        <w:t xml:space="preserve"> </w:t>
      </w:r>
    </w:p>
    <w:p w14:paraId="437C55AC" w14:textId="77777777" w:rsidR="00DE4121" w:rsidRPr="00B11E5C" w:rsidRDefault="00DE4121" w:rsidP="00DE4121">
      <w:pPr>
        <w:pStyle w:val="HChG"/>
        <w:rPr>
          <w:rFonts w:eastAsia="MS Mincho"/>
          <w:lang w:val="en-US" w:eastAsia="ja-JP"/>
        </w:rPr>
      </w:pPr>
      <w:r>
        <w:rPr>
          <w:rFonts w:eastAsia="MS Mincho"/>
          <w:lang w:val="en-US" w:eastAsia="ja-JP"/>
        </w:rPr>
        <w:tab/>
      </w:r>
      <w:r>
        <w:rPr>
          <w:rFonts w:eastAsia="MS Mincho"/>
          <w:lang w:val="en-US" w:eastAsia="ja-JP"/>
        </w:rPr>
        <w:tab/>
      </w:r>
      <w:r w:rsidR="00042140">
        <w:rPr>
          <w:rFonts w:eastAsia="MS Mincho"/>
          <w:lang w:val="en-US" w:eastAsia="ja-JP"/>
        </w:rPr>
        <w:t>Precautionary statements on medical advice/attention: correction of linguistic discrepancies</w:t>
      </w:r>
    </w:p>
    <w:p w14:paraId="13EF7377" w14:textId="3E586AB7" w:rsidR="00DE4121" w:rsidRDefault="00DE4121" w:rsidP="00DE4121">
      <w:pPr>
        <w:pStyle w:val="H1G"/>
      </w:pPr>
      <w:r>
        <w:tab/>
      </w:r>
      <w:r>
        <w:tab/>
        <w:t xml:space="preserve">Transmitted by the </w:t>
      </w:r>
      <w:r w:rsidR="00042140">
        <w:t>European Union</w:t>
      </w:r>
      <w:r w:rsidR="002D7708">
        <w:rPr>
          <w:rStyle w:val="FootnoteReference"/>
        </w:rPr>
        <w:footnoteReference w:id="2"/>
      </w:r>
    </w:p>
    <w:p w14:paraId="642D56BF" w14:textId="77777777" w:rsidR="00DE4121" w:rsidRDefault="00DE4121" w:rsidP="00DE4121">
      <w:pPr>
        <w:pStyle w:val="HChG"/>
        <w:spacing w:before="240"/>
        <w:rPr>
          <w:rFonts w:eastAsia="MS Mincho"/>
        </w:rPr>
      </w:pPr>
      <w:r>
        <w:rPr>
          <w:rFonts w:eastAsia="MS Mincho"/>
        </w:rPr>
        <w:tab/>
      </w:r>
      <w:r>
        <w:rPr>
          <w:rFonts w:eastAsia="MS Mincho"/>
        </w:rPr>
        <w:tab/>
        <w:t>Background</w:t>
      </w:r>
    </w:p>
    <w:p w14:paraId="081D6514" w14:textId="772485A0" w:rsidR="00710DEF" w:rsidRDefault="00710DEF" w:rsidP="00710DEF">
      <w:pPr>
        <w:pStyle w:val="SingleTxtG"/>
      </w:pPr>
      <w:r w:rsidRPr="00DE4121">
        <w:t>1.</w:t>
      </w:r>
      <w:r w:rsidRPr="00DE4121">
        <w:tab/>
      </w:r>
      <w:r>
        <w:t xml:space="preserve">At the thirty-first session of the </w:t>
      </w:r>
      <w:r w:rsidRPr="00042140">
        <w:t>Sub-Committee</w:t>
      </w:r>
      <w:r>
        <w:t xml:space="preserve">, inconsistencies between the </w:t>
      </w:r>
      <w:r w:rsidRPr="00B83FEC">
        <w:t>different linguistic versions of P313, P314 and P315 and the related conditions for use</w:t>
      </w:r>
      <w:r>
        <w:t xml:space="preserve"> were raised and discussed.</w:t>
      </w:r>
      <w:r>
        <w:rPr>
          <w:rStyle w:val="FootnoteReference"/>
        </w:rPr>
        <w:footnoteReference w:id="3"/>
      </w:r>
    </w:p>
    <w:p w14:paraId="6ABB586D" w14:textId="5798BEF4" w:rsidR="00710DEF" w:rsidRDefault="00710DEF" w:rsidP="00710DEF">
      <w:pPr>
        <w:pStyle w:val="SingleTxtG"/>
      </w:pPr>
      <w:r>
        <w:t>2.</w:t>
      </w:r>
      <w:r>
        <w:tab/>
        <w:t xml:space="preserve">These inconsistencies were first introduced in the </w:t>
      </w:r>
      <w:r w:rsidR="00561D88">
        <w:t>fifth</w:t>
      </w:r>
      <w:r>
        <w:t xml:space="preserve"> revised edition of GHS, when a new condition for use was added, requiring the manufacturer/supplier or the competent authority to select either "medical advice" or "medical attention". As the distinction between medical advice and medical attention </w:t>
      </w:r>
      <w:r w:rsidR="004F47E8">
        <w:t>is not clear</w:t>
      </w:r>
      <w:r>
        <w:t xml:space="preserve"> in </w:t>
      </w:r>
      <w:r w:rsidR="004F47E8">
        <w:t xml:space="preserve">all </w:t>
      </w:r>
      <w:r>
        <w:t>linguistic versions, notably Russian and Spanish, the condition for use is nonsensical in those versions, unless the precautionary statement is changed accordingly (as was done in the French language version) (see overview of the issue in the Annex). However, the meaning and intended purpose of the distinction are unclear in the English version, thereby making it difficult to find corresponding translations.</w:t>
      </w:r>
    </w:p>
    <w:p w14:paraId="303C353A" w14:textId="77777777" w:rsidR="00710DEF" w:rsidRDefault="00710DEF" w:rsidP="00710DEF">
      <w:pPr>
        <w:pStyle w:val="SingleTxtG"/>
      </w:pPr>
      <w:r>
        <w:lastRenderedPageBreak/>
        <w:t>3.</w:t>
      </w:r>
      <w:r>
        <w:tab/>
        <w:t>At the thirty-first session, s</w:t>
      </w:r>
      <w:r w:rsidRPr="00D26C9B">
        <w:t xml:space="preserve">everal experts </w:t>
      </w:r>
      <w:r>
        <w:t>suggested that a broader discussion on the coherence between medical precautionary statements</w:t>
      </w:r>
      <w:r w:rsidRPr="00D26C9B">
        <w:t xml:space="preserve"> </w:t>
      </w:r>
      <w:r>
        <w:t xml:space="preserve">should take place in </w:t>
      </w:r>
      <w:r w:rsidRPr="00D26C9B">
        <w:t xml:space="preserve">the next biennium </w:t>
      </w:r>
      <w:r>
        <w:t xml:space="preserve">within </w:t>
      </w:r>
      <w:r w:rsidRPr="00D26C9B">
        <w:t>the informal correspondence group on the improvement of annexes 1 to 3</w:t>
      </w:r>
      <w:r>
        <w:t>.</w:t>
      </w:r>
    </w:p>
    <w:p w14:paraId="10D2AD91" w14:textId="77777777" w:rsidR="00710DEF" w:rsidRPr="00DE4121" w:rsidRDefault="00710DEF" w:rsidP="00710DEF">
      <w:pPr>
        <w:pStyle w:val="SingleTxtG"/>
      </w:pPr>
      <w:r>
        <w:t>4.</w:t>
      </w:r>
      <w:r>
        <w:tab/>
        <w:t xml:space="preserve">Nevertheless, as a short-term solution is needed to resolve the linguistic inconsistencies, the Sub-Committee was asked to comment on the intended purpose of the distinction between medical advice and attention and to indicate whether this distinction brings any benefit to consumers and workers. The experts of the Sub-Committee were invited to provide comments to the representative of the European Union and to the secretariat. As no written comments were received, it is concluded that the added value of the distinction between medical advice and attention is questionable. </w:t>
      </w:r>
    </w:p>
    <w:p w14:paraId="7D594FB1" w14:textId="77777777" w:rsidR="00710DEF" w:rsidRPr="00302E60" w:rsidRDefault="00710DEF" w:rsidP="00710DEF">
      <w:pPr>
        <w:pStyle w:val="HChG"/>
        <w:spacing w:before="240"/>
        <w:rPr>
          <w:rFonts w:eastAsia="MS Mincho"/>
        </w:rPr>
      </w:pPr>
      <w:r w:rsidRPr="00302E60">
        <w:rPr>
          <w:rFonts w:eastAsia="MS Mincho"/>
        </w:rPr>
        <w:tab/>
      </w:r>
      <w:r w:rsidRPr="00302E60">
        <w:rPr>
          <w:rFonts w:eastAsia="MS Mincho"/>
        </w:rPr>
        <w:tab/>
        <w:t>Action requested</w:t>
      </w:r>
    </w:p>
    <w:p w14:paraId="66532618" w14:textId="77777777" w:rsidR="00710DEF" w:rsidRPr="005C3F86" w:rsidRDefault="00710DEF" w:rsidP="00710DEF">
      <w:pPr>
        <w:pStyle w:val="SingleTxtG"/>
      </w:pPr>
      <w:r>
        <w:t>5</w:t>
      </w:r>
      <w:r w:rsidRPr="005C3F86">
        <w:t>.</w:t>
      </w:r>
      <w:r w:rsidRPr="005C3F86">
        <w:tab/>
      </w:r>
      <w:r>
        <w:t>Taking account of the discussion at its thirty-first session, t</w:t>
      </w:r>
      <w:r w:rsidRPr="005C3F86">
        <w:t xml:space="preserve">he Sub-Committee is invited to approve the proposed changes </w:t>
      </w:r>
      <w:r>
        <w:t xml:space="preserve">to the entries of P313, P314 and P315 in order to correct the aforementioned linguistic inconsistencies. </w:t>
      </w:r>
    </w:p>
    <w:p w14:paraId="1EE95D08" w14:textId="77777777" w:rsidR="00710DEF" w:rsidRDefault="00710DEF" w:rsidP="00710DEF">
      <w:pPr>
        <w:pStyle w:val="HChG"/>
        <w:spacing w:before="240"/>
        <w:rPr>
          <w:rFonts w:eastAsia="MS Mincho"/>
        </w:rPr>
      </w:pPr>
      <w:r>
        <w:rPr>
          <w:rFonts w:eastAsia="MS Mincho"/>
        </w:rPr>
        <w:tab/>
      </w:r>
      <w:r>
        <w:rPr>
          <w:rFonts w:eastAsia="MS Mincho"/>
        </w:rPr>
        <w:tab/>
      </w:r>
      <w:r w:rsidRPr="00475E36">
        <w:rPr>
          <w:rFonts w:eastAsia="MS Mincho"/>
        </w:rPr>
        <w:t>Proposal</w:t>
      </w:r>
    </w:p>
    <w:p w14:paraId="19B10006" w14:textId="546854EC" w:rsidR="001B6651" w:rsidRDefault="001B6651" w:rsidP="004F47E8">
      <w:pPr>
        <w:pStyle w:val="SingleTxtG"/>
      </w:pPr>
      <w:r>
        <w:t>6</w:t>
      </w:r>
      <w:r w:rsidR="00710DEF">
        <w:t>.</w:t>
      </w:r>
      <w:r w:rsidR="00710DEF">
        <w:tab/>
      </w:r>
      <w:r>
        <w:t xml:space="preserve">To harmonise the text of </w:t>
      </w:r>
      <w:r w:rsidR="00710DEF">
        <w:t>P313, P314 and P315</w:t>
      </w:r>
      <w:r>
        <w:t xml:space="preserve"> in all linguistic versions</w:t>
      </w:r>
      <w:r w:rsidR="00710DEF">
        <w:t xml:space="preserve">, the words "or attention" are removed. This avoids the unclear distinction between "medical advice" and "medical attention" and the need for a condition for use. </w:t>
      </w:r>
      <w:r w:rsidR="004F47E8">
        <w:t xml:space="preserve">The condition for use is removed accordingly in all linguistic versions. </w:t>
      </w:r>
    </w:p>
    <w:p w14:paraId="3ABE8675" w14:textId="77777777" w:rsidR="003123DB" w:rsidRDefault="001B6651" w:rsidP="004F47E8">
      <w:pPr>
        <w:pStyle w:val="SingleTxtG"/>
      </w:pPr>
      <w:r>
        <w:t>7.</w:t>
      </w:r>
      <w:r>
        <w:tab/>
      </w:r>
      <w:r w:rsidR="00710DEF">
        <w:t>As a result, the precautionary statements will read as shown in the table below.</w:t>
      </w:r>
    </w:p>
    <w:tbl>
      <w:tblPr>
        <w:tblStyle w:val="TableGrid"/>
        <w:tblW w:w="0" w:type="auto"/>
        <w:tblInd w:w="1139" w:type="dxa"/>
        <w:tblLook w:val="04A0" w:firstRow="1" w:lastRow="0" w:firstColumn="1" w:lastColumn="0" w:noHBand="0" w:noVBand="1"/>
      </w:tblPr>
      <w:tblGrid>
        <w:gridCol w:w="567"/>
        <w:gridCol w:w="1985"/>
        <w:gridCol w:w="2693"/>
        <w:gridCol w:w="2371"/>
      </w:tblGrid>
      <w:tr w:rsidR="00710DEF" w:rsidRPr="00822D5C" w14:paraId="3F4710A0" w14:textId="77777777" w:rsidTr="00CA6C49">
        <w:tc>
          <w:tcPr>
            <w:tcW w:w="567" w:type="dxa"/>
          </w:tcPr>
          <w:p w14:paraId="57BC5ADE" w14:textId="7EDF0F0A" w:rsidR="00710DEF" w:rsidRPr="00822D5C" w:rsidRDefault="00710DEF" w:rsidP="00F66DCE">
            <w:pPr>
              <w:rPr>
                <w:b/>
              </w:rPr>
            </w:pPr>
          </w:p>
        </w:tc>
        <w:tc>
          <w:tcPr>
            <w:tcW w:w="1985" w:type="dxa"/>
          </w:tcPr>
          <w:p w14:paraId="6FF6DA60" w14:textId="77777777" w:rsidR="00710DEF" w:rsidRPr="00822D5C" w:rsidRDefault="00710DEF" w:rsidP="00F66DCE">
            <w:pPr>
              <w:rPr>
                <w:b/>
              </w:rPr>
            </w:pPr>
            <w:r>
              <w:rPr>
                <w:b/>
              </w:rPr>
              <w:t>P313</w:t>
            </w:r>
          </w:p>
        </w:tc>
        <w:tc>
          <w:tcPr>
            <w:tcW w:w="2693" w:type="dxa"/>
          </w:tcPr>
          <w:p w14:paraId="6C248C02" w14:textId="77777777" w:rsidR="00710DEF" w:rsidRPr="00822D5C" w:rsidRDefault="00710DEF" w:rsidP="00F66DCE">
            <w:pPr>
              <w:rPr>
                <w:b/>
              </w:rPr>
            </w:pPr>
            <w:r>
              <w:rPr>
                <w:b/>
              </w:rPr>
              <w:t>P314</w:t>
            </w:r>
          </w:p>
        </w:tc>
        <w:tc>
          <w:tcPr>
            <w:tcW w:w="2371" w:type="dxa"/>
          </w:tcPr>
          <w:p w14:paraId="511C21BC" w14:textId="77777777" w:rsidR="00710DEF" w:rsidRPr="00822D5C" w:rsidRDefault="00710DEF" w:rsidP="00F66DCE">
            <w:pPr>
              <w:rPr>
                <w:b/>
              </w:rPr>
            </w:pPr>
            <w:r>
              <w:rPr>
                <w:b/>
              </w:rPr>
              <w:t>P315</w:t>
            </w:r>
          </w:p>
        </w:tc>
      </w:tr>
      <w:tr w:rsidR="00710DEF" w14:paraId="0518A712" w14:textId="77777777" w:rsidTr="00CA6C49">
        <w:tc>
          <w:tcPr>
            <w:tcW w:w="567" w:type="dxa"/>
          </w:tcPr>
          <w:p w14:paraId="2455901C" w14:textId="77777777" w:rsidR="00710DEF" w:rsidRPr="004D5EF6" w:rsidRDefault="00710DEF" w:rsidP="004768A6">
            <w:pPr>
              <w:jc w:val="center"/>
              <w:rPr>
                <w:b/>
              </w:rPr>
            </w:pPr>
            <w:r>
              <w:rPr>
                <w:b/>
              </w:rPr>
              <w:t>EN</w:t>
            </w:r>
          </w:p>
        </w:tc>
        <w:tc>
          <w:tcPr>
            <w:tcW w:w="1985" w:type="dxa"/>
          </w:tcPr>
          <w:p w14:paraId="01864EAE" w14:textId="77777777" w:rsidR="00710DEF" w:rsidRPr="00822D5C" w:rsidRDefault="00710DEF" w:rsidP="00F66DCE">
            <w:r>
              <w:t>Get medical advice</w:t>
            </w:r>
          </w:p>
        </w:tc>
        <w:tc>
          <w:tcPr>
            <w:tcW w:w="2693" w:type="dxa"/>
          </w:tcPr>
          <w:p w14:paraId="188507C9" w14:textId="77777777" w:rsidR="00710DEF" w:rsidRPr="00822D5C" w:rsidRDefault="00710DEF" w:rsidP="00F66DCE">
            <w:r>
              <w:t>Get medical advice if you feel unwell</w:t>
            </w:r>
          </w:p>
        </w:tc>
        <w:tc>
          <w:tcPr>
            <w:tcW w:w="2371" w:type="dxa"/>
          </w:tcPr>
          <w:p w14:paraId="428861B1" w14:textId="77777777" w:rsidR="00710DEF" w:rsidRPr="00822D5C" w:rsidRDefault="00710DEF" w:rsidP="00F66DCE">
            <w:pPr>
              <w:rPr>
                <w:b/>
              </w:rPr>
            </w:pPr>
            <w:r>
              <w:t>Get immediate medical advice</w:t>
            </w:r>
          </w:p>
        </w:tc>
      </w:tr>
      <w:tr w:rsidR="00710DEF" w:rsidRPr="00B83FEC" w14:paraId="10A114C1" w14:textId="77777777" w:rsidTr="00CA6C49">
        <w:tc>
          <w:tcPr>
            <w:tcW w:w="567" w:type="dxa"/>
          </w:tcPr>
          <w:p w14:paraId="1DCE1E94" w14:textId="77777777" w:rsidR="00710DEF" w:rsidRPr="00B865E8" w:rsidRDefault="00710DEF" w:rsidP="004768A6">
            <w:pPr>
              <w:jc w:val="center"/>
              <w:rPr>
                <w:b/>
              </w:rPr>
            </w:pPr>
            <w:r>
              <w:rPr>
                <w:b/>
              </w:rPr>
              <w:t>FR</w:t>
            </w:r>
          </w:p>
        </w:tc>
        <w:tc>
          <w:tcPr>
            <w:tcW w:w="1985" w:type="dxa"/>
          </w:tcPr>
          <w:p w14:paraId="0777E0B9" w14:textId="77777777" w:rsidR="00710DEF" w:rsidRPr="00822D5C" w:rsidRDefault="00710DEF" w:rsidP="00F66DCE">
            <w:r w:rsidRPr="00822D5C">
              <w:t xml:space="preserve">Consulter un </w:t>
            </w:r>
            <w:proofErr w:type="spellStart"/>
            <w:r w:rsidRPr="00822D5C">
              <w:t>médecin</w:t>
            </w:r>
            <w:proofErr w:type="spellEnd"/>
          </w:p>
        </w:tc>
        <w:tc>
          <w:tcPr>
            <w:tcW w:w="2693" w:type="dxa"/>
          </w:tcPr>
          <w:p w14:paraId="1CF4BB3A" w14:textId="77777777" w:rsidR="00710DEF" w:rsidRPr="004D5EF6" w:rsidRDefault="00710DEF" w:rsidP="00F66DCE">
            <w:pPr>
              <w:rPr>
                <w:lang w:val="fr-BE"/>
              </w:rPr>
            </w:pPr>
            <w:r w:rsidRPr="004D5EF6">
              <w:rPr>
                <w:lang w:val="fr-BE"/>
              </w:rPr>
              <w:t xml:space="preserve">Consulter un médecin en cas </w:t>
            </w:r>
            <w:r>
              <w:rPr>
                <w:lang w:val="fr-BE"/>
              </w:rPr>
              <w:t>de malaise</w:t>
            </w:r>
          </w:p>
        </w:tc>
        <w:tc>
          <w:tcPr>
            <w:tcW w:w="2371" w:type="dxa"/>
          </w:tcPr>
          <w:p w14:paraId="73BF6560" w14:textId="77777777" w:rsidR="00710DEF" w:rsidRPr="00822D5C" w:rsidRDefault="00710DEF" w:rsidP="00F66DCE">
            <w:pPr>
              <w:rPr>
                <w:b/>
                <w:lang w:val="fr-BE"/>
              </w:rPr>
            </w:pPr>
            <w:r w:rsidRPr="00822D5C">
              <w:t xml:space="preserve">Consulter </w:t>
            </w:r>
            <w:proofErr w:type="spellStart"/>
            <w:r>
              <w:t>immédiatement</w:t>
            </w:r>
            <w:proofErr w:type="spellEnd"/>
            <w:r>
              <w:t xml:space="preserve"> </w:t>
            </w:r>
            <w:r w:rsidRPr="00822D5C">
              <w:t xml:space="preserve">un </w:t>
            </w:r>
            <w:proofErr w:type="spellStart"/>
            <w:r w:rsidRPr="00822D5C">
              <w:t>médecin</w:t>
            </w:r>
            <w:proofErr w:type="spellEnd"/>
          </w:p>
        </w:tc>
      </w:tr>
      <w:tr w:rsidR="00710DEF" w:rsidRPr="00B83FEC" w14:paraId="526A95AD" w14:textId="77777777" w:rsidTr="00CA6C49">
        <w:tc>
          <w:tcPr>
            <w:tcW w:w="567" w:type="dxa"/>
          </w:tcPr>
          <w:p w14:paraId="0EA5F3C7" w14:textId="77777777" w:rsidR="00710DEF" w:rsidRPr="00B865E8" w:rsidRDefault="00710DEF" w:rsidP="004768A6">
            <w:pPr>
              <w:jc w:val="center"/>
              <w:rPr>
                <w:b/>
                <w:lang w:val="fr-BE"/>
              </w:rPr>
            </w:pPr>
            <w:r w:rsidRPr="00B865E8">
              <w:rPr>
                <w:b/>
                <w:lang w:val="fr-BE"/>
              </w:rPr>
              <w:t>ES</w:t>
            </w:r>
          </w:p>
        </w:tc>
        <w:tc>
          <w:tcPr>
            <w:tcW w:w="1985" w:type="dxa"/>
          </w:tcPr>
          <w:p w14:paraId="0F85CD99" w14:textId="77777777" w:rsidR="00710DEF" w:rsidRPr="00822D5C" w:rsidRDefault="00710DEF" w:rsidP="00F66DCE">
            <w:pPr>
              <w:rPr>
                <w:lang w:val="fr-BE"/>
              </w:rPr>
            </w:pPr>
            <w:proofErr w:type="spellStart"/>
            <w:r>
              <w:rPr>
                <w:lang w:val="fr-BE"/>
              </w:rPr>
              <w:t>Consultar</w:t>
            </w:r>
            <w:proofErr w:type="spellEnd"/>
            <w:r>
              <w:rPr>
                <w:lang w:val="fr-BE"/>
              </w:rPr>
              <w:t xml:space="preserve"> a un médico</w:t>
            </w:r>
          </w:p>
        </w:tc>
        <w:tc>
          <w:tcPr>
            <w:tcW w:w="2693" w:type="dxa"/>
          </w:tcPr>
          <w:p w14:paraId="1B2D11D1" w14:textId="519A721F" w:rsidR="00710DEF" w:rsidRPr="00422558" w:rsidRDefault="00710DEF" w:rsidP="00F66DCE">
            <w:pPr>
              <w:rPr>
                <w:i/>
                <w:lang w:val="fr-FR"/>
              </w:rPr>
            </w:pPr>
            <w:proofErr w:type="spellStart"/>
            <w:r>
              <w:rPr>
                <w:lang w:val="fr-BE"/>
              </w:rPr>
              <w:t>Consultar</w:t>
            </w:r>
            <w:proofErr w:type="spellEnd"/>
            <w:r>
              <w:rPr>
                <w:lang w:val="fr-BE"/>
              </w:rPr>
              <w:t xml:space="preserve"> a un médico si la persona se </w:t>
            </w:r>
            <w:proofErr w:type="spellStart"/>
            <w:r>
              <w:rPr>
                <w:lang w:val="fr-BE"/>
              </w:rPr>
              <w:t>encuentra</w:t>
            </w:r>
            <w:proofErr w:type="spellEnd"/>
            <w:r w:rsidR="00E57CC4">
              <w:rPr>
                <w:lang w:val="fr-BE"/>
              </w:rPr>
              <w:t xml:space="preserve"> mal</w:t>
            </w:r>
          </w:p>
        </w:tc>
        <w:tc>
          <w:tcPr>
            <w:tcW w:w="2371" w:type="dxa"/>
          </w:tcPr>
          <w:p w14:paraId="2B115159" w14:textId="77777777" w:rsidR="00710DEF" w:rsidRPr="00A31C3D" w:rsidRDefault="00710DEF" w:rsidP="00F66DCE">
            <w:pPr>
              <w:rPr>
                <w:lang w:val="es-ES"/>
              </w:rPr>
            </w:pPr>
            <w:proofErr w:type="spellStart"/>
            <w:r>
              <w:rPr>
                <w:lang w:val="fr-BE"/>
              </w:rPr>
              <w:t>Buscar</w:t>
            </w:r>
            <w:proofErr w:type="spellEnd"/>
            <w:r>
              <w:rPr>
                <w:lang w:val="fr-BE"/>
              </w:rPr>
              <w:t xml:space="preserve"> </w:t>
            </w:r>
            <w:proofErr w:type="spellStart"/>
            <w:r>
              <w:rPr>
                <w:lang w:val="fr-BE"/>
              </w:rPr>
              <w:t>asistencia</w:t>
            </w:r>
            <w:proofErr w:type="spellEnd"/>
            <w:r>
              <w:rPr>
                <w:lang w:val="fr-BE"/>
              </w:rPr>
              <w:t xml:space="preserve"> </w:t>
            </w:r>
            <w:proofErr w:type="spellStart"/>
            <w:r>
              <w:rPr>
                <w:lang w:val="fr-BE"/>
              </w:rPr>
              <w:t>médica</w:t>
            </w:r>
            <w:proofErr w:type="spellEnd"/>
            <w:r>
              <w:rPr>
                <w:lang w:val="fr-BE"/>
              </w:rPr>
              <w:t xml:space="preserve"> </w:t>
            </w:r>
            <w:proofErr w:type="spellStart"/>
            <w:r>
              <w:rPr>
                <w:lang w:val="fr-BE"/>
              </w:rPr>
              <w:t>immediata</w:t>
            </w:r>
            <w:proofErr w:type="spellEnd"/>
          </w:p>
        </w:tc>
      </w:tr>
      <w:tr w:rsidR="00710DEF" w:rsidRPr="00A62EEE" w14:paraId="2D71A419" w14:textId="77777777" w:rsidTr="00CA6C49">
        <w:tc>
          <w:tcPr>
            <w:tcW w:w="567" w:type="dxa"/>
          </w:tcPr>
          <w:p w14:paraId="5DFCFF96" w14:textId="77777777" w:rsidR="00710DEF" w:rsidRPr="00B865E8" w:rsidRDefault="00710DEF" w:rsidP="004768A6">
            <w:pPr>
              <w:jc w:val="center"/>
              <w:rPr>
                <w:b/>
                <w:lang w:val="fr-BE"/>
              </w:rPr>
            </w:pPr>
            <w:r w:rsidRPr="00B865E8">
              <w:rPr>
                <w:b/>
                <w:lang w:val="fr-BE"/>
              </w:rPr>
              <w:t>RU</w:t>
            </w:r>
          </w:p>
        </w:tc>
        <w:tc>
          <w:tcPr>
            <w:tcW w:w="1985" w:type="dxa"/>
          </w:tcPr>
          <w:p w14:paraId="4DE6135B" w14:textId="77777777" w:rsidR="00710DEF" w:rsidRPr="004D5EF6" w:rsidRDefault="00710DEF" w:rsidP="00F66DCE">
            <w:pPr>
              <w:rPr>
                <w:lang w:val="fr-BE"/>
              </w:rPr>
            </w:pPr>
            <w:proofErr w:type="spellStart"/>
            <w:r w:rsidRPr="004D5EF6">
              <w:rPr>
                <w:lang w:val="fr-BE"/>
              </w:rPr>
              <w:t>Обратиться</w:t>
            </w:r>
            <w:proofErr w:type="spellEnd"/>
            <w:r w:rsidRPr="004D5EF6">
              <w:rPr>
                <w:lang w:val="fr-BE"/>
              </w:rPr>
              <w:t xml:space="preserve"> к </w:t>
            </w:r>
            <w:proofErr w:type="spellStart"/>
            <w:r w:rsidRPr="004D5EF6">
              <w:rPr>
                <w:lang w:val="fr-BE"/>
              </w:rPr>
              <w:t>врачу</w:t>
            </w:r>
            <w:proofErr w:type="spellEnd"/>
          </w:p>
        </w:tc>
        <w:tc>
          <w:tcPr>
            <w:tcW w:w="2693" w:type="dxa"/>
          </w:tcPr>
          <w:p w14:paraId="0E815930" w14:textId="77777777" w:rsidR="00710DEF" w:rsidRPr="004D5EF6" w:rsidRDefault="00710DEF" w:rsidP="00F66DCE">
            <w:pPr>
              <w:rPr>
                <w:lang w:val="fr-BE"/>
              </w:rPr>
            </w:pPr>
            <w:r w:rsidRPr="004D5EF6">
              <w:t>В</w:t>
            </w:r>
            <w:r w:rsidRPr="004D5EF6">
              <w:rPr>
                <w:lang w:val="fr-BE"/>
              </w:rPr>
              <w:t xml:space="preserve"> </w:t>
            </w:r>
            <w:proofErr w:type="spellStart"/>
            <w:r w:rsidRPr="004D5EF6">
              <w:t>случае</w:t>
            </w:r>
            <w:proofErr w:type="spellEnd"/>
            <w:r w:rsidRPr="004D5EF6">
              <w:rPr>
                <w:lang w:val="fr-BE"/>
              </w:rPr>
              <w:t xml:space="preserve"> </w:t>
            </w:r>
            <w:proofErr w:type="spellStart"/>
            <w:r w:rsidRPr="004D5EF6">
              <w:t>плохого</w:t>
            </w:r>
            <w:proofErr w:type="spellEnd"/>
            <w:r w:rsidRPr="004D5EF6">
              <w:rPr>
                <w:lang w:val="fr-BE"/>
              </w:rPr>
              <w:t xml:space="preserve"> </w:t>
            </w:r>
            <w:proofErr w:type="spellStart"/>
            <w:r w:rsidRPr="004D5EF6">
              <w:t>самочувствия</w:t>
            </w:r>
            <w:proofErr w:type="spellEnd"/>
            <w:r w:rsidRPr="004D5EF6">
              <w:rPr>
                <w:lang w:val="fr-BE"/>
              </w:rPr>
              <w:t xml:space="preserve"> </w:t>
            </w:r>
            <w:proofErr w:type="spellStart"/>
            <w:r w:rsidRPr="004D5EF6">
              <w:t>обратиться</w:t>
            </w:r>
            <w:proofErr w:type="spellEnd"/>
            <w:r w:rsidRPr="004D5EF6">
              <w:rPr>
                <w:lang w:val="fr-BE"/>
              </w:rPr>
              <w:t xml:space="preserve"> </w:t>
            </w:r>
            <w:r w:rsidRPr="004D5EF6">
              <w:t>к</w:t>
            </w:r>
            <w:r w:rsidRPr="004D5EF6">
              <w:rPr>
                <w:lang w:val="fr-BE"/>
              </w:rPr>
              <w:t xml:space="preserve"> </w:t>
            </w:r>
            <w:proofErr w:type="spellStart"/>
            <w:r w:rsidRPr="004D5EF6">
              <w:t>врачу</w:t>
            </w:r>
            <w:proofErr w:type="spellEnd"/>
            <w:r w:rsidRPr="004D5EF6">
              <w:rPr>
                <w:lang w:val="fr-BE"/>
              </w:rPr>
              <w:t>.</w:t>
            </w:r>
          </w:p>
        </w:tc>
        <w:tc>
          <w:tcPr>
            <w:tcW w:w="2371" w:type="dxa"/>
          </w:tcPr>
          <w:p w14:paraId="134732B9" w14:textId="77777777" w:rsidR="00710DEF" w:rsidRPr="004D5EF6" w:rsidRDefault="00710DEF" w:rsidP="00F66DCE">
            <w:proofErr w:type="spellStart"/>
            <w:r w:rsidRPr="004D5EF6">
              <w:rPr>
                <w:lang w:val="fr-BE"/>
              </w:rPr>
              <w:t>Немедленно</w:t>
            </w:r>
            <w:proofErr w:type="spellEnd"/>
            <w:r w:rsidRPr="004D5EF6">
              <w:rPr>
                <w:lang w:val="fr-BE"/>
              </w:rPr>
              <w:t xml:space="preserve"> </w:t>
            </w:r>
            <w:proofErr w:type="spellStart"/>
            <w:r w:rsidRPr="004D5EF6">
              <w:rPr>
                <w:lang w:val="fr-BE"/>
              </w:rPr>
              <w:t>обратиться</w:t>
            </w:r>
            <w:proofErr w:type="spellEnd"/>
            <w:r w:rsidRPr="004D5EF6">
              <w:rPr>
                <w:lang w:val="fr-BE"/>
              </w:rPr>
              <w:t xml:space="preserve"> к </w:t>
            </w:r>
            <w:proofErr w:type="spellStart"/>
            <w:r w:rsidRPr="004D5EF6">
              <w:rPr>
                <w:lang w:val="fr-BE"/>
              </w:rPr>
              <w:t>врачу</w:t>
            </w:r>
            <w:proofErr w:type="spellEnd"/>
            <w:r w:rsidRPr="004D5EF6">
              <w:rPr>
                <w:lang w:val="fr-BE"/>
              </w:rPr>
              <w:t>.</w:t>
            </w:r>
          </w:p>
        </w:tc>
      </w:tr>
      <w:tr w:rsidR="001B6651" w:rsidRPr="00A62EEE" w14:paraId="08908822" w14:textId="77777777" w:rsidTr="00CA6C49">
        <w:tc>
          <w:tcPr>
            <w:tcW w:w="567" w:type="dxa"/>
          </w:tcPr>
          <w:p w14:paraId="54765A1D" w14:textId="2BC337F3" w:rsidR="001B6651" w:rsidRPr="00B865E8" w:rsidRDefault="001B6651" w:rsidP="004768A6">
            <w:pPr>
              <w:jc w:val="center"/>
              <w:rPr>
                <w:b/>
                <w:lang w:val="fr-BE"/>
              </w:rPr>
            </w:pPr>
            <w:r>
              <w:rPr>
                <w:b/>
                <w:lang w:val="fr-BE"/>
              </w:rPr>
              <w:t>CH</w:t>
            </w:r>
          </w:p>
        </w:tc>
        <w:tc>
          <w:tcPr>
            <w:tcW w:w="1985" w:type="dxa"/>
          </w:tcPr>
          <w:p w14:paraId="5B6BDB02" w14:textId="531D9C15" w:rsidR="001B6651" w:rsidRPr="004D5EF6" w:rsidRDefault="001B6651" w:rsidP="00F66DCE">
            <w:pPr>
              <w:rPr>
                <w:lang w:val="fr-BE"/>
              </w:rPr>
            </w:pPr>
            <w:proofErr w:type="spellStart"/>
            <w:r>
              <w:rPr>
                <w:rFonts w:ascii="T312" w:eastAsia="T312" w:cs="T312" w:hint="eastAsia"/>
                <w:sz w:val="18"/>
                <w:szCs w:val="18"/>
                <w:lang w:eastAsia="en-GB"/>
              </w:rPr>
              <w:t>就诊</w:t>
            </w:r>
            <w:proofErr w:type="spellEnd"/>
          </w:p>
        </w:tc>
        <w:tc>
          <w:tcPr>
            <w:tcW w:w="2693" w:type="dxa"/>
          </w:tcPr>
          <w:p w14:paraId="53BDB8B6" w14:textId="6E2D7256" w:rsidR="001B6651" w:rsidRPr="004D5EF6" w:rsidRDefault="008D0EFF" w:rsidP="004768A6">
            <w:proofErr w:type="spellStart"/>
            <w:r>
              <w:rPr>
                <w:rFonts w:ascii="T312" w:eastAsia="T312" w:cs="T312" w:hint="eastAsia"/>
                <w:sz w:val="18"/>
                <w:szCs w:val="18"/>
                <w:lang w:eastAsia="en-GB"/>
              </w:rPr>
              <w:t>如感觉不适，须就诊</w:t>
            </w:r>
            <w:proofErr w:type="spellEnd"/>
          </w:p>
        </w:tc>
        <w:tc>
          <w:tcPr>
            <w:tcW w:w="2371" w:type="dxa"/>
          </w:tcPr>
          <w:p w14:paraId="306407EB" w14:textId="523E8D94" w:rsidR="001B6651" w:rsidRPr="004D5EF6" w:rsidRDefault="008D0EFF" w:rsidP="004768A6">
            <w:pPr>
              <w:rPr>
                <w:lang w:val="fr-BE"/>
              </w:rPr>
            </w:pPr>
            <w:proofErr w:type="spellStart"/>
            <w:r>
              <w:rPr>
                <w:rFonts w:ascii="T312" w:eastAsia="T312" w:cs="T312" w:hint="eastAsia"/>
                <w:sz w:val="18"/>
                <w:szCs w:val="18"/>
                <w:lang w:eastAsia="en-GB"/>
              </w:rPr>
              <w:t>立即就诊</w:t>
            </w:r>
            <w:proofErr w:type="spellEnd"/>
          </w:p>
        </w:tc>
      </w:tr>
    </w:tbl>
    <w:p w14:paraId="34AC30B0" w14:textId="62B23E2A" w:rsidR="008D0EFF" w:rsidRPr="009630BA" w:rsidRDefault="008D0EFF" w:rsidP="009630BA">
      <w:pPr>
        <w:spacing w:line="240" w:lineRule="auto"/>
        <w:ind w:left="1134" w:right="1134"/>
        <w:jc w:val="both"/>
        <w:rPr>
          <w:b/>
          <w:sz w:val="16"/>
        </w:rPr>
      </w:pPr>
    </w:p>
    <w:tbl>
      <w:tblPr>
        <w:tblStyle w:val="TableGrid"/>
        <w:tblW w:w="0" w:type="auto"/>
        <w:tblInd w:w="1139" w:type="dxa"/>
        <w:tblLook w:val="04A0" w:firstRow="1" w:lastRow="0" w:firstColumn="1" w:lastColumn="0" w:noHBand="0" w:noVBand="1"/>
      </w:tblPr>
      <w:tblGrid>
        <w:gridCol w:w="2552"/>
        <w:gridCol w:w="2551"/>
        <w:gridCol w:w="1560"/>
        <w:gridCol w:w="992"/>
      </w:tblGrid>
      <w:tr w:rsidR="00AD6352" w:rsidRPr="00822D5C" w14:paraId="715E7ADE" w14:textId="545312BA" w:rsidTr="00AD6352">
        <w:tc>
          <w:tcPr>
            <w:tcW w:w="2552" w:type="dxa"/>
          </w:tcPr>
          <w:p w14:paraId="28E03635" w14:textId="1DBA1014" w:rsidR="00AD6352" w:rsidRPr="00822D5C" w:rsidRDefault="00AD6352" w:rsidP="00AD6352">
            <w:pPr>
              <w:jc w:val="right"/>
              <w:rPr>
                <w:b/>
              </w:rPr>
            </w:pPr>
            <w:r>
              <w:rPr>
                <w:b/>
              </w:rPr>
              <w:t>P315</w:t>
            </w:r>
          </w:p>
        </w:tc>
        <w:tc>
          <w:tcPr>
            <w:tcW w:w="2551" w:type="dxa"/>
          </w:tcPr>
          <w:p w14:paraId="3C8C455A" w14:textId="77777777" w:rsidR="00AD6352" w:rsidRPr="00822D5C" w:rsidRDefault="00AD6352" w:rsidP="00AD6352">
            <w:pPr>
              <w:jc w:val="right"/>
              <w:rPr>
                <w:b/>
              </w:rPr>
            </w:pPr>
            <w:r>
              <w:rPr>
                <w:b/>
              </w:rPr>
              <w:t>P314</w:t>
            </w:r>
          </w:p>
        </w:tc>
        <w:tc>
          <w:tcPr>
            <w:tcW w:w="1560" w:type="dxa"/>
          </w:tcPr>
          <w:p w14:paraId="6C4D6D14" w14:textId="0C6FED30" w:rsidR="00AD6352" w:rsidRPr="00822D5C" w:rsidRDefault="00AD6352" w:rsidP="00AD6352">
            <w:pPr>
              <w:jc w:val="right"/>
              <w:rPr>
                <w:b/>
              </w:rPr>
            </w:pPr>
            <w:r>
              <w:rPr>
                <w:b/>
              </w:rPr>
              <w:t>P313</w:t>
            </w:r>
          </w:p>
        </w:tc>
        <w:tc>
          <w:tcPr>
            <w:tcW w:w="992" w:type="dxa"/>
          </w:tcPr>
          <w:p w14:paraId="12023C12" w14:textId="77777777" w:rsidR="00AD6352" w:rsidRDefault="00AD6352" w:rsidP="00AD6352">
            <w:pPr>
              <w:jc w:val="right"/>
              <w:rPr>
                <w:b/>
              </w:rPr>
            </w:pPr>
          </w:p>
        </w:tc>
      </w:tr>
      <w:tr w:rsidR="00AD6352" w14:paraId="30FA5042" w14:textId="7AC7317D" w:rsidTr="00AD6352">
        <w:tc>
          <w:tcPr>
            <w:tcW w:w="2552" w:type="dxa"/>
          </w:tcPr>
          <w:p w14:paraId="228D785C" w14:textId="7C65BE0F" w:rsidR="00AD6352" w:rsidRPr="00822D5C" w:rsidRDefault="00AD6352" w:rsidP="00AD6352">
            <w:pPr>
              <w:jc w:val="right"/>
            </w:pPr>
            <w:r w:rsidRPr="00D60704">
              <w:rPr>
                <w:rFonts w:cs="Traditional Arabic" w:hint="cs"/>
                <w:b/>
                <w:bCs/>
                <w:rtl/>
                <w:lang w:bidi="ar-EG"/>
              </w:rPr>
              <w:t>تطلب فوراً استشارة طبية</w:t>
            </w:r>
          </w:p>
        </w:tc>
        <w:tc>
          <w:tcPr>
            <w:tcW w:w="2551" w:type="dxa"/>
          </w:tcPr>
          <w:p w14:paraId="284F15B9" w14:textId="1CA7B72B" w:rsidR="00AD6352" w:rsidRPr="00822D5C" w:rsidRDefault="00AD6352" w:rsidP="00AD6352">
            <w:pPr>
              <w:jc w:val="right"/>
            </w:pPr>
            <w:r w:rsidRPr="00D60704">
              <w:rPr>
                <w:rFonts w:cs="Traditional Arabic" w:hint="cs"/>
                <w:b/>
                <w:bCs/>
                <w:rtl/>
                <w:lang w:bidi="ar-EG"/>
              </w:rPr>
              <w:t>تطلب استشارة طبية</w:t>
            </w:r>
            <w:r>
              <w:rPr>
                <w:rFonts w:cs="Traditional Arabic" w:hint="cs"/>
                <w:b/>
                <w:bCs/>
                <w:rtl/>
                <w:lang w:bidi="ar-EG"/>
              </w:rPr>
              <w:t xml:space="preserve"> في حالة الشعور بتوعك</w:t>
            </w:r>
          </w:p>
        </w:tc>
        <w:tc>
          <w:tcPr>
            <w:tcW w:w="1560" w:type="dxa"/>
          </w:tcPr>
          <w:p w14:paraId="7D012BCD" w14:textId="6761AFAA" w:rsidR="00AD6352" w:rsidRPr="00822D5C" w:rsidRDefault="00AD6352" w:rsidP="00AD6352">
            <w:pPr>
              <w:jc w:val="right"/>
              <w:rPr>
                <w:b/>
              </w:rPr>
            </w:pPr>
            <w:r w:rsidRPr="00D60704">
              <w:rPr>
                <w:rFonts w:cs="Traditional Arabic" w:hint="cs"/>
                <w:b/>
                <w:bCs/>
                <w:rtl/>
                <w:lang w:bidi="ar-EG"/>
              </w:rPr>
              <w:t xml:space="preserve">تطلب استشارة </w:t>
            </w:r>
            <w:r>
              <w:rPr>
                <w:rFonts w:cs="Traditional Arabic" w:hint="cs"/>
                <w:b/>
                <w:bCs/>
                <w:rtl/>
                <w:lang w:bidi="ar-EG"/>
              </w:rPr>
              <w:t>طبية</w:t>
            </w:r>
          </w:p>
        </w:tc>
        <w:tc>
          <w:tcPr>
            <w:tcW w:w="992" w:type="dxa"/>
          </w:tcPr>
          <w:p w14:paraId="46C27608" w14:textId="64744645" w:rsidR="00AD6352" w:rsidRDefault="00AD6352" w:rsidP="00AD6352">
            <w:pPr>
              <w:jc w:val="center"/>
            </w:pPr>
            <w:r>
              <w:rPr>
                <w:b/>
              </w:rPr>
              <w:t>AR</w:t>
            </w:r>
          </w:p>
        </w:tc>
      </w:tr>
    </w:tbl>
    <w:p w14:paraId="64B7DF1D" w14:textId="4B6089FC" w:rsidR="00227E94" w:rsidRDefault="00AC15C1" w:rsidP="00124B97">
      <w:pPr>
        <w:spacing w:before="120" w:after="120"/>
        <w:ind w:left="1134" w:right="1134"/>
        <w:jc w:val="both"/>
        <w:rPr>
          <w:i/>
        </w:rPr>
      </w:pPr>
      <w:r w:rsidRPr="009630BA">
        <w:rPr>
          <w:b/>
          <w:i/>
          <w:u w:val="single"/>
        </w:rPr>
        <w:t>Note by the secretariat</w:t>
      </w:r>
      <w:r>
        <w:t xml:space="preserve">: </w:t>
      </w:r>
      <w:r w:rsidR="004768A6" w:rsidRPr="004768A6">
        <w:rPr>
          <w:i/>
        </w:rPr>
        <w:t>Although</w:t>
      </w:r>
      <w:r w:rsidR="004768A6">
        <w:rPr>
          <w:i/>
        </w:rPr>
        <w:t xml:space="preserve"> they were</w:t>
      </w:r>
      <w:r w:rsidR="004768A6" w:rsidRPr="004768A6">
        <w:rPr>
          <w:i/>
        </w:rPr>
        <w:t xml:space="preserve"> not </w:t>
      </w:r>
      <w:r w:rsidR="004768A6">
        <w:rPr>
          <w:i/>
        </w:rPr>
        <w:t xml:space="preserve">included </w:t>
      </w:r>
      <w:r w:rsidR="004768A6" w:rsidRPr="004768A6">
        <w:rPr>
          <w:i/>
        </w:rPr>
        <w:t>in the original proposal,</w:t>
      </w:r>
      <w:r w:rsidR="004768A6">
        <w:t xml:space="preserve"> </w:t>
      </w:r>
      <w:r w:rsidR="004768A6" w:rsidRPr="004768A6">
        <w:rPr>
          <w:i/>
        </w:rPr>
        <w:t>t</w:t>
      </w:r>
      <w:r w:rsidRPr="004768A6">
        <w:rPr>
          <w:i/>
        </w:rPr>
        <w:t xml:space="preserve">he </w:t>
      </w:r>
      <w:r w:rsidRPr="00AC15C1">
        <w:rPr>
          <w:i/>
        </w:rPr>
        <w:t xml:space="preserve">Chinese and Arabic versions </w:t>
      </w:r>
      <w:r w:rsidR="004768A6">
        <w:rPr>
          <w:i/>
        </w:rPr>
        <w:t>have been included here</w:t>
      </w:r>
      <w:r w:rsidRPr="00AC15C1">
        <w:rPr>
          <w:i/>
        </w:rPr>
        <w:t xml:space="preserve"> with the agreement of the representative of the European Union</w:t>
      </w:r>
      <w:r w:rsidR="00783B6C">
        <w:rPr>
          <w:i/>
        </w:rPr>
        <w:t>.</w:t>
      </w:r>
      <w:r w:rsidR="004768A6">
        <w:rPr>
          <w:i/>
        </w:rPr>
        <w:t xml:space="preserve"> Arabic and Chinese speaking </w:t>
      </w:r>
      <w:r w:rsidR="00845FBC">
        <w:rPr>
          <w:i/>
        </w:rPr>
        <w:t>experts</w:t>
      </w:r>
      <w:r w:rsidR="004768A6">
        <w:rPr>
          <w:i/>
        </w:rPr>
        <w:t xml:space="preserve"> </w:t>
      </w:r>
      <w:r w:rsidR="00783B6C">
        <w:rPr>
          <w:i/>
        </w:rPr>
        <w:t>are invited to confirm whether the proposed text is correct.</w:t>
      </w:r>
      <w:r w:rsidR="00227E94">
        <w:rPr>
          <w:i/>
        </w:rPr>
        <w:t xml:space="preserve"> </w:t>
      </w:r>
    </w:p>
    <w:p w14:paraId="369F46E5" w14:textId="176F7D76" w:rsidR="009630BA" w:rsidRDefault="009630BA" w:rsidP="00710DEF">
      <w:pPr>
        <w:spacing w:after="120"/>
        <w:ind w:left="1134" w:right="1134"/>
        <w:jc w:val="both"/>
        <w:rPr>
          <w:i/>
        </w:rPr>
      </w:pPr>
      <w:r w:rsidRPr="004F47E8">
        <w:t>8.</w:t>
      </w:r>
      <w:r w:rsidRPr="004F47E8">
        <w:tab/>
        <w:t>This does not preclude a broader discussion on medical precautionary statements within the informal correspondence group on the improvement of annexes 1 to 3 in the next biennium, in particular concerning the relation between the precautionary statements P310-P312 and P313-P315.</w:t>
      </w:r>
    </w:p>
    <w:p w14:paraId="31E1A194" w14:textId="38007CF6" w:rsidR="004F47E8" w:rsidRDefault="004F47E8">
      <w:pPr>
        <w:suppressAutoHyphens w:val="0"/>
        <w:spacing w:line="240" w:lineRule="auto"/>
      </w:pPr>
      <w:r>
        <w:br w:type="page"/>
      </w:r>
    </w:p>
    <w:p w14:paraId="531019B4" w14:textId="5D1750F5" w:rsidR="00710DEF" w:rsidRDefault="00124B97" w:rsidP="004F47E8">
      <w:pPr>
        <w:pStyle w:val="HChG"/>
        <w:rPr>
          <w:rFonts w:eastAsia="MS Mincho"/>
        </w:rPr>
      </w:pPr>
      <w:r>
        <w:rPr>
          <w:rFonts w:eastAsia="MS Mincho"/>
        </w:rPr>
        <w:lastRenderedPageBreak/>
        <w:tab/>
      </w:r>
      <w:bookmarkStart w:id="0" w:name="_GoBack"/>
      <w:bookmarkEnd w:id="0"/>
      <w:r w:rsidR="00710DEF">
        <w:rPr>
          <w:rFonts w:eastAsia="MS Mincho"/>
        </w:rPr>
        <w:t>Annex</w:t>
      </w:r>
    </w:p>
    <w:p w14:paraId="2BB6F951" w14:textId="6429B133" w:rsidR="00710DEF" w:rsidRDefault="00710DEF" w:rsidP="00CA6C49">
      <w:pPr>
        <w:pStyle w:val="SingleTxtG"/>
      </w:pPr>
      <w:r>
        <w:t xml:space="preserve">Overview of the issue in the different linguistic versions of the </w:t>
      </w:r>
      <w:r w:rsidR="00F8060E">
        <w:t>fifth</w:t>
      </w:r>
      <w:r>
        <w:t xml:space="preserve"> revised edition of GHS:</w:t>
      </w:r>
    </w:p>
    <w:tbl>
      <w:tblPr>
        <w:tblStyle w:val="TableGrid"/>
        <w:tblW w:w="0" w:type="auto"/>
        <w:tblInd w:w="1139" w:type="dxa"/>
        <w:tblLook w:val="04A0" w:firstRow="1" w:lastRow="0" w:firstColumn="1" w:lastColumn="0" w:noHBand="0" w:noVBand="1"/>
      </w:tblPr>
      <w:tblGrid>
        <w:gridCol w:w="413"/>
        <w:gridCol w:w="1288"/>
        <w:gridCol w:w="1518"/>
        <w:gridCol w:w="2310"/>
        <w:gridCol w:w="2126"/>
      </w:tblGrid>
      <w:tr w:rsidR="00710DEF" w:rsidRPr="00822D5C" w14:paraId="4C173187" w14:textId="77777777" w:rsidTr="00CA6C49">
        <w:tc>
          <w:tcPr>
            <w:tcW w:w="413" w:type="dxa"/>
          </w:tcPr>
          <w:p w14:paraId="539FC145" w14:textId="77777777" w:rsidR="00710DEF" w:rsidRPr="00822D5C" w:rsidRDefault="00710DEF" w:rsidP="00F66DCE">
            <w:pPr>
              <w:rPr>
                <w:b/>
              </w:rPr>
            </w:pPr>
          </w:p>
        </w:tc>
        <w:tc>
          <w:tcPr>
            <w:tcW w:w="1288" w:type="dxa"/>
          </w:tcPr>
          <w:p w14:paraId="32C64AFC" w14:textId="77777777" w:rsidR="00710DEF" w:rsidRPr="00822D5C" w:rsidRDefault="00710DEF" w:rsidP="00F66DCE">
            <w:pPr>
              <w:rPr>
                <w:b/>
              </w:rPr>
            </w:pPr>
            <w:r w:rsidRPr="00822D5C">
              <w:rPr>
                <w:b/>
              </w:rPr>
              <w:t>P313 in rev. 4</w:t>
            </w:r>
          </w:p>
        </w:tc>
        <w:tc>
          <w:tcPr>
            <w:tcW w:w="1518" w:type="dxa"/>
          </w:tcPr>
          <w:p w14:paraId="7C3773FE" w14:textId="77777777" w:rsidR="00710DEF" w:rsidRPr="00822D5C" w:rsidRDefault="00710DEF" w:rsidP="00F66DCE">
            <w:pPr>
              <w:rPr>
                <w:b/>
              </w:rPr>
            </w:pPr>
            <w:r w:rsidRPr="00822D5C">
              <w:rPr>
                <w:b/>
              </w:rPr>
              <w:t>P313 in rev. 5</w:t>
            </w:r>
          </w:p>
        </w:tc>
        <w:tc>
          <w:tcPr>
            <w:tcW w:w="2310" w:type="dxa"/>
          </w:tcPr>
          <w:p w14:paraId="7669DE4B" w14:textId="77777777" w:rsidR="00710DEF" w:rsidRPr="00822D5C" w:rsidRDefault="00710DEF" w:rsidP="00F66DCE">
            <w:pPr>
              <w:rPr>
                <w:b/>
              </w:rPr>
            </w:pPr>
            <w:r w:rsidRPr="00822D5C">
              <w:rPr>
                <w:b/>
              </w:rPr>
              <w:t>Condition for use in rev. 5</w:t>
            </w:r>
          </w:p>
        </w:tc>
        <w:tc>
          <w:tcPr>
            <w:tcW w:w="2126" w:type="dxa"/>
          </w:tcPr>
          <w:p w14:paraId="5681C95F" w14:textId="77777777" w:rsidR="00710DEF" w:rsidRPr="00822D5C" w:rsidRDefault="00710DEF" w:rsidP="00F66DCE">
            <w:pPr>
              <w:rPr>
                <w:b/>
              </w:rPr>
            </w:pPr>
            <w:r>
              <w:rPr>
                <w:b/>
              </w:rPr>
              <w:t>Issue in rev. 5</w:t>
            </w:r>
          </w:p>
        </w:tc>
      </w:tr>
      <w:tr w:rsidR="00710DEF" w14:paraId="1E10E1A1" w14:textId="77777777" w:rsidTr="00CA6C49">
        <w:tc>
          <w:tcPr>
            <w:tcW w:w="413" w:type="dxa"/>
          </w:tcPr>
          <w:p w14:paraId="30D3F717" w14:textId="77777777" w:rsidR="00710DEF" w:rsidRPr="00B865E8" w:rsidRDefault="00710DEF" w:rsidP="00F66DCE">
            <w:pPr>
              <w:rPr>
                <w:b/>
              </w:rPr>
            </w:pPr>
            <w:r w:rsidRPr="00B865E8">
              <w:rPr>
                <w:b/>
              </w:rPr>
              <w:t>EN</w:t>
            </w:r>
          </w:p>
        </w:tc>
        <w:tc>
          <w:tcPr>
            <w:tcW w:w="1288" w:type="dxa"/>
          </w:tcPr>
          <w:p w14:paraId="4EBAE82C" w14:textId="77777777" w:rsidR="00710DEF" w:rsidRPr="00822D5C" w:rsidRDefault="00710DEF" w:rsidP="00F66DCE">
            <w:r>
              <w:t>Get m</w:t>
            </w:r>
            <w:r w:rsidRPr="00822D5C">
              <w:t>edical advice/attention</w:t>
            </w:r>
          </w:p>
        </w:tc>
        <w:tc>
          <w:tcPr>
            <w:tcW w:w="1518" w:type="dxa"/>
          </w:tcPr>
          <w:p w14:paraId="7369D060" w14:textId="77777777" w:rsidR="00710DEF" w:rsidRPr="00822D5C" w:rsidRDefault="00710DEF" w:rsidP="00F66DCE">
            <w:proofErr w:type="spellStart"/>
            <w:r>
              <w:rPr>
                <w:i/>
                <w:lang w:val="fr-BE"/>
              </w:rPr>
              <w:t>Unchanged</w:t>
            </w:r>
            <w:proofErr w:type="spellEnd"/>
          </w:p>
        </w:tc>
        <w:tc>
          <w:tcPr>
            <w:tcW w:w="2310" w:type="dxa"/>
          </w:tcPr>
          <w:p w14:paraId="3D6BDE66" w14:textId="77777777" w:rsidR="00710DEF" w:rsidRPr="00822D5C" w:rsidRDefault="00710DEF" w:rsidP="00F66DCE">
            <w:pPr>
              <w:rPr>
                <w:b/>
              </w:rPr>
            </w:pPr>
            <w:r w:rsidRPr="00822D5C">
              <w:t>Manufacturer/supplier or the competent authority to select medical advice or attention as appropriate</w:t>
            </w:r>
          </w:p>
        </w:tc>
        <w:tc>
          <w:tcPr>
            <w:tcW w:w="2126" w:type="dxa"/>
          </w:tcPr>
          <w:p w14:paraId="6E3FBBB4" w14:textId="77777777" w:rsidR="00710DEF" w:rsidRPr="004D5EF6" w:rsidRDefault="00710DEF" w:rsidP="00F66DCE">
            <w:pPr>
              <w:rPr>
                <w:b/>
              </w:rPr>
            </w:pPr>
            <w:r w:rsidRPr="004D5EF6">
              <w:rPr>
                <w:b/>
              </w:rPr>
              <w:t>Lack of clarity for duty holder</w:t>
            </w:r>
            <w:r>
              <w:rPr>
                <w:b/>
              </w:rPr>
              <w:t>;</w:t>
            </w:r>
            <w:r w:rsidRPr="004D5EF6">
              <w:rPr>
                <w:b/>
              </w:rPr>
              <w:t xml:space="preserve"> </w:t>
            </w:r>
            <w:r>
              <w:rPr>
                <w:b/>
              </w:rPr>
              <w:t>d</w:t>
            </w:r>
            <w:r w:rsidRPr="004D5EF6">
              <w:rPr>
                <w:b/>
              </w:rPr>
              <w:t>istinction between medical advice/attention is unclear</w:t>
            </w:r>
          </w:p>
        </w:tc>
      </w:tr>
      <w:tr w:rsidR="00710DEF" w:rsidRPr="00A67718" w14:paraId="29AFF68A" w14:textId="77777777" w:rsidTr="00CA6C49">
        <w:tc>
          <w:tcPr>
            <w:tcW w:w="413" w:type="dxa"/>
          </w:tcPr>
          <w:p w14:paraId="08AC8D12" w14:textId="77777777" w:rsidR="00710DEF" w:rsidRPr="00B865E8" w:rsidRDefault="00710DEF" w:rsidP="00F66DCE">
            <w:pPr>
              <w:rPr>
                <w:b/>
              </w:rPr>
            </w:pPr>
            <w:r w:rsidRPr="00B865E8">
              <w:rPr>
                <w:b/>
              </w:rPr>
              <w:t>FR</w:t>
            </w:r>
          </w:p>
        </w:tc>
        <w:tc>
          <w:tcPr>
            <w:tcW w:w="1288" w:type="dxa"/>
          </w:tcPr>
          <w:p w14:paraId="5EACAC20" w14:textId="77777777" w:rsidR="00710DEF" w:rsidRPr="00822D5C" w:rsidRDefault="00710DEF" w:rsidP="00F66DCE">
            <w:r w:rsidRPr="00822D5C">
              <w:t xml:space="preserve">Consulter un </w:t>
            </w:r>
            <w:proofErr w:type="spellStart"/>
            <w:r w:rsidRPr="00822D5C">
              <w:t>médecin</w:t>
            </w:r>
            <w:proofErr w:type="spellEnd"/>
          </w:p>
        </w:tc>
        <w:tc>
          <w:tcPr>
            <w:tcW w:w="1518" w:type="dxa"/>
          </w:tcPr>
          <w:p w14:paraId="2154377F" w14:textId="77777777" w:rsidR="00710DEF" w:rsidRPr="00422558" w:rsidRDefault="00710DEF" w:rsidP="00F66DCE">
            <w:pPr>
              <w:rPr>
                <w:lang w:val="fr-FR"/>
              </w:rPr>
            </w:pPr>
            <w:r w:rsidRPr="00422558">
              <w:rPr>
                <w:lang w:val="fr-FR"/>
              </w:rPr>
              <w:t xml:space="preserve">Demander un avis </w:t>
            </w:r>
            <w:proofErr w:type="spellStart"/>
            <w:r w:rsidRPr="00422558">
              <w:rPr>
                <w:lang w:val="fr-FR"/>
              </w:rPr>
              <w:t>medical</w:t>
            </w:r>
            <w:proofErr w:type="spellEnd"/>
            <w:r w:rsidRPr="00422558">
              <w:rPr>
                <w:lang w:val="fr-FR"/>
              </w:rPr>
              <w:t>/Consulter un médecin</w:t>
            </w:r>
          </w:p>
        </w:tc>
        <w:tc>
          <w:tcPr>
            <w:tcW w:w="2310" w:type="dxa"/>
          </w:tcPr>
          <w:p w14:paraId="36E1BDE2" w14:textId="77777777" w:rsidR="00710DEF" w:rsidRPr="00822D5C" w:rsidRDefault="00710DEF" w:rsidP="00F66DCE">
            <w:pPr>
              <w:rPr>
                <w:b/>
                <w:lang w:val="fr-BE"/>
              </w:rPr>
            </w:pPr>
            <w:r w:rsidRPr="00822D5C">
              <w:rPr>
                <w:lang w:val="fr-BE"/>
              </w:rPr>
              <w:t>Il revient au fabricant/fournisseur</w:t>
            </w:r>
            <w:r>
              <w:rPr>
                <w:lang w:val="fr-BE"/>
              </w:rPr>
              <w:t xml:space="preserve"> ou à l'autorité compétente de sélectionner la mention (demander ou consulter) appropriée</w:t>
            </w:r>
          </w:p>
        </w:tc>
        <w:tc>
          <w:tcPr>
            <w:tcW w:w="2126" w:type="dxa"/>
          </w:tcPr>
          <w:p w14:paraId="0D3E4A2A" w14:textId="6BA79367" w:rsidR="00710DEF" w:rsidRPr="004D5EF6" w:rsidRDefault="00710DEF" w:rsidP="00F66DCE">
            <w:pPr>
              <w:rPr>
                <w:b/>
              </w:rPr>
            </w:pPr>
            <w:r w:rsidRPr="004D5EF6">
              <w:rPr>
                <w:b/>
                <w:lang w:val="fr-BE"/>
              </w:rPr>
              <w:t xml:space="preserve"> </w:t>
            </w:r>
            <w:r w:rsidRPr="004D5EF6">
              <w:rPr>
                <w:b/>
              </w:rPr>
              <w:t>-</w:t>
            </w:r>
            <w:r w:rsidR="00CA6C49">
              <w:rPr>
                <w:b/>
              </w:rPr>
              <w:t>----</w:t>
            </w:r>
          </w:p>
        </w:tc>
      </w:tr>
      <w:tr w:rsidR="00710DEF" w:rsidRPr="00A67718" w14:paraId="1EDB278E" w14:textId="77777777" w:rsidTr="00CA6C49">
        <w:tc>
          <w:tcPr>
            <w:tcW w:w="413" w:type="dxa"/>
          </w:tcPr>
          <w:p w14:paraId="5E91D855" w14:textId="77777777" w:rsidR="00710DEF" w:rsidRPr="00B865E8" w:rsidRDefault="00710DEF" w:rsidP="00F66DCE">
            <w:pPr>
              <w:rPr>
                <w:b/>
                <w:lang w:val="fr-BE"/>
              </w:rPr>
            </w:pPr>
            <w:r w:rsidRPr="00B865E8">
              <w:rPr>
                <w:b/>
                <w:lang w:val="fr-BE"/>
              </w:rPr>
              <w:t>ES</w:t>
            </w:r>
          </w:p>
        </w:tc>
        <w:tc>
          <w:tcPr>
            <w:tcW w:w="1288" w:type="dxa"/>
          </w:tcPr>
          <w:p w14:paraId="1C252AAB" w14:textId="77777777" w:rsidR="00710DEF" w:rsidRPr="00822D5C" w:rsidRDefault="00710DEF" w:rsidP="00F66DCE">
            <w:pPr>
              <w:rPr>
                <w:lang w:val="fr-BE"/>
              </w:rPr>
            </w:pPr>
            <w:proofErr w:type="spellStart"/>
            <w:r>
              <w:rPr>
                <w:lang w:val="fr-BE"/>
              </w:rPr>
              <w:t>Consultar</w:t>
            </w:r>
            <w:proofErr w:type="spellEnd"/>
            <w:r>
              <w:rPr>
                <w:lang w:val="fr-BE"/>
              </w:rPr>
              <w:t xml:space="preserve"> a un médico</w:t>
            </w:r>
          </w:p>
        </w:tc>
        <w:tc>
          <w:tcPr>
            <w:tcW w:w="1518" w:type="dxa"/>
          </w:tcPr>
          <w:p w14:paraId="58E2AA47" w14:textId="77777777" w:rsidR="00710DEF" w:rsidRPr="00A67718" w:rsidRDefault="00710DEF" w:rsidP="00F66DCE">
            <w:pPr>
              <w:rPr>
                <w:i/>
              </w:rPr>
            </w:pPr>
            <w:r>
              <w:rPr>
                <w:i/>
              </w:rPr>
              <w:t>Unchanged</w:t>
            </w:r>
          </w:p>
        </w:tc>
        <w:tc>
          <w:tcPr>
            <w:tcW w:w="2310" w:type="dxa"/>
          </w:tcPr>
          <w:p w14:paraId="0AAB3C90" w14:textId="77777777" w:rsidR="00710DEF" w:rsidRPr="00A31C3D" w:rsidRDefault="00710DEF" w:rsidP="00F66DCE">
            <w:pPr>
              <w:rPr>
                <w:lang w:val="es-ES"/>
              </w:rPr>
            </w:pPr>
            <w:r w:rsidRPr="00A31C3D">
              <w:rPr>
                <w:lang w:val="es-ES"/>
              </w:rPr>
              <w:t>El fabricante/proveedor o la autoridad</w:t>
            </w:r>
            <w:r>
              <w:rPr>
                <w:lang w:val="es-ES"/>
              </w:rPr>
              <w:t xml:space="preserve"> competente seleccionarán, según proceda, el asesoramiento o la atención médica que hayan de prestarse.</w:t>
            </w:r>
          </w:p>
        </w:tc>
        <w:tc>
          <w:tcPr>
            <w:tcW w:w="2126" w:type="dxa"/>
          </w:tcPr>
          <w:p w14:paraId="663F20D3" w14:textId="77777777" w:rsidR="00710DEF" w:rsidRPr="004D5EF6" w:rsidRDefault="00710DEF" w:rsidP="00F66DCE">
            <w:pPr>
              <w:rPr>
                <w:b/>
              </w:rPr>
            </w:pPr>
            <w:r w:rsidRPr="004D5EF6">
              <w:rPr>
                <w:b/>
              </w:rPr>
              <w:t>Inconsistency: Condition for use does not match the precautionary statement</w:t>
            </w:r>
          </w:p>
        </w:tc>
      </w:tr>
      <w:tr w:rsidR="00710DEF" w:rsidRPr="00A62EEE" w14:paraId="77DFAB98" w14:textId="77777777" w:rsidTr="00CA6C49">
        <w:tc>
          <w:tcPr>
            <w:tcW w:w="413" w:type="dxa"/>
          </w:tcPr>
          <w:p w14:paraId="58893173" w14:textId="77777777" w:rsidR="00710DEF" w:rsidRPr="00B865E8" w:rsidRDefault="00710DEF" w:rsidP="00F66DCE">
            <w:pPr>
              <w:rPr>
                <w:b/>
                <w:lang w:val="fr-BE"/>
              </w:rPr>
            </w:pPr>
            <w:r w:rsidRPr="00B865E8">
              <w:rPr>
                <w:b/>
                <w:lang w:val="fr-BE"/>
              </w:rPr>
              <w:t>RU</w:t>
            </w:r>
          </w:p>
        </w:tc>
        <w:tc>
          <w:tcPr>
            <w:tcW w:w="1288" w:type="dxa"/>
          </w:tcPr>
          <w:p w14:paraId="223AF1D4" w14:textId="77777777" w:rsidR="00710DEF" w:rsidRPr="00822D5C" w:rsidRDefault="00710DEF" w:rsidP="00F66DCE">
            <w:pPr>
              <w:rPr>
                <w:lang w:val="fr-BE"/>
              </w:rPr>
            </w:pPr>
            <w:proofErr w:type="spellStart"/>
            <w:r w:rsidRPr="00822D5C">
              <w:rPr>
                <w:lang w:val="fr-BE"/>
              </w:rPr>
              <w:t>Обратиться</w:t>
            </w:r>
            <w:proofErr w:type="spellEnd"/>
            <w:r w:rsidRPr="00822D5C">
              <w:rPr>
                <w:lang w:val="fr-BE"/>
              </w:rPr>
              <w:t xml:space="preserve"> к </w:t>
            </w:r>
            <w:proofErr w:type="spellStart"/>
            <w:r w:rsidRPr="00822D5C">
              <w:rPr>
                <w:lang w:val="fr-BE"/>
              </w:rPr>
              <w:t>врачу</w:t>
            </w:r>
            <w:proofErr w:type="spellEnd"/>
          </w:p>
        </w:tc>
        <w:tc>
          <w:tcPr>
            <w:tcW w:w="1518" w:type="dxa"/>
          </w:tcPr>
          <w:p w14:paraId="4A5C1ED1" w14:textId="77777777" w:rsidR="00710DEF" w:rsidRPr="00A67718" w:rsidRDefault="00710DEF" w:rsidP="00F66DCE">
            <w:pPr>
              <w:rPr>
                <w:i/>
              </w:rPr>
            </w:pPr>
            <w:r>
              <w:rPr>
                <w:i/>
              </w:rPr>
              <w:t>Unchanged</w:t>
            </w:r>
          </w:p>
        </w:tc>
        <w:tc>
          <w:tcPr>
            <w:tcW w:w="2310" w:type="dxa"/>
          </w:tcPr>
          <w:p w14:paraId="4B1718BC" w14:textId="77777777" w:rsidR="00710DEF" w:rsidRPr="00A62EEE" w:rsidRDefault="00710DEF" w:rsidP="00F66DCE">
            <w:proofErr w:type="spellStart"/>
            <w:r w:rsidRPr="00A31C3D">
              <w:rPr>
                <w:lang w:val="fr-BE"/>
              </w:rPr>
              <w:t>Изготовителю</w:t>
            </w:r>
            <w:proofErr w:type="spellEnd"/>
            <w:r w:rsidRPr="00A62EEE">
              <w:t>/</w:t>
            </w:r>
            <w:proofErr w:type="spellStart"/>
            <w:r w:rsidRPr="00A31C3D">
              <w:rPr>
                <w:lang w:val="fr-BE"/>
              </w:rPr>
              <w:t>поставщику</w:t>
            </w:r>
            <w:proofErr w:type="spellEnd"/>
            <w:r w:rsidRPr="00A62EEE">
              <w:t xml:space="preserve"> </w:t>
            </w:r>
            <w:proofErr w:type="spellStart"/>
            <w:r w:rsidRPr="00A31C3D">
              <w:rPr>
                <w:lang w:val="fr-BE"/>
              </w:rPr>
              <w:t>или</w:t>
            </w:r>
            <w:proofErr w:type="spellEnd"/>
            <w:r w:rsidRPr="00A62EEE">
              <w:t xml:space="preserve"> </w:t>
            </w:r>
            <w:proofErr w:type="spellStart"/>
            <w:r w:rsidRPr="00A31C3D">
              <w:rPr>
                <w:lang w:val="fr-BE"/>
              </w:rPr>
              <w:t>компетентному</w:t>
            </w:r>
            <w:proofErr w:type="spellEnd"/>
            <w:r w:rsidRPr="00A62EEE">
              <w:t xml:space="preserve"> </w:t>
            </w:r>
            <w:proofErr w:type="spellStart"/>
            <w:r w:rsidRPr="00A31C3D">
              <w:rPr>
                <w:lang w:val="fr-BE"/>
              </w:rPr>
              <w:t>органу</w:t>
            </w:r>
            <w:proofErr w:type="spellEnd"/>
            <w:r w:rsidRPr="00A62EEE">
              <w:t xml:space="preserve"> </w:t>
            </w:r>
            <w:r w:rsidRPr="00A31C3D">
              <w:rPr>
                <w:lang w:val="fr-BE"/>
              </w:rPr>
              <w:t>в</w:t>
            </w:r>
            <w:r w:rsidRPr="00A62EEE">
              <w:t xml:space="preserve"> </w:t>
            </w:r>
            <w:proofErr w:type="spellStart"/>
            <w:r w:rsidRPr="00A31C3D">
              <w:rPr>
                <w:lang w:val="fr-BE"/>
              </w:rPr>
              <w:t>соответствующих</w:t>
            </w:r>
            <w:proofErr w:type="spellEnd"/>
            <w:r w:rsidRPr="00A62EEE">
              <w:t xml:space="preserve"> </w:t>
            </w:r>
            <w:proofErr w:type="spellStart"/>
            <w:r w:rsidRPr="00A31C3D">
              <w:rPr>
                <w:lang w:val="fr-BE"/>
              </w:rPr>
              <w:t>случаях</w:t>
            </w:r>
            <w:proofErr w:type="spellEnd"/>
            <w:r w:rsidRPr="00A62EEE">
              <w:t xml:space="preserve"> </w:t>
            </w:r>
            <w:proofErr w:type="spellStart"/>
            <w:r w:rsidRPr="00A31C3D">
              <w:rPr>
                <w:lang w:val="fr-BE"/>
              </w:rPr>
              <w:t>надлежит</w:t>
            </w:r>
            <w:proofErr w:type="spellEnd"/>
            <w:r w:rsidRPr="00A62EEE">
              <w:t xml:space="preserve"> </w:t>
            </w:r>
            <w:proofErr w:type="spellStart"/>
            <w:r w:rsidRPr="00A31C3D">
              <w:rPr>
                <w:lang w:val="fr-BE"/>
              </w:rPr>
              <w:t>определить</w:t>
            </w:r>
            <w:proofErr w:type="spellEnd"/>
            <w:r w:rsidRPr="00A62EEE">
              <w:t xml:space="preserve"> </w:t>
            </w:r>
            <w:proofErr w:type="spellStart"/>
            <w:r w:rsidRPr="00A31C3D">
              <w:rPr>
                <w:lang w:val="fr-BE"/>
              </w:rPr>
              <w:t>необходимость</w:t>
            </w:r>
            <w:proofErr w:type="spellEnd"/>
            <w:r w:rsidRPr="00A62EEE">
              <w:t xml:space="preserve"> </w:t>
            </w:r>
            <w:proofErr w:type="spellStart"/>
            <w:r w:rsidRPr="00A31C3D">
              <w:rPr>
                <w:lang w:val="fr-BE"/>
              </w:rPr>
              <w:t>обращения</w:t>
            </w:r>
            <w:proofErr w:type="spellEnd"/>
            <w:r w:rsidRPr="00A62EEE">
              <w:t xml:space="preserve"> </w:t>
            </w:r>
            <w:proofErr w:type="spellStart"/>
            <w:r w:rsidRPr="00A31C3D">
              <w:rPr>
                <w:lang w:val="fr-BE"/>
              </w:rPr>
              <w:t>за</w:t>
            </w:r>
            <w:proofErr w:type="spellEnd"/>
            <w:r w:rsidRPr="00A62EEE">
              <w:t xml:space="preserve"> </w:t>
            </w:r>
            <w:proofErr w:type="spellStart"/>
            <w:r w:rsidRPr="00A31C3D">
              <w:rPr>
                <w:lang w:val="fr-BE"/>
              </w:rPr>
              <w:t>консультацией</w:t>
            </w:r>
            <w:proofErr w:type="spellEnd"/>
            <w:r w:rsidRPr="00A62EEE">
              <w:t xml:space="preserve"> </w:t>
            </w:r>
            <w:proofErr w:type="spellStart"/>
            <w:r w:rsidRPr="00A31C3D">
              <w:rPr>
                <w:lang w:val="fr-BE"/>
              </w:rPr>
              <w:t>или</w:t>
            </w:r>
            <w:proofErr w:type="spellEnd"/>
            <w:r w:rsidRPr="00A62EEE">
              <w:t xml:space="preserve"> </w:t>
            </w:r>
            <w:proofErr w:type="spellStart"/>
            <w:r w:rsidRPr="00A31C3D">
              <w:rPr>
                <w:lang w:val="fr-BE"/>
              </w:rPr>
              <w:t>помощью</w:t>
            </w:r>
            <w:proofErr w:type="spellEnd"/>
            <w:r w:rsidRPr="00A62EEE">
              <w:t xml:space="preserve"> </w:t>
            </w:r>
            <w:r w:rsidRPr="00A31C3D">
              <w:rPr>
                <w:lang w:val="fr-BE"/>
              </w:rPr>
              <w:t>к</w:t>
            </w:r>
            <w:r w:rsidRPr="00A62EEE">
              <w:t xml:space="preserve"> </w:t>
            </w:r>
            <w:proofErr w:type="spellStart"/>
            <w:r w:rsidRPr="00A31C3D">
              <w:rPr>
                <w:lang w:val="fr-BE"/>
              </w:rPr>
              <w:t>врачу</w:t>
            </w:r>
            <w:proofErr w:type="spellEnd"/>
            <w:r w:rsidRPr="00A62EEE">
              <w:t>.</w:t>
            </w:r>
          </w:p>
        </w:tc>
        <w:tc>
          <w:tcPr>
            <w:tcW w:w="2126" w:type="dxa"/>
          </w:tcPr>
          <w:p w14:paraId="501CB1D9" w14:textId="77777777" w:rsidR="00710DEF" w:rsidRPr="004D5EF6" w:rsidRDefault="00710DEF" w:rsidP="00F66DCE">
            <w:pPr>
              <w:rPr>
                <w:b/>
              </w:rPr>
            </w:pPr>
            <w:r w:rsidRPr="004D5EF6">
              <w:rPr>
                <w:b/>
              </w:rPr>
              <w:t>Inconsistency: Condition for use does not match the precautionary statement</w:t>
            </w:r>
          </w:p>
        </w:tc>
      </w:tr>
    </w:tbl>
    <w:p w14:paraId="35858C3B" w14:textId="1C9B2536" w:rsidR="00710DEF" w:rsidRPr="00DF31BB" w:rsidRDefault="00DF31BB" w:rsidP="00DF31BB">
      <w:pPr>
        <w:spacing w:before="240"/>
        <w:ind w:left="1134" w:right="1134"/>
        <w:jc w:val="center"/>
        <w:rPr>
          <w:rFonts w:eastAsia="MS Mincho"/>
          <w:u w:val="single"/>
        </w:rPr>
      </w:pPr>
      <w:r>
        <w:rPr>
          <w:rFonts w:eastAsia="MS Mincho"/>
          <w:u w:val="single"/>
        </w:rPr>
        <w:tab/>
      </w:r>
      <w:r>
        <w:rPr>
          <w:rFonts w:eastAsia="MS Mincho"/>
          <w:u w:val="single"/>
        </w:rPr>
        <w:tab/>
      </w:r>
      <w:r>
        <w:rPr>
          <w:rFonts w:eastAsia="MS Mincho"/>
          <w:u w:val="single"/>
        </w:rPr>
        <w:tab/>
      </w:r>
    </w:p>
    <w:sectPr w:rsidR="00710DEF" w:rsidRPr="00DF31BB" w:rsidSect="00657335">
      <w:headerReference w:type="even" r:id="rId10"/>
      <w:headerReference w:type="default" r:id="rId11"/>
      <w:footerReference w:type="even" r:id="rId12"/>
      <w:footerReference w:type="default" r:id="rId13"/>
      <w:headerReference w:type="first" r:id="rId14"/>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44A463" w15:done="0"/>
  <w15:commentEx w15:paraId="0953D7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DE88B" w14:textId="77777777" w:rsidR="005C3F86" w:rsidRDefault="005C3F86"/>
  </w:endnote>
  <w:endnote w:type="continuationSeparator" w:id="0">
    <w:p w14:paraId="4CDDE650" w14:textId="77777777" w:rsidR="005C3F86" w:rsidRDefault="005C3F86"/>
  </w:endnote>
  <w:endnote w:type="continuationNotice" w:id="1">
    <w:p w14:paraId="6A963CDD" w14:textId="77777777" w:rsidR="005C3F86" w:rsidRDefault="005C3F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312">
    <w:altName w:val="Arial Unicode MS"/>
    <w:panose1 w:val="00000000000000000000"/>
    <w:charset w:val="86"/>
    <w:family w:val="swiss"/>
    <w:notTrueType/>
    <w:pitch w:val="default"/>
    <w:sig w:usb0="00000001" w:usb1="080E0000" w:usb2="00000010" w:usb3="00000000" w:csb0="0004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4633F" w14:textId="77777777" w:rsidR="005C3F86" w:rsidRPr="00657335" w:rsidRDefault="005C3F86" w:rsidP="00657335">
    <w:pPr>
      <w:pStyle w:val="Footer"/>
      <w:tabs>
        <w:tab w:val="right" w:pos="9638"/>
      </w:tabs>
      <w:rPr>
        <w:sz w:val="18"/>
      </w:rPr>
    </w:pPr>
    <w:r w:rsidRPr="00657335">
      <w:rPr>
        <w:b/>
        <w:sz w:val="18"/>
      </w:rPr>
      <w:fldChar w:fldCharType="begin"/>
    </w:r>
    <w:r w:rsidRPr="00657335">
      <w:rPr>
        <w:b/>
        <w:sz w:val="18"/>
      </w:rPr>
      <w:instrText xml:space="preserve"> PAGE  \* MERGEFORMAT </w:instrText>
    </w:r>
    <w:r w:rsidRPr="00657335">
      <w:rPr>
        <w:b/>
        <w:sz w:val="18"/>
      </w:rPr>
      <w:fldChar w:fldCharType="separate"/>
    </w:r>
    <w:r w:rsidR="00124B97">
      <w:rPr>
        <w:b/>
        <w:noProof/>
        <w:sz w:val="18"/>
      </w:rPr>
      <w:t>2</w:t>
    </w:r>
    <w:r w:rsidRPr="006573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60DEE" w14:textId="77777777" w:rsidR="005C3F86" w:rsidRPr="00657335" w:rsidRDefault="005C3F86" w:rsidP="00657335">
    <w:pPr>
      <w:pStyle w:val="Footer"/>
      <w:tabs>
        <w:tab w:val="right" w:pos="9638"/>
      </w:tabs>
      <w:rPr>
        <w:b/>
        <w:sz w:val="18"/>
      </w:rPr>
    </w:pPr>
    <w:r>
      <w:tab/>
    </w:r>
    <w:r w:rsidRPr="00657335">
      <w:rPr>
        <w:b/>
        <w:sz w:val="18"/>
      </w:rPr>
      <w:fldChar w:fldCharType="begin"/>
    </w:r>
    <w:r w:rsidRPr="00657335">
      <w:rPr>
        <w:b/>
        <w:sz w:val="18"/>
      </w:rPr>
      <w:instrText xml:space="preserve"> PAGE  \* MERGEFORMAT </w:instrText>
    </w:r>
    <w:r w:rsidRPr="00657335">
      <w:rPr>
        <w:b/>
        <w:sz w:val="18"/>
      </w:rPr>
      <w:fldChar w:fldCharType="separate"/>
    </w:r>
    <w:r w:rsidR="00124B97">
      <w:rPr>
        <w:b/>
        <w:noProof/>
        <w:sz w:val="18"/>
      </w:rPr>
      <w:t>3</w:t>
    </w:r>
    <w:r w:rsidRPr="00657335">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FC645" w14:textId="77777777" w:rsidR="005C3F86" w:rsidRPr="000B175B" w:rsidRDefault="005C3F86" w:rsidP="000B175B">
      <w:pPr>
        <w:tabs>
          <w:tab w:val="right" w:pos="2155"/>
        </w:tabs>
        <w:spacing w:after="80"/>
        <w:ind w:left="680"/>
        <w:rPr>
          <w:u w:val="single"/>
        </w:rPr>
      </w:pPr>
      <w:r>
        <w:rPr>
          <w:u w:val="single"/>
        </w:rPr>
        <w:tab/>
      </w:r>
    </w:p>
  </w:footnote>
  <w:footnote w:type="continuationSeparator" w:id="0">
    <w:p w14:paraId="7B7D02BB" w14:textId="77777777" w:rsidR="005C3F86" w:rsidRPr="00FC68B7" w:rsidRDefault="005C3F86" w:rsidP="00FC68B7">
      <w:pPr>
        <w:tabs>
          <w:tab w:val="left" w:pos="2155"/>
        </w:tabs>
        <w:spacing w:after="80"/>
        <w:ind w:left="680"/>
        <w:rPr>
          <w:u w:val="single"/>
        </w:rPr>
      </w:pPr>
      <w:r>
        <w:rPr>
          <w:u w:val="single"/>
        </w:rPr>
        <w:tab/>
      </w:r>
    </w:p>
  </w:footnote>
  <w:footnote w:type="continuationNotice" w:id="1">
    <w:p w14:paraId="4DBA2DAC" w14:textId="77777777" w:rsidR="005C3F86" w:rsidRDefault="005C3F86"/>
  </w:footnote>
  <w:footnote w:id="2">
    <w:p w14:paraId="6102BBF4" w14:textId="68CFB22E" w:rsidR="002D7708" w:rsidRPr="002D7708" w:rsidRDefault="002D7708">
      <w:pPr>
        <w:pStyle w:val="FootnoteText"/>
        <w:rPr>
          <w:lang w:val="fr-CH"/>
        </w:rPr>
      </w:pPr>
      <w:r>
        <w:tab/>
      </w:r>
      <w:r>
        <w:rPr>
          <w:rStyle w:val="FootnoteReference"/>
        </w:rPr>
        <w:footnoteRef/>
      </w:r>
      <w:r>
        <w:t xml:space="preserve"> </w:t>
      </w:r>
      <w:r>
        <w:tab/>
        <w:t>In accordance with the programme of work of the Sub-Committee for 2015–2016 approved by the Committee at its seventh session (see ST/SG/AC.10/C.3/92, paragraph 95 and ST/SG/AC.10/42, para. 15).</w:t>
      </w:r>
    </w:p>
  </w:footnote>
  <w:footnote w:id="3">
    <w:p w14:paraId="193DE91C" w14:textId="5ADBB829" w:rsidR="00710DEF" w:rsidRDefault="00710DEF" w:rsidP="00710DEF">
      <w:pPr>
        <w:pStyle w:val="FootnoteText"/>
      </w:pPr>
      <w:r>
        <w:tab/>
      </w:r>
      <w:r>
        <w:rPr>
          <w:rStyle w:val="FootnoteReference"/>
        </w:rPr>
        <w:footnoteRef/>
      </w:r>
      <w:r>
        <w:t xml:space="preserve"> </w:t>
      </w:r>
      <w:r>
        <w:tab/>
        <w:t xml:space="preserve">Refer to informal document </w:t>
      </w:r>
      <w:r w:rsidRPr="00042140">
        <w:t>INF.19</w:t>
      </w:r>
      <w:r>
        <w:t xml:space="preserve"> (thirty-first session).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BB666" w14:textId="2D3B35D2" w:rsidR="005C3F86" w:rsidRPr="00657335" w:rsidRDefault="005C3F86">
    <w:pPr>
      <w:pStyle w:val="Header"/>
    </w:pPr>
    <w:r w:rsidRPr="00F825E3">
      <w:t>ST/SG/AC.10/C.4/2016/</w:t>
    </w:r>
    <w:r w:rsidR="00F825E3" w:rsidRPr="00F825E3">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83A66" w14:textId="59F33338" w:rsidR="005C3F86" w:rsidRPr="00657335" w:rsidRDefault="005C3F86" w:rsidP="00657335">
    <w:pPr>
      <w:pStyle w:val="Header"/>
      <w:jc w:val="right"/>
    </w:pPr>
    <w:r w:rsidRPr="00A11654">
      <w:t>ST/SG/AC.10/C.4/2016/</w:t>
    </w:r>
    <w:r w:rsidR="00A11654" w:rsidRPr="00A11654">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40990" w14:textId="77777777" w:rsidR="00F825E3" w:rsidRDefault="00F825E3">
    <w:pPr>
      <w:pStyle w:val="Header"/>
    </w:pPr>
  </w:p>
  <w:p w14:paraId="75FF8CA3" w14:textId="77777777" w:rsidR="00F825E3" w:rsidRDefault="00F825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9D23CA1"/>
    <w:multiLevelType w:val="hybridMultilevel"/>
    <w:tmpl w:val="C6D44148"/>
    <w:lvl w:ilvl="0" w:tplc="DC08D7A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nsid w:val="575D4F6D"/>
    <w:multiLevelType w:val="hybridMultilevel"/>
    <w:tmpl w:val="6DE6978C"/>
    <w:lvl w:ilvl="0" w:tplc="7534BE94">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A5161EB"/>
    <w:multiLevelType w:val="hybridMultilevel"/>
    <w:tmpl w:val="EFA41F36"/>
    <w:lvl w:ilvl="0" w:tplc="24040A0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9BB3C5D"/>
    <w:multiLevelType w:val="hybridMultilevel"/>
    <w:tmpl w:val="D7FEA97C"/>
    <w:lvl w:ilvl="0" w:tplc="43F09D1C">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DE80D87"/>
    <w:multiLevelType w:val="hybridMultilevel"/>
    <w:tmpl w:val="9B6C133A"/>
    <w:lvl w:ilvl="0" w:tplc="E73444E6">
      <w:start w:val="1"/>
      <w:numFmt w:val="lowerRoman"/>
      <w:lvlText w:val="(%1)"/>
      <w:lvlJc w:val="left"/>
      <w:pPr>
        <w:ind w:left="2988" w:hanging="720"/>
      </w:p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0"/>
  </w:num>
  <w:num w:numId="14">
    <w:abstractNumId w:val="15"/>
  </w:num>
  <w:num w:numId="15">
    <w:abstractNumId w:val="1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5"/>
  </w:num>
  <w:num w:numId="19">
    <w:abstractNumId w:val="13"/>
  </w:num>
  <w:num w:numId="20">
    <w:abstractNumId w:val="16"/>
  </w:num>
  <w:num w:numId="21">
    <w:abstractNumId w:val="18"/>
  </w:num>
  <w:num w:numId="22">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Gunilla">
    <w15:presenceInfo w15:providerId="AD" w15:userId="S-1-5-21-2444889250-2882189981-708495972-15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AC10_C4_E"/>
  </w:docVars>
  <w:rsids>
    <w:rsidRoot w:val="00657335"/>
    <w:rsid w:val="00026C42"/>
    <w:rsid w:val="00042140"/>
    <w:rsid w:val="00050F6B"/>
    <w:rsid w:val="00057FD8"/>
    <w:rsid w:val="00063F75"/>
    <w:rsid w:val="00072C8C"/>
    <w:rsid w:val="00073F2A"/>
    <w:rsid w:val="000803E3"/>
    <w:rsid w:val="00091419"/>
    <w:rsid w:val="000931C0"/>
    <w:rsid w:val="0009436C"/>
    <w:rsid w:val="000B08B8"/>
    <w:rsid w:val="000B175B"/>
    <w:rsid w:val="000B18F4"/>
    <w:rsid w:val="000B3A0F"/>
    <w:rsid w:val="000D4BFF"/>
    <w:rsid w:val="000D6409"/>
    <w:rsid w:val="000E0415"/>
    <w:rsid w:val="00106249"/>
    <w:rsid w:val="00106F8A"/>
    <w:rsid w:val="0011582C"/>
    <w:rsid w:val="00117787"/>
    <w:rsid w:val="00124B97"/>
    <w:rsid w:val="00131D42"/>
    <w:rsid w:val="001633FB"/>
    <w:rsid w:val="0017482D"/>
    <w:rsid w:val="001857C9"/>
    <w:rsid w:val="001A08E4"/>
    <w:rsid w:val="001B0884"/>
    <w:rsid w:val="001B4B04"/>
    <w:rsid w:val="001B6651"/>
    <w:rsid w:val="001C6663"/>
    <w:rsid w:val="001C7895"/>
    <w:rsid w:val="001D26DF"/>
    <w:rsid w:val="001D2FDC"/>
    <w:rsid w:val="001E5604"/>
    <w:rsid w:val="001E7E3E"/>
    <w:rsid w:val="0020412D"/>
    <w:rsid w:val="0021039B"/>
    <w:rsid w:val="00211686"/>
    <w:rsid w:val="00211D52"/>
    <w:rsid w:val="00211E0B"/>
    <w:rsid w:val="00227E94"/>
    <w:rsid w:val="002309A7"/>
    <w:rsid w:val="00237785"/>
    <w:rsid w:val="00241466"/>
    <w:rsid w:val="00242C97"/>
    <w:rsid w:val="002644D3"/>
    <w:rsid w:val="0027159C"/>
    <w:rsid w:val="002725CA"/>
    <w:rsid w:val="0028054F"/>
    <w:rsid w:val="00280EB7"/>
    <w:rsid w:val="00297A22"/>
    <w:rsid w:val="002B1CDA"/>
    <w:rsid w:val="002D094B"/>
    <w:rsid w:val="002D7708"/>
    <w:rsid w:val="002E4F4E"/>
    <w:rsid w:val="003107FA"/>
    <w:rsid w:val="003123DB"/>
    <w:rsid w:val="003229D8"/>
    <w:rsid w:val="003441E0"/>
    <w:rsid w:val="003544E9"/>
    <w:rsid w:val="00365A31"/>
    <w:rsid w:val="0039277A"/>
    <w:rsid w:val="003961CC"/>
    <w:rsid w:val="003972E0"/>
    <w:rsid w:val="003B5A5E"/>
    <w:rsid w:val="003C054C"/>
    <w:rsid w:val="003C2CC4"/>
    <w:rsid w:val="003D4B23"/>
    <w:rsid w:val="003D5825"/>
    <w:rsid w:val="003E0C31"/>
    <w:rsid w:val="004012C4"/>
    <w:rsid w:val="0040226E"/>
    <w:rsid w:val="00422199"/>
    <w:rsid w:val="00422558"/>
    <w:rsid w:val="004325CB"/>
    <w:rsid w:val="00434149"/>
    <w:rsid w:val="004349B6"/>
    <w:rsid w:val="00437F3F"/>
    <w:rsid w:val="00437F8B"/>
    <w:rsid w:val="00446DE4"/>
    <w:rsid w:val="00466CC4"/>
    <w:rsid w:val="004750C2"/>
    <w:rsid w:val="00475E36"/>
    <w:rsid w:val="004768A6"/>
    <w:rsid w:val="0049191D"/>
    <w:rsid w:val="0049436E"/>
    <w:rsid w:val="004973C9"/>
    <w:rsid w:val="004B2C9D"/>
    <w:rsid w:val="004C48A0"/>
    <w:rsid w:val="004D5287"/>
    <w:rsid w:val="004D5EF6"/>
    <w:rsid w:val="004F160A"/>
    <w:rsid w:val="004F47E8"/>
    <w:rsid w:val="00512833"/>
    <w:rsid w:val="00527910"/>
    <w:rsid w:val="005420F2"/>
    <w:rsid w:val="00543BB6"/>
    <w:rsid w:val="00561D88"/>
    <w:rsid w:val="00570B9B"/>
    <w:rsid w:val="00577EBE"/>
    <w:rsid w:val="00581DA0"/>
    <w:rsid w:val="00590144"/>
    <w:rsid w:val="005B3DB3"/>
    <w:rsid w:val="005C3F86"/>
    <w:rsid w:val="005E2F7F"/>
    <w:rsid w:val="005E48D1"/>
    <w:rsid w:val="005F4827"/>
    <w:rsid w:val="00611FC4"/>
    <w:rsid w:val="006176FB"/>
    <w:rsid w:val="0063419C"/>
    <w:rsid w:val="00640B26"/>
    <w:rsid w:val="00652D10"/>
    <w:rsid w:val="0065482D"/>
    <w:rsid w:val="00657335"/>
    <w:rsid w:val="00684462"/>
    <w:rsid w:val="00692B9E"/>
    <w:rsid w:val="006A2F87"/>
    <w:rsid w:val="006A7392"/>
    <w:rsid w:val="006C0D34"/>
    <w:rsid w:val="006E241D"/>
    <w:rsid w:val="006E564B"/>
    <w:rsid w:val="006F26F9"/>
    <w:rsid w:val="00703DF8"/>
    <w:rsid w:val="00710DEF"/>
    <w:rsid w:val="0072632A"/>
    <w:rsid w:val="00730AB4"/>
    <w:rsid w:val="007430A6"/>
    <w:rsid w:val="0074329B"/>
    <w:rsid w:val="007558A5"/>
    <w:rsid w:val="007602C8"/>
    <w:rsid w:val="00783B6C"/>
    <w:rsid w:val="00790791"/>
    <w:rsid w:val="0079382D"/>
    <w:rsid w:val="007A631B"/>
    <w:rsid w:val="007B004B"/>
    <w:rsid w:val="007B6BA5"/>
    <w:rsid w:val="007C2E9C"/>
    <w:rsid w:val="007C3390"/>
    <w:rsid w:val="007C4F4B"/>
    <w:rsid w:val="007E026E"/>
    <w:rsid w:val="007F6611"/>
    <w:rsid w:val="008058CA"/>
    <w:rsid w:val="00811DCC"/>
    <w:rsid w:val="00815C31"/>
    <w:rsid w:val="008175E9"/>
    <w:rsid w:val="008242D7"/>
    <w:rsid w:val="00845FBC"/>
    <w:rsid w:val="008560C2"/>
    <w:rsid w:val="008671D0"/>
    <w:rsid w:val="008703E9"/>
    <w:rsid w:val="00871FD5"/>
    <w:rsid w:val="00885989"/>
    <w:rsid w:val="008859C3"/>
    <w:rsid w:val="0088766E"/>
    <w:rsid w:val="008979B1"/>
    <w:rsid w:val="008A6B25"/>
    <w:rsid w:val="008A6C4F"/>
    <w:rsid w:val="008B1F7D"/>
    <w:rsid w:val="008D0E23"/>
    <w:rsid w:val="008D0EFF"/>
    <w:rsid w:val="008D513E"/>
    <w:rsid w:val="008E0E46"/>
    <w:rsid w:val="00912CE5"/>
    <w:rsid w:val="00921719"/>
    <w:rsid w:val="009254AC"/>
    <w:rsid w:val="00927DD9"/>
    <w:rsid w:val="00945A5D"/>
    <w:rsid w:val="009630BA"/>
    <w:rsid w:val="00963CBA"/>
    <w:rsid w:val="00974777"/>
    <w:rsid w:val="00981D8D"/>
    <w:rsid w:val="0099124E"/>
    <w:rsid w:val="00991261"/>
    <w:rsid w:val="00991612"/>
    <w:rsid w:val="0099244C"/>
    <w:rsid w:val="0099386C"/>
    <w:rsid w:val="009A5A16"/>
    <w:rsid w:val="009C280B"/>
    <w:rsid w:val="009F0F06"/>
    <w:rsid w:val="009F3B21"/>
    <w:rsid w:val="00A018EE"/>
    <w:rsid w:val="00A06CB9"/>
    <w:rsid w:val="00A11654"/>
    <w:rsid w:val="00A1427D"/>
    <w:rsid w:val="00A3215C"/>
    <w:rsid w:val="00A56BA9"/>
    <w:rsid w:val="00A57B55"/>
    <w:rsid w:val="00A61C68"/>
    <w:rsid w:val="00A62570"/>
    <w:rsid w:val="00A67718"/>
    <w:rsid w:val="00A72F22"/>
    <w:rsid w:val="00A748A6"/>
    <w:rsid w:val="00A75EC9"/>
    <w:rsid w:val="00A81FD3"/>
    <w:rsid w:val="00A879A4"/>
    <w:rsid w:val="00A924CD"/>
    <w:rsid w:val="00AC15C1"/>
    <w:rsid w:val="00AC36B2"/>
    <w:rsid w:val="00AD6352"/>
    <w:rsid w:val="00AE5178"/>
    <w:rsid w:val="00B1575D"/>
    <w:rsid w:val="00B30116"/>
    <w:rsid w:val="00B30179"/>
    <w:rsid w:val="00B3317B"/>
    <w:rsid w:val="00B45987"/>
    <w:rsid w:val="00B55E75"/>
    <w:rsid w:val="00B70ADF"/>
    <w:rsid w:val="00B81E12"/>
    <w:rsid w:val="00B83FEC"/>
    <w:rsid w:val="00B93068"/>
    <w:rsid w:val="00BC74E9"/>
    <w:rsid w:val="00BE508A"/>
    <w:rsid w:val="00BE618E"/>
    <w:rsid w:val="00C25EB6"/>
    <w:rsid w:val="00C463DD"/>
    <w:rsid w:val="00C53CC9"/>
    <w:rsid w:val="00C62F76"/>
    <w:rsid w:val="00C745C3"/>
    <w:rsid w:val="00C87211"/>
    <w:rsid w:val="00CA6069"/>
    <w:rsid w:val="00CA6C49"/>
    <w:rsid w:val="00CE01FA"/>
    <w:rsid w:val="00CE4A8F"/>
    <w:rsid w:val="00CF1860"/>
    <w:rsid w:val="00CF5DB3"/>
    <w:rsid w:val="00D04FB9"/>
    <w:rsid w:val="00D07DE5"/>
    <w:rsid w:val="00D11EE3"/>
    <w:rsid w:val="00D2031B"/>
    <w:rsid w:val="00D25FE2"/>
    <w:rsid w:val="00D26C9B"/>
    <w:rsid w:val="00D43252"/>
    <w:rsid w:val="00D64430"/>
    <w:rsid w:val="00D753D8"/>
    <w:rsid w:val="00D96CC5"/>
    <w:rsid w:val="00D978C6"/>
    <w:rsid w:val="00DA06AB"/>
    <w:rsid w:val="00DA67AD"/>
    <w:rsid w:val="00DA7DFF"/>
    <w:rsid w:val="00DE4121"/>
    <w:rsid w:val="00DF31BB"/>
    <w:rsid w:val="00DF62AE"/>
    <w:rsid w:val="00E03AC2"/>
    <w:rsid w:val="00E130AB"/>
    <w:rsid w:val="00E45EE6"/>
    <w:rsid w:val="00E5644E"/>
    <w:rsid w:val="00E57CC4"/>
    <w:rsid w:val="00E71A23"/>
    <w:rsid w:val="00E7260F"/>
    <w:rsid w:val="00E8535A"/>
    <w:rsid w:val="00E917D8"/>
    <w:rsid w:val="00E96630"/>
    <w:rsid w:val="00EA772F"/>
    <w:rsid w:val="00EB07B1"/>
    <w:rsid w:val="00EB6832"/>
    <w:rsid w:val="00EC41D5"/>
    <w:rsid w:val="00EC60D5"/>
    <w:rsid w:val="00ED6C25"/>
    <w:rsid w:val="00ED7A2A"/>
    <w:rsid w:val="00EF1D7F"/>
    <w:rsid w:val="00EF3134"/>
    <w:rsid w:val="00F04A9C"/>
    <w:rsid w:val="00F2529E"/>
    <w:rsid w:val="00F264E1"/>
    <w:rsid w:val="00F40E75"/>
    <w:rsid w:val="00F412D7"/>
    <w:rsid w:val="00F54674"/>
    <w:rsid w:val="00F57D61"/>
    <w:rsid w:val="00F676A9"/>
    <w:rsid w:val="00F716F4"/>
    <w:rsid w:val="00F72921"/>
    <w:rsid w:val="00F8060E"/>
    <w:rsid w:val="00F825E3"/>
    <w:rsid w:val="00FC68B7"/>
    <w:rsid w:val="00FD15CB"/>
    <w:rsid w:val="00FD261F"/>
    <w:rsid w:val="00FD3606"/>
    <w:rsid w:val="00FD6B2B"/>
    <w:rsid w:val="00FE651F"/>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4DD1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Footnote Reference/"/>
    <w:basedOn w:val="DefaultParagraphFont"/>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link w:val="CommentTextChar"/>
    <w:uiPriority w:val="99"/>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paragraph" w:styleId="BalloonText">
    <w:name w:val="Balloon Text"/>
    <w:basedOn w:val="Normal"/>
    <w:link w:val="BalloonTextChar"/>
    <w:rsid w:val="0065733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57335"/>
    <w:rPr>
      <w:rFonts w:ascii="Tahoma" w:hAnsi="Tahoma" w:cs="Tahoma"/>
      <w:sz w:val="16"/>
      <w:szCs w:val="16"/>
      <w:lang w:eastAsia="en-US"/>
    </w:rPr>
  </w:style>
  <w:style w:type="character" w:customStyle="1" w:styleId="HChGChar">
    <w:name w:val="_ H _Ch_G Char"/>
    <w:link w:val="HChG"/>
    <w:rsid w:val="00DE4121"/>
    <w:rPr>
      <w:b/>
      <w:sz w:val="28"/>
      <w:lang w:eastAsia="en-US"/>
    </w:rPr>
  </w:style>
  <w:style w:type="character" w:customStyle="1" w:styleId="SingleTxtGChar">
    <w:name w:val="_ Single Txt_G Char"/>
    <w:link w:val="SingleTxtG"/>
    <w:rsid w:val="00DE4121"/>
    <w:rPr>
      <w:lang w:eastAsia="en-US"/>
    </w:rPr>
  </w:style>
  <w:style w:type="character" w:customStyle="1" w:styleId="FootnoteTextChar">
    <w:name w:val="Footnote Text Char"/>
    <w:aliases w:val="5_G Char"/>
    <w:link w:val="FootnoteText"/>
    <w:rsid w:val="00DE4121"/>
    <w:rPr>
      <w:sz w:val="18"/>
      <w:lang w:eastAsia="en-US"/>
    </w:rPr>
  </w:style>
  <w:style w:type="paragraph" w:styleId="ListParagraph">
    <w:name w:val="List Paragraph"/>
    <w:basedOn w:val="Normal"/>
    <w:uiPriority w:val="34"/>
    <w:qFormat/>
    <w:rsid w:val="00DE4121"/>
    <w:pPr>
      <w:suppressAutoHyphens w:val="0"/>
      <w:spacing w:line="240" w:lineRule="auto"/>
      <w:ind w:left="720"/>
      <w:contextualSpacing/>
    </w:pPr>
    <w:rPr>
      <w:sz w:val="22"/>
      <w:szCs w:val="24"/>
    </w:rPr>
  </w:style>
  <w:style w:type="paragraph" w:styleId="CommentSubject">
    <w:name w:val="annotation subject"/>
    <w:basedOn w:val="CommentText"/>
    <w:next w:val="CommentText"/>
    <w:link w:val="CommentSubjectChar"/>
    <w:rsid w:val="00885989"/>
    <w:pPr>
      <w:spacing w:line="240" w:lineRule="auto"/>
    </w:pPr>
    <w:rPr>
      <w:b/>
      <w:bCs/>
    </w:rPr>
  </w:style>
  <w:style w:type="character" w:customStyle="1" w:styleId="CommentTextChar">
    <w:name w:val="Comment Text Char"/>
    <w:basedOn w:val="DefaultParagraphFont"/>
    <w:link w:val="CommentText"/>
    <w:uiPriority w:val="99"/>
    <w:semiHidden/>
    <w:rsid w:val="00885989"/>
    <w:rPr>
      <w:lang w:eastAsia="en-US"/>
    </w:rPr>
  </w:style>
  <w:style w:type="character" w:customStyle="1" w:styleId="CommentSubjectChar">
    <w:name w:val="Comment Subject Char"/>
    <w:basedOn w:val="CommentTextChar"/>
    <w:link w:val="CommentSubject"/>
    <w:rsid w:val="00885989"/>
    <w:rPr>
      <w:b/>
      <w:bCs/>
      <w:lang w:eastAsia="en-US"/>
    </w:rPr>
  </w:style>
  <w:style w:type="paragraph" w:styleId="Revision">
    <w:name w:val="Revision"/>
    <w:hidden/>
    <w:uiPriority w:val="99"/>
    <w:semiHidden/>
    <w:rsid w:val="00DF62AE"/>
    <w:rPr>
      <w:lang w:eastAsia="en-US"/>
    </w:rPr>
  </w:style>
  <w:style w:type="paragraph" w:customStyle="1" w:styleId="Style1">
    <w:name w:val="Style1"/>
    <w:basedOn w:val="Normal"/>
    <w:rsid w:val="003441E0"/>
    <w:pPr>
      <w:suppressAutoHyphens w:val="0"/>
      <w:spacing w:line="240" w:lineRule="auto"/>
    </w:pPr>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Footnote Reference/"/>
    <w:basedOn w:val="DefaultParagraphFont"/>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link w:val="CommentTextChar"/>
    <w:uiPriority w:val="99"/>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paragraph" w:styleId="BalloonText">
    <w:name w:val="Balloon Text"/>
    <w:basedOn w:val="Normal"/>
    <w:link w:val="BalloonTextChar"/>
    <w:rsid w:val="0065733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57335"/>
    <w:rPr>
      <w:rFonts w:ascii="Tahoma" w:hAnsi="Tahoma" w:cs="Tahoma"/>
      <w:sz w:val="16"/>
      <w:szCs w:val="16"/>
      <w:lang w:eastAsia="en-US"/>
    </w:rPr>
  </w:style>
  <w:style w:type="character" w:customStyle="1" w:styleId="HChGChar">
    <w:name w:val="_ H _Ch_G Char"/>
    <w:link w:val="HChG"/>
    <w:rsid w:val="00DE4121"/>
    <w:rPr>
      <w:b/>
      <w:sz w:val="28"/>
      <w:lang w:eastAsia="en-US"/>
    </w:rPr>
  </w:style>
  <w:style w:type="character" w:customStyle="1" w:styleId="SingleTxtGChar">
    <w:name w:val="_ Single Txt_G Char"/>
    <w:link w:val="SingleTxtG"/>
    <w:rsid w:val="00DE4121"/>
    <w:rPr>
      <w:lang w:eastAsia="en-US"/>
    </w:rPr>
  </w:style>
  <w:style w:type="character" w:customStyle="1" w:styleId="FootnoteTextChar">
    <w:name w:val="Footnote Text Char"/>
    <w:aliases w:val="5_G Char"/>
    <w:link w:val="FootnoteText"/>
    <w:rsid w:val="00DE4121"/>
    <w:rPr>
      <w:sz w:val="18"/>
      <w:lang w:eastAsia="en-US"/>
    </w:rPr>
  </w:style>
  <w:style w:type="paragraph" w:styleId="ListParagraph">
    <w:name w:val="List Paragraph"/>
    <w:basedOn w:val="Normal"/>
    <w:uiPriority w:val="34"/>
    <w:qFormat/>
    <w:rsid w:val="00DE4121"/>
    <w:pPr>
      <w:suppressAutoHyphens w:val="0"/>
      <w:spacing w:line="240" w:lineRule="auto"/>
      <w:ind w:left="720"/>
      <w:contextualSpacing/>
    </w:pPr>
    <w:rPr>
      <w:sz w:val="22"/>
      <w:szCs w:val="24"/>
    </w:rPr>
  </w:style>
  <w:style w:type="paragraph" w:styleId="CommentSubject">
    <w:name w:val="annotation subject"/>
    <w:basedOn w:val="CommentText"/>
    <w:next w:val="CommentText"/>
    <w:link w:val="CommentSubjectChar"/>
    <w:rsid w:val="00885989"/>
    <w:pPr>
      <w:spacing w:line="240" w:lineRule="auto"/>
    </w:pPr>
    <w:rPr>
      <w:b/>
      <w:bCs/>
    </w:rPr>
  </w:style>
  <w:style w:type="character" w:customStyle="1" w:styleId="CommentTextChar">
    <w:name w:val="Comment Text Char"/>
    <w:basedOn w:val="DefaultParagraphFont"/>
    <w:link w:val="CommentText"/>
    <w:uiPriority w:val="99"/>
    <w:semiHidden/>
    <w:rsid w:val="00885989"/>
    <w:rPr>
      <w:lang w:eastAsia="en-US"/>
    </w:rPr>
  </w:style>
  <w:style w:type="character" w:customStyle="1" w:styleId="CommentSubjectChar">
    <w:name w:val="Comment Subject Char"/>
    <w:basedOn w:val="CommentTextChar"/>
    <w:link w:val="CommentSubject"/>
    <w:rsid w:val="00885989"/>
    <w:rPr>
      <w:b/>
      <w:bCs/>
      <w:lang w:eastAsia="en-US"/>
    </w:rPr>
  </w:style>
  <w:style w:type="paragraph" w:styleId="Revision">
    <w:name w:val="Revision"/>
    <w:hidden/>
    <w:uiPriority w:val="99"/>
    <w:semiHidden/>
    <w:rsid w:val="00DF62AE"/>
    <w:rPr>
      <w:lang w:eastAsia="en-US"/>
    </w:rPr>
  </w:style>
  <w:style w:type="paragraph" w:customStyle="1" w:styleId="Style1">
    <w:name w:val="Style1"/>
    <w:basedOn w:val="Normal"/>
    <w:rsid w:val="003441E0"/>
    <w:pPr>
      <w:suppressAutoHyphens w:val="0"/>
      <w:spacing w:line="240" w:lineRule="auto"/>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8815">
      <w:bodyDiv w:val="1"/>
      <w:marLeft w:val="0"/>
      <w:marRight w:val="0"/>
      <w:marTop w:val="0"/>
      <w:marBottom w:val="0"/>
      <w:divBdr>
        <w:top w:val="none" w:sz="0" w:space="0" w:color="auto"/>
        <w:left w:val="none" w:sz="0" w:space="0" w:color="auto"/>
        <w:bottom w:val="none" w:sz="0" w:space="0" w:color="auto"/>
        <w:right w:val="none" w:sz="0" w:space="0" w:color="auto"/>
      </w:divBdr>
    </w:div>
    <w:div w:id="101962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4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530C1-E9BC-45D9-B1BD-8AE280434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AC10_C4_E.dotm</Template>
  <TotalTime>10</TotalTime>
  <Pages>3</Pages>
  <Words>812</Words>
  <Characters>4601</Characters>
  <Application>Microsoft Office Word</Application>
  <DocSecurity>0</DocSecurity>
  <Lines>176</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7</cp:revision>
  <cp:lastPrinted>2016-09-26T13:33:00Z</cp:lastPrinted>
  <dcterms:created xsi:type="dcterms:W3CDTF">2016-09-26T13:18:00Z</dcterms:created>
  <dcterms:modified xsi:type="dcterms:W3CDTF">2016-09-26T13:33:00Z</dcterms:modified>
</cp:coreProperties>
</file>