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FA2BF7" w14:paraId="6F3ECA64" w14:textId="77777777" w:rsidTr="00E351E3">
        <w:trPr>
          <w:trHeight w:val="851"/>
        </w:trPr>
        <w:tc>
          <w:tcPr>
            <w:tcW w:w="1259" w:type="dxa"/>
            <w:tcBorders>
              <w:top w:val="nil"/>
              <w:left w:val="nil"/>
              <w:bottom w:val="nil"/>
              <w:right w:val="nil"/>
            </w:tcBorders>
            <w:shd w:val="clear" w:color="auto" w:fill="auto"/>
          </w:tcPr>
          <w:p w14:paraId="101184A0" w14:textId="77777777" w:rsidR="00446DE4" w:rsidRPr="001039FD" w:rsidRDefault="00446DE4" w:rsidP="000216CC">
            <w:pPr>
              <w:spacing w:after="80" w:line="340" w:lineRule="exact"/>
            </w:pPr>
          </w:p>
        </w:tc>
        <w:tc>
          <w:tcPr>
            <w:tcW w:w="2236" w:type="dxa"/>
            <w:tcBorders>
              <w:top w:val="nil"/>
              <w:left w:val="nil"/>
              <w:bottom w:val="nil"/>
              <w:right w:val="nil"/>
            </w:tcBorders>
            <w:shd w:val="clear" w:color="auto" w:fill="auto"/>
            <w:vAlign w:val="bottom"/>
          </w:tcPr>
          <w:p w14:paraId="0B19A9FF" w14:textId="77777777" w:rsidR="00446DE4" w:rsidRPr="001039FD" w:rsidRDefault="00446DE4" w:rsidP="000216CC">
            <w:pPr>
              <w:spacing w:after="80" w:line="340" w:lineRule="exact"/>
              <w:rPr>
                <w:sz w:val="28"/>
                <w:szCs w:val="28"/>
              </w:rPr>
            </w:pPr>
          </w:p>
        </w:tc>
        <w:tc>
          <w:tcPr>
            <w:tcW w:w="6144" w:type="dxa"/>
            <w:tcBorders>
              <w:top w:val="nil"/>
              <w:left w:val="nil"/>
              <w:bottom w:val="nil"/>
              <w:right w:val="nil"/>
            </w:tcBorders>
            <w:shd w:val="clear" w:color="auto" w:fill="auto"/>
            <w:vAlign w:val="bottom"/>
          </w:tcPr>
          <w:p w14:paraId="729B5421" w14:textId="03C10D6A" w:rsidR="00FC215C" w:rsidRPr="00947F38" w:rsidRDefault="00FC215C" w:rsidP="00FC215C">
            <w:pPr>
              <w:jc w:val="right"/>
              <w:rPr>
                <w:b/>
                <w:sz w:val="40"/>
                <w:szCs w:val="40"/>
                <w:lang w:val="fr-CH"/>
              </w:rPr>
            </w:pPr>
            <w:r w:rsidRPr="00947F38">
              <w:rPr>
                <w:b/>
                <w:sz w:val="40"/>
                <w:szCs w:val="40"/>
                <w:lang w:val="fr-CH"/>
              </w:rPr>
              <w:t>UN/SCETDG/</w:t>
            </w:r>
            <w:r w:rsidR="005322D3">
              <w:rPr>
                <w:b/>
                <w:sz w:val="40"/>
                <w:szCs w:val="40"/>
                <w:lang w:val="fr-CH"/>
              </w:rPr>
              <w:t>50</w:t>
            </w:r>
            <w:r w:rsidRPr="00947F38">
              <w:rPr>
                <w:b/>
                <w:sz w:val="40"/>
                <w:szCs w:val="40"/>
                <w:lang w:val="fr-CH"/>
              </w:rPr>
              <w:t>/INF.</w:t>
            </w:r>
            <w:r w:rsidR="00DA360F">
              <w:rPr>
                <w:b/>
                <w:sz w:val="40"/>
                <w:szCs w:val="40"/>
                <w:lang w:val="fr-CH"/>
              </w:rPr>
              <w:t>4</w:t>
            </w:r>
            <w:r w:rsidR="00A32373">
              <w:rPr>
                <w:b/>
                <w:sz w:val="40"/>
                <w:szCs w:val="40"/>
                <w:lang w:val="fr-CH"/>
              </w:rPr>
              <w:t>7</w:t>
            </w:r>
            <w:bookmarkStart w:id="0" w:name="_GoBack"/>
            <w:bookmarkEnd w:id="0"/>
          </w:p>
          <w:p w14:paraId="4BF7748B" w14:textId="77777777" w:rsidR="000216CC" w:rsidRPr="00947F38" w:rsidRDefault="000216CC" w:rsidP="00497711">
            <w:pPr>
              <w:jc w:val="right"/>
              <w:rPr>
                <w:highlight w:val="yellow"/>
                <w:lang w:val="fr-CH"/>
              </w:rPr>
            </w:pPr>
          </w:p>
        </w:tc>
      </w:tr>
    </w:tbl>
    <w:p w14:paraId="56E74C9F" w14:textId="77777777" w:rsidR="000019B8" w:rsidRPr="001039FD" w:rsidRDefault="000019B8" w:rsidP="000019B8">
      <w:pPr>
        <w:rPr>
          <w:vanish/>
        </w:rPr>
      </w:pPr>
    </w:p>
    <w:tbl>
      <w:tblPr>
        <w:tblW w:w="9645" w:type="dxa"/>
        <w:tblInd w:w="108" w:type="dxa"/>
        <w:tblLayout w:type="fixed"/>
        <w:tblLook w:val="04A0" w:firstRow="1" w:lastRow="0" w:firstColumn="1" w:lastColumn="0" w:noHBand="0" w:noVBand="1"/>
      </w:tblPr>
      <w:tblGrid>
        <w:gridCol w:w="4652"/>
        <w:gridCol w:w="4993"/>
      </w:tblGrid>
      <w:tr w:rsidR="00645A0B" w:rsidRPr="001039FD" w14:paraId="1E0351CA" w14:textId="77777777" w:rsidTr="00165735">
        <w:tc>
          <w:tcPr>
            <w:tcW w:w="9645" w:type="dxa"/>
            <w:gridSpan w:val="2"/>
            <w:tcMar>
              <w:top w:w="142" w:type="dxa"/>
              <w:left w:w="108" w:type="dxa"/>
              <w:bottom w:w="142" w:type="dxa"/>
              <w:right w:w="108" w:type="dxa"/>
            </w:tcMar>
          </w:tcPr>
          <w:p w14:paraId="027357FE" w14:textId="4AE3C38D" w:rsidR="00645A0B" w:rsidRPr="001039FD" w:rsidRDefault="00645A0B" w:rsidP="00F77CF6">
            <w:pPr>
              <w:tabs>
                <w:tab w:val="right" w:pos="9214"/>
              </w:tabs>
            </w:pPr>
            <w:r w:rsidRPr="001039FD">
              <w:rPr>
                <w:b/>
                <w:sz w:val="24"/>
                <w:szCs w:val="24"/>
              </w:rPr>
              <w:t>Committee of Experts on the Transport of Dangerous Goods</w:t>
            </w:r>
            <w:r w:rsidRPr="001039FD">
              <w:rPr>
                <w:b/>
                <w:sz w:val="24"/>
                <w:szCs w:val="24"/>
              </w:rPr>
              <w:tab/>
            </w:r>
            <w:r w:rsidRPr="001039FD">
              <w:rPr>
                <w:b/>
                <w:sz w:val="24"/>
                <w:szCs w:val="24"/>
              </w:rPr>
              <w:br/>
              <w:t>and on the Globally Harmonized System of Classification</w:t>
            </w:r>
            <w:r w:rsidRPr="001039FD">
              <w:rPr>
                <w:b/>
                <w:sz w:val="24"/>
                <w:szCs w:val="24"/>
              </w:rPr>
              <w:br/>
              <w:t>and Labelling of Chemicals</w:t>
            </w:r>
            <w:r w:rsidRPr="001039FD">
              <w:rPr>
                <w:b/>
              </w:rPr>
              <w:tab/>
            </w:r>
            <w:r w:rsidR="00DA360F">
              <w:rPr>
                <w:b/>
              </w:rPr>
              <w:t>28</w:t>
            </w:r>
            <w:r w:rsidR="001B12F4" w:rsidRPr="001039FD">
              <w:rPr>
                <w:b/>
                <w:sz w:val="18"/>
                <w:szCs w:val="24"/>
              </w:rPr>
              <w:t xml:space="preserve"> </w:t>
            </w:r>
            <w:r w:rsidR="00F77CF6">
              <w:rPr>
                <w:b/>
                <w:sz w:val="18"/>
                <w:szCs w:val="24"/>
              </w:rPr>
              <w:t>Novembe</w:t>
            </w:r>
            <w:r w:rsidR="008813D6">
              <w:rPr>
                <w:b/>
                <w:sz w:val="18"/>
                <w:szCs w:val="24"/>
              </w:rPr>
              <w:t>r</w:t>
            </w:r>
            <w:r w:rsidR="001B6F2D" w:rsidRPr="001039FD">
              <w:rPr>
                <w:b/>
                <w:sz w:val="18"/>
                <w:szCs w:val="24"/>
              </w:rPr>
              <w:t xml:space="preserve"> </w:t>
            </w:r>
            <w:r w:rsidR="00F64C95" w:rsidRPr="001039FD">
              <w:rPr>
                <w:b/>
                <w:sz w:val="18"/>
                <w:szCs w:val="24"/>
              </w:rPr>
              <w:t>2016</w:t>
            </w:r>
          </w:p>
        </w:tc>
      </w:tr>
      <w:tr w:rsidR="00645A0B" w:rsidRPr="001039FD" w14:paraId="6F645A91" w14:textId="77777777" w:rsidTr="00165735">
        <w:tc>
          <w:tcPr>
            <w:tcW w:w="4652" w:type="dxa"/>
            <w:tcMar>
              <w:top w:w="57" w:type="dxa"/>
              <w:left w:w="108" w:type="dxa"/>
              <w:bottom w:w="0" w:type="dxa"/>
              <w:right w:w="108" w:type="dxa"/>
            </w:tcMar>
            <w:vAlign w:val="center"/>
          </w:tcPr>
          <w:p w14:paraId="006573CD" w14:textId="77777777" w:rsidR="00645A0B" w:rsidRPr="001039FD" w:rsidRDefault="00645A0B" w:rsidP="00165735">
            <w:pPr>
              <w:spacing w:before="120"/>
              <w:rPr>
                <w:b/>
              </w:rPr>
            </w:pPr>
            <w:r w:rsidRPr="001039FD">
              <w:rPr>
                <w:b/>
              </w:rPr>
              <w:t xml:space="preserve">Sub-Committee of Experts on the </w:t>
            </w:r>
            <w:r w:rsidRPr="001039FD">
              <w:rPr>
                <w:b/>
              </w:rPr>
              <w:br/>
              <w:t xml:space="preserve">Transport of Dangerous Goods </w:t>
            </w:r>
          </w:p>
        </w:tc>
        <w:tc>
          <w:tcPr>
            <w:tcW w:w="4993" w:type="dxa"/>
            <w:tcMar>
              <w:top w:w="57" w:type="dxa"/>
              <w:left w:w="108" w:type="dxa"/>
              <w:bottom w:w="0" w:type="dxa"/>
              <w:right w:w="108" w:type="dxa"/>
            </w:tcMar>
            <w:vAlign w:val="center"/>
          </w:tcPr>
          <w:p w14:paraId="4F18398B" w14:textId="77777777" w:rsidR="00645A0B" w:rsidRPr="001039FD" w:rsidRDefault="00645A0B" w:rsidP="00165735">
            <w:pPr>
              <w:spacing w:before="120"/>
              <w:rPr>
                <w:b/>
              </w:rPr>
            </w:pPr>
          </w:p>
        </w:tc>
      </w:tr>
      <w:tr w:rsidR="00645A0B" w:rsidRPr="001039FD" w14:paraId="0B91FF83" w14:textId="77777777" w:rsidTr="00165735">
        <w:tc>
          <w:tcPr>
            <w:tcW w:w="4652" w:type="dxa"/>
            <w:tcMar>
              <w:top w:w="57" w:type="dxa"/>
              <w:left w:w="108" w:type="dxa"/>
              <w:bottom w:w="0" w:type="dxa"/>
              <w:right w:w="108" w:type="dxa"/>
            </w:tcMar>
          </w:tcPr>
          <w:p w14:paraId="77F3696E" w14:textId="77777777" w:rsidR="00645A0B" w:rsidRPr="00E601C0" w:rsidRDefault="00E601C0" w:rsidP="00E601C0">
            <w:pPr>
              <w:spacing w:before="120"/>
              <w:ind w:left="34" w:hanging="34"/>
              <w:rPr>
                <w:b/>
              </w:rPr>
            </w:pPr>
            <w:r w:rsidRPr="00E601C0">
              <w:rPr>
                <w:b/>
              </w:rPr>
              <w:t>F</w:t>
            </w:r>
            <w:r>
              <w:rPr>
                <w:b/>
              </w:rPr>
              <w:t>iftieth</w:t>
            </w:r>
            <w:r w:rsidR="00645A0B" w:rsidRPr="00E601C0">
              <w:rPr>
                <w:b/>
              </w:rPr>
              <w:t xml:space="preserve"> session</w:t>
            </w:r>
          </w:p>
        </w:tc>
        <w:tc>
          <w:tcPr>
            <w:tcW w:w="4993" w:type="dxa"/>
            <w:tcMar>
              <w:top w:w="57" w:type="dxa"/>
              <w:left w:w="108" w:type="dxa"/>
              <w:bottom w:w="0" w:type="dxa"/>
              <w:right w:w="108" w:type="dxa"/>
            </w:tcMar>
          </w:tcPr>
          <w:p w14:paraId="50208B6F" w14:textId="77777777" w:rsidR="00645A0B" w:rsidRPr="00D06F88" w:rsidRDefault="00645A0B" w:rsidP="00E601C0">
            <w:pPr>
              <w:spacing w:before="120"/>
              <w:rPr>
                <w:b/>
                <w:highlight w:val="yellow"/>
              </w:rPr>
            </w:pPr>
          </w:p>
        </w:tc>
      </w:tr>
      <w:tr w:rsidR="00645A0B" w:rsidRPr="001039FD" w14:paraId="7DF1E559" w14:textId="77777777" w:rsidTr="00165735">
        <w:tc>
          <w:tcPr>
            <w:tcW w:w="4652" w:type="dxa"/>
            <w:tcMar>
              <w:top w:w="28" w:type="dxa"/>
              <w:left w:w="108" w:type="dxa"/>
              <w:bottom w:w="0" w:type="dxa"/>
              <w:right w:w="108" w:type="dxa"/>
            </w:tcMar>
          </w:tcPr>
          <w:p w14:paraId="7B04046D" w14:textId="77777777" w:rsidR="00645A0B" w:rsidRPr="001039FD" w:rsidRDefault="00645A0B" w:rsidP="00EA48C4">
            <w:pPr>
              <w:tabs>
                <w:tab w:val="left" w:pos="0"/>
                <w:tab w:val="left" w:pos="6361"/>
                <w:tab w:val="left" w:pos="6939"/>
              </w:tabs>
              <w:spacing w:before="40"/>
              <w:ind w:left="34" w:hanging="34"/>
              <w:outlineLvl w:val="0"/>
              <w:rPr>
                <w:bCs/>
              </w:rPr>
            </w:pPr>
            <w:r w:rsidRPr="001039FD">
              <w:rPr>
                <w:bCs/>
              </w:rPr>
              <w:t xml:space="preserve">Geneva, </w:t>
            </w:r>
            <w:r w:rsidR="00F64C95" w:rsidRPr="001039FD">
              <w:rPr>
                <w:bCs/>
              </w:rPr>
              <w:t>2</w:t>
            </w:r>
            <w:r w:rsidR="005008C4">
              <w:rPr>
                <w:bCs/>
              </w:rPr>
              <w:t>8</w:t>
            </w:r>
            <w:r w:rsidR="00904EBC" w:rsidRPr="001039FD">
              <w:rPr>
                <w:bCs/>
              </w:rPr>
              <w:t xml:space="preserve"> </w:t>
            </w:r>
            <w:r w:rsidR="00E601C0">
              <w:rPr>
                <w:bCs/>
              </w:rPr>
              <w:t>November</w:t>
            </w:r>
            <w:r w:rsidR="00F64C95" w:rsidRPr="001039FD">
              <w:rPr>
                <w:bCs/>
              </w:rPr>
              <w:t xml:space="preserve"> </w:t>
            </w:r>
            <w:r w:rsidRPr="001039FD">
              <w:t xml:space="preserve">– </w:t>
            </w:r>
            <w:r w:rsidR="00F64C95" w:rsidRPr="001039FD">
              <w:t>6</w:t>
            </w:r>
            <w:r w:rsidR="00904EBC" w:rsidRPr="001039FD">
              <w:t xml:space="preserve"> </w:t>
            </w:r>
            <w:r w:rsidR="00E601C0">
              <w:t>December</w:t>
            </w:r>
            <w:r w:rsidR="00F64C95" w:rsidRPr="001039FD">
              <w:t xml:space="preserve"> 2016</w:t>
            </w:r>
          </w:p>
          <w:p w14:paraId="642AC082" w14:textId="77777777" w:rsidR="00645A0B" w:rsidRPr="001039FD" w:rsidRDefault="00645A0B" w:rsidP="00EA48C4">
            <w:pPr>
              <w:spacing w:before="40"/>
              <w:ind w:left="34" w:hanging="34"/>
            </w:pPr>
            <w:r w:rsidRPr="001039FD">
              <w:t xml:space="preserve">Item </w:t>
            </w:r>
            <w:r w:rsidR="005008C4">
              <w:t>2(b)</w:t>
            </w:r>
            <w:r w:rsidRPr="001039FD">
              <w:t xml:space="preserve"> of the provisional agenda</w:t>
            </w:r>
          </w:p>
          <w:p w14:paraId="57281F41" w14:textId="77777777" w:rsidR="00645A0B" w:rsidRPr="001039FD" w:rsidRDefault="005008C4" w:rsidP="00EA48C4">
            <w:pPr>
              <w:spacing w:before="40"/>
              <w:ind w:left="34" w:hanging="34"/>
              <w:rPr>
                <w:b/>
                <w:bCs/>
              </w:rPr>
            </w:pPr>
            <w:r w:rsidRPr="005C7D7F">
              <w:rPr>
                <w:b/>
              </w:rPr>
              <w:t xml:space="preserve">Recommendations made by the Sub-Committee on </w:t>
            </w:r>
            <w:r w:rsidRPr="005C7D7F">
              <w:rPr>
                <w:b/>
              </w:rPr>
              <w:br/>
              <w:t xml:space="preserve">its forty-seventh, forty-eighth and </w:t>
            </w:r>
            <w:r w:rsidRPr="005C7D7F">
              <w:rPr>
                <w:b/>
              </w:rPr>
              <w:br/>
              <w:t>forty-ninth sessions and pending issues:</w:t>
            </w:r>
            <w:r w:rsidRPr="005C7D7F">
              <w:rPr>
                <w:b/>
              </w:rPr>
              <w:br/>
              <w:t>explosives and related matters</w:t>
            </w:r>
          </w:p>
        </w:tc>
        <w:tc>
          <w:tcPr>
            <w:tcW w:w="4993" w:type="dxa"/>
            <w:tcMar>
              <w:top w:w="28" w:type="dxa"/>
              <w:left w:w="108" w:type="dxa"/>
              <w:bottom w:w="0" w:type="dxa"/>
              <w:right w:w="108" w:type="dxa"/>
            </w:tcMar>
          </w:tcPr>
          <w:p w14:paraId="3943ED43" w14:textId="77777777" w:rsidR="00645A0B" w:rsidRPr="001039FD" w:rsidRDefault="00645A0B" w:rsidP="009C31D5">
            <w:pPr>
              <w:spacing w:before="40"/>
              <w:rPr>
                <w:b/>
                <w:bCs/>
              </w:rPr>
            </w:pPr>
          </w:p>
        </w:tc>
      </w:tr>
    </w:tbl>
    <w:p w14:paraId="43F88882" w14:textId="454C3BEB" w:rsidR="008B65FB" w:rsidRPr="001039FD" w:rsidRDefault="008B65FB" w:rsidP="008B65FB">
      <w:pPr>
        <w:pStyle w:val="HChG"/>
        <w:rPr>
          <w:lang w:val="en-GB"/>
        </w:rPr>
      </w:pPr>
      <w:r w:rsidRPr="001039FD">
        <w:rPr>
          <w:rFonts w:eastAsia="MS Mincho"/>
          <w:lang w:val="en-GB" w:eastAsia="ja-JP"/>
        </w:rPr>
        <w:tab/>
      </w:r>
      <w:r w:rsidRPr="001039FD">
        <w:rPr>
          <w:rFonts w:eastAsia="MS Mincho"/>
          <w:lang w:val="en-GB" w:eastAsia="ja-JP"/>
        </w:rPr>
        <w:tab/>
      </w:r>
      <w:r w:rsidR="00E351E3">
        <w:rPr>
          <w:rFonts w:eastAsia="MS Mincho"/>
          <w:lang w:val="en-GB" w:eastAsia="ja-JP"/>
        </w:rPr>
        <w:t>Comments on the proposed s</w:t>
      </w:r>
      <w:r w:rsidR="00F77CF6">
        <w:rPr>
          <w:rFonts w:eastAsia="MS Mincho"/>
          <w:lang w:val="en-GB" w:eastAsia="ja-JP"/>
        </w:rPr>
        <w:t xml:space="preserve">ection 39 </w:t>
      </w:r>
      <w:r w:rsidR="00B34CAE">
        <w:rPr>
          <w:rFonts w:eastAsia="MS Mincho"/>
          <w:lang w:val="en-GB" w:eastAsia="ja-JP"/>
        </w:rPr>
        <w:t xml:space="preserve">in the Manual of Tests and Criteria, </w:t>
      </w:r>
      <w:r w:rsidR="00F77CF6">
        <w:rPr>
          <w:rFonts w:eastAsia="MS Mincho"/>
          <w:lang w:val="en-GB" w:eastAsia="ja-JP"/>
        </w:rPr>
        <w:t xml:space="preserve">for </w:t>
      </w:r>
      <w:r w:rsidR="00E351E3">
        <w:rPr>
          <w:rFonts w:eastAsia="MS Mincho"/>
          <w:lang w:val="en-GB" w:eastAsia="ja-JP"/>
        </w:rPr>
        <w:t>ammonium n</w:t>
      </w:r>
      <w:r w:rsidR="00B34CAE">
        <w:rPr>
          <w:rFonts w:eastAsia="MS Mincho"/>
          <w:lang w:val="en-GB" w:eastAsia="ja-JP"/>
        </w:rPr>
        <w:t>itrate based</w:t>
      </w:r>
      <w:r w:rsidR="00E351E3">
        <w:rPr>
          <w:rFonts w:eastAsia="MS Mincho"/>
          <w:lang w:val="en-GB" w:eastAsia="ja-JP"/>
        </w:rPr>
        <w:t xml:space="preserve"> f</w:t>
      </w:r>
      <w:r w:rsidR="00F77CF6">
        <w:rPr>
          <w:rFonts w:eastAsia="MS Mincho"/>
          <w:lang w:val="en-GB" w:eastAsia="ja-JP"/>
        </w:rPr>
        <w:t>ertilizers</w:t>
      </w:r>
    </w:p>
    <w:p w14:paraId="3099C2C3" w14:textId="77777777" w:rsidR="008B65FB" w:rsidRDefault="008B65FB" w:rsidP="008B65FB">
      <w:pPr>
        <w:pStyle w:val="H1G"/>
        <w:rPr>
          <w:rFonts w:eastAsia="MS Mincho"/>
        </w:rPr>
      </w:pPr>
      <w:r w:rsidRPr="001039FD">
        <w:rPr>
          <w:rFonts w:eastAsia="MS Mincho"/>
        </w:rPr>
        <w:tab/>
      </w:r>
      <w:r w:rsidRPr="001039FD">
        <w:rPr>
          <w:rFonts w:eastAsia="MS Mincho"/>
        </w:rPr>
        <w:tab/>
      </w:r>
      <w:r w:rsidRPr="00BC0C09">
        <w:rPr>
          <w:rFonts w:eastAsia="MS Mincho"/>
        </w:rPr>
        <w:t xml:space="preserve">Transmitted by </w:t>
      </w:r>
      <w:r w:rsidR="001B6F2D" w:rsidRPr="00BC0C09">
        <w:rPr>
          <w:rFonts w:eastAsia="MS Mincho"/>
        </w:rPr>
        <w:t xml:space="preserve">the </w:t>
      </w:r>
      <w:r w:rsidR="00F77CF6">
        <w:rPr>
          <w:rFonts w:eastAsia="MS Mincho"/>
        </w:rPr>
        <w:t>Institute of Makers of Explosives</w:t>
      </w:r>
    </w:p>
    <w:p w14:paraId="20B5FBEA" w14:textId="7437CD2D" w:rsidR="00F77CF6" w:rsidRPr="00F77CF6" w:rsidRDefault="00DA360F" w:rsidP="00DA360F">
      <w:pPr>
        <w:pStyle w:val="HChG"/>
        <w:rPr>
          <w:rFonts w:eastAsia="MS Mincho"/>
        </w:rPr>
      </w:pPr>
      <w:r>
        <w:rPr>
          <w:rFonts w:eastAsia="MS Mincho"/>
          <w:lang w:val="fr-CH"/>
        </w:rPr>
        <w:tab/>
      </w:r>
      <w:r>
        <w:rPr>
          <w:rFonts w:eastAsia="MS Mincho"/>
          <w:lang w:val="fr-CH"/>
        </w:rPr>
        <w:tab/>
      </w:r>
      <w:r w:rsidR="00F77CF6" w:rsidRPr="00F77CF6">
        <w:rPr>
          <w:rFonts w:eastAsia="MS Mincho"/>
        </w:rPr>
        <w:t>Background</w:t>
      </w:r>
    </w:p>
    <w:p w14:paraId="008E0459" w14:textId="77777777" w:rsidR="00F77CF6" w:rsidRDefault="00287D81" w:rsidP="00F77CF6">
      <w:pPr>
        <w:pStyle w:val="SingleTxtG"/>
        <w:numPr>
          <w:ilvl w:val="0"/>
          <w:numId w:val="44"/>
        </w:numPr>
        <w:ind w:left="1170" w:hanging="36"/>
        <w:rPr>
          <w:lang w:val="en-US"/>
        </w:rPr>
      </w:pPr>
      <w:r>
        <w:rPr>
          <w:lang w:val="en-US"/>
        </w:rPr>
        <w:t xml:space="preserve">The expert from </w:t>
      </w:r>
      <w:r w:rsidR="00F77CF6">
        <w:rPr>
          <w:lang w:val="en-US"/>
        </w:rPr>
        <w:t xml:space="preserve">Sweden has presented a </w:t>
      </w:r>
      <w:r>
        <w:rPr>
          <w:lang w:val="en-US"/>
        </w:rPr>
        <w:t xml:space="preserve">working </w:t>
      </w:r>
      <w:r w:rsidR="00F77CF6">
        <w:rPr>
          <w:lang w:val="en-US"/>
        </w:rPr>
        <w:t xml:space="preserve">paper </w:t>
      </w:r>
      <w:r w:rsidR="00F77CF6" w:rsidRPr="00F77CF6">
        <w:rPr>
          <w:lang w:val="en-US"/>
        </w:rPr>
        <w:t>ST/SG/AC.10/C.3/2016/66</w:t>
      </w:r>
      <w:r w:rsidR="00F77CF6">
        <w:rPr>
          <w:lang w:val="en-US"/>
        </w:rPr>
        <w:t xml:space="preserve"> proposing that a new section 39 be added to clarify the classification criteria for ammonium nitrate (AN) based fertilizers. This paper provides a flowchart to guide users in the classifi</w:t>
      </w:r>
      <w:r w:rsidR="002C014E">
        <w:rPr>
          <w:lang w:val="en-US"/>
        </w:rPr>
        <w:t xml:space="preserve">cation of </w:t>
      </w:r>
      <w:proofErr w:type="gramStart"/>
      <w:r w:rsidR="002C014E">
        <w:rPr>
          <w:lang w:val="en-US"/>
        </w:rPr>
        <w:t>AN</w:t>
      </w:r>
      <w:proofErr w:type="gramEnd"/>
      <w:r w:rsidR="002C014E">
        <w:rPr>
          <w:lang w:val="en-US"/>
        </w:rPr>
        <w:t xml:space="preserve"> based fertilizers.</w:t>
      </w:r>
    </w:p>
    <w:p w14:paraId="137256A3" w14:textId="2F74D96D" w:rsidR="00F77CF6" w:rsidRPr="00DA360F" w:rsidRDefault="00F77CF6" w:rsidP="00DA360F">
      <w:pPr>
        <w:pStyle w:val="SingleTxtG"/>
        <w:numPr>
          <w:ilvl w:val="0"/>
          <w:numId w:val="44"/>
        </w:numPr>
        <w:ind w:left="1170" w:hanging="36"/>
        <w:rPr>
          <w:lang w:val="en-US"/>
        </w:rPr>
      </w:pPr>
      <w:r>
        <w:rPr>
          <w:lang w:val="en-US"/>
        </w:rPr>
        <w:t>In Annex III of the paper</w:t>
      </w:r>
      <w:r w:rsidR="001C2208">
        <w:rPr>
          <w:lang w:val="en-US"/>
        </w:rPr>
        <w:t>,</w:t>
      </w:r>
      <w:r w:rsidR="00E351E3">
        <w:rPr>
          <w:lang w:val="en-US"/>
        </w:rPr>
        <w:t xml:space="preserve"> it is proposed to delete s</w:t>
      </w:r>
      <w:r>
        <w:rPr>
          <w:lang w:val="en-US"/>
        </w:rPr>
        <w:t xml:space="preserve">pecial </w:t>
      </w:r>
      <w:r w:rsidR="00E351E3">
        <w:rPr>
          <w:lang w:val="en-US"/>
        </w:rPr>
        <w:t>p</w:t>
      </w:r>
      <w:r>
        <w:rPr>
          <w:lang w:val="en-US"/>
        </w:rPr>
        <w:t>rovisions</w:t>
      </w:r>
      <w:r w:rsidR="002C014E">
        <w:rPr>
          <w:lang w:val="en-US"/>
        </w:rPr>
        <w:t xml:space="preserve"> (SP)</w:t>
      </w:r>
      <w:r>
        <w:rPr>
          <w:lang w:val="en-US"/>
        </w:rPr>
        <w:t xml:space="preserve"> 306 and 186 for UN2067.</w:t>
      </w:r>
    </w:p>
    <w:p w14:paraId="2472661C" w14:textId="77777777" w:rsidR="002C014E" w:rsidRPr="002C014E" w:rsidRDefault="002C014E" w:rsidP="002C014E">
      <w:pPr>
        <w:pStyle w:val="SingleTxtG"/>
        <w:ind w:left="1170"/>
        <w:rPr>
          <w:b/>
          <w:sz w:val="28"/>
          <w:szCs w:val="28"/>
          <w:lang w:val="en-US"/>
        </w:rPr>
      </w:pPr>
      <w:r w:rsidRPr="002C014E">
        <w:rPr>
          <w:b/>
          <w:sz w:val="28"/>
          <w:szCs w:val="28"/>
          <w:lang w:val="en-US"/>
        </w:rPr>
        <w:t>Discussion</w:t>
      </w:r>
    </w:p>
    <w:p w14:paraId="53C4112B" w14:textId="77777777" w:rsidR="00287D81" w:rsidRDefault="00287D81" w:rsidP="002C014E">
      <w:pPr>
        <w:pStyle w:val="SingleTxtG"/>
        <w:numPr>
          <w:ilvl w:val="0"/>
          <w:numId w:val="44"/>
        </w:numPr>
        <w:ind w:left="1170" w:hanging="36"/>
        <w:rPr>
          <w:lang w:val="en-US"/>
        </w:rPr>
      </w:pPr>
      <w:r>
        <w:rPr>
          <w:lang w:val="en-US"/>
        </w:rPr>
        <w:t>A summary of the substances in the UN Model Regulation</w:t>
      </w:r>
      <w:r w:rsidR="00EC096B">
        <w:rPr>
          <w:lang w:val="en-US"/>
        </w:rPr>
        <w:t>s</w:t>
      </w:r>
      <w:r>
        <w:rPr>
          <w:lang w:val="en-US"/>
        </w:rPr>
        <w:t xml:space="preserve"> is provided in the Dangerous Goods </w:t>
      </w:r>
      <w:r w:rsidR="000639B4">
        <w:rPr>
          <w:lang w:val="en-US"/>
        </w:rPr>
        <w:t xml:space="preserve">List </w:t>
      </w:r>
      <w:r w:rsidR="00EC096B">
        <w:rPr>
          <w:lang w:val="en-US"/>
        </w:rPr>
        <w:t xml:space="preserve">(DGL) </w:t>
      </w:r>
      <w:r w:rsidR="005008C4">
        <w:rPr>
          <w:lang w:val="en-US"/>
        </w:rPr>
        <w:t>in Chapter 3.2</w:t>
      </w:r>
      <w:r>
        <w:rPr>
          <w:lang w:val="en-US"/>
        </w:rPr>
        <w:t>.</w:t>
      </w:r>
    </w:p>
    <w:p w14:paraId="23D38606" w14:textId="77777777" w:rsidR="00287D81" w:rsidRDefault="00287D81" w:rsidP="002C014E">
      <w:pPr>
        <w:pStyle w:val="SingleTxtG"/>
        <w:numPr>
          <w:ilvl w:val="0"/>
          <w:numId w:val="44"/>
        </w:numPr>
        <w:ind w:left="1170" w:hanging="36"/>
        <w:rPr>
          <w:lang w:val="en-US"/>
        </w:rPr>
      </w:pPr>
      <w:r>
        <w:rPr>
          <w:lang w:val="en-US"/>
        </w:rPr>
        <w:t xml:space="preserve">Presently, the </w:t>
      </w:r>
      <w:r w:rsidR="005A6DF7">
        <w:rPr>
          <w:lang w:val="en-US"/>
        </w:rPr>
        <w:t>DGL</w:t>
      </w:r>
      <w:r w:rsidR="009242B0">
        <w:rPr>
          <w:lang w:val="en-US"/>
        </w:rPr>
        <w:t xml:space="preserve"> </w:t>
      </w:r>
      <w:r>
        <w:rPr>
          <w:lang w:val="en-US"/>
        </w:rPr>
        <w:t xml:space="preserve">lists UN2067 as requiring three </w:t>
      </w:r>
      <w:r w:rsidR="00F11ABA">
        <w:rPr>
          <w:lang w:val="en-US"/>
        </w:rPr>
        <w:t>SPs</w:t>
      </w:r>
      <w:r>
        <w:rPr>
          <w:lang w:val="en-US"/>
        </w:rPr>
        <w:t xml:space="preserve">: 186, 306, </w:t>
      </w:r>
      <w:proofErr w:type="gramStart"/>
      <w:r>
        <w:rPr>
          <w:lang w:val="en-US"/>
        </w:rPr>
        <w:t>307</w:t>
      </w:r>
      <w:proofErr w:type="gramEnd"/>
      <w:r>
        <w:rPr>
          <w:lang w:val="en-US"/>
        </w:rPr>
        <w:t>.</w:t>
      </w:r>
    </w:p>
    <w:p w14:paraId="04C96123" w14:textId="77777777" w:rsidR="00287D81" w:rsidRPr="009242B0" w:rsidRDefault="00287D81" w:rsidP="009242B0">
      <w:pPr>
        <w:pStyle w:val="SingleTxtG"/>
        <w:numPr>
          <w:ilvl w:val="0"/>
          <w:numId w:val="44"/>
        </w:numPr>
        <w:ind w:left="1170" w:hanging="36"/>
        <w:rPr>
          <w:lang w:val="en-US"/>
        </w:rPr>
      </w:pPr>
      <w:r w:rsidRPr="009242B0">
        <w:rPr>
          <w:lang w:val="en-US"/>
        </w:rPr>
        <w:t>SP306</w:t>
      </w:r>
      <w:r w:rsidR="009242B0">
        <w:rPr>
          <w:lang w:val="en-US"/>
        </w:rPr>
        <w:t>,</w:t>
      </w:r>
      <w:r w:rsidRPr="009242B0">
        <w:rPr>
          <w:lang w:val="en-US"/>
        </w:rPr>
        <w:t xml:space="preserve"> which states</w:t>
      </w:r>
      <w:r w:rsidR="001C2208">
        <w:rPr>
          <w:lang w:val="en-US"/>
        </w:rPr>
        <w:t>,</w:t>
      </w:r>
      <w:r w:rsidRPr="009242B0">
        <w:rPr>
          <w:lang w:val="en-US"/>
        </w:rPr>
        <w:t xml:space="preserve"> </w:t>
      </w:r>
      <w:r w:rsidR="001C2208">
        <w:rPr>
          <w:lang w:val="en-US"/>
        </w:rPr>
        <w:t>“</w:t>
      </w:r>
      <w:r w:rsidR="00EA5700" w:rsidRPr="009242B0">
        <w:rPr>
          <w:lang w:val="en-US"/>
        </w:rPr>
        <w:t>This entry may only be used for substances that are too insensitive for acceptance into</w:t>
      </w:r>
      <w:r w:rsidR="009242B0" w:rsidRPr="009242B0">
        <w:rPr>
          <w:lang w:val="en-US"/>
        </w:rPr>
        <w:t xml:space="preserve"> </w:t>
      </w:r>
      <w:r w:rsidR="00EA5700" w:rsidRPr="009242B0">
        <w:rPr>
          <w:lang w:val="en-US"/>
        </w:rPr>
        <w:t>Class 1 when tested in accordance with Test Series 2 (see Manual of Tests and Criteria,</w:t>
      </w:r>
      <w:r w:rsidR="009242B0">
        <w:rPr>
          <w:lang w:val="en-US"/>
        </w:rPr>
        <w:t xml:space="preserve"> </w:t>
      </w:r>
      <w:r w:rsidR="00EA5700" w:rsidRPr="009242B0">
        <w:rPr>
          <w:lang w:val="en-US"/>
        </w:rPr>
        <w:t>Part I)</w:t>
      </w:r>
      <w:r w:rsidR="001C2208">
        <w:rPr>
          <w:lang w:val="en-US"/>
        </w:rPr>
        <w:t>”</w:t>
      </w:r>
      <w:r w:rsidR="009242B0">
        <w:rPr>
          <w:lang w:val="en-US"/>
        </w:rPr>
        <w:t xml:space="preserve">, is intended to verify that the substance </w:t>
      </w:r>
      <w:r w:rsidR="001C2208">
        <w:rPr>
          <w:lang w:val="en-US"/>
        </w:rPr>
        <w:t>is not a</w:t>
      </w:r>
      <w:r w:rsidR="009242B0">
        <w:rPr>
          <w:lang w:val="en-US"/>
        </w:rPr>
        <w:t xml:space="preserve"> Class 1</w:t>
      </w:r>
      <w:r w:rsidR="001C2208">
        <w:rPr>
          <w:lang w:val="en-US"/>
        </w:rPr>
        <w:t xml:space="preserve"> explosive</w:t>
      </w:r>
      <w:r w:rsidR="009242B0">
        <w:rPr>
          <w:lang w:val="en-US"/>
        </w:rPr>
        <w:t>.</w:t>
      </w:r>
    </w:p>
    <w:p w14:paraId="3CA01DBC" w14:textId="54674D28" w:rsidR="00F11ABA" w:rsidRDefault="00E351E3" w:rsidP="002C014E">
      <w:pPr>
        <w:pStyle w:val="SingleTxtG"/>
        <w:numPr>
          <w:ilvl w:val="0"/>
          <w:numId w:val="44"/>
        </w:numPr>
        <w:ind w:left="1170" w:hanging="36"/>
        <w:rPr>
          <w:lang w:val="en-US"/>
        </w:rPr>
      </w:pPr>
      <w:r>
        <w:rPr>
          <w:lang w:val="en-US"/>
        </w:rPr>
        <w:t>ST/SG/AC.10/</w:t>
      </w:r>
      <w:r w:rsidR="000639B4">
        <w:rPr>
          <w:lang w:val="en-US"/>
        </w:rPr>
        <w:t>C.3/2016/66</w:t>
      </w:r>
      <w:r w:rsidR="00F11ABA">
        <w:rPr>
          <w:lang w:val="en-US"/>
        </w:rPr>
        <w:t xml:space="preserve"> proposes to </w:t>
      </w:r>
      <w:r w:rsidR="002C014E">
        <w:rPr>
          <w:lang w:val="en-US"/>
        </w:rPr>
        <w:t>remov</w:t>
      </w:r>
      <w:r w:rsidR="00F11ABA">
        <w:rPr>
          <w:lang w:val="en-US"/>
        </w:rPr>
        <w:t>e</w:t>
      </w:r>
      <w:r w:rsidR="002C014E">
        <w:rPr>
          <w:lang w:val="en-US"/>
        </w:rPr>
        <w:t xml:space="preserve"> SP306 </w:t>
      </w:r>
      <w:r w:rsidR="00F11ABA">
        <w:rPr>
          <w:lang w:val="en-US"/>
        </w:rPr>
        <w:t xml:space="preserve">from </w:t>
      </w:r>
      <w:r w:rsidR="002C014E">
        <w:rPr>
          <w:lang w:val="en-US"/>
        </w:rPr>
        <w:t xml:space="preserve">the </w:t>
      </w:r>
      <w:r w:rsidR="000639B4">
        <w:rPr>
          <w:lang w:val="en-US"/>
        </w:rPr>
        <w:t xml:space="preserve">DGL </w:t>
      </w:r>
      <w:r w:rsidR="00F11ABA">
        <w:rPr>
          <w:lang w:val="en-US"/>
        </w:rPr>
        <w:t>entry for UN 2067.</w:t>
      </w:r>
    </w:p>
    <w:p w14:paraId="65A17A9B" w14:textId="1A07DA5D" w:rsidR="00F11ABA" w:rsidRDefault="00E351E3" w:rsidP="002C014E">
      <w:pPr>
        <w:pStyle w:val="SingleTxtG"/>
        <w:numPr>
          <w:ilvl w:val="0"/>
          <w:numId w:val="44"/>
        </w:numPr>
        <w:ind w:left="1170" w:hanging="36"/>
        <w:rPr>
          <w:lang w:val="en-US"/>
        </w:rPr>
      </w:pPr>
      <w:r>
        <w:rPr>
          <w:lang w:val="en-US"/>
        </w:rPr>
        <w:t>ST/SG/AC.10/</w:t>
      </w:r>
      <w:r w:rsidR="000639B4">
        <w:rPr>
          <w:lang w:val="en-US"/>
        </w:rPr>
        <w:t>C.3/2016/66</w:t>
      </w:r>
      <w:r w:rsidR="00F11ABA">
        <w:rPr>
          <w:lang w:val="en-US"/>
        </w:rPr>
        <w:t xml:space="preserve"> attempts to compensate for the removal of SP306 by adding 39.4.2</w:t>
      </w:r>
      <w:r w:rsidR="002C72E8">
        <w:rPr>
          <w:lang w:val="en-US"/>
        </w:rPr>
        <w:t>, and referencing this section in the proposed flow chart</w:t>
      </w:r>
      <w:r w:rsidR="00AF33AD">
        <w:rPr>
          <w:lang w:val="en-US"/>
        </w:rPr>
        <w:t xml:space="preserve"> through the reworded SP307.</w:t>
      </w:r>
    </w:p>
    <w:p w14:paraId="7EE966D2" w14:textId="77777777" w:rsidR="002C014E" w:rsidRDefault="00F11ABA" w:rsidP="002C014E">
      <w:pPr>
        <w:pStyle w:val="SingleTxtG"/>
        <w:numPr>
          <w:ilvl w:val="0"/>
          <w:numId w:val="44"/>
        </w:numPr>
        <w:ind w:left="1170" w:hanging="36"/>
        <w:rPr>
          <w:lang w:val="en-US"/>
        </w:rPr>
      </w:pPr>
      <w:r>
        <w:rPr>
          <w:lang w:val="en-US"/>
        </w:rPr>
        <w:t xml:space="preserve">Removal of SP306 </w:t>
      </w:r>
      <w:r w:rsidR="002C72E8">
        <w:rPr>
          <w:lang w:val="en-US"/>
        </w:rPr>
        <w:t xml:space="preserve">from the </w:t>
      </w:r>
      <w:r w:rsidR="00F02060">
        <w:rPr>
          <w:lang w:val="en-US"/>
        </w:rPr>
        <w:t>UN2067 DGL entry</w:t>
      </w:r>
      <w:r w:rsidR="002C72E8">
        <w:rPr>
          <w:lang w:val="en-US"/>
        </w:rPr>
        <w:t xml:space="preserve"> </w:t>
      </w:r>
      <w:r w:rsidR="002C014E">
        <w:rPr>
          <w:lang w:val="en-US"/>
        </w:rPr>
        <w:t xml:space="preserve">may lead to </w:t>
      </w:r>
      <w:r w:rsidR="00287D81">
        <w:rPr>
          <w:lang w:val="en-US"/>
        </w:rPr>
        <w:t xml:space="preserve">misinterpretation </w:t>
      </w:r>
      <w:r>
        <w:rPr>
          <w:lang w:val="en-US"/>
        </w:rPr>
        <w:t>that Test Series 2 is no longer required</w:t>
      </w:r>
      <w:r w:rsidR="00287D81">
        <w:rPr>
          <w:lang w:val="en-US"/>
        </w:rPr>
        <w:t xml:space="preserve"> for </w:t>
      </w:r>
      <w:r w:rsidR="004533A7">
        <w:rPr>
          <w:lang w:val="en-US"/>
        </w:rPr>
        <w:t xml:space="preserve">that </w:t>
      </w:r>
      <w:r w:rsidR="00F02060">
        <w:rPr>
          <w:lang w:val="en-US"/>
        </w:rPr>
        <w:t>entry</w:t>
      </w:r>
      <w:r w:rsidR="00B24740">
        <w:rPr>
          <w:lang w:val="en-US"/>
        </w:rPr>
        <w:t>,</w:t>
      </w:r>
      <w:r>
        <w:rPr>
          <w:lang w:val="en-US"/>
        </w:rPr>
        <w:t xml:space="preserve"> even though </w:t>
      </w:r>
      <w:r w:rsidR="00EC096B">
        <w:rPr>
          <w:lang w:val="en-US"/>
        </w:rPr>
        <w:t xml:space="preserve">the flow chart </w:t>
      </w:r>
      <w:r w:rsidR="00B24740">
        <w:rPr>
          <w:lang w:val="en-US"/>
        </w:rPr>
        <w:t xml:space="preserve">will eventually lead </w:t>
      </w:r>
      <w:r w:rsidR="00EC096B">
        <w:rPr>
          <w:lang w:val="en-US"/>
        </w:rPr>
        <w:t xml:space="preserve">the user </w:t>
      </w:r>
      <w:r w:rsidR="00B24740">
        <w:rPr>
          <w:lang w:val="en-US"/>
        </w:rPr>
        <w:t>to the test series 2 requirements</w:t>
      </w:r>
      <w:r w:rsidR="00AF33AD">
        <w:rPr>
          <w:lang w:val="en-US"/>
        </w:rPr>
        <w:t>.</w:t>
      </w:r>
    </w:p>
    <w:p w14:paraId="5B1A7050" w14:textId="77777777" w:rsidR="009242B0" w:rsidRDefault="009242B0" w:rsidP="002C014E">
      <w:pPr>
        <w:pStyle w:val="SingleTxtG"/>
        <w:numPr>
          <w:ilvl w:val="0"/>
          <w:numId w:val="44"/>
        </w:numPr>
        <w:ind w:left="1170" w:hanging="36"/>
        <w:rPr>
          <w:lang w:val="en-US"/>
        </w:rPr>
      </w:pPr>
      <w:r>
        <w:rPr>
          <w:lang w:val="en-US"/>
        </w:rPr>
        <w:t xml:space="preserve">It will be more informative to </w:t>
      </w:r>
      <w:r w:rsidR="00B24740">
        <w:rPr>
          <w:lang w:val="en-US"/>
        </w:rPr>
        <w:t>the user to retain</w:t>
      </w:r>
      <w:r>
        <w:rPr>
          <w:lang w:val="en-US"/>
        </w:rPr>
        <w:t xml:space="preserve"> SP306 in the </w:t>
      </w:r>
      <w:r w:rsidR="00F02060">
        <w:rPr>
          <w:lang w:val="en-US"/>
        </w:rPr>
        <w:t>UN2067 DGL entry</w:t>
      </w:r>
      <w:r>
        <w:rPr>
          <w:lang w:val="en-US"/>
        </w:rPr>
        <w:t xml:space="preserve">. </w:t>
      </w:r>
      <w:r w:rsidR="00EC096B">
        <w:rPr>
          <w:lang w:val="en-US"/>
        </w:rPr>
        <w:t>If retained</w:t>
      </w:r>
      <w:r>
        <w:rPr>
          <w:lang w:val="en-US"/>
        </w:rPr>
        <w:t>, 39.4.2 will not be necessary in the proposed new section 39.</w:t>
      </w:r>
    </w:p>
    <w:p w14:paraId="7D004A11" w14:textId="77777777" w:rsidR="00DA360F" w:rsidRDefault="00DA360F">
      <w:pPr>
        <w:suppressAutoHyphens w:val="0"/>
        <w:spacing w:line="240" w:lineRule="auto"/>
        <w:rPr>
          <w:lang w:val="en-US"/>
        </w:rPr>
      </w:pPr>
      <w:r>
        <w:rPr>
          <w:lang w:val="en-US"/>
        </w:rPr>
        <w:br w:type="page"/>
      </w:r>
    </w:p>
    <w:p w14:paraId="205387CE" w14:textId="75349335" w:rsidR="00AF33AD" w:rsidRDefault="009F4EEB" w:rsidP="009F4EEB">
      <w:pPr>
        <w:pStyle w:val="SingleTxtG"/>
        <w:numPr>
          <w:ilvl w:val="0"/>
          <w:numId w:val="44"/>
        </w:numPr>
        <w:ind w:left="1170" w:hanging="36"/>
        <w:rPr>
          <w:lang w:val="en-US"/>
        </w:rPr>
      </w:pPr>
      <w:r>
        <w:rPr>
          <w:lang w:val="en-US"/>
        </w:rPr>
        <w:lastRenderedPageBreak/>
        <w:t>The flowchart permit</w:t>
      </w:r>
      <w:r w:rsidR="00EC096B">
        <w:rPr>
          <w:lang w:val="en-US"/>
        </w:rPr>
        <w:t>s</w:t>
      </w:r>
      <w:r>
        <w:rPr>
          <w:lang w:val="en-US"/>
        </w:rPr>
        <w:t xml:space="preserve"> manufacturers </w:t>
      </w:r>
      <w:proofErr w:type="gramStart"/>
      <w:r>
        <w:rPr>
          <w:lang w:val="en-US"/>
        </w:rPr>
        <w:t xml:space="preserve">of </w:t>
      </w:r>
      <w:r w:rsidR="005A6DF7">
        <w:rPr>
          <w:lang w:val="en-US"/>
        </w:rPr>
        <w:t>”</w:t>
      </w:r>
      <w:proofErr w:type="gramEnd"/>
      <w:r w:rsidR="005A6DF7">
        <w:rPr>
          <w:lang w:val="en-US"/>
        </w:rPr>
        <w:t>pure”</w:t>
      </w:r>
      <w:r>
        <w:rPr>
          <w:lang w:val="en-US"/>
        </w:rPr>
        <w:t xml:space="preserve"> AN to classify their products as either UN2067 or UN1942 since there is no </w:t>
      </w:r>
      <w:r w:rsidR="006D7FC3">
        <w:rPr>
          <w:lang w:val="en-US"/>
        </w:rPr>
        <w:t xml:space="preserve">technical reason to </w:t>
      </w:r>
      <w:r>
        <w:rPr>
          <w:lang w:val="en-US"/>
        </w:rPr>
        <w:t>restrict</w:t>
      </w:r>
      <w:r w:rsidR="006D7FC3">
        <w:rPr>
          <w:lang w:val="en-US"/>
        </w:rPr>
        <w:t xml:space="preserve"> the</w:t>
      </w:r>
      <w:r>
        <w:rPr>
          <w:lang w:val="en-US"/>
        </w:rPr>
        <w:t xml:space="preserve"> use o</w:t>
      </w:r>
      <w:r w:rsidR="006D7FC3">
        <w:rPr>
          <w:lang w:val="en-US"/>
        </w:rPr>
        <w:t>f</w:t>
      </w:r>
      <w:r>
        <w:rPr>
          <w:lang w:val="en-US"/>
        </w:rPr>
        <w:t xml:space="preserve"> either type of AN </w:t>
      </w:r>
      <w:r w:rsidR="006D7FC3">
        <w:rPr>
          <w:lang w:val="en-US"/>
        </w:rPr>
        <w:t>to</w:t>
      </w:r>
      <w:r>
        <w:rPr>
          <w:lang w:val="en-US"/>
        </w:rPr>
        <w:t xml:space="preserve"> agriculture or explosives precursor</w:t>
      </w:r>
      <w:r w:rsidR="006D7FC3">
        <w:rPr>
          <w:lang w:val="en-US"/>
        </w:rPr>
        <w:t xml:space="preserve"> applications only</w:t>
      </w:r>
      <w:r>
        <w:rPr>
          <w:lang w:val="en-US"/>
        </w:rPr>
        <w:t xml:space="preserve">. </w:t>
      </w:r>
      <w:r w:rsidRPr="009F4EEB">
        <w:rPr>
          <w:lang w:val="en-US"/>
        </w:rPr>
        <w:t xml:space="preserve">One of the main transportation hazards </w:t>
      </w:r>
      <w:r w:rsidR="006D7FC3">
        <w:rPr>
          <w:lang w:val="en-US"/>
        </w:rPr>
        <w:t xml:space="preserve">presented by </w:t>
      </w:r>
      <w:proofErr w:type="gramStart"/>
      <w:r w:rsidR="006D7FC3">
        <w:rPr>
          <w:lang w:val="en-US"/>
        </w:rPr>
        <w:t xml:space="preserve">AN </w:t>
      </w:r>
      <w:r w:rsidRPr="009F4EEB">
        <w:rPr>
          <w:lang w:val="en-US"/>
        </w:rPr>
        <w:t>is</w:t>
      </w:r>
      <w:proofErr w:type="gramEnd"/>
      <w:r w:rsidRPr="009F4EEB">
        <w:rPr>
          <w:lang w:val="en-US"/>
        </w:rPr>
        <w:t xml:space="preserve"> exposure to fire</w:t>
      </w:r>
      <w:r w:rsidR="006D7FC3">
        <w:rPr>
          <w:lang w:val="en-US"/>
        </w:rPr>
        <w:t>.</w:t>
      </w:r>
      <w:r w:rsidRPr="009F4EEB">
        <w:rPr>
          <w:lang w:val="en-US"/>
        </w:rPr>
        <w:t xml:space="preserve"> </w:t>
      </w:r>
      <w:r w:rsidR="006D7FC3">
        <w:rPr>
          <w:lang w:val="en-US"/>
        </w:rPr>
        <w:t>I</w:t>
      </w:r>
      <w:r w:rsidRPr="009F4EEB">
        <w:rPr>
          <w:lang w:val="en-US"/>
        </w:rPr>
        <w:t xml:space="preserve">f the </w:t>
      </w:r>
      <w:proofErr w:type="gramStart"/>
      <w:r w:rsidRPr="009F4EEB">
        <w:rPr>
          <w:lang w:val="en-US"/>
        </w:rPr>
        <w:t>AN is</w:t>
      </w:r>
      <w:proofErr w:type="gramEnd"/>
      <w:r w:rsidRPr="009F4EEB">
        <w:rPr>
          <w:lang w:val="en-US"/>
        </w:rPr>
        <w:t xml:space="preserve"> exposed to </w:t>
      </w:r>
      <w:r w:rsidR="006D7FC3">
        <w:rPr>
          <w:lang w:val="en-US"/>
        </w:rPr>
        <w:t xml:space="preserve">substantial and sustained </w:t>
      </w:r>
      <w:r w:rsidRPr="009F4EEB">
        <w:rPr>
          <w:lang w:val="en-US"/>
        </w:rPr>
        <w:t xml:space="preserve">heat it will melt. Once </w:t>
      </w:r>
      <w:proofErr w:type="gramStart"/>
      <w:r w:rsidRPr="009F4EEB">
        <w:rPr>
          <w:lang w:val="en-US"/>
        </w:rPr>
        <w:t>AN is</w:t>
      </w:r>
      <w:proofErr w:type="gramEnd"/>
      <w:r w:rsidRPr="009F4EEB">
        <w:rPr>
          <w:lang w:val="en-US"/>
        </w:rPr>
        <w:t xml:space="preserve"> in a melt state</w:t>
      </w:r>
      <w:r w:rsidR="006D7FC3">
        <w:rPr>
          <w:lang w:val="en-US"/>
        </w:rPr>
        <w:t>,</w:t>
      </w:r>
      <w:r w:rsidRPr="009F4EEB">
        <w:rPr>
          <w:lang w:val="en-US"/>
        </w:rPr>
        <w:t xml:space="preserve"> it can begin subsequent decomposition. This melt state will be independent of </w:t>
      </w:r>
      <w:proofErr w:type="gramStart"/>
      <w:r w:rsidRPr="009F4EEB">
        <w:rPr>
          <w:lang w:val="en-US"/>
        </w:rPr>
        <w:t xml:space="preserve">the </w:t>
      </w:r>
      <w:r w:rsidR="005A6DF7">
        <w:rPr>
          <w:lang w:val="en-US"/>
        </w:rPr>
        <w:t>”</w:t>
      </w:r>
      <w:proofErr w:type="gramEnd"/>
      <w:r w:rsidR="005A6DF7">
        <w:rPr>
          <w:lang w:val="en-US"/>
        </w:rPr>
        <w:t>type”</w:t>
      </w:r>
      <w:r w:rsidRPr="009F4EEB">
        <w:rPr>
          <w:lang w:val="en-US"/>
        </w:rPr>
        <w:t xml:space="preserve"> of AN, namely whether it was </w:t>
      </w:r>
      <w:r w:rsidR="006D7FC3">
        <w:rPr>
          <w:lang w:val="en-US"/>
        </w:rPr>
        <w:t>intended as a “</w:t>
      </w:r>
      <w:r w:rsidRPr="009F4EEB">
        <w:rPr>
          <w:lang w:val="en-US"/>
        </w:rPr>
        <w:t>fertilizer</w:t>
      </w:r>
      <w:r w:rsidR="006D7FC3">
        <w:rPr>
          <w:lang w:val="en-US"/>
        </w:rPr>
        <w:t>”</w:t>
      </w:r>
      <w:r w:rsidRPr="009F4EEB">
        <w:rPr>
          <w:lang w:val="en-US"/>
        </w:rPr>
        <w:t xml:space="preserve"> or </w:t>
      </w:r>
      <w:r w:rsidR="006D7FC3">
        <w:rPr>
          <w:lang w:val="en-US"/>
        </w:rPr>
        <w:t>for the manufacture of explosives</w:t>
      </w:r>
      <w:r w:rsidRPr="009F4EEB">
        <w:rPr>
          <w:lang w:val="en-US"/>
        </w:rPr>
        <w:t>.</w:t>
      </w:r>
    </w:p>
    <w:p w14:paraId="3F8D9C0A" w14:textId="77777777" w:rsidR="009F4EEB" w:rsidRDefault="009F4EEB" w:rsidP="009F4EEB">
      <w:pPr>
        <w:pStyle w:val="SingleTxtG"/>
        <w:numPr>
          <w:ilvl w:val="0"/>
          <w:numId w:val="44"/>
        </w:numPr>
        <w:ind w:left="1170" w:hanging="36"/>
        <w:rPr>
          <w:lang w:val="en-US"/>
        </w:rPr>
      </w:pPr>
      <w:r>
        <w:rPr>
          <w:lang w:val="en-US"/>
        </w:rPr>
        <w:t xml:space="preserve">The sensitivity to shock, while a potential transport hazard, is </w:t>
      </w:r>
      <w:r w:rsidR="006D7FC3">
        <w:rPr>
          <w:lang w:val="en-US"/>
        </w:rPr>
        <w:t>also</w:t>
      </w:r>
      <w:r>
        <w:rPr>
          <w:lang w:val="en-US"/>
        </w:rPr>
        <w:t xml:space="preserve"> a security concern. As such, the product being transport</w:t>
      </w:r>
      <w:r w:rsidR="00EC096B">
        <w:rPr>
          <w:lang w:val="en-US"/>
        </w:rPr>
        <w:t>ed</w:t>
      </w:r>
      <w:r w:rsidR="006D7FC3">
        <w:rPr>
          <w:lang w:val="en-US"/>
        </w:rPr>
        <w:t xml:space="preserve">, whatever </w:t>
      </w:r>
      <w:proofErr w:type="gramStart"/>
      <w:r w:rsidR="006D7FC3">
        <w:rPr>
          <w:lang w:val="en-US"/>
        </w:rPr>
        <w:t>its intended end use</w:t>
      </w:r>
      <w:proofErr w:type="gramEnd"/>
      <w:r w:rsidR="006D7FC3">
        <w:rPr>
          <w:lang w:val="en-US"/>
        </w:rPr>
        <w:t>,</w:t>
      </w:r>
      <w:r>
        <w:rPr>
          <w:lang w:val="en-US"/>
        </w:rPr>
        <w:t xml:space="preserve"> must be established to be a bona fide Division 5.1 substance.</w:t>
      </w:r>
    </w:p>
    <w:p w14:paraId="36A7F9EF" w14:textId="77777777" w:rsidR="00321F2E" w:rsidRDefault="00321F2E" w:rsidP="00321F2E">
      <w:pPr>
        <w:pStyle w:val="SingleTxtG"/>
        <w:numPr>
          <w:ilvl w:val="0"/>
          <w:numId w:val="44"/>
        </w:numPr>
        <w:ind w:left="1170" w:firstLine="0"/>
      </w:pPr>
      <w:r>
        <w:t xml:space="preserve">The proposal, at new 39.4.3 and 39.4.4, may mislead the user with regard to procedures for explosives classification.  Class 1 explosives may not be self-classified.  Competent authorities classify Class 1 materials, including the explosive form of ammonium nitrate (UN0222), based on a review of established tests performed on the material being </w:t>
      </w:r>
      <w:r>
        <w:rPr>
          <w:u w:val="single"/>
        </w:rPr>
        <w:t>manufactured for transport</w:t>
      </w:r>
      <w:r>
        <w:t xml:space="preserve">, not on ammonium nitrate </w:t>
      </w:r>
      <w:proofErr w:type="spellStart"/>
      <w:r>
        <w:t>prill</w:t>
      </w:r>
      <w:proofErr w:type="spellEnd"/>
      <w:r>
        <w:t xml:space="preserve"> in </w:t>
      </w:r>
      <w:r w:rsidR="00094D6F">
        <w:rPr>
          <w:lang w:val="en-US"/>
        </w:rPr>
        <w:t>Division</w:t>
      </w:r>
      <w:r>
        <w:t xml:space="preserve"> 5.1 or Class 9 based on contamination that may occur post-accident or post-spill.  There are a myriad safety and security requirements that would be triggered if removal of spilled product is prevented because of the requisite time for testing with this requirement of reclassification by the competent authority.  </w:t>
      </w:r>
    </w:p>
    <w:p w14:paraId="652C188B" w14:textId="77777777" w:rsidR="00FC3086" w:rsidRDefault="00FC3086" w:rsidP="00321F2E">
      <w:pPr>
        <w:pStyle w:val="SingleTxtG"/>
        <w:numPr>
          <w:ilvl w:val="0"/>
          <w:numId w:val="44"/>
        </w:numPr>
        <w:ind w:left="1170" w:firstLine="0"/>
      </w:pPr>
      <w:r>
        <w:t xml:space="preserve">IME supports the intended clarification for AN based fertilizers, but </w:t>
      </w:r>
      <w:r w:rsidR="00094D6F">
        <w:rPr>
          <w:lang w:val="en-US"/>
        </w:rPr>
        <w:t>does not</w:t>
      </w:r>
      <w:r w:rsidRPr="00FC3086">
        <w:t xml:space="preserve"> support the proposal as written for the </w:t>
      </w:r>
      <w:r w:rsidR="00094D6F">
        <w:rPr>
          <w:lang w:val="en-US"/>
        </w:rPr>
        <w:t>reasons expressed</w:t>
      </w:r>
      <w:r>
        <w:t xml:space="preserve"> above.</w:t>
      </w:r>
    </w:p>
    <w:p w14:paraId="5E8E9FBC" w14:textId="4FE6D6AD" w:rsidR="009242B0" w:rsidRPr="009242B0" w:rsidRDefault="00DA360F" w:rsidP="00DA360F">
      <w:pPr>
        <w:pStyle w:val="HChG"/>
      </w:pPr>
      <w:r>
        <w:rPr>
          <w:lang w:val="fr-CH"/>
        </w:rPr>
        <w:tab/>
      </w:r>
      <w:r>
        <w:rPr>
          <w:lang w:val="fr-CH"/>
        </w:rPr>
        <w:tab/>
      </w:r>
      <w:r w:rsidR="009242B0" w:rsidRPr="009242B0">
        <w:t>Proposal</w:t>
      </w:r>
    </w:p>
    <w:p w14:paraId="2092E6A9" w14:textId="77777777" w:rsidR="009242B0" w:rsidRDefault="00B24740" w:rsidP="009D05DA">
      <w:pPr>
        <w:pStyle w:val="SingleTxtG"/>
        <w:numPr>
          <w:ilvl w:val="0"/>
          <w:numId w:val="44"/>
        </w:numPr>
        <w:ind w:left="1170" w:hanging="36"/>
        <w:rPr>
          <w:lang w:val="en-US"/>
        </w:rPr>
      </w:pPr>
      <w:r>
        <w:rPr>
          <w:lang w:val="en-US"/>
        </w:rPr>
        <w:t xml:space="preserve">Retain </w:t>
      </w:r>
      <w:r w:rsidR="009242B0">
        <w:rPr>
          <w:lang w:val="en-US"/>
        </w:rPr>
        <w:t xml:space="preserve">SP306 in the </w:t>
      </w:r>
      <w:r w:rsidR="00F02060">
        <w:rPr>
          <w:lang w:val="en-US"/>
        </w:rPr>
        <w:t xml:space="preserve">DGL against the UN2067 entry </w:t>
      </w:r>
      <w:r w:rsidR="009242B0">
        <w:rPr>
          <w:lang w:val="en-US"/>
        </w:rPr>
        <w:t>in Chapter 3.2</w:t>
      </w:r>
      <w:r w:rsidR="00EC096B">
        <w:rPr>
          <w:lang w:val="en-US"/>
        </w:rPr>
        <w:t>,</w:t>
      </w:r>
      <w:r w:rsidR="009242B0">
        <w:rPr>
          <w:lang w:val="en-US"/>
        </w:rPr>
        <w:t xml:space="preserve"> and delete 39.4.2 in the proposed new section</w:t>
      </w:r>
      <w:r>
        <w:rPr>
          <w:lang w:val="en-US"/>
        </w:rPr>
        <w:t xml:space="preserve">, including </w:t>
      </w:r>
      <w:r w:rsidR="00EC096B">
        <w:rPr>
          <w:lang w:val="en-US"/>
        </w:rPr>
        <w:t xml:space="preserve">the </w:t>
      </w:r>
      <w:r>
        <w:rPr>
          <w:lang w:val="en-US"/>
        </w:rPr>
        <w:t>reference to 39.4.2 from the flow chart</w:t>
      </w:r>
      <w:r w:rsidR="009242B0">
        <w:rPr>
          <w:lang w:val="en-US"/>
        </w:rPr>
        <w:t>.</w:t>
      </w:r>
    </w:p>
    <w:p w14:paraId="3EA7A26F" w14:textId="1C293540" w:rsidR="009E47FC" w:rsidRPr="00DA360F" w:rsidRDefault="00DA360F" w:rsidP="00DA360F">
      <w:pPr>
        <w:pStyle w:val="ManualHeading1"/>
        <w:keepNext w:val="0"/>
        <w:keepLines w:val="0"/>
        <w:suppressAutoHyphens/>
        <w:spacing w:before="240" w:line="240" w:lineRule="atLeast"/>
        <w:ind w:left="1134" w:right="1134"/>
        <w:rPr>
          <w:b w:val="0"/>
          <w:u w:val="single"/>
        </w:rPr>
      </w:pPr>
      <w:r w:rsidRPr="00DA360F">
        <w:rPr>
          <w:b w:val="0"/>
          <w:u w:val="single"/>
        </w:rPr>
        <w:tab/>
      </w:r>
      <w:r w:rsidRPr="00DA360F">
        <w:rPr>
          <w:b w:val="0"/>
          <w:u w:val="single"/>
        </w:rPr>
        <w:tab/>
      </w:r>
      <w:r w:rsidRPr="00DA360F">
        <w:rPr>
          <w:b w:val="0"/>
          <w:u w:val="single"/>
        </w:rPr>
        <w:tab/>
      </w:r>
    </w:p>
    <w:p w14:paraId="73EC92EA" w14:textId="77777777" w:rsidR="00DA360F" w:rsidRPr="00DA360F" w:rsidRDefault="00DA360F">
      <w:pPr>
        <w:pStyle w:val="ManualHeading1"/>
        <w:keepNext w:val="0"/>
        <w:keepLines w:val="0"/>
        <w:suppressAutoHyphens/>
        <w:spacing w:before="240" w:line="240" w:lineRule="atLeast"/>
        <w:ind w:left="1134" w:right="1134"/>
        <w:rPr>
          <w:b w:val="0"/>
          <w:u w:val="single"/>
        </w:rPr>
      </w:pPr>
    </w:p>
    <w:sectPr w:rsidR="00DA360F" w:rsidRPr="00DA360F" w:rsidSect="00F77CF6">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1134" w:right="1134" w:bottom="851" w:left="1134" w:header="851"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54664" w14:textId="77777777" w:rsidR="00760BC3" w:rsidRDefault="00760BC3"/>
  </w:endnote>
  <w:endnote w:type="continuationSeparator" w:id="0">
    <w:p w14:paraId="39F07F14" w14:textId="77777777" w:rsidR="00760BC3" w:rsidRDefault="00760BC3"/>
  </w:endnote>
  <w:endnote w:type="continuationNotice" w:id="1">
    <w:p w14:paraId="185FD54F" w14:textId="77777777" w:rsidR="00760BC3" w:rsidRDefault="00760B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920C5" w14:textId="77777777" w:rsidR="00B34CAE" w:rsidRDefault="00B34C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535F7" w14:textId="77777777" w:rsidR="00B34CAE" w:rsidRDefault="00B34C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C8307" w14:textId="77777777" w:rsidR="00A2784C" w:rsidRPr="00667788" w:rsidRDefault="00A2784C">
    <w:pPr>
      <w:pStyle w:val="Footer"/>
      <w:rPr>
        <w:b/>
        <w:sz w:val="22"/>
      </w:rPr>
    </w:pPr>
    <w:r w:rsidRPr="00667788">
      <w:rPr>
        <w:b/>
        <w:sz w:val="18"/>
      </w:rPr>
      <w:fldChar w:fldCharType="begin"/>
    </w:r>
    <w:r w:rsidRPr="00667788">
      <w:rPr>
        <w:b/>
        <w:sz w:val="18"/>
      </w:rPr>
      <w:instrText xml:space="preserve"> PAGE   \* MERGEFORMAT </w:instrText>
    </w:r>
    <w:r w:rsidRPr="00667788">
      <w:rPr>
        <w:b/>
        <w:sz w:val="18"/>
      </w:rPr>
      <w:fldChar w:fldCharType="separate"/>
    </w:r>
    <w:r w:rsidR="00F77CF6">
      <w:rPr>
        <w:b/>
        <w:noProof/>
        <w:sz w:val="18"/>
      </w:rPr>
      <w:t>6</w:t>
    </w:r>
    <w:r w:rsidRPr="00667788">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91F69" w14:textId="77777777" w:rsidR="00760BC3" w:rsidRPr="000B175B" w:rsidRDefault="00760BC3" w:rsidP="000B175B">
      <w:pPr>
        <w:tabs>
          <w:tab w:val="right" w:pos="2155"/>
        </w:tabs>
        <w:spacing w:after="80"/>
        <w:ind w:left="680"/>
        <w:rPr>
          <w:u w:val="single"/>
        </w:rPr>
      </w:pPr>
      <w:r>
        <w:rPr>
          <w:u w:val="single"/>
        </w:rPr>
        <w:tab/>
      </w:r>
    </w:p>
  </w:footnote>
  <w:footnote w:type="continuationSeparator" w:id="0">
    <w:p w14:paraId="12E0317D" w14:textId="77777777" w:rsidR="00760BC3" w:rsidRPr="00FC68B7" w:rsidRDefault="00760BC3" w:rsidP="00FC68B7">
      <w:pPr>
        <w:tabs>
          <w:tab w:val="left" w:pos="2155"/>
        </w:tabs>
        <w:spacing w:after="80"/>
        <w:ind w:left="680"/>
        <w:rPr>
          <w:u w:val="single"/>
        </w:rPr>
      </w:pPr>
      <w:r>
        <w:rPr>
          <w:u w:val="single"/>
        </w:rPr>
        <w:tab/>
      </w:r>
    </w:p>
  </w:footnote>
  <w:footnote w:type="continuationNotice" w:id="1">
    <w:p w14:paraId="083201D6" w14:textId="77777777" w:rsidR="00760BC3" w:rsidRDefault="00760B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8D852" w14:textId="77777777" w:rsidR="00B34CAE" w:rsidRDefault="00B34C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38AC9" w14:textId="77777777" w:rsidR="00B34CAE" w:rsidRDefault="00B34C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07675" w14:textId="77777777" w:rsidR="00A2784C" w:rsidRPr="00947F38" w:rsidRDefault="00A2784C" w:rsidP="00667788">
    <w:pPr>
      <w:pStyle w:val="Header"/>
      <w:rPr>
        <w:lang w:val="fr-CH"/>
      </w:rPr>
    </w:pPr>
    <w:r w:rsidRPr="00947F38">
      <w:rPr>
        <w:lang w:val="fr-CH"/>
      </w:rPr>
      <w:t>UN/SCETDG/</w:t>
    </w:r>
    <w:r>
      <w:rPr>
        <w:lang w:val="fr-CH"/>
      </w:rPr>
      <w:t>50</w:t>
    </w:r>
    <w:r w:rsidRPr="00947F38">
      <w:rPr>
        <w:lang w:val="fr-CH"/>
      </w:rPr>
      <w:t>/INF.</w:t>
    </w:r>
    <w:r>
      <w:rPr>
        <w:lang w:val="fr-CH"/>
      </w:rPr>
      <w:t>7</w:t>
    </w:r>
    <w:r w:rsidRPr="00947F38">
      <w:rPr>
        <w:lang w:val="fr-CH"/>
      </w:rPr>
      <w:br/>
      <w:t>UN/SCEGHS/</w:t>
    </w:r>
    <w:r>
      <w:rPr>
        <w:lang w:val="fr-CH"/>
      </w:rPr>
      <w:t>32</w:t>
    </w:r>
    <w:r w:rsidRPr="00947F38">
      <w:rPr>
        <w:lang w:val="fr-CH"/>
      </w:rPr>
      <w:t>/INF.</w:t>
    </w:r>
    <w:r>
      <w:rPr>
        <w:lang w:val="fr-CH"/>
      </w:rPr>
      <w:t>5</w:t>
    </w:r>
  </w:p>
  <w:p w14:paraId="28FD34A8" w14:textId="77777777" w:rsidR="00A2784C" w:rsidRPr="00947F38" w:rsidRDefault="00A2784C" w:rsidP="00270DDB">
    <w:pPr>
      <w:pStyle w:val="Header"/>
      <w:pBdr>
        <w:bottom w:val="none" w:sz="0" w:space="0" w:color="auto"/>
      </w:pBd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904C5"/>
    <w:multiLevelType w:val="multilevel"/>
    <w:tmpl w:val="54C43D26"/>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06F063FA"/>
    <w:multiLevelType w:val="hybridMultilevel"/>
    <w:tmpl w:val="29B8CDBC"/>
    <w:lvl w:ilvl="0" w:tplc="6554D2D8">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C9D266F"/>
    <w:multiLevelType w:val="multilevel"/>
    <w:tmpl w:val="3FB8F97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4">
    <w:nsid w:val="10CF0563"/>
    <w:multiLevelType w:val="multilevel"/>
    <w:tmpl w:val="CAEC5838"/>
    <w:lvl w:ilvl="0">
      <w:start w:val="1"/>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nsid w:val="152C7F68"/>
    <w:multiLevelType w:val="hybridMultilevel"/>
    <w:tmpl w:val="1E46ED6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8DF5A88"/>
    <w:multiLevelType w:val="hybridMultilevel"/>
    <w:tmpl w:val="A8D6CAAA"/>
    <w:lvl w:ilvl="0" w:tplc="58A2C878">
      <w:start w:val="1"/>
      <w:numFmt w:val="bullet"/>
      <w:lvlText w:val="–"/>
      <w:lvlJc w:val="left"/>
      <w:pPr>
        <w:ind w:left="783" w:hanging="360"/>
      </w:pPr>
      <w:rPr>
        <w:rFonts w:ascii="Times New Roman" w:hAnsi="Times New Roman" w:cs="Times New Roman"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8">
    <w:nsid w:val="1C3E2503"/>
    <w:multiLevelType w:val="hybridMultilevel"/>
    <w:tmpl w:val="29B8CDBC"/>
    <w:lvl w:ilvl="0" w:tplc="6554D2D8">
      <w:start w:val="1"/>
      <w:numFmt w:val="decimal"/>
      <w:lvlText w:val="%1."/>
      <w:lvlJc w:val="left"/>
      <w:pPr>
        <w:ind w:left="1185" w:hanging="555"/>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C4452E"/>
    <w:multiLevelType w:val="hybridMultilevel"/>
    <w:tmpl w:val="893A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3">
    <w:nsid w:val="33837532"/>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4">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5">
    <w:nsid w:val="37F91969"/>
    <w:multiLevelType w:val="multilevel"/>
    <w:tmpl w:val="F2727EE8"/>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384C6B67"/>
    <w:multiLevelType w:val="multilevel"/>
    <w:tmpl w:val="5728F454"/>
    <w:lvl w:ilvl="0">
      <w:start w:val="3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7">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9">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800EBB"/>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1">
    <w:nsid w:val="4CAB0053"/>
    <w:multiLevelType w:val="hybridMultilevel"/>
    <w:tmpl w:val="5D304FFC"/>
    <w:lvl w:ilvl="0" w:tplc="49F2387E">
      <w:start w:val="1"/>
      <w:numFmt w:val="lowerLetter"/>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32">
    <w:nsid w:val="4D730CB5"/>
    <w:multiLevelType w:val="multilevel"/>
    <w:tmpl w:val="561A7B4C"/>
    <w:lvl w:ilvl="0">
      <w:start w:val="2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3">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nsid w:val="54811C7D"/>
    <w:multiLevelType w:val="hybridMultilevel"/>
    <w:tmpl w:val="3A22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4F041F"/>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4597E50"/>
    <w:multiLevelType w:val="hybridMultilevel"/>
    <w:tmpl w:val="0F241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40">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82750F9"/>
    <w:multiLevelType w:val="multilevel"/>
    <w:tmpl w:val="708E56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79AE64EA"/>
    <w:multiLevelType w:val="multilevel"/>
    <w:tmpl w:val="70AE34F8"/>
    <w:lvl w:ilvl="0">
      <w:start w:val="1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4">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6"/>
  </w:num>
  <w:num w:numId="12">
    <w:abstractNumId w:val="16"/>
  </w:num>
  <w:num w:numId="13">
    <w:abstractNumId w:val="12"/>
  </w:num>
  <w:num w:numId="14">
    <w:abstractNumId w:val="38"/>
  </w:num>
  <w:num w:numId="15">
    <w:abstractNumId w:val="41"/>
  </w:num>
  <w:num w:numId="16">
    <w:abstractNumId w:val="27"/>
  </w:num>
  <w:num w:numId="17">
    <w:abstractNumId w:val="33"/>
  </w:num>
  <w:num w:numId="18">
    <w:abstractNumId w:val="40"/>
  </w:num>
  <w:num w:numId="19">
    <w:abstractNumId w:val="24"/>
  </w:num>
  <w:num w:numId="20">
    <w:abstractNumId w:val="39"/>
  </w:num>
  <w:num w:numId="21">
    <w:abstractNumId w:val="22"/>
  </w:num>
  <w:num w:numId="22">
    <w:abstractNumId w:val="29"/>
  </w:num>
  <w:num w:numId="23">
    <w:abstractNumId w:val="44"/>
  </w:num>
  <w:num w:numId="24">
    <w:abstractNumId w:val="20"/>
  </w:num>
  <w:num w:numId="25">
    <w:abstractNumId w:val="28"/>
  </w:num>
  <w:num w:numId="26">
    <w:abstractNumId w:val="19"/>
  </w:num>
  <w:num w:numId="27">
    <w:abstractNumId w:val="13"/>
  </w:num>
  <w:num w:numId="28">
    <w:abstractNumId w:val="43"/>
  </w:num>
  <w:num w:numId="29">
    <w:abstractNumId w:val="32"/>
  </w:num>
  <w:num w:numId="30">
    <w:abstractNumId w:val="26"/>
  </w:num>
  <w:num w:numId="31">
    <w:abstractNumId w:val="35"/>
  </w:num>
  <w:num w:numId="32">
    <w:abstractNumId w:val="23"/>
  </w:num>
  <w:num w:numId="33">
    <w:abstractNumId w:val="30"/>
  </w:num>
  <w:num w:numId="34">
    <w:abstractNumId w:val="42"/>
  </w:num>
  <w:num w:numId="35">
    <w:abstractNumId w:val="10"/>
  </w:num>
  <w:num w:numId="36">
    <w:abstractNumId w:val="25"/>
  </w:num>
  <w:num w:numId="37">
    <w:abstractNumId w:val="14"/>
  </w:num>
  <w:num w:numId="38">
    <w:abstractNumId w:val="37"/>
  </w:num>
  <w:num w:numId="39">
    <w:abstractNumId w:val="15"/>
  </w:num>
  <w:num w:numId="40">
    <w:abstractNumId w:val="17"/>
  </w:num>
  <w:num w:numId="41">
    <w:abstractNumId w:val="31"/>
  </w:num>
  <w:num w:numId="42">
    <w:abstractNumId w:val="21"/>
  </w:num>
  <w:num w:numId="43">
    <w:abstractNumId w:val="34"/>
  </w:num>
  <w:num w:numId="44">
    <w:abstractNumId w:val="11"/>
  </w:num>
  <w:num w:numId="4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1"/>
  <w:activeWritingStyle w:appName="MSWord" w:lang="fr-CH"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CC"/>
    <w:rsid w:val="000019B8"/>
    <w:rsid w:val="00006FAE"/>
    <w:rsid w:val="000133C5"/>
    <w:rsid w:val="00014A93"/>
    <w:rsid w:val="00017D24"/>
    <w:rsid w:val="000216CC"/>
    <w:rsid w:val="0003398F"/>
    <w:rsid w:val="00043180"/>
    <w:rsid w:val="000504CE"/>
    <w:rsid w:val="00050922"/>
    <w:rsid w:val="00050F6B"/>
    <w:rsid w:val="00053492"/>
    <w:rsid w:val="0005710C"/>
    <w:rsid w:val="000618D2"/>
    <w:rsid w:val="0006267E"/>
    <w:rsid w:val="000639B4"/>
    <w:rsid w:val="0006438E"/>
    <w:rsid w:val="00064402"/>
    <w:rsid w:val="00067E6D"/>
    <w:rsid w:val="000725D2"/>
    <w:rsid w:val="00072C8C"/>
    <w:rsid w:val="00073129"/>
    <w:rsid w:val="00075F99"/>
    <w:rsid w:val="00076A0A"/>
    <w:rsid w:val="00082CE1"/>
    <w:rsid w:val="00083598"/>
    <w:rsid w:val="00084632"/>
    <w:rsid w:val="00091046"/>
    <w:rsid w:val="00091419"/>
    <w:rsid w:val="00091CB3"/>
    <w:rsid w:val="000931C0"/>
    <w:rsid w:val="00094D6F"/>
    <w:rsid w:val="000A2236"/>
    <w:rsid w:val="000A35F2"/>
    <w:rsid w:val="000A3A48"/>
    <w:rsid w:val="000A4209"/>
    <w:rsid w:val="000A4C38"/>
    <w:rsid w:val="000B175B"/>
    <w:rsid w:val="000B2968"/>
    <w:rsid w:val="000B3A0F"/>
    <w:rsid w:val="000B4919"/>
    <w:rsid w:val="000B7AF2"/>
    <w:rsid w:val="000C1ED8"/>
    <w:rsid w:val="000C5D4B"/>
    <w:rsid w:val="000C717F"/>
    <w:rsid w:val="000D0B8F"/>
    <w:rsid w:val="000D4819"/>
    <w:rsid w:val="000D481F"/>
    <w:rsid w:val="000D5D76"/>
    <w:rsid w:val="000D6D97"/>
    <w:rsid w:val="000D7830"/>
    <w:rsid w:val="000E0415"/>
    <w:rsid w:val="000F52D6"/>
    <w:rsid w:val="000F6A20"/>
    <w:rsid w:val="001001A5"/>
    <w:rsid w:val="001039FD"/>
    <w:rsid w:val="0010461A"/>
    <w:rsid w:val="001106F4"/>
    <w:rsid w:val="00115303"/>
    <w:rsid w:val="00117787"/>
    <w:rsid w:val="00117D0D"/>
    <w:rsid w:val="00121EB7"/>
    <w:rsid w:val="00123BDC"/>
    <w:rsid w:val="00131B10"/>
    <w:rsid w:val="00131D42"/>
    <w:rsid w:val="00133C50"/>
    <w:rsid w:val="001406F4"/>
    <w:rsid w:val="00143C6B"/>
    <w:rsid w:val="00146CFA"/>
    <w:rsid w:val="001633FB"/>
    <w:rsid w:val="00163A1B"/>
    <w:rsid w:val="00165735"/>
    <w:rsid w:val="00167786"/>
    <w:rsid w:val="00173874"/>
    <w:rsid w:val="00181019"/>
    <w:rsid w:val="001835BF"/>
    <w:rsid w:val="00184B86"/>
    <w:rsid w:val="001960EC"/>
    <w:rsid w:val="001A02A4"/>
    <w:rsid w:val="001B12F4"/>
    <w:rsid w:val="001B35EE"/>
    <w:rsid w:val="001B4B04"/>
    <w:rsid w:val="001B6B72"/>
    <w:rsid w:val="001B6F2D"/>
    <w:rsid w:val="001C18A3"/>
    <w:rsid w:val="001C2208"/>
    <w:rsid w:val="001C429D"/>
    <w:rsid w:val="001C6663"/>
    <w:rsid w:val="001C7895"/>
    <w:rsid w:val="001D26DF"/>
    <w:rsid w:val="001D2FDC"/>
    <w:rsid w:val="001D3123"/>
    <w:rsid w:val="001D3A88"/>
    <w:rsid w:val="001D4B2D"/>
    <w:rsid w:val="001D4E70"/>
    <w:rsid w:val="001E797C"/>
    <w:rsid w:val="00207145"/>
    <w:rsid w:val="00211B12"/>
    <w:rsid w:val="00211E0B"/>
    <w:rsid w:val="0021481D"/>
    <w:rsid w:val="00221589"/>
    <w:rsid w:val="00221AC2"/>
    <w:rsid w:val="0022393F"/>
    <w:rsid w:val="00224CD9"/>
    <w:rsid w:val="002309A7"/>
    <w:rsid w:val="00235381"/>
    <w:rsid w:val="00237785"/>
    <w:rsid w:val="00241178"/>
    <w:rsid w:val="00241466"/>
    <w:rsid w:val="002440E7"/>
    <w:rsid w:val="00247570"/>
    <w:rsid w:val="00257C1E"/>
    <w:rsid w:val="00261B71"/>
    <w:rsid w:val="002621F5"/>
    <w:rsid w:val="002708B5"/>
    <w:rsid w:val="00270DDB"/>
    <w:rsid w:val="002725CA"/>
    <w:rsid w:val="00273A92"/>
    <w:rsid w:val="00277896"/>
    <w:rsid w:val="00280EB7"/>
    <w:rsid w:val="00287D81"/>
    <w:rsid w:val="002976CF"/>
    <w:rsid w:val="002A0BD2"/>
    <w:rsid w:val="002A5B17"/>
    <w:rsid w:val="002B0609"/>
    <w:rsid w:val="002B067A"/>
    <w:rsid w:val="002B1514"/>
    <w:rsid w:val="002B1CDA"/>
    <w:rsid w:val="002C014E"/>
    <w:rsid w:val="002C0681"/>
    <w:rsid w:val="002C72E8"/>
    <w:rsid w:val="002C7F25"/>
    <w:rsid w:val="002D5A85"/>
    <w:rsid w:val="002D5C7D"/>
    <w:rsid w:val="002E35BB"/>
    <w:rsid w:val="002F68FD"/>
    <w:rsid w:val="00304CDC"/>
    <w:rsid w:val="00306ABF"/>
    <w:rsid w:val="003107FA"/>
    <w:rsid w:val="003147D0"/>
    <w:rsid w:val="00315D73"/>
    <w:rsid w:val="00316FF9"/>
    <w:rsid w:val="00321716"/>
    <w:rsid w:val="00321F2E"/>
    <w:rsid w:val="003229D8"/>
    <w:rsid w:val="00327D0A"/>
    <w:rsid w:val="00342EC8"/>
    <w:rsid w:val="003517C3"/>
    <w:rsid w:val="00355502"/>
    <w:rsid w:val="00356BC7"/>
    <w:rsid w:val="00357A20"/>
    <w:rsid w:val="00372F06"/>
    <w:rsid w:val="003734CA"/>
    <w:rsid w:val="00391647"/>
    <w:rsid w:val="0039277A"/>
    <w:rsid w:val="00396F6A"/>
    <w:rsid w:val="003972E0"/>
    <w:rsid w:val="003A1EC2"/>
    <w:rsid w:val="003A342A"/>
    <w:rsid w:val="003A52D7"/>
    <w:rsid w:val="003A5A16"/>
    <w:rsid w:val="003C0657"/>
    <w:rsid w:val="003C18C9"/>
    <w:rsid w:val="003C2CC4"/>
    <w:rsid w:val="003C2D54"/>
    <w:rsid w:val="003C655D"/>
    <w:rsid w:val="003D4B23"/>
    <w:rsid w:val="003F23A4"/>
    <w:rsid w:val="003F5B52"/>
    <w:rsid w:val="00401CDD"/>
    <w:rsid w:val="00403EC6"/>
    <w:rsid w:val="00406CD4"/>
    <w:rsid w:val="00430086"/>
    <w:rsid w:val="00430918"/>
    <w:rsid w:val="004325CB"/>
    <w:rsid w:val="004354EE"/>
    <w:rsid w:val="00437F3F"/>
    <w:rsid w:val="00446DE4"/>
    <w:rsid w:val="00452D10"/>
    <w:rsid w:val="004533A7"/>
    <w:rsid w:val="00454036"/>
    <w:rsid w:val="004562AA"/>
    <w:rsid w:val="0046443A"/>
    <w:rsid w:val="004653B3"/>
    <w:rsid w:val="004654C4"/>
    <w:rsid w:val="0046668F"/>
    <w:rsid w:val="0046773D"/>
    <w:rsid w:val="0046788D"/>
    <w:rsid w:val="0048304D"/>
    <w:rsid w:val="00484A9B"/>
    <w:rsid w:val="00492AF9"/>
    <w:rsid w:val="00494C77"/>
    <w:rsid w:val="00497711"/>
    <w:rsid w:val="004B2C9D"/>
    <w:rsid w:val="004B5939"/>
    <w:rsid w:val="004B5C97"/>
    <w:rsid w:val="004B73D6"/>
    <w:rsid w:val="004C39D0"/>
    <w:rsid w:val="004C4F1A"/>
    <w:rsid w:val="004C6D6D"/>
    <w:rsid w:val="004E0C5D"/>
    <w:rsid w:val="004F4240"/>
    <w:rsid w:val="004F77CD"/>
    <w:rsid w:val="005008C4"/>
    <w:rsid w:val="00507CF1"/>
    <w:rsid w:val="00511208"/>
    <w:rsid w:val="00522177"/>
    <w:rsid w:val="00527910"/>
    <w:rsid w:val="005322D3"/>
    <w:rsid w:val="005420F2"/>
    <w:rsid w:val="00542505"/>
    <w:rsid w:val="005475D4"/>
    <w:rsid w:val="00555CDB"/>
    <w:rsid w:val="00561B6D"/>
    <w:rsid w:val="00562D45"/>
    <w:rsid w:val="0056615B"/>
    <w:rsid w:val="00567DFB"/>
    <w:rsid w:val="00571DAA"/>
    <w:rsid w:val="0058129D"/>
    <w:rsid w:val="00590144"/>
    <w:rsid w:val="00594F31"/>
    <w:rsid w:val="00595944"/>
    <w:rsid w:val="0059682C"/>
    <w:rsid w:val="005A0B37"/>
    <w:rsid w:val="005A177B"/>
    <w:rsid w:val="005A64DD"/>
    <w:rsid w:val="005A6DF7"/>
    <w:rsid w:val="005B09F0"/>
    <w:rsid w:val="005B0CED"/>
    <w:rsid w:val="005B3DB3"/>
    <w:rsid w:val="005B528A"/>
    <w:rsid w:val="005B65A3"/>
    <w:rsid w:val="005C4CB5"/>
    <w:rsid w:val="005D0C6C"/>
    <w:rsid w:val="005D19BC"/>
    <w:rsid w:val="005E5946"/>
    <w:rsid w:val="005F3A39"/>
    <w:rsid w:val="005F5C2F"/>
    <w:rsid w:val="005F7BB1"/>
    <w:rsid w:val="00602490"/>
    <w:rsid w:val="00603E3C"/>
    <w:rsid w:val="00611FC4"/>
    <w:rsid w:val="00612812"/>
    <w:rsid w:val="006176FB"/>
    <w:rsid w:val="00623E42"/>
    <w:rsid w:val="00626B06"/>
    <w:rsid w:val="00626DE3"/>
    <w:rsid w:val="006279AC"/>
    <w:rsid w:val="006305C2"/>
    <w:rsid w:val="00633344"/>
    <w:rsid w:val="0063419C"/>
    <w:rsid w:val="00635381"/>
    <w:rsid w:val="00636986"/>
    <w:rsid w:val="00637542"/>
    <w:rsid w:val="00640B26"/>
    <w:rsid w:val="00641194"/>
    <w:rsid w:val="00645A0B"/>
    <w:rsid w:val="006500BA"/>
    <w:rsid w:val="006506DB"/>
    <w:rsid w:val="006523F5"/>
    <w:rsid w:val="00662121"/>
    <w:rsid w:val="00662E09"/>
    <w:rsid w:val="00667788"/>
    <w:rsid w:val="006703B6"/>
    <w:rsid w:val="00670CF0"/>
    <w:rsid w:val="00675F87"/>
    <w:rsid w:val="00683778"/>
    <w:rsid w:val="00684C14"/>
    <w:rsid w:val="00690CD6"/>
    <w:rsid w:val="006A1458"/>
    <w:rsid w:val="006A3932"/>
    <w:rsid w:val="006A63E3"/>
    <w:rsid w:val="006A7392"/>
    <w:rsid w:val="006B1C55"/>
    <w:rsid w:val="006C0D34"/>
    <w:rsid w:val="006C251B"/>
    <w:rsid w:val="006C2F7E"/>
    <w:rsid w:val="006D3560"/>
    <w:rsid w:val="006D7E3D"/>
    <w:rsid w:val="006D7FC3"/>
    <w:rsid w:val="006E3B65"/>
    <w:rsid w:val="006E564B"/>
    <w:rsid w:val="006E68BB"/>
    <w:rsid w:val="007025C0"/>
    <w:rsid w:val="00707F04"/>
    <w:rsid w:val="00711637"/>
    <w:rsid w:val="00714F4F"/>
    <w:rsid w:val="0072632A"/>
    <w:rsid w:val="00736E6A"/>
    <w:rsid w:val="00741F59"/>
    <w:rsid w:val="0074697D"/>
    <w:rsid w:val="0075168C"/>
    <w:rsid w:val="00755EBE"/>
    <w:rsid w:val="00755F90"/>
    <w:rsid w:val="00760BC3"/>
    <w:rsid w:val="00761619"/>
    <w:rsid w:val="0076177C"/>
    <w:rsid w:val="00763C33"/>
    <w:rsid w:val="00766322"/>
    <w:rsid w:val="00770BCD"/>
    <w:rsid w:val="00770D3F"/>
    <w:rsid w:val="00771904"/>
    <w:rsid w:val="00773353"/>
    <w:rsid w:val="00774129"/>
    <w:rsid w:val="00774E8F"/>
    <w:rsid w:val="00774EAA"/>
    <w:rsid w:val="0078123B"/>
    <w:rsid w:val="00786434"/>
    <w:rsid w:val="00790791"/>
    <w:rsid w:val="00796F36"/>
    <w:rsid w:val="00797331"/>
    <w:rsid w:val="007A2CDB"/>
    <w:rsid w:val="007A62EC"/>
    <w:rsid w:val="007B1A7E"/>
    <w:rsid w:val="007B2BA8"/>
    <w:rsid w:val="007B6BA5"/>
    <w:rsid w:val="007C1114"/>
    <w:rsid w:val="007C2C0D"/>
    <w:rsid w:val="007C3162"/>
    <w:rsid w:val="007C3390"/>
    <w:rsid w:val="007C4F4B"/>
    <w:rsid w:val="007C644D"/>
    <w:rsid w:val="007D7BC6"/>
    <w:rsid w:val="007E4BD3"/>
    <w:rsid w:val="007E5D7C"/>
    <w:rsid w:val="007E7225"/>
    <w:rsid w:val="007F2A54"/>
    <w:rsid w:val="007F444F"/>
    <w:rsid w:val="007F5104"/>
    <w:rsid w:val="007F6611"/>
    <w:rsid w:val="00800024"/>
    <w:rsid w:val="008037A2"/>
    <w:rsid w:val="00811097"/>
    <w:rsid w:val="0081414F"/>
    <w:rsid w:val="00816582"/>
    <w:rsid w:val="008175E9"/>
    <w:rsid w:val="00817767"/>
    <w:rsid w:val="00820A2D"/>
    <w:rsid w:val="008242D7"/>
    <w:rsid w:val="00826C09"/>
    <w:rsid w:val="0083043E"/>
    <w:rsid w:val="0083069A"/>
    <w:rsid w:val="00832A1D"/>
    <w:rsid w:val="00834479"/>
    <w:rsid w:val="00843AB2"/>
    <w:rsid w:val="00846809"/>
    <w:rsid w:val="008604BA"/>
    <w:rsid w:val="00860785"/>
    <w:rsid w:val="0086107D"/>
    <w:rsid w:val="00864251"/>
    <w:rsid w:val="00871FD5"/>
    <w:rsid w:val="00881213"/>
    <w:rsid w:val="008813D6"/>
    <w:rsid w:val="00892009"/>
    <w:rsid w:val="008979B1"/>
    <w:rsid w:val="008A0B75"/>
    <w:rsid w:val="008A1542"/>
    <w:rsid w:val="008A57D9"/>
    <w:rsid w:val="008A6B25"/>
    <w:rsid w:val="008A6C4F"/>
    <w:rsid w:val="008A7679"/>
    <w:rsid w:val="008A7AB3"/>
    <w:rsid w:val="008B65FB"/>
    <w:rsid w:val="008C3B3C"/>
    <w:rsid w:val="008C4283"/>
    <w:rsid w:val="008C74C3"/>
    <w:rsid w:val="008C7BF7"/>
    <w:rsid w:val="008D134F"/>
    <w:rsid w:val="008D3C75"/>
    <w:rsid w:val="008D6942"/>
    <w:rsid w:val="008E0E46"/>
    <w:rsid w:val="008E1DAE"/>
    <w:rsid w:val="008E295A"/>
    <w:rsid w:val="008E4B13"/>
    <w:rsid w:val="008F2D9A"/>
    <w:rsid w:val="008F44B8"/>
    <w:rsid w:val="008F504A"/>
    <w:rsid w:val="00904EBC"/>
    <w:rsid w:val="00923019"/>
    <w:rsid w:val="009242B0"/>
    <w:rsid w:val="00924B63"/>
    <w:rsid w:val="009363B6"/>
    <w:rsid w:val="00940F46"/>
    <w:rsid w:val="00941ECC"/>
    <w:rsid w:val="00945A5D"/>
    <w:rsid w:val="00946A0D"/>
    <w:rsid w:val="00947F38"/>
    <w:rsid w:val="00955109"/>
    <w:rsid w:val="00963B67"/>
    <w:rsid w:val="00963CBA"/>
    <w:rsid w:val="009701ED"/>
    <w:rsid w:val="00984471"/>
    <w:rsid w:val="00985F37"/>
    <w:rsid w:val="009879EA"/>
    <w:rsid w:val="009908A5"/>
    <w:rsid w:val="0099124E"/>
    <w:rsid w:val="00991261"/>
    <w:rsid w:val="009950A3"/>
    <w:rsid w:val="009953D5"/>
    <w:rsid w:val="009A1D29"/>
    <w:rsid w:val="009A4740"/>
    <w:rsid w:val="009C31D5"/>
    <w:rsid w:val="009C5D1E"/>
    <w:rsid w:val="009C6394"/>
    <w:rsid w:val="009D05DA"/>
    <w:rsid w:val="009D0E2A"/>
    <w:rsid w:val="009D0F0E"/>
    <w:rsid w:val="009D1AAE"/>
    <w:rsid w:val="009D634E"/>
    <w:rsid w:val="009E1560"/>
    <w:rsid w:val="009E47FC"/>
    <w:rsid w:val="009F0F06"/>
    <w:rsid w:val="009F4EEB"/>
    <w:rsid w:val="009F4FC5"/>
    <w:rsid w:val="00A1427D"/>
    <w:rsid w:val="00A22FE4"/>
    <w:rsid w:val="00A235F1"/>
    <w:rsid w:val="00A2784C"/>
    <w:rsid w:val="00A32373"/>
    <w:rsid w:val="00A34B00"/>
    <w:rsid w:val="00A3777A"/>
    <w:rsid w:val="00A50077"/>
    <w:rsid w:val="00A54CA8"/>
    <w:rsid w:val="00A57236"/>
    <w:rsid w:val="00A60196"/>
    <w:rsid w:val="00A6199C"/>
    <w:rsid w:val="00A622AF"/>
    <w:rsid w:val="00A65F4A"/>
    <w:rsid w:val="00A66636"/>
    <w:rsid w:val="00A71119"/>
    <w:rsid w:val="00A72F22"/>
    <w:rsid w:val="00A744D7"/>
    <w:rsid w:val="00A748A6"/>
    <w:rsid w:val="00A74A46"/>
    <w:rsid w:val="00A75EC9"/>
    <w:rsid w:val="00A810D4"/>
    <w:rsid w:val="00A83538"/>
    <w:rsid w:val="00A8523D"/>
    <w:rsid w:val="00A879A4"/>
    <w:rsid w:val="00AA1D9A"/>
    <w:rsid w:val="00AA32EB"/>
    <w:rsid w:val="00AB382F"/>
    <w:rsid w:val="00AB4CF1"/>
    <w:rsid w:val="00AC0D78"/>
    <w:rsid w:val="00AC1990"/>
    <w:rsid w:val="00AC31E3"/>
    <w:rsid w:val="00AD34EE"/>
    <w:rsid w:val="00AD7C88"/>
    <w:rsid w:val="00AE44ED"/>
    <w:rsid w:val="00AE45DE"/>
    <w:rsid w:val="00AF0878"/>
    <w:rsid w:val="00AF2F9D"/>
    <w:rsid w:val="00AF33AD"/>
    <w:rsid w:val="00AF58DE"/>
    <w:rsid w:val="00AF6710"/>
    <w:rsid w:val="00B013E6"/>
    <w:rsid w:val="00B04D66"/>
    <w:rsid w:val="00B10C19"/>
    <w:rsid w:val="00B1157C"/>
    <w:rsid w:val="00B1501F"/>
    <w:rsid w:val="00B24740"/>
    <w:rsid w:val="00B26710"/>
    <w:rsid w:val="00B26B3C"/>
    <w:rsid w:val="00B30179"/>
    <w:rsid w:val="00B3317B"/>
    <w:rsid w:val="00B34CAE"/>
    <w:rsid w:val="00B41384"/>
    <w:rsid w:val="00B4398E"/>
    <w:rsid w:val="00B47274"/>
    <w:rsid w:val="00B5392B"/>
    <w:rsid w:val="00B71E2B"/>
    <w:rsid w:val="00B73DA8"/>
    <w:rsid w:val="00B74F7C"/>
    <w:rsid w:val="00B75E05"/>
    <w:rsid w:val="00B81E12"/>
    <w:rsid w:val="00B84AAC"/>
    <w:rsid w:val="00B85381"/>
    <w:rsid w:val="00B90C81"/>
    <w:rsid w:val="00B90F54"/>
    <w:rsid w:val="00B91CC3"/>
    <w:rsid w:val="00B92A0C"/>
    <w:rsid w:val="00B93068"/>
    <w:rsid w:val="00B93292"/>
    <w:rsid w:val="00BB176D"/>
    <w:rsid w:val="00BB3B28"/>
    <w:rsid w:val="00BC0C09"/>
    <w:rsid w:val="00BC74E9"/>
    <w:rsid w:val="00BD586C"/>
    <w:rsid w:val="00BD588C"/>
    <w:rsid w:val="00BE1FF8"/>
    <w:rsid w:val="00BE50CA"/>
    <w:rsid w:val="00BE618E"/>
    <w:rsid w:val="00BF29AF"/>
    <w:rsid w:val="00C0263F"/>
    <w:rsid w:val="00C03B44"/>
    <w:rsid w:val="00C13A85"/>
    <w:rsid w:val="00C218A4"/>
    <w:rsid w:val="00C36D37"/>
    <w:rsid w:val="00C463DD"/>
    <w:rsid w:val="00C46D5B"/>
    <w:rsid w:val="00C537D5"/>
    <w:rsid w:val="00C54ADB"/>
    <w:rsid w:val="00C54CEA"/>
    <w:rsid w:val="00C62F76"/>
    <w:rsid w:val="00C66D78"/>
    <w:rsid w:val="00C745C3"/>
    <w:rsid w:val="00C81212"/>
    <w:rsid w:val="00C84FF1"/>
    <w:rsid w:val="00C91180"/>
    <w:rsid w:val="00C93C11"/>
    <w:rsid w:val="00C971F6"/>
    <w:rsid w:val="00CA049C"/>
    <w:rsid w:val="00CA381C"/>
    <w:rsid w:val="00CA74D3"/>
    <w:rsid w:val="00CB2158"/>
    <w:rsid w:val="00CB6380"/>
    <w:rsid w:val="00CC4CA6"/>
    <w:rsid w:val="00CD0009"/>
    <w:rsid w:val="00CD30EE"/>
    <w:rsid w:val="00CD3225"/>
    <w:rsid w:val="00CE4083"/>
    <w:rsid w:val="00CE46BA"/>
    <w:rsid w:val="00CE4A8F"/>
    <w:rsid w:val="00CF6F32"/>
    <w:rsid w:val="00CF778D"/>
    <w:rsid w:val="00D01746"/>
    <w:rsid w:val="00D0631B"/>
    <w:rsid w:val="00D06C3A"/>
    <w:rsid w:val="00D06F88"/>
    <w:rsid w:val="00D164BA"/>
    <w:rsid w:val="00D17291"/>
    <w:rsid w:val="00D2031B"/>
    <w:rsid w:val="00D25E8C"/>
    <w:rsid w:val="00D25FE2"/>
    <w:rsid w:val="00D27E89"/>
    <w:rsid w:val="00D317D0"/>
    <w:rsid w:val="00D33DE8"/>
    <w:rsid w:val="00D37E80"/>
    <w:rsid w:val="00D40F5B"/>
    <w:rsid w:val="00D43252"/>
    <w:rsid w:val="00D46231"/>
    <w:rsid w:val="00D477C4"/>
    <w:rsid w:val="00D5409C"/>
    <w:rsid w:val="00D57C13"/>
    <w:rsid w:val="00D57FD9"/>
    <w:rsid w:val="00D60685"/>
    <w:rsid w:val="00D610C1"/>
    <w:rsid w:val="00D658FA"/>
    <w:rsid w:val="00D730E3"/>
    <w:rsid w:val="00D753D8"/>
    <w:rsid w:val="00D8297A"/>
    <w:rsid w:val="00D9274F"/>
    <w:rsid w:val="00D96248"/>
    <w:rsid w:val="00D96CC5"/>
    <w:rsid w:val="00D978C6"/>
    <w:rsid w:val="00D97B77"/>
    <w:rsid w:val="00DA360F"/>
    <w:rsid w:val="00DA6620"/>
    <w:rsid w:val="00DA67AD"/>
    <w:rsid w:val="00DB072B"/>
    <w:rsid w:val="00DD026E"/>
    <w:rsid w:val="00DD42A0"/>
    <w:rsid w:val="00DE236F"/>
    <w:rsid w:val="00DE3E90"/>
    <w:rsid w:val="00DE3ECB"/>
    <w:rsid w:val="00DE4785"/>
    <w:rsid w:val="00DE7267"/>
    <w:rsid w:val="00DF0A4D"/>
    <w:rsid w:val="00DF3039"/>
    <w:rsid w:val="00DF3A04"/>
    <w:rsid w:val="00DF4518"/>
    <w:rsid w:val="00E01324"/>
    <w:rsid w:val="00E130AB"/>
    <w:rsid w:val="00E1679E"/>
    <w:rsid w:val="00E178A1"/>
    <w:rsid w:val="00E239A0"/>
    <w:rsid w:val="00E32E00"/>
    <w:rsid w:val="00E34E58"/>
    <w:rsid w:val="00E351E3"/>
    <w:rsid w:val="00E36838"/>
    <w:rsid w:val="00E36C10"/>
    <w:rsid w:val="00E40B76"/>
    <w:rsid w:val="00E42461"/>
    <w:rsid w:val="00E43B1B"/>
    <w:rsid w:val="00E4443D"/>
    <w:rsid w:val="00E52EB0"/>
    <w:rsid w:val="00E54352"/>
    <w:rsid w:val="00E5644E"/>
    <w:rsid w:val="00E5691C"/>
    <w:rsid w:val="00E601C0"/>
    <w:rsid w:val="00E631BA"/>
    <w:rsid w:val="00E6613A"/>
    <w:rsid w:val="00E67816"/>
    <w:rsid w:val="00E7260F"/>
    <w:rsid w:val="00E730D8"/>
    <w:rsid w:val="00E73EB3"/>
    <w:rsid w:val="00E81230"/>
    <w:rsid w:val="00E8535A"/>
    <w:rsid w:val="00E864BE"/>
    <w:rsid w:val="00E90647"/>
    <w:rsid w:val="00E96630"/>
    <w:rsid w:val="00E96EFC"/>
    <w:rsid w:val="00EA0364"/>
    <w:rsid w:val="00EA48C4"/>
    <w:rsid w:val="00EA5700"/>
    <w:rsid w:val="00EA772F"/>
    <w:rsid w:val="00EB0FAB"/>
    <w:rsid w:val="00EB291B"/>
    <w:rsid w:val="00EB2AE3"/>
    <w:rsid w:val="00EB4C06"/>
    <w:rsid w:val="00EB51D5"/>
    <w:rsid w:val="00EB65EF"/>
    <w:rsid w:val="00EB6832"/>
    <w:rsid w:val="00EB6C04"/>
    <w:rsid w:val="00EB71BA"/>
    <w:rsid w:val="00EB798F"/>
    <w:rsid w:val="00EC096B"/>
    <w:rsid w:val="00EC14E9"/>
    <w:rsid w:val="00EC271A"/>
    <w:rsid w:val="00EC755A"/>
    <w:rsid w:val="00ED3508"/>
    <w:rsid w:val="00ED3F6F"/>
    <w:rsid w:val="00ED7A2A"/>
    <w:rsid w:val="00EE4D59"/>
    <w:rsid w:val="00EE73C3"/>
    <w:rsid w:val="00EF1D7F"/>
    <w:rsid w:val="00EF4AAC"/>
    <w:rsid w:val="00F01C57"/>
    <w:rsid w:val="00F02060"/>
    <w:rsid w:val="00F03FA2"/>
    <w:rsid w:val="00F05283"/>
    <w:rsid w:val="00F07537"/>
    <w:rsid w:val="00F075EF"/>
    <w:rsid w:val="00F07E12"/>
    <w:rsid w:val="00F11ABA"/>
    <w:rsid w:val="00F1200D"/>
    <w:rsid w:val="00F21360"/>
    <w:rsid w:val="00F30A8A"/>
    <w:rsid w:val="00F34267"/>
    <w:rsid w:val="00F3574D"/>
    <w:rsid w:val="00F40295"/>
    <w:rsid w:val="00F40E75"/>
    <w:rsid w:val="00F412D3"/>
    <w:rsid w:val="00F444E3"/>
    <w:rsid w:val="00F5087E"/>
    <w:rsid w:val="00F51BAB"/>
    <w:rsid w:val="00F535BE"/>
    <w:rsid w:val="00F54674"/>
    <w:rsid w:val="00F54A7E"/>
    <w:rsid w:val="00F570EA"/>
    <w:rsid w:val="00F64C95"/>
    <w:rsid w:val="00F75E96"/>
    <w:rsid w:val="00F77CF6"/>
    <w:rsid w:val="00FA00A0"/>
    <w:rsid w:val="00FA0DEB"/>
    <w:rsid w:val="00FA2BF7"/>
    <w:rsid w:val="00FA3FB7"/>
    <w:rsid w:val="00FB5A37"/>
    <w:rsid w:val="00FB7793"/>
    <w:rsid w:val="00FC18AA"/>
    <w:rsid w:val="00FC215C"/>
    <w:rsid w:val="00FC3086"/>
    <w:rsid w:val="00FC68B7"/>
    <w:rsid w:val="00FD3C5D"/>
    <w:rsid w:val="00FD3E70"/>
    <w:rsid w:val="00FD6B2B"/>
    <w:rsid w:val="00FE3EEA"/>
    <w:rsid w:val="00FF03BB"/>
    <w:rsid w:val="00FF071A"/>
    <w:rsid w:val="00FF4204"/>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E8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uiPriority w:val="99"/>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paragraph" w:styleId="Revision">
    <w:name w:val="Revision"/>
    <w:hidden/>
    <w:uiPriority w:val="99"/>
    <w:semiHidden/>
    <w:rsid w:val="00A2784C"/>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uiPriority w:val="99"/>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paragraph" w:styleId="Revision">
    <w:name w:val="Revision"/>
    <w:hidden/>
    <w:uiPriority w:val="99"/>
    <w:semiHidden/>
    <w:rsid w:val="00A2784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05006">
      <w:bodyDiv w:val="1"/>
      <w:marLeft w:val="0"/>
      <w:marRight w:val="0"/>
      <w:marTop w:val="0"/>
      <w:marBottom w:val="0"/>
      <w:divBdr>
        <w:top w:val="none" w:sz="0" w:space="0" w:color="auto"/>
        <w:left w:val="none" w:sz="0" w:space="0" w:color="auto"/>
        <w:bottom w:val="none" w:sz="0" w:space="0" w:color="auto"/>
        <w:right w:val="none" w:sz="0" w:space="0" w:color="auto"/>
      </w:divBdr>
    </w:div>
    <w:div w:id="1914462533">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DE811-7F03-4576-905D-5337EE0BA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53</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4</cp:revision>
  <cp:lastPrinted>2016-11-28T09:17:00Z</cp:lastPrinted>
  <dcterms:created xsi:type="dcterms:W3CDTF">2016-11-28T06:56:00Z</dcterms:created>
  <dcterms:modified xsi:type="dcterms:W3CDTF">2016-11-28T09:17:00Z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