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211CD6">
        <w:trPr>
          <w:cantSplit/>
          <w:trHeight w:hRule="exact" w:val="851"/>
        </w:trPr>
        <w:tc>
          <w:tcPr>
            <w:tcW w:w="9639" w:type="dxa"/>
            <w:tcBorders>
              <w:bottom w:val="single" w:sz="4" w:space="0" w:color="auto"/>
            </w:tcBorders>
            <w:vAlign w:val="bottom"/>
          </w:tcPr>
          <w:p w:rsidR="00280D2B" w:rsidRPr="005A1F2E" w:rsidRDefault="00280D2B" w:rsidP="00547097">
            <w:pPr>
              <w:spacing w:after="240"/>
              <w:jc w:val="right"/>
              <w:rPr>
                <w:b/>
                <w:sz w:val="40"/>
                <w:szCs w:val="40"/>
              </w:rPr>
            </w:pPr>
            <w:r>
              <w:rPr>
                <w:b/>
                <w:sz w:val="40"/>
                <w:szCs w:val="40"/>
              </w:rPr>
              <w:t>UN/SCETDG/</w:t>
            </w:r>
            <w:r w:rsidR="000575B3">
              <w:rPr>
                <w:b/>
                <w:sz w:val="40"/>
                <w:szCs w:val="40"/>
              </w:rPr>
              <w:t>50</w:t>
            </w:r>
            <w:r w:rsidR="007315A6">
              <w:rPr>
                <w:b/>
                <w:sz w:val="40"/>
                <w:szCs w:val="40"/>
              </w:rPr>
              <w:t>/INF.</w:t>
            </w:r>
            <w:r w:rsidR="00774EDA">
              <w:rPr>
                <w:b/>
                <w:sz w:val="40"/>
                <w:szCs w:val="40"/>
              </w:rPr>
              <w:t>4</w:t>
            </w:r>
            <w:r w:rsidR="00547097">
              <w:rPr>
                <w:b/>
                <w:sz w:val="40"/>
                <w:szCs w:val="40"/>
              </w:rPr>
              <w:t>2</w:t>
            </w:r>
          </w:p>
        </w:tc>
      </w:tr>
      <w:tr w:rsidR="00280D2B" w:rsidRPr="005A1F2E" w:rsidTr="00211CD6">
        <w:trPr>
          <w:cantSplit/>
          <w:trHeight w:val="44"/>
        </w:trPr>
        <w:tc>
          <w:tcPr>
            <w:tcW w:w="9639" w:type="dxa"/>
            <w:tcBorders>
              <w:top w:val="single" w:sz="4" w:space="0" w:color="auto"/>
            </w:tcBorders>
          </w:tcPr>
          <w:p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9552DA">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774EDA">
              <w:rPr>
                <w:b/>
              </w:rPr>
              <w:t>23</w:t>
            </w:r>
            <w:r w:rsidR="005F5FE3">
              <w:rPr>
                <w:b/>
              </w:rPr>
              <w:t xml:space="preserve"> November</w:t>
            </w:r>
            <w:r w:rsidR="009749FE">
              <w:rPr>
                <w:b/>
                <w:sz w:val="18"/>
                <w:szCs w:val="24"/>
              </w:rPr>
              <w:t xml:space="preserve"> </w:t>
            </w:r>
            <w:r w:rsidR="005A37A2">
              <w:rPr>
                <w:b/>
                <w:sz w:val="18"/>
                <w:szCs w:val="24"/>
              </w:rPr>
              <w:t>201</w:t>
            </w:r>
            <w:r w:rsidR="009749FE">
              <w:rPr>
                <w:b/>
                <w:sz w:val="18"/>
                <w:szCs w:val="24"/>
              </w:rPr>
              <w:t>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931FC4">
            <w:pPr>
              <w:spacing w:before="120"/>
              <w:ind w:left="34" w:hanging="34"/>
              <w:rPr>
                <w:b/>
              </w:rPr>
            </w:pPr>
            <w:r w:rsidRPr="0045083B">
              <w:rPr>
                <w:b/>
              </w:rPr>
              <w:t>F</w:t>
            </w:r>
            <w:r w:rsidR="00931FC4">
              <w:rPr>
                <w:b/>
              </w:rPr>
              <w:t>iftieth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3A300E" w:rsidRPr="00F54DDA" w:rsidRDefault="003A300E" w:rsidP="003A300E">
            <w:pPr>
              <w:spacing w:before="120"/>
              <w:ind w:left="34" w:hanging="34"/>
            </w:pPr>
            <w:r>
              <w:t>Geneva, 28 November–6 December 2016</w:t>
            </w:r>
          </w:p>
          <w:p w:rsidR="00280D2B" w:rsidRPr="00F54DDA" w:rsidRDefault="00280D2B" w:rsidP="00F54DDA">
            <w:pPr>
              <w:ind w:left="34" w:hanging="34"/>
            </w:pPr>
            <w:r w:rsidRPr="00F54DDA">
              <w:t xml:space="preserve">Item </w:t>
            </w:r>
            <w:r w:rsidR="00F37863">
              <w:t>2 (c</w:t>
            </w:r>
            <w:r w:rsidR="00774EDA">
              <w:t>)</w:t>
            </w:r>
            <w:r w:rsidRPr="00F54DDA">
              <w:t xml:space="preserve"> of the provisional agenda</w:t>
            </w:r>
          </w:p>
          <w:p w:rsidR="00280D2B" w:rsidRPr="00F37863" w:rsidRDefault="00774EDA" w:rsidP="00E64083">
            <w:pPr>
              <w:spacing w:after="120"/>
              <w:rPr>
                <w:b/>
              </w:rPr>
            </w:pPr>
            <w:r w:rsidRPr="00F37863">
              <w:rPr>
                <w:b/>
              </w:rPr>
              <w:t xml:space="preserve">Recommendations made by the Sub-Committee </w:t>
            </w:r>
            <w:r w:rsidRPr="00F37863">
              <w:rPr>
                <w:b/>
              </w:rPr>
              <w:br/>
              <w:t xml:space="preserve">on its forty-seventh, forty-eighth and forty-ninth sessions </w:t>
            </w:r>
            <w:r w:rsidRPr="00F37863">
              <w:rPr>
                <w:b/>
              </w:rPr>
              <w:br/>
              <w:t xml:space="preserve">and pending issues: </w:t>
            </w:r>
            <w:r w:rsidR="00F37863" w:rsidRPr="00F37863">
              <w:rPr>
                <w:b/>
              </w:rPr>
              <w:t>listing, classification and packing</w:t>
            </w: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547097" w:rsidRDefault="00547097" w:rsidP="00547097">
      <w:pPr>
        <w:pStyle w:val="HChG"/>
        <w:rPr>
          <w:lang w:eastAsia="ko-KR"/>
        </w:rPr>
      </w:pPr>
      <w:r>
        <w:tab/>
      </w:r>
      <w:r>
        <w:tab/>
        <w:t xml:space="preserve">Check of available toxicity data </w:t>
      </w:r>
      <w:r>
        <w:rPr>
          <w:rFonts w:hint="eastAsia"/>
          <w:lang w:eastAsia="ko-KR"/>
        </w:rPr>
        <w:t xml:space="preserve">for UN 2248, UN 2264 and UN 2357 </w:t>
      </w:r>
    </w:p>
    <w:p w:rsidR="00547097" w:rsidRPr="005A77BD" w:rsidRDefault="00547097" w:rsidP="00547097">
      <w:pPr>
        <w:pStyle w:val="H1G"/>
        <w:rPr>
          <w:lang w:eastAsia="ko-KR"/>
        </w:rPr>
      </w:pPr>
      <w:r>
        <w:rPr>
          <w:lang w:eastAsia="ko-KR"/>
        </w:rPr>
        <w:tab/>
      </w:r>
      <w:r>
        <w:rPr>
          <w:lang w:eastAsia="ko-KR"/>
        </w:rPr>
        <w:tab/>
      </w:r>
      <w:r w:rsidR="00F8738E">
        <w:rPr>
          <w:lang w:eastAsia="ko-KR"/>
        </w:rPr>
        <w:t xml:space="preserve">Transmitted </w:t>
      </w:r>
      <w:r>
        <w:rPr>
          <w:rFonts w:hint="eastAsia"/>
          <w:lang w:eastAsia="ko-KR"/>
        </w:rPr>
        <w:t xml:space="preserve">by the </w:t>
      </w:r>
      <w:r w:rsidR="00F8738E" w:rsidRPr="00F8738E">
        <w:rPr>
          <w:lang w:eastAsia="ko-KR"/>
        </w:rPr>
        <w:t xml:space="preserve">European Chemical Industry Council (CEFIC) </w:t>
      </w:r>
      <w:bookmarkStart w:id="0" w:name="_GoBack"/>
      <w:bookmarkEnd w:id="0"/>
    </w:p>
    <w:p w:rsidR="00547097" w:rsidRPr="007C35B3" w:rsidRDefault="00547097" w:rsidP="00547097">
      <w:pPr>
        <w:pStyle w:val="HChG"/>
        <w:rPr>
          <w:lang w:eastAsia="ko-KR"/>
        </w:rPr>
      </w:pPr>
      <w:r>
        <w:rPr>
          <w:lang w:eastAsia="ko-KR"/>
        </w:rPr>
        <w:tab/>
      </w:r>
      <w:r>
        <w:rPr>
          <w:lang w:eastAsia="ko-KR"/>
        </w:rPr>
        <w:tab/>
      </w:r>
      <w:r w:rsidRPr="007C35B3">
        <w:rPr>
          <w:lang w:eastAsia="ko-KR"/>
        </w:rPr>
        <w:t>Introduction</w:t>
      </w:r>
    </w:p>
    <w:p w:rsidR="00547097" w:rsidRPr="00547097" w:rsidRDefault="00547097" w:rsidP="00547097">
      <w:pPr>
        <w:pStyle w:val="SingleTxtG"/>
      </w:pPr>
      <w:r w:rsidRPr="00547097">
        <w:t>1.</w:t>
      </w:r>
      <w:r w:rsidRPr="00547097">
        <w:tab/>
        <w:t>At the forty-seventh session of the Sub-Committee, the expert from the Republic of Korea suggested that the hazard information in the revised GESAMP Hazard Profiles (PPR.1/Circ.1, Annex 5) could be valuable data to identify any potential toxic or corrosive risk for substances (ST/SG/AC.10/C.3/2015/11). In this connection,</w:t>
      </w:r>
      <w:r w:rsidRPr="00547097">
        <w:rPr>
          <w:rFonts w:hint="eastAsia"/>
        </w:rPr>
        <w:t xml:space="preserve"> some substances categorized as class 8 in </w:t>
      </w:r>
      <w:r w:rsidRPr="00547097">
        <w:t>the Dangerous Goods List are</w:t>
      </w:r>
      <w:r w:rsidRPr="00547097">
        <w:rPr>
          <w:rFonts w:hint="eastAsia"/>
        </w:rPr>
        <w:t xml:space="preserve"> already recognized </w:t>
      </w:r>
      <w:r w:rsidRPr="00547097">
        <w:t>for</w:t>
      </w:r>
      <w:r w:rsidRPr="00547097">
        <w:rPr>
          <w:rFonts w:hint="eastAsia"/>
        </w:rPr>
        <w:t xml:space="preserve"> their </w:t>
      </w:r>
      <w:r w:rsidRPr="00547097">
        <w:t>toxicity</w:t>
      </w:r>
      <w:r w:rsidRPr="00547097">
        <w:rPr>
          <w:rFonts w:hint="eastAsia"/>
        </w:rPr>
        <w:t xml:space="preserve"> </w:t>
      </w:r>
      <w:proofErr w:type="gramStart"/>
      <w:r w:rsidRPr="00547097">
        <w:rPr>
          <w:rFonts w:hint="eastAsia"/>
        </w:rPr>
        <w:t>by</w:t>
      </w:r>
      <w:proofErr w:type="gramEnd"/>
      <w:r w:rsidRPr="00547097">
        <w:rPr>
          <w:rFonts w:hint="eastAsia"/>
        </w:rPr>
        <w:t xml:space="preserve"> many test institutions. Based on this test </w:t>
      </w:r>
      <w:r w:rsidRPr="00547097">
        <w:t>information</w:t>
      </w:r>
      <w:r w:rsidRPr="00547097">
        <w:rPr>
          <w:rFonts w:hint="eastAsia"/>
        </w:rPr>
        <w:t xml:space="preserve">, the Republic of Korea selected three substances which have strong toxicity and submitted objective test data related to them </w:t>
      </w:r>
      <w:r w:rsidRPr="00547097">
        <w:t>(informal document INF.33 (49th session)).</w:t>
      </w:r>
    </w:p>
    <w:p w:rsidR="00547097" w:rsidRPr="00547097" w:rsidRDefault="00547097" w:rsidP="00547097">
      <w:pPr>
        <w:pStyle w:val="SingleTxtG"/>
      </w:pPr>
      <w:r w:rsidRPr="00547097">
        <w:t>2.</w:t>
      </w:r>
      <w:r w:rsidRPr="00547097">
        <w:tab/>
        <w:t xml:space="preserve">CEFIC checked the substances in the Reach Registration of ECHA to avoid discrepancies between transport and supply and use. These data have been collected and reviewed by the manufactures and submitted to the European Chemical Agency. The data provided in the registrations do not support the addition of class 6.1 to UN2248 and UN2357. </w:t>
      </w:r>
      <w:r w:rsidRPr="00547097">
        <w:rPr>
          <w:rFonts w:hint="eastAsia"/>
        </w:rPr>
        <w:t xml:space="preserve"> </w:t>
      </w:r>
    </w:p>
    <w:p w:rsidR="00547097" w:rsidRDefault="00547097" w:rsidP="00547097">
      <w:pPr>
        <w:pStyle w:val="SingleTxtG"/>
        <w:rPr>
          <w:lang w:eastAsia="ko-KR"/>
        </w:rPr>
      </w:pPr>
      <w:r>
        <w:rPr>
          <w:lang w:eastAsia="ko-KR"/>
        </w:rPr>
        <w:t>3.</w:t>
      </w:r>
      <w:r>
        <w:rPr>
          <w:lang w:eastAsia="ko-KR"/>
        </w:rPr>
        <w:tab/>
        <w:t xml:space="preserve">Therefore we would like to ask the UN Sub Committee of Experts TDG not to adopt these changes at this meeting. The data needs to be reviewed in more detail to come to a conclusion. </w:t>
      </w:r>
      <w:r w:rsidRPr="007C35B3">
        <w:rPr>
          <w:lang w:eastAsia="ko-KR"/>
        </w:rPr>
        <w:t xml:space="preserve"> </w:t>
      </w:r>
    </w:p>
    <w:p w:rsidR="00547097" w:rsidRDefault="00547097" w:rsidP="00547097">
      <w:pPr>
        <w:pStyle w:val="SingleTxtG"/>
        <w:rPr>
          <w:lang w:eastAsia="ko-KR"/>
        </w:rPr>
      </w:pPr>
      <w:r>
        <w:rPr>
          <w:lang w:eastAsia="ko-KR"/>
        </w:rPr>
        <w:t>4. The relevant classification as derived from the toxicity data for the registration is attached. The classification and the underlying data can also be viewed in the following link:</w:t>
      </w:r>
    </w:p>
    <w:p w:rsidR="00547097" w:rsidRPr="007C35B3" w:rsidRDefault="00F8738E" w:rsidP="00547097">
      <w:pPr>
        <w:pStyle w:val="SingleTxtG"/>
        <w:rPr>
          <w:lang w:eastAsia="ko-KR"/>
        </w:rPr>
      </w:pPr>
      <w:hyperlink r:id="rId9" w:history="1">
        <w:r w:rsidR="00547097" w:rsidRPr="00D72C08">
          <w:rPr>
            <w:rStyle w:val="Hyperlink"/>
            <w:lang w:eastAsia="ko-KR"/>
          </w:rPr>
          <w:t>https://echa.europa.eu/information-on-chemicals/registered-substances</w:t>
        </w:r>
      </w:hyperlink>
      <w:r w:rsidR="00547097">
        <w:rPr>
          <w:lang w:eastAsia="ko-KR"/>
        </w:rPr>
        <w:t xml:space="preserve"> </w:t>
      </w:r>
    </w:p>
    <w:p w:rsidR="00547097" w:rsidRPr="007C35B3" w:rsidRDefault="00547097" w:rsidP="00547097">
      <w:pPr>
        <w:pStyle w:val="HChG"/>
        <w:rPr>
          <w:lang w:eastAsia="ko-KR"/>
        </w:rPr>
      </w:pPr>
      <w:r>
        <w:tab/>
      </w:r>
      <w:r>
        <w:tab/>
      </w:r>
      <w:r w:rsidRPr="005D149F">
        <w:t>Proposal</w:t>
      </w:r>
      <w:r w:rsidRPr="007C35B3">
        <w:rPr>
          <w:lang w:eastAsia="ko-KR"/>
        </w:rPr>
        <w:t xml:space="preserve"> </w:t>
      </w:r>
    </w:p>
    <w:p w:rsidR="00547097" w:rsidRDefault="00547097" w:rsidP="00547097">
      <w:pPr>
        <w:pStyle w:val="SingleTxtG"/>
        <w:rPr>
          <w:lang w:eastAsia="ko-KR"/>
        </w:rPr>
      </w:pPr>
      <w:r>
        <w:rPr>
          <w:lang w:eastAsia="ko-KR"/>
        </w:rPr>
        <w:t>Do not change the entries for UN2248 and UN2357.</w:t>
      </w:r>
    </w:p>
    <w:p w:rsidR="00547097" w:rsidRDefault="00547097" w:rsidP="00547097">
      <w:pPr>
        <w:pStyle w:val="HChG"/>
        <w:rPr>
          <w:lang w:eastAsia="ko-KR"/>
        </w:rPr>
      </w:pPr>
      <w:r>
        <w:rPr>
          <w:lang w:eastAsia="ko-KR"/>
        </w:rPr>
        <w:lastRenderedPageBreak/>
        <w:t>Annex</w:t>
      </w:r>
    </w:p>
    <w:p w:rsidR="00547097" w:rsidRPr="001F544D" w:rsidRDefault="00547097" w:rsidP="00547097">
      <w:pPr>
        <w:pStyle w:val="HChG"/>
      </w:pPr>
      <w:r>
        <w:tab/>
      </w:r>
      <w:r>
        <w:tab/>
      </w:r>
      <w:proofErr w:type="spellStart"/>
      <w:r w:rsidRPr="001F544D">
        <w:t>Dibutylamine</w:t>
      </w:r>
      <w:proofErr w:type="spellEnd"/>
      <w:r w:rsidRPr="001F544D">
        <w:t xml:space="preserve"> - CAS number: 111-92-2</w:t>
      </w:r>
      <w:r>
        <w:t xml:space="preserve"> – UN2248</w:t>
      </w:r>
    </w:p>
    <w:p w:rsidR="00547097" w:rsidRPr="001F544D" w:rsidRDefault="00547097" w:rsidP="00547097">
      <w:pPr>
        <w:pStyle w:val="HChG"/>
      </w:pPr>
      <w:r>
        <w:tab/>
      </w:r>
      <w:r>
        <w:tab/>
      </w:r>
      <w:r w:rsidRPr="001F544D">
        <w:t>Health hazards</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Acute toxicity - oral</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 xml:space="preserve">Hazard category: Acute </w:t>
      </w:r>
      <w:proofErr w:type="spellStart"/>
      <w:r w:rsidRPr="001F544D">
        <w:rPr>
          <w:lang w:eastAsia="ko-KR"/>
        </w:rPr>
        <w:t>Tox</w:t>
      </w:r>
      <w:proofErr w:type="spellEnd"/>
      <w:r w:rsidRPr="001F544D">
        <w:rPr>
          <w:lang w:eastAsia="ko-KR"/>
        </w:rPr>
        <w:t>. 4</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Hazard statement: H302: Harmful if swallowed.</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Acute toxicity - dermal</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 xml:space="preserve">Hazard category: Acute </w:t>
      </w:r>
      <w:proofErr w:type="spellStart"/>
      <w:r w:rsidRPr="001F544D">
        <w:rPr>
          <w:lang w:eastAsia="ko-KR"/>
        </w:rPr>
        <w:t>Tox</w:t>
      </w:r>
      <w:proofErr w:type="spellEnd"/>
      <w:r w:rsidRPr="001F544D">
        <w:rPr>
          <w:lang w:eastAsia="ko-KR"/>
        </w:rPr>
        <w:t>. 4</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Hazard statement: H312: Harmful in contact with skin.</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Acute toxicity - inhalation</w:t>
      </w:r>
    </w:p>
    <w:p w:rsidR="00547097" w:rsidRDefault="00547097" w:rsidP="00547097">
      <w:pPr>
        <w:suppressAutoHyphens w:val="0"/>
        <w:autoSpaceDE w:val="0"/>
        <w:autoSpaceDN w:val="0"/>
        <w:adjustRightInd w:val="0"/>
        <w:spacing w:line="240" w:lineRule="auto"/>
        <w:ind w:left="1701"/>
        <w:rPr>
          <w:lang w:eastAsia="ko-KR"/>
        </w:rPr>
      </w:pPr>
      <w:r w:rsidRPr="001F544D">
        <w:rPr>
          <w:lang w:eastAsia="ko-KR"/>
        </w:rPr>
        <w:t xml:space="preserve">Hazard category: Acute </w:t>
      </w:r>
      <w:proofErr w:type="spellStart"/>
      <w:r w:rsidRPr="001F544D">
        <w:rPr>
          <w:lang w:eastAsia="ko-KR"/>
        </w:rPr>
        <w:t>Tox</w:t>
      </w:r>
      <w:proofErr w:type="spellEnd"/>
      <w:r w:rsidRPr="001F544D">
        <w:rPr>
          <w:lang w:eastAsia="ko-KR"/>
        </w:rPr>
        <w:t>. 4</w:t>
      </w:r>
    </w:p>
    <w:p w:rsidR="00547097" w:rsidRDefault="00547097" w:rsidP="00547097">
      <w:pPr>
        <w:suppressAutoHyphens w:val="0"/>
        <w:autoSpaceDE w:val="0"/>
        <w:autoSpaceDN w:val="0"/>
        <w:adjustRightInd w:val="0"/>
        <w:spacing w:line="240" w:lineRule="auto"/>
        <w:ind w:left="1701"/>
        <w:rPr>
          <w:lang w:eastAsia="ko-KR"/>
        </w:rPr>
      </w:pPr>
      <w:r w:rsidRPr="001F544D">
        <w:rPr>
          <w:lang w:eastAsia="ko-KR"/>
        </w:rPr>
        <w:t>Hazard statement: H332: Harmful if inhaled.</w:t>
      </w:r>
    </w:p>
    <w:p w:rsidR="00547097" w:rsidRDefault="00547097" w:rsidP="00547097">
      <w:pPr>
        <w:pStyle w:val="HChG"/>
      </w:pPr>
      <w:r>
        <w:tab/>
      </w:r>
      <w:r>
        <w:tab/>
      </w:r>
      <w:proofErr w:type="spellStart"/>
      <w:r w:rsidRPr="001F544D">
        <w:t>Cyclohexyldimethylamine</w:t>
      </w:r>
      <w:proofErr w:type="spellEnd"/>
      <w:r w:rsidRPr="001F544D">
        <w:t xml:space="preserve"> - CAS number: 98-94-2</w:t>
      </w:r>
      <w:r>
        <w:t xml:space="preserve"> – UN2264</w:t>
      </w:r>
    </w:p>
    <w:p w:rsidR="00547097" w:rsidRDefault="00547097" w:rsidP="00547097">
      <w:pPr>
        <w:pStyle w:val="HChG"/>
      </w:pPr>
      <w:r>
        <w:tab/>
      </w:r>
      <w:r>
        <w:tab/>
      </w:r>
      <w:r w:rsidRPr="001F544D">
        <w:t>Health hazards</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Acute toxicity - oral</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 xml:space="preserve">Hazard category: Acute </w:t>
      </w:r>
      <w:proofErr w:type="spellStart"/>
      <w:r w:rsidRPr="001F544D">
        <w:rPr>
          <w:lang w:eastAsia="ko-KR"/>
        </w:rPr>
        <w:t>Tox</w:t>
      </w:r>
      <w:proofErr w:type="spellEnd"/>
      <w:r w:rsidRPr="001F544D">
        <w:rPr>
          <w:lang w:eastAsia="ko-KR"/>
        </w:rPr>
        <w:t>. 3</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Hazard statement: H301: Toxic if swallowed.</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Acute toxicity - dermal</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 xml:space="preserve">Hazard category: Acute </w:t>
      </w:r>
      <w:proofErr w:type="spellStart"/>
      <w:r w:rsidRPr="001F544D">
        <w:rPr>
          <w:lang w:eastAsia="ko-KR"/>
        </w:rPr>
        <w:t>Tox</w:t>
      </w:r>
      <w:proofErr w:type="spellEnd"/>
      <w:r w:rsidRPr="001F544D">
        <w:rPr>
          <w:lang w:eastAsia="ko-KR"/>
        </w:rPr>
        <w:t>. 3</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Hazard statement: H311: Toxic in contact with skin.</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Acute toxicity - inhalation</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 xml:space="preserve">Hazard category: Acute </w:t>
      </w:r>
      <w:proofErr w:type="spellStart"/>
      <w:r w:rsidRPr="001F544D">
        <w:rPr>
          <w:lang w:eastAsia="ko-KR"/>
        </w:rPr>
        <w:t>Tox</w:t>
      </w:r>
      <w:proofErr w:type="spellEnd"/>
      <w:r w:rsidRPr="001F544D">
        <w:rPr>
          <w:lang w:eastAsia="ko-KR"/>
        </w:rPr>
        <w:t>. 3</w:t>
      </w:r>
    </w:p>
    <w:p w:rsidR="00547097" w:rsidRDefault="00547097" w:rsidP="00547097">
      <w:pPr>
        <w:suppressAutoHyphens w:val="0"/>
        <w:autoSpaceDE w:val="0"/>
        <w:autoSpaceDN w:val="0"/>
        <w:adjustRightInd w:val="0"/>
        <w:spacing w:line="240" w:lineRule="auto"/>
        <w:ind w:left="1134" w:firstLine="567"/>
        <w:rPr>
          <w:lang w:eastAsia="ko-KR"/>
        </w:rPr>
      </w:pPr>
      <w:r w:rsidRPr="001F544D">
        <w:rPr>
          <w:lang w:eastAsia="ko-KR"/>
        </w:rPr>
        <w:t>Hazard statement: H331: Toxic if inhaled.</w:t>
      </w:r>
    </w:p>
    <w:p w:rsidR="00547097" w:rsidRDefault="00547097" w:rsidP="00547097">
      <w:pPr>
        <w:pStyle w:val="HChG"/>
      </w:pPr>
      <w:r>
        <w:tab/>
      </w:r>
      <w:r>
        <w:tab/>
      </w:r>
      <w:proofErr w:type="spellStart"/>
      <w:r w:rsidRPr="001F544D">
        <w:t>Cyclohexylamine</w:t>
      </w:r>
      <w:proofErr w:type="spellEnd"/>
      <w:r w:rsidRPr="001F544D">
        <w:t xml:space="preserve"> - CAS number: 108-91-8</w:t>
      </w:r>
      <w:r>
        <w:t xml:space="preserve"> – UN2357</w:t>
      </w:r>
    </w:p>
    <w:p w:rsidR="00547097" w:rsidRPr="00547097" w:rsidRDefault="00547097" w:rsidP="00547097">
      <w:pPr>
        <w:pStyle w:val="HChG"/>
      </w:pPr>
      <w:r>
        <w:tab/>
      </w:r>
      <w:r>
        <w:tab/>
      </w:r>
      <w:r w:rsidRPr="001F544D">
        <w:t>Health hazards</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Acute toxicity - oral</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 xml:space="preserve">Hazard category: Acute </w:t>
      </w:r>
      <w:proofErr w:type="spellStart"/>
      <w:r w:rsidRPr="001F544D">
        <w:rPr>
          <w:lang w:eastAsia="ko-KR"/>
        </w:rPr>
        <w:t>Tox</w:t>
      </w:r>
      <w:proofErr w:type="spellEnd"/>
      <w:r w:rsidRPr="001F544D">
        <w:rPr>
          <w:lang w:eastAsia="ko-KR"/>
        </w:rPr>
        <w:t>. 4</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Hazard statement: H302: Harmful if swallowed.</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Acute toxicity - dermal</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 xml:space="preserve">Hazard category: Acute </w:t>
      </w:r>
      <w:proofErr w:type="spellStart"/>
      <w:r w:rsidRPr="001F544D">
        <w:rPr>
          <w:lang w:eastAsia="ko-KR"/>
        </w:rPr>
        <w:t>Tox</w:t>
      </w:r>
      <w:proofErr w:type="spellEnd"/>
      <w:r w:rsidRPr="001F544D">
        <w:rPr>
          <w:lang w:eastAsia="ko-KR"/>
        </w:rPr>
        <w:t>. 4</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Hazard statement: H312: Harmful in contact with skin.</w:t>
      </w:r>
    </w:p>
    <w:p w:rsidR="00547097" w:rsidRPr="001F544D" w:rsidRDefault="00547097" w:rsidP="00547097">
      <w:pPr>
        <w:suppressAutoHyphens w:val="0"/>
        <w:autoSpaceDE w:val="0"/>
        <w:autoSpaceDN w:val="0"/>
        <w:adjustRightInd w:val="0"/>
        <w:spacing w:line="240" w:lineRule="auto"/>
        <w:ind w:left="1701"/>
        <w:rPr>
          <w:lang w:eastAsia="ko-KR"/>
        </w:rPr>
      </w:pPr>
      <w:r w:rsidRPr="001F544D">
        <w:rPr>
          <w:lang w:eastAsia="ko-KR"/>
        </w:rPr>
        <w:t>Acute toxicity - inhalation</w:t>
      </w:r>
    </w:p>
    <w:p w:rsidR="00547097" w:rsidRDefault="00547097" w:rsidP="00547097">
      <w:pPr>
        <w:suppressAutoHyphens w:val="0"/>
        <w:autoSpaceDE w:val="0"/>
        <w:autoSpaceDN w:val="0"/>
        <w:adjustRightInd w:val="0"/>
        <w:spacing w:line="240" w:lineRule="auto"/>
        <w:ind w:left="1134" w:firstLine="567"/>
        <w:rPr>
          <w:lang w:eastAsia="ko-KR"/>
        </w:rPr>
      </w:pPr>
      <w:r w:rsidRPr="001F544D">
        <w:rPr>
          <w:lang w:eastAsia="ko-KR"/>
        </w:rPr>
        <w:t>Reason for no classification: conclusive but not sufficient for classification</w:t>
      </w:r>
    </w:p>
    <w:p w:rsidR="00547097" w:rsidRPr="00547097" w:rsidRDefault="00547097" w:rsidP="00547097">
      <w:pPr>
        <w:spacing w:before="240"/>
        <w:ind w:left="1134" w:right="1134"/>
        <w:jc w:val="center"/>
        <w:rPr>
          <w:u w:val="single"/>
          <w:lang w:eastAsia="ko-KR"/>
        </w:rPr>
      </w:pPr>
      <w:r>
        <w:rPr>
          <w:u w:val="single"/>
          <w:lang w:eastAsia="ko-KR"/>
        </w:rPr>
        <w:tab/>
      </w:r>
      <w:r>
        <w:rPr>
          <w:u w:val="single"/>
          <w:lang w:eastAsia="ko-KR"/>
        </w:rPr>
        <w:tab/>
      </w:r>
      <w:r>
        <w:rPr>
          <w:u w:val="single"/>
          <w:lang w:eastAsia="ko-KR"/>
        </w:rPr>
        <w:tab/>
      </w:r>
    </w:p>
    <w:p w:rsidR="00547097" w:rsidRDefault="00547097" w:rsidP="00547097">
      <w:pPr>
        <w:rPr>
          <w:lang w:eastAsia="ko-KR"/>
        </w:rPr>
      </w:pPr>
    </w:p>
    <w:p w:rsidR="00547097" w:rsidRDefault="00547097" w:rsidP="00547097">
      <w:pPr>
        <w:rPr>
          <w:lang w:eastAsia="ko-KR"/>
        </w:rPr>
      </w:pPr>
    </w:p>
    <w:p w:rsidR="00547097" w:rsidRPr="00547097" w:rsidRDefault="00547097" w:rsidP="00547097">
      <w:pPr>
        <w:rPr>
          <w:lang w:eastAsia="ko-KR"/>
        </w:rPr>
      </w:pPr>
    </w:p>
    <w:p w:rsidR="00774EDA" w:rsidRPr="00F37863" w:rsidRDefault="00774EDA" w:rsidP="00547097">
      <w:pPr>
        <w:pStyle w:val="SingleTxtG"/>
      </w:pPr>
    </w:p>
    <w:sectPr w:rsidR="00774EDA" w:rsidRPr="00F37863" w:rsidSect="00200662">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42" w:rsidRDefault="00D83742"/>
  </w:endnote>
  <w:endnote w:type="continuationSeparator" w:id="0">
    <w:p w:rsidR="00D83742" w:rsidRDefault="00D83742"/>
  </w:endnote>
  <w:endnote w:type="continuationNotice" w:id="1">
    <w:p w:rsidR="00D83742" w:rsidRDefault="00D83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2264E0" w:rsidRDefault="0037370B">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F8738E">
      <w:rPr>
        <w:b/>
        <w:noProof/>
        <w:sz w:val="18"/>
      </w:rPr>
      <w:t>2</w:t>
    </w:r>
    <w:r w:rsidRPr="002264E0">
      <w:rPr>
        <w:b/>
        <w:noProof/>
        <w:sz w:val="18"/>
      </w:rPr>
      <w:fldChar w:fldCharType="end"/>
    </w:r>
  </w:p>
  <w:p w:rsidR="0037370B" w:rsidRPr="0005570C" w:rsidRDefault="0037370B"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7370B"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547097">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42" w:rsidRPr="000B175B" w:rsidRDefault="00D83742" w:rsidP="000B175B">
      <w:pPr>
        <w:tabs>
          <w:tab w:val="right" w:pos="2155"/>
        </w:tabs>
        <w:spacing w:after="80"/>
        <w:ind w:left="680"/>
        <w:rPr>
          <w:u w:val="single"/>
        </w:rPr>
      </w:pPr>
      <w:r>
        <w:rPr>
          <w:u w:val="single"/>
        </w:rPr>
        <w:tab/>
      </w:r>
    </w:p>
  </w:footnote>
  <w:footnote w:type="continuationSeparator" w:id="0">
    <w:p w:rsidR="00D83742" w:rsidRPr="00FC68B7" w:rsidRDefault="00D83742" w:rsidP="00FC68B7">
      <w:pPr>
        <w:tabs>
          <w:tab w:val="left" w:pos="2155"/>
        </w:tabs>
        <w:spacing w:after="80"/>
        <w:ind w:left="680"/>
        <w:rPr>
          <w:u w:val="single"/>
        </w:rPr>
      </w:pPr>
      <w:r>
        <w:rPr>
          <w:u w:val="single"/>
        </w:rPr>
        <w:tab/>
      </w:r>
    </w:p>
  </w:footnote>
  <w:footnote w:type="continuationNotice" w:id="1">
    <w:p w:rsidR="00D83742" w:rsidRDefault="00D837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B3" w:rsidRPr="00F54DDA" w:rsidRDefault="0037370B" w:rsidP="00F54DDA">
    <w:pPr>
      <w:pStyle w:val="Header"/>
      <w:rPr>
        <w:noProof/>
      </w:rPr>
    </w:pPr>
    <w:r w:rsidRPr="00F54DDA">
      <w:rPr>
        <w:noProof/>
      </w:rPr>
      <w:t>UN/SCETDG/</w:t>
    </w:r>
    <w:r w:rsidR="000575B3">
      <w:rPr>
        <w:noProof/>
      </w:rPr>
      <w:t>50</w:t>
    </w:r>
    <w:r>
      <w:rPr>
        <w:noProof/>
      </w:rPr>
      <w:t>/INF.</w:t>
    </w:r>
    <w:r w:rsidR="00F37863">
      <w:rPr>
        <w:noProof/>
      </w:rPr>
      <w:t>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0B" w:rsidRPr="0005570C" w:rsidRDefault="003A300E" w:rsidP="0005570C">
    <w:pPr>
      <w:pStyle w:val="Header"/>
      <w:jc w:val="right"/>
    </w:pPr>
    <w:r>
      <w:t>UN/SCETDG/50</w:t>
    </w:r>
    <w:r w:rsidR="0037370B" w:rsidRPr="00F54DDA">
      <w:t>/INF.</w:t>
    </w:r>
    <w:r w:rsidR="00774EDA">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3">
    <w:nsid w:val="03296123"/>
    <w:multiLevelType w:val="hybridMultilevel"/>
    <w:tmpl w:val="883611DE"/>
    <w:lvl w:ilvl="0" w:tplc="4CA273EE">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AC408D2"/>
    <w:multiLevelType w:val="hybridMultilevel"/>
    <w:tmpl w:val="9184E406"/>
    <w:lvl w:ilvl="0" w:tplc="5050777A">
      <w:start w:val="1"/>
      <w:numFmt w:val="decimal"/>
      <w:lvlText w:val="%1."/>
      <w:lvlJc w:val="left"/>
      <w:pPr>
        <w:ind w:left="1689" w:hanging="555"/>
      </w:pPr>
      <w:rPr>
        <w:rFonts w:hint="default"/>
      </w:rPr>
    </w:lvl>
    <w:lvl w:ilvl="1" w:tplc="0A001B32">
      <w:start w:val="1"/>
      <w:numFmt w:val="lowerLetter"/>
      <w:lvlText w:val="(%2)"/>
      <w:lvlJc w:val="left"/>
      <w:pPr>
        <w:ind w:left="2214" w:hanging="360"/>
      </w:pPr>
      <w:rPr>
        <w:rFonts w:hint="default"/>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1">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2">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37">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711C1B4C"/>
    <w:multiLevelType w:val="hybridMultilevel"/>
    <w:tmpl w:val="E6A4C5F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9">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735F448C"/>
    <w:multiLevelType w:val="hybridMultilevel"/>
    <w:tmpl w:val="423A252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2">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nsid w:val="7D993563"/>
    <w:multiLevelType w:val="hybridMultilevel"/>
    <w:tmpl w:val="379A7C00"/>
    <w:lvl w:ilvl="0" w:tplc="75500F0E">
      <w:start w:val="1"/>
      <w:numFmt w:val="decimal"/>
      <w:lvlText w:val="%1."/>
      <w:lvlJc w:val="left"/>
      <w:pPr>
        <w:ind w:left="3337"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4">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1"/>
  </w:num>
  <w:num w:numId="14">
    <w:abstractNumId w:val="35"/>
  </w:num>
  <w:num w:numId="15">
    <w:abstractNumId w:val="17"/>
  </w:num>
  <w:num w:numId="16">
    <w:abstractNumId w:val="14"/>
  </w:num>
  <w:num w:numId="17">
    <w:abstractNumId w:val="41"/>
  </w:num>
  <w:num w:numId="18">
    <w:abstractNumId w:val="24"/>
  </w:num>
  <w:num w:numId="19">
    <w:abstractNumId w:val="15"/>
  </w:num>
  <w:num w:numId="20">
    <w:abstractNumId w:val="28"/>
  </w:num>
  <w:num w:numId="21">
    <w:abstractNumId w:val="18"/>
  </w:num>
  <w:num w:numId="22">
    <w:abstractNumId w:val="32"/>
  </w:num>
  <w:num w:numId="23">
    <w:abstractNumId w:val="44"/>
  </w:num>
  <w:num w:numId="24">
    <w:abstractNumId w:val="34"/>
  </w:num>
  <w:num w:numId="25">
    <w:abstractNumId w:val="40"/>
  </w:num>
  <w:num w:numId="26">
    <w:abstractNumId w:val="33"/>
  </w:num>
  <w:num w:numId="27">
    <w:abstractNumId w:val="21"/>
  </w:num>
  <w:num w:numId="28">
    <w:abstractNumId w:val="39"/>
  </w:num>
  <w:num w:numId="29">
    <w:abstractNumId w:val="42"/>
  </w:num>
  <w:num w:numId="30">
    <w:abstractNumId w:val="10"/>
  </w:num>
  <w:num w:numId="31">
    <w:abstractNumId w:val="19"/>
  </w:num>
  <w:num w:numId="32">
    <w:abstractNumId w:val="26"/>
  </w:num>
  <w:num w:numId="33">
    <w:abstractNumId w:val="30"/>
  </w:num>
  <w:num w:numId="34">
    <w:abstractNumId w:val="27"/>
  </w:num>
  <w:num w:numId="35">
    <w:abstractNumId w:val="31"/>
  </w:num>
  <w:num w:numId="36">
    <w:abstractNumId w:val="23"/>
  </w:num>
  <w:num w:numId="37">
    <w:abstractNumId w:val="37"/>
  </w:num>
  <w:num w:numId="38">
    <w:abstractNumId w:val="25"/>
  </w:num>
  <w:num w:numId="39">
    <w:abstractNumId w:val="16"/>
  </w:num>
  <w:num w:numId="40">
    <w:abstractNumId w:val="12"/>
  </w:num>
  <w:num w:numId="41">
    <w:abstractNumId w:val="38"/>
  </w:num>
  <w:num w:numId="42">
    <w:abstractNumId w:val="36"/>
  </w:num>
  <w:num w:numId="43">
    <w:abstractNumId w:val="13"/>
  </w:num>
  <w:num w:numId="44">
    <w:abstractNumId w:val="43"/>
  </w:num>
  <w:num w:numId="45">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6600"/>
    <w:rsid w:val="000102A0"/>
    <w:rsid w:val="000105B7"/>
    <w:rsid w:val="00010DB3"/>
    <w:rsid w:val="000148F3"/>
    <w:rsid w:val="00015A1E"/>
    <w:rsid w:val="00025A66"/>
    <w:rsid w:val="0003260B"/>
    <w:rsid w:val="00044167"/>
    <w:rsid w:val="00050F6B"/>
    <w:rsid w:val="0005111B"/>
    <w:rsid w:val="0005570C"/>
    <w:rsid w:val="000575B3"/>
    <w:rsid w:val="00064F24"/>
    <w:rsid w:val="000669D9"/>
    <w:rsid w:val="00067C1A"/>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C1680"/>
    <w:rsid w:val="000C6C2B"/>
    <w:rsid w:val="000D43C8"/>
    <w:rsid w:val="000E0415"/>
    <w:rsid w:val="000E572A"/>
    <w:rsid w:val="000E66E3"/>
    <w:rsid w:val="000E73E3"/>
    <w:rsid w:val="000F142C"/>
    <w:rsid w:val="000F143A"/>
    <w:rsid w:val="000F5FF7"/>
    <w:rsid w:val="0010134F"/>
    <w:rsid w:val="001017E2"/>
    <w:rsid w:val="00103C0E"/>
    <w:rsid w:val="001060EA"/>
    <w:rsid w:val="001131C6"/>
    <w:rsid w:val="00117787"/>
    <w:rsid w:val="00120F5D"/>
    <w:rsid w:val="00125775"/>
    <w:rsid w:val="001266BA"/>
    <w:rsid w:val="00131D42"/>
    <w:rsid w:val="00144FC4"/>
    <w:rsid w:val="001468A4"/>
    <w:rsid w:val="00153EEE"/>
    <w:rsid w:val="0016063F"/>
    <w:rsid w:val="001633FB"/>
    <w:rsid w:val="00166B07"/>
    <w:rsid w:val="00170630"/>
    <w:rsid w:val="00177434"/>
    <w:rsid w:val="00182A05"/>
    <w:rsid w:val="00187869"/>
    <w:rsid w:val="00191BE2"/>
    <w:rsid w:val="001967AB"/>
    <w:rsid w:val="001A6691"/>
    <w:rsid w:val="001B0DDE"/>
    <w:rsid w:val="001B4B04"/>
    <w:rsid w:val="001B574E"/>
    <w:rsid w:val="001C6663"/>
    <w:rsid w:val="001C7895"/>
    <w:rsid w:val="001D0C12"/>
    <w:rsid w:val="001D26DF"/>
    <w:rsid w:val="001D2FDC"/>
    <w:rsid w:val="001D2FE8"/>
    <w:rsid w:val="001D3D6D"/>
    <w:rsid w:val="001F1227"/>
    <w:rsid w:val="001F57B4"/>
    <w:rsid w:val="00200662"/>
    <w:rsid w:val="00201CC1"/>
    <w:rsid w:val="00206EA3"/>
    <w:rsid w:val="002102C4"/>
    <w:rsid w:val="00211CD6"/>
    <w:rsid w:val="00211E0B"/>
    <w:rsid w:val="00217951"/>
    <w:rsid w:val="00223C37"/>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83EA6"/>
    <w:rsid w:val="002900D0"/>
    <w:rsid w:val="00291A70"/>
    <w:rsid w:val="002A2560"/>
    <w:rsid w:val="002A4632"/>
    <w:rsid w:val="002A6A96"/>
    <w:rsid w:val="002A7532"/>
    <w:rsid w:val="002B1CDA"/>
    <w:rsid w:val="002B2EA7"/>
    <w:rsid w:val="002B521D"/>
    <w:rsid w:val="002B79CF"/>
    <w:rsid w:val="002B7D6F"/>
    <w:rsid w:val="002C1A3E"/>
    <w:rsid w:val="002C54A4"/>
    <w:rsid w:val="002C5EAE"/>
    <w:rsid w:val="002C7649"/>
    <w:rsid w:val="002D7530"/>
    <w:rsid w:val="002E0239"/>
    <w:rsid w:val="002E7C35"/>
    <w:rsid w:val="002F0918"/>
    <w:rsid w:val="002F279C"/>
    <w:rsid w:val="00302963"/>
    <w:rsid w:val="00303816"/>
    <w:rsid w:val="003107FA"/>
    <w:rsid w:val="003155C4"/>
    <w:rsid w:val="00316C13"/>
    <w:rsid w:val="00320A76"/>
    <w:rsid w:val="00321714"/>
    <w:rsid w:val="003229D8"/>
    <w:rsid w:val="00322F52"/>
    <w:rsid w:val="003311AD"/>
    <w:rsid w:val="003323B3"/>
    <w:rsid w:val="00333732"/>
    <w:rsid w:val="003369AD"/>
    <w:rsid w:val="00341AF2"/>
    <w:rsid w:val="003424EB"/>
    <w:rsid w:val="0034522A"/>
    <w:rsid w:val="00347184"/>
    <w:rsid w:val="00366CB1"/>
    <w:rsid w:val="0037024C"/>
    <w:rsid w:val="00372BDC"/>
    <w:rsid w:val="0037370B"/>
    <w:rsid w:val="00373815"/>
    <w:rsid w:val="00374032"/>
    <w:rsid w:val="00374763"/>
    <w:rsid w:val="00377D8B"/>
    <w:rsid w:val="00381262"/>
    <w:rsid w:val="00384416"/>
    <w:rsid w:val="0039277A"/>
    <w:rsid w:val="00392C6B"/>
    <w:rsid w:val="003972E0"/>
    <w:rsid w:val="003A0C4A"/>
    <w:rsid w:val="003A300E"/>
    <w:rsid w:val="003B4359"/>
    <w:rsid w:val="003B47CC"/>
    <w:rsid w:val="003C2CC4"/>
    <w:rsid w:val="003C36C3"/>
    <w:rsid w:val="003D391B"/>
    <w:rsid w:val="003D4B23"/>
    <w:rsid w:val="003E1C5A"/>
    <w:rsid w:val="003E3B1F"/>
    <w:rsid w:val="003E4290"/>
    <w:rsid w:val="003E5413"/>
    <w:rsid w:val="003F0697"/>
    <w:rsid w:val="003F3F40"/>
    <w:rsid w:val="003F40C8"/>
    <w:rsid w:val="0040291E"/>
    <w:rsid w:val="004179D7"/>
    <w:rsid w:val="0042033A"/>
    <w:rsid w:val="004325CB"/>
    <w:rsid w:val="00437F3F"/>
    <w:rsid w:val="0044017E"/>
    <w:rsid w:val="0044679E"/>
    <w:rsid w:val="00446C28"/>
    <w:rsid w:val="00446DE4"/>
    <w:rsid w:val="004479B5"/>
    <w:rsid w:val="00451CCB"/>
    <w:rsid w:val="004522E0"/>
    <w:rsid w:val="00461AAE"/>
    <w:rsid w:val="00464C2B"/>
    <w:rsid w:val="0047319B"/>
    <w:rsid w:val="004735FB"/>
    <w:rsid w:val="00475444"/>
    <w:rsid w:val="00477607"/>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E46E7"/>
    <w:rsid w:val="004E4DCE"/>
    <w:rsid w:val="00500DCD"/>
    <w:rsid w:val="00512574"/>
    <w:rsid w:val="00515763"/>
    <w:rsid w:val="005206A2"/>
    <w:rsid w:val="00523C8E"/>
    <w:rsid w:val="005248FF"/>
    <w:rsid w:val="00527910"/>
    <w:rsid w:val="00532A62"/>
    <w:rsid w:val="005335B1"/>
    <w:rsid w:val="00534CDC"/>
    <w:rsid w:val="0053515F"/>
    <w:rsid w:val="0053786F"/>
    <w:rsid w:val="005420F2"/>
    <w:rsid w:val="00543B03"/>
    <w:rsid w:val="00547097"/>
    <w:rsid w:val="00551E96"/>
    <w:rsid w:val="00552C5F"/>
    <w:rsid w:val="005553A2"/>
    <w:rsid w:val="005557E8"/>
    <w:rsid w:val="0056298D"/>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D407C"/>
    <w:rsid w:val="005E29AE"/>
    <w:rsid w:val="005E3742"/>
    <w:rsid w:val="005E6C20"/>
    <w:rsid w:val="005E7EA4"/>
    <w:rsid w:val="005F5444"/>
    <w:rsid w:val="005F5FE3"/>
    <w:rsid w:val="006062D4"/>
    <w:rsid w:val="006071AF"/>
    <w:rsid w:val="00611FC4"/>
    <w:rsid w:val="00613E48"/>
    <w:rsid w:val="0061401C"/>
    <w:rsid w:val="006176FB"/>
    <w:rsid w:val="006219D7"/>
    <w:rsid w:val="00630C0F"/>
    <w:rsid w:val="0063330C"/>
    <w:rsid w:val="00633C10"/>
    <w:rsid w:val="0063419C"/>
    <w:rsid w:val="00640B26"/>
    <w:rsid w:val="00641876"/>
    <w:rsid w:val="0064566C"/>
    <w:rsid w:val="00646EBD"/>
    <w:rsid w:val="0064788E"/>
    <w:rsid w:val="00650267"/>
    <w:rsid w:val="00664F8E"/>
    <w:rsid w:val="00671D99"/>
    <w:rsid w:val="00680C4D"/>
    <w:rsid w:val="00682466"/>
    <w:rsid w:val="006835C6"/>
    <w:rsid w:val="0068393D"/>
    <w:rsid w:val="00687A76"/>
    <w:rsid w:val="006A0AE9"/>
    <w:rsid w:val="006A17B4"/>
    <w:rsid w:val="006A5E65"/>
    <w:rsid w:val="006A7392"/>
    <w:rsid w:val="006B31D3"/>
    <w:rsid w:val="006B3590"/>
    <w:rsid w:val="006B7406"/>
    <w:rsid w:val="006B79A2"/>
    <w:rsid w:val="006C0D34"/>
    <w:rsid w:val="006C1C4A"/>
    <w:rsid w:val="006C4DB3"/>
    <w:rsid w:val="006D348F"/>
    <w:rsid w:val="006E21A6"/>
    <w:rsid w:val="006E564B"/>
    <w:rsid w:val="006F1F41"/>
    <w:rsid w:val="00701440"/>
    <w:rsid w:val="007018BB"/>
    <w:rsid w:val="0070682C"/>
    <w:rsid w:val="00707A67"/>
    <w:rsid w:val="00710580"/>
    <w:rsid w:val="0071233A"/>
    <w:rsid w:val="007141DE"/>
    <w:rsid w:val="00716D0F"/>
    <w:rsid w:val="007233A5"/>
    <w:rsid w:val="00725764"/>
    <w:rsid w:val="0072632A"/>
    <w:rsid w:val="007315A6"/>
    <w:rsid w:val="007428A0"/>
    <w:rsid w:val="0075177E"/>
    <w:rsid w:val="00752538"/>
    <w:rsid w:val="00757A17"/>
    <w:rsid w:val="0076711B"/>
    <w:rsid w:val="007726D4"/>
    <w:rsid w:val="00774EDA"/>
    <w:rsid w:val="0077714B"/>
    <w:rsid w:val="00790258"/>
    <w:rsid w:val="00790791"/>
    <w:rsid w:val="007909EA"/>
    <w:rsid w:val="00791C08"/>
    <w:rsid w:val="00795779"/>
    <w:rsid w:val="007965B5"/>
    <w:rsid w:val="007A61CE"/>
    <w:rsid w:val="007B6BA5"/>
    <w:rsid w:val="007B6BE5"/>
    <w:rsid w:val="007C3390"/>
    <w:rsid w:val="007C3416"/>
    <w:rsid w:val="007C3658"/>
    <w:rsid w:val="007C455E"/>
    <w:rsid w:val="007C4F4B"/>
    <w:rsid w:val="007D1E30"/>
    <w:rsid w:val="007D3266"/>
    <w:rsid w:val="007D75E7"/>
    <w:rsid w:val="007E3F55"/>
    <w:rsid w:val="007F3C74"/>
    <w:rsid w:val="007F42B1"/>
    <w:rsid w:val="007F6611"/>
    <w:rsid w:val="008020F0"/>
    <w:rsid w:val="00803636"/>
    <w:rsid w:val="008138E4"/>
    <w:rsid w:val="008175E9"/>
    <w:rsid w:val="00820DBE"/>
    <w:rsid w:val="008242D7"/>
    <w:rsid w:val="00826E4F"/>
    <w:rsid w:val="00831540"/>
    <w:rsid w:val="00832905"/>
    <w:rsid w:val="008337CE"/>
    <w:rsid w:val="00842FAF"/>
    <w:rsid w:val="00844A23"/>
    <w:rsid w:val="008553AE"/>
    <w:rsid w:val="008566E6"/>
    <w:rsid w:val="00857AF0"/>
    <w:rsid w:val="00860372"/>
    <w:rsid w:val="00866EF7"/>
    <w:rsid w:val="008711DE"/>
    <w:rsid w:val="00871FD5"/>
    <w:rsid w:val="00873F69"/>
    <w:rsid w:val="008749E1"/>
    <w:rsid w:val="00875941"/>
    <w:rsid w:val="008900F3"/>
    <w:rsid w:val="0089467C"/>
    <w:rsid w:val="008978A9"/>
    <w:rsid w:val="008979B1"/>
    <w:rsid w:val="008A2C8B"/>
    <w:rsid w:val="008A3F4F"/>
    <w:rsid w:val="008A4A56"/>
    <w:rsid w:val="008A6B25"/>
    <w:rsid w:val="008A6C4F"/>
    <w:rsid w:val="008A7362"/>
    <w:rsid w:val="008B0C07"/>
    <w:rsid w:val="008C0642"/>
    <w:rsid w:val="008D0E8A"/>
    <w:rsid w:val="008D44E2"/>
    <w:rsid w:val="008E0E46"/>
    <w:rsid w:val="008E1D4C"/>
    <w:rsid w:val="008E2AC7"/>
    <w:rsid w:val="008F36A7"/>
    <w:rsid w:val="008F42F2"/>
    <w:rsid w:val="008F6816"/>
    <w:rsid w:val="00900504"/>
    <w:rsid w:val="00905AEA"/>
    <w:rsid w:val="00910E37"/>
    <w:rsid w:val="0091450E"/>
    <w:rsid w:val="00915E24"/>
    <w:rsid w:val="009174F9"/>
    <w:rsid w:val="009178F6"/>
    <w:rsid w:val="00922076"/>
    <w:rsid w:val="00922603"/>
    <w:rsid w:val="00924330"/>
    <w:rsid w:val="00931FC4"/>
    <w:rsid w:val="0093457E"/>
    <w:rsid w:val="00940136"/>
    <w:rsid w:val="00942A14"/>
    <w:rsid w:val="0094369C"/>
    <w:rsid w:val="00945A5D"/>
    <w:rsid w:val="0094761C"/>
    <w:rsid w:val="00947750"/>
    <w:rsid w:val="0095100A"/>
    <w:rsid w:val="009552DA"/>
    <w:rsid w:val="00963CBA"/>
    <w:rsid w:val="00964960"/>
    <w:rsid w:val="00965ACC"/>
    <w:rsid w:val="00970D90"/>
    <w:rsid w:val="0097150D"/>
    <w:rsid w:val="00971B0B"/>
    <w:rsid w:val="00972131"/>
    <w:rsid w:val="009749FE"/>
    <w:rsid w:val="00977813"/>
    <w:rsid w:val="009863A7"/>
    <w:rsid w:val="00986848"/>
    <w:rsid w:val="0099124E"/>
    <w:rsid w:val="00991261"/>
    <w:rsid w:val="00994010"/>
    <w:rsid w:val="00994014"/>
    <w:rsid w:val="009A37C7"/>
    <w:rsid w:val="009B2FB7"/>
    <w:rsid w:val="009B3CC1"/>
    <w:rsid w:val="009B5318"/>
    <w:rsid w:val="009B6F46"/>
    <w:rsid w:val="009C2E92"/>
    <w:rsid w:val="009E2874"/>
    <w:rsid w:val="009E35FF"/>
    <w:rsid w:val="009E49AC"/>
    <w:rsid w:val="009E52D9"/>
    <w:rsid w:val="009E587B"/>
    <w:rsid w:val="00A12267"/>
    <w:rsid w:val="00A1427D"/>
    <w:rsid w:val="00A22354"/>
    <w:rsid w:val="00A22441"/>
    <w:rsid w:val="00A24E0D"/>
    <w:rsid w:val="00A25434"/>
    <w:rsid w:val="00A27584"/>
    <w:rsid w:val="00A30E59"/>
    <w:rsid w:val="00A3317D"/>
    <w:rsid w:val="00A3734E"/>
    <w:rsid w:val="00A40281"/>
    <w:rsid w:val="00A40782"/>
    <w:rsid w:val="00A475B8"/>
    <w:rsid w:val="00A549AB"/>
    <w:rsid w:val="00A6043B"/>
    <w:rsid w:val="00A64ED3"/>
    <w:rsid w:val="00A66610"/>
    <w:rsid w:val="00A679F9"/>
    <w:rsid w:val="00A72F22"/>
    <w:rsid w:val="00A748A6"/>
    <w:rsid w:val="00A7523F"/>
    <w:rsid w:val="00A75EC9"/>
    <w:rsid w:val="00A76B37"/>
    <w:rsid w:val="00A81CD3"/>
    <w:rsid w:val="00A879A4"/>
    <w:rsid w:val="00A92E27"/>
    <w:rsid w:val="00A96AA2"/>
    <w:rsid w:val="00AA022C"/>
    <w:rsid w:val="00AA2DB2"/>
    <w:rsid w:val="00AB390A"/>
    <w:rsid w:val="00AC0EEF"/>
    <w:rsid w:val="00AC3364"/>
    <w:rsid w:val="00AC38F2"/>
    <w:rsid w:val="00AC7451"/>
    <w:rsid w:val="00AD4C3F"/>
    <w:rsid w:val="00AE2BC1"/>
    <w:rsid w:val="00AE313E"/>
    <w:rsid w:val="00AE7E6F"/>
    <w:rsid w:val="00AF1489"/>
    <w:rsid w:val="00AF248C"/>
    <w:rsid w:val="00B02079"/>
    <w:rsid w:val="00B05614"/>
    <w:rsid w:val="00B22878"/>
    <w:rsid w:val="00B2292E"/>
    <w:rsid w:val="00B30179"/>
    <w:rsid w:val="00B32399"/>
    <w:rsid w:val="00B3317B"/>
    <w:rsid w:val="00B34A94"/>
    <w:rsid w:val="00B35770"/>
    <w:rsid w:val="00B45379"/>
    <w:rsid w:val="00B50673"/>
    <w:rsid w:val="00B62799"/>
    <w:rsid w:val="00B65BD4"/>
    <w:rsid w:val="00B7575E"/>
    <w:rsid w:val="00B76D98"/>
    <w:rsid w:val="00B80DD3"/>
    <w:rsid w:val="00B81E12"/>
    <w:rsid w:val="00B8308C"/>
    <w:rsid w:val="00B84410"/>
    <w:rsid w:val="00B90984"/>
    <w:rsid w:val="00B910C6"/>
    <w:rsid w:val="00B929D5"/>
    <w:rsid w:val="00B93068"/>
    <w:rsid w:val="00B96106"/>
    <w:rsid w:val="00BA4AAC"/>
    <w:rsid w:val="00BA611E"/>
    <w:rsid w:val="00BB4C25"/>
    <w:rsid w:val="00BB7D62"/>
    <w:rsid w:val="00BC4804"/>
    <w:rsid w:val="00BC553A"/>
    <w:rsid w:val="00BC5CF4"/>
    <w:rsid w:val="00BC74E9"/>
    <w:rsid w:val="00BD42B2"/>
    <w:rsid w:val="00BD45B3"/>
    <w:rsid w:val="00BE2CF3"/>
    <w:rsid w:val="00BE618E"/>
    <w:rsid w:val="00BE6332"/>
    <w:rsid w:val="00BF2DFE"/>
    <w:rsid w:val="00C14CEE"/>
    <w:rsid w:val="00C17582"/>
    <w:rsid w:val="00C17CC7"/>
    <w:rsid w:val="00C20263"/>
    <w:rsid w:val="00C20E3D"/>
    <w:rsid w:val="00C23226"/>
    <w:rsid w:val="00C248EF"/>
    <w:rsid w:val="00C25D7D"/>
    <w:rsid w:val="00C313F5"/>
    <w:rsid w:val="00C3461F"/>
    <w:rsid w:val="00C3713C"/>
    <w:rsid w:val="00C40BAB"/>
    <w:rsid w:val="00C4186E"/>
    <w:rsid w:val="00C42A18"/>
    <w:rsid w:val="00C435AD"/>
    <w:rsid w:val="00C463DD"/>
    <w:rsid w:val="00C60DCD"/>
    <w:rsid w:val="00C626EA"/>
    <w:rsid w:val="00C62F76"/>
    <w:rsid w:val="00C64CF9"/>
    <w:rsid w:val="00C67F22"/>
    <w:rsid w:val="00C72209"/>
    <w:rsid w:val="00C745C3"/>
    <w:rsid w:val="00C82228"/>
    <w:rsid w:val="00C835F0"/>
    <w:rsid w:val="00CA1406"/>
    <w:rsid w:val="00CA3861"/>
    <w:rsid w:val="00CA5C02"/>
    <w:rsid w:val="00CB3BCA"/>
    <w:rsid w:val="00CB4C9D"/>
    <w:rsid w:val="00CC0D0D"/>
    <w:rsid w:val="00CC0FAD"/>
    <w:rsid w:val="00CC23F0"/>
    <w:rsid w:val="00CD42C3"/>
    <w:rsid w:val="00CD68B3"/>
    <w:rsid w:val="00CE4A8F"/>
    <w:rsid w:val="00CE58B6"/>
    <w:rsid w:val="00CE7E5D"/>
    <w:rsid w:val="00CF16AE"/>
    <w:rsid w:val="00CF2A66"/>
    <w:rsid w:val="00CF6553"/>
    <w:rsid w:val="00CF7C69"/>
    <w:rsid w:val="00CF7FCE"/>
    <w:rsid w:val="00D00E69"/>
    <w:rsid w:val="00D02365"/>
    <w:rsid w:val="00D04934"/>
    <w:rsid w:val="00D0609D"/>
    <w:rsid w:val="00D11828"/>
    <w:rsid w:val="00D2031B"/>
    <w:rsid w:val="00D21548"/>
    <w:rsid w:val="00D2387E"/>
    <w:rsid w:val="00D23B3C"/>
    <w:rsid w:val="00D23E82"/>
    <w:rsid w:val="00D25FE2"/>
    <w:rsid w:val="00D37949"/>
    <w:rsid w:val="00D41471"/>
    <w:rsid w:val="00D42146"/>
    <w:rsid w:val="00D43252"/>
    <w:rsid w:val="00D44EFC"/>
    <w:rsid w:val="00D46F02"/>
    <w:rsid w:val="00D5171D"/>
    <w:rsid w:val="00D625F5"/>
    <w:rsid w:val="00D668CA"/>
    <w:rsid w:val="00D72869"/>
    <w:rsid w:val="00D753D8"/>
    <w:rsid w:val="00D83742"/>
    <w:rsid w:val="00D84DB1"/>
    <w:rsid w:val="00D913E1"/>
    <w:rsid w:val="00D9170E"/>
    <w:rsid w:val="00D95849"/>
    <w:rsid w:val="00D96CC5"/>
    <w:rsid w:val="00D978C6"/>
    <w:rsid w:val="00DA67AD"/>
    <w:rsid w:val="00DB0284"/>
    <w:rsid w:val="00DB2625"/>
    <w:rsid w:val="00DB281B"/>
    <w:rsid w:val="00DC16B9"/>
    <w:rsid w:val="00DC1797"/>
    <w:rsid w:val="00DD3B66"/>
    <w:rsid w:val="00DD70B8"/>
    <w:rsid w:val="00DE19A0"/>
    <w:rsid w:val="00DE4184"/>
    <w:rsid w:val="00DF0081"/>
    <w:rsid w:val="00DF66D6"/>
    <w:rsid w:val="00DF7129"/>
    <w:rsid w:val="00E049CA"/>
    <w:rsid w:val="00E130AB"/>
    <w:rsid w:val="00E154D5"/>
    <w:rsid w:val="00E15862"/>
    <w:rsid w:val="00E21A5F"/>
    <w:rsid w:val="00E24107"/>
    <w:rsid w:val="00E254FC"/>
    <w:rsid w:val="00E26141"/>
    <w:rsid w:val="00E274C0"/>
    <w:rsid w:val="00E2792A"/>
    <w:rsid w:val="00E305E0"/>
    <w:rsid w:val="00E40163"/>
    <w:rsid w:val="00E4194D"/>
    <w:rsid w:val="00E44EEF"/>
    <w:rsid w:val="00E450F1"/>
    <w:rsid w:val="00E45DE2"/>
    <w:rsid w:val="00E46184"/>
    <w:rsid w:val="00E5126A"/>
    <w:rsid w:val="00E5317F"/>
    <w:rsid w:val="00E55314"/>
    <w:rsid w:val="00E5644E"/>
    <w:rsid w:val="00E608A4"/>
    <w:rsid w:val="00E62EE3"/>
    <w:rsid w:val="00E64083"/>
    <w:rsid w:val="00E66AF1"/>
    <w:rsid w:val="00E7260F"/>
    <w:rsid w:val="00E81252"/>
    <w:rsid w:val="00E84EAD"/>
    <w:rsid w:val="00E8535A"/>
    <w:rsid w:val="00E90EE6"/>
    <w:rsid w:val="00E92301"/>
    <w:rsid w:val="00E96630"/>
    <w:rsid w:val="00EA2878"/>
    <w:rsid w:val="00EA7319"/>
    <w:rsid w:val="00EB6541"/>
    <w:rsid w:val="00EB6832"/>
    <w:rsid w:val="00EC1E9D"/>
    <w:rsid w:val="00EC42EA"/>
    <w:rsid w:val="00EC4327"/>
    <w:rsid w:val="00ED4EB3"/>
    <w:rsid w:val="00ED67DB"/>
    <w:rsid w:val="00ED7A2A"/>
    <w:rsid w:val="00EE0CFD"/>
    <w:rsid w:val="00EE18BF"/>
    <w:rsid w:val="00EE32E6"/>
    <w:rsid w:val="00EE4D64"/>
    <w:rsid w:val="00EE6D6E"/>
    <w:rsid w:val="00EE6D6F"/>
    <w:rsid w:val="00EE7FF7"/>
    <w:rsid w:val="00EF1393"/>
    <w:rsid w:val="00EF19B9"/>
    <w:rsid w:val="00EF1D7F"/>
    <w:rsid w:val="00F01117"/>
    <w:rsid w:val="00F01716"/>
    <w:rsid w:val="00F03012"/>
    <w:rsid w:val="00F054AD"/>
    <w:rsid w:val="00F10B6C"/>
    <w:rsid w:val="00F11C1D"/>
    <w:rsid w:val="00F129CC"/>
    <w:rsid w:val="00F14001"/>
    <w:rsid w:val="00F14877"/>
    <w:rsid w:val="00F14936"/>
    <w:rsid w:val="00F200A6"/>
    <w:rsid w:val="00F20922"/>
    <w:rsid w:val="00F24697"/>
    <w:rsid w:val="00F270BF"/>
    <w:rsid w:val="00F37863"/>
    <w:rsid w:val="00F40E75"/>
    <w:rsid w:val="00F416AA"/>
    <w:rsid w:val="00F45C14"/>
    <w:rsid w:val="00F45D1A"/>
    <w:rsid w:val="00F475EB"/>
    <w:rsid w:val="00F51F72"/>
    <w:rsid w:val="00F54674"/>
    <w:rsid w:val="00F54DDA"/>
    <w:rsid w:val="00F61C10"/>
    <w:rsid w:val="00F6331D"/>
    <w:rsid w:val="00F660F2"/>
    <w:rsid w:val="00F72912"/>
    <w:rsid w:val="00F72C4D"/>
    <w:rsid w:val="00F84F17"/>
    <w:rsid w:val="00F85D7A"/>
    <w:rsid w:val="00F8738E"/>
    <w:rsid w:val="00F873E7"/>
    <w:rsid w:val="00F93B34"/>
    <w:rsid w:val="00FA54B1"/>
    <w:rsid w:val="00FB7905"/>
    <w:rsid w:val="00FC68B7"/>
    <w:rsid w:val="00FD6B2B"/>
    <w:rsid w:val="00FE0F41"/>
    <w:rsid w:val="00FE4A81"/>
    <w:rsid w:val="00FE752E"/>
    <w:rsid w:val="00FF03BB"/>
    <w:rsid w:val="00FF053E"/>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uiPriority w:val="1"/>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1"/>
    <w:qFormat/>
    <w:rsid w:val="0056298D"/>
    <w:pPr>
      <w:ind w:left="720"/>
    </w:pPr>
  </w:style>
  <w:style w:type="paragraph" w:customStyle="1" w:styleId="Default">
    <w:name w:val="Default"/>
    <w:rsid w:val="00BD45B3"/>
    <w:pPr>
      <w:autoSpaceDE w:val="0"/>
      <w:autoSpaceDN w:val="0"/>
      <w:adjustRightInd w:val="0"/>
    </w:pPr>
    <w:rPr>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cha.europa.eu/information-on-chemicals/registered-substances"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050A6-F02D-40E6-B1A7-A53CF9F1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2016-11-23T09:13:00Z</cp:lastPrinted>
  <dcterms:created xsi:type="dcterms:W3CDTF">2016-11-23T09:09:00Z</dcterms:created>
  <dcterms:modified xsi:type="dcterms:W3CDTF">2016-11-23T10:26:00Z</dcterms:modified>
</cp:coreProperties>
</file>