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B50A16" w:rsidP="00B50A16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UN/SCETDG/50</w:t>
            </w:r>
            <w:r w:rsidR="00280D2B" w:rsidRPr="005A1F2E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28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5C7C88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7C400E">
              <w:rPr>
                <w:b/>
                <w:sz w:val="18"/>
                <w:szCs w:val="24"/>
              </w:rPr>
              <w:t>17 November 2016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0E32E3" w:rsidP="00F54DDA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 xml:space="preserve">Fiftieth </w:t>
            </w:r>
            <w:r w:rsidR="00280D2B" w:rsidRPr="0045083B">
              <w:rPr>
                <w:b/>
              </w:rPr>
              <w:t>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4A20B0" w:rsidP="00F54DDA">
            <w:pPr>
              <w:spacing w:before="120"/>
              <w:ind w:left="34" w:hanging="34"/>
            </w:pPr>
            <w:r>
              <w:t>Geneva, 28 November–</w:t>
            </w:r>
            <w:r w:rsidR="00B50A16">
              <w:t>6 December 2016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AF0592">
              <w:t>5</w:t>
            </w:r>
            <w:r w:rsidRPr="00F54DDA">
              <w:t xml:space="preserve"> of the provisional agenda</w:t>
            </w:r>
          </w:p>
          <w:p w:rsidR="00280D2B" w:rsidRPr="00280D2B" w:rsidRDefault="00AF0592" w:rsidP="006E51FB">
            <w:pPr>
              <w:ind w:left="34" w:hanging="34"/>
              <w:rPr>
                <w:b/>
              </w:rPr>
            </w:pPr>
            <w:r>
              <w:rPr>
                <w:b/>
              </w:rPr>
              <w:t>Cooperation with the International Atomic Energy Agency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A12267" w:rsidRPr="000C4A22" w:rsidRDefault="005A37A2" w:rsidP="005A37A2">
      <w:pPr>
        <w:pStyle w:val="H1G"/>
      </w:pPr>
      <w:r>
        <w:tab/>
      </w:r>
      <w:r>
        <w:tab/>
      </w:r>
      <w:r w:rsidR="00DB6077" w:rsidRPr="007F7505">
        <w:rPr>
          <w:lang w:eastAsia="fi-FI"/>
        </w:rPr>
        <w:t>Proposals of corrections to the 1</w:t>
      </w:r>
      <w:r w:rsidR="00DB6077">
        <w:rPr>
          <w:lang w:eastAsia="fi-FI"/>
        </w:rPr>
        <w:t>9</w:t>
      </w:r>
      <w:r w:rsidR="00DB6077" w:rsidRPr="007F7505">
        <w:rPr>
          <w:lang w:eastAsia="fi-FI"/>
        </w:rPr>
        <w:t>th revised edition of the Recommendations on the Transport of Dangerous Goods, Model Regulations</w:t>
      </w:r>
    </w:p>
    <w:p w:rsidR="0005111B" w:rsidRPr="0005111B" w:rsidRDefault="00A12267" w:rsidP="005A37A2">
      <w:pPr>
        <w:pStyle w:val="H1G"/>
      </w:pPr>
      <w:r>
        <w:tab/>
      </w:r>
      <w:r>
        <w:tab/>
      </w:r>
      <w:r w:rsidR="00B50A16">
        <w:t>Note by the S</w:t>
      </w:r>
      <w:r w:rsidR="00585DB8">
        <w:t>ecretariat</w:t>
      </w:r>
    </w:p>
    <w:p w:rsidR="00B50A16" w:rsidRDefault="004A20B0" w:rsidP="004A20B0">
      <w:pPr>
        <w:pStyle w:val="SingleTxtG"/>
      </w:pPr>
      <w:proofErr w:type="gramStart"/>
      <w:r>
        <w:t>1.</w:t>
      </w:r>
      <w:r>
        <w:tab/>
      </w:r>
      <w:r w:rsidR="00B50A16">
        <w:t xml:space="preserve">A number of mistakes concerning Class 7 provisions have been brought to the </w:t>
      </w:r>
      <w:r w:rsidR="00B50A16" w:rsidRPr="004A20B0">
        <w:t>attention</w:t>
      </w:r>
      <w:r w:rsidR="00B50A16">
        <w:t xml:space="preserve"> of the Secretariat</w:t>
      </w:r>
      <w:r w:rsidR="00AF0592">
        <w:t xml:space="preserve"> by experts participating in the work of the IAEA Transport Safety Standards Committee (TRANSSC)</w:t>
      </w:r>
      <w:proofErr w:type="gramEnd"/>
      <w:r w:rsidR="00B50A16">
        <w:t>, and the Sub-Committee may wish to consider the following proposed corrections.</w:t>
      </w:r>
    </w:p>
    <w:p w:rsidR="00320A76" w:rsidRPr="00B50A16" w:rsidRDefault="00B50A16" w:rsidP="00EE6ACF">
      <w:pPr>
        <w:pStyle w:val="SingleTxtG"/>
        <w:rPr>
          <w:b/>
          <w:i/>
        </w:rPr>
      </w:pPr>
      <w:r w:rsidRPr="00B50A16">
        <w:rPr>
          <w:b/>
          <w:i/>
        </w:rPr>
        <w:t>C</w:t>
      </w:r>
      <w:r w:rsidR="002D7651">
        <w:rPr>
          <w:b/>
          <w:i/>
        </w:rPr>
        <w:t>la</w:t>
      </w:r>
      <w:r w:rsidRPr="00B50A16">
        <w:rPr>
          <w:b/>
          <w:i/>
        </w:rPr>
        <w:t>ssification as Surface Contaminated Object (SCO)</w:t>
      </w:r>
    </w:p>
    <w:p w:rsidR="005C7C88" w:rsidRDefault="004A20B0" w:rsidP="004A20B0">
      <w:pPr>
        <w:pStyle w:val="SingleTxtG"/>
      </w:pPr>
      <w:r>
        <w:t>2.</w:t>
      </w:r>
      <w:r>
        <w:tab/>
      </w:r>
      <w:r w:rsidR="00B50A16">
        <w:t>For classification as SCO-</w:t>
      </w:r>
      <w:proofErr w:type="gramStart"/>
      <w:r w:rsidR="00B50A16">
        <w:t>I or SCO-II,</w:t>
      </w:r>
      <w:proofErr w:type="gramEnd"/>
      <w:r w:rsidR="00B50A16">
        <w:t xml:space="preserve"> the three conditions of sub-paragraphs (</w:t>
      </w:r>
      <w:proofErr w:type="spellStart"/>
      <w:r w:rsidR="00B50A16">
        <w:t>i</w:t>
      </w:r>
      <w:proofErr w:type="spellEnd"/>
      <w:r w:rsidR="00B50A16">
        <w:t>), (ii) and (iii) of</w:t>
      </w:r>
      <w:r w:rsidR="002D7651">
        <w:t xml:space="preserve"> 2.7.2.3.2 (a) or (b) respectively must be met. Therefore</w:t>
      </w:r>
      <w:r w:rsidR="00AF0592">
        <w:t>,</w:t>
      </w:r>
      <w:r w:rsidR="002D7651">
        <w:t xml:space="preserve"> the conjunction “or” at the end of 2.7.2.3.2(a</w:t>
      </w:r>
      <w:proofErr w:type="gramStart"/>
      <w:r w:rsidR="002D7651">
        <w:t>)(</w:t>
      </w:r>
      <w:proofErr w:type="gramEnd"/>
      <w:r w:rsidR="002D7651">
        <w:t xml:space="preserve">ii) and 2.7.2.3.2(b)(ii) should be replaced by “and”. The mistake is </w:t>
      </w:r>
      <w:proofErr w:type="gramStart"/>
      <w:r w:rsidR="002D7651">
        <w:t>due to the fact that</w:t>
      </w:r>
      <w:proofErr w:type="gramEnd"/>
      <w:r w:rsidR="002D7651">
        <w:t xml:space="preserve"> no conjunction is indicated in the corresponding sub-paragraphs of 413 of SSR-6, which led to uncertainties as to the proper interpretation.</w:t>
      </w:r>
    </w:p>
    <w:p w:rsidR="0040165D" w:rsidRDefault="0040165D" w:rsidP="004A20B0">
      <w:pPr>
        <w:pStyle w:val="SingleTxtG"/>
        <w:rPr>
          <w:b/>
          <w:i/>
        </w:rPr>
      </w:pPr>
      <w:r w:rsidRPr="0040165D">
        <w:rPr>
          <w:b/>
          <w:i/>
        </w:rPr>
        <w:t>Packing Instruction P603</w:t>
      </w:r>
    </w:p>
    <w:p w:rsidR="0040165D" w:rsidRDefault="004A20B0" w:rsidP="004A20B0">
      <w:pPr>
        <w:pStyle w:val="SingleTxtG"/>
      </w:pPr>
      <w:r>
        <w:t>3.</w:t>
      </w:r>
      <w:r>
        <w:tab/>
      </w:r>
      <w:r w:rsidR="0040165D">
        <w:t>In the special packing provision, only the reference to the limits in 2.2.7.2.3.5 are relevant for fissile-excepted material, therefore the words “and 6.4.11.2” should be deleted.</w:t>
      </w:r>
    </w:p>
    <w:p w:rsidR="004C6FCC" w:rsidRDefault="004C6FCC" w:rsidP="004C6FCC">
      <w:pPr>
        <w:pStyle w:val="SingleTxtG"/>
        <w:rPr>
          <w:b/>
          <w:i/>
        </w:rPr>
      </w:pPr>
      <w:r w:rsidRPr="004C6FCC">
        <w:rPr>
          <w:b/>
          <w:i/>
        </w:rPr>
        <w:t>Paragraph 6.4.2.11</w:t>
      </w:r>
    </w:p>
    <w:p w:rsidR="004C6FCC" w:rsidRPr="004C6FCC" w:rsidRDefault="004A20B0" w:rsidP="004A20B0">
      <w:pPr>
        <w:pStyle w:val="SingleTxtG"/>
        <w:rPr>
          <w:b/>
          <w:i/>
        </w:rPr>
      </w:pPr>
      <w:r>
        <w:t>4.</w:t>
      </w:r>
      <w:r>
        <w:tab/>
      </w:r>
      <w:r w:rsidR="004C6FCC">
        <w:t>In paragraph 6.4.2.11, the references to 4.1.9.1.10 and 4.1.9.1.11 should be replaced by references to 4.1.9.1.11 and 4.1.9.1.12 respectively (Refer to SSR-6 paras 617, 527 and 528)</w:t>
      </w:r>
    </w:p>
    <w:p w:rsidR="00736809" w:rsidRDefault="00736809" w:rsidP="004A20B0">
      <w:pPr>
        <w:pStyle w:val="SingleTxtG"/>
        <w:rPr>
          <w:b/>
          <w:i/>
        </w:rPr>
      </w:pPr>
      <w:r w:rsidRPr="00736809">
        <w:rPr>
          <w:b/>
          <w:i/>
        </w:rPr>
        <w:t>Paragraph 6.4.23.19</w:t>
      </w:r>
    </w:p>
    <w:p w:rsidR="00736809" w:rsidRPr="004C6FCC" w:rsidRDefault="004A20B0" w:rsidP="004A20B0">
      <w:pPr>
        <w:pStyle w:val="SingleTxtG"/>
        <w:rPr>
          <w:b/>
          <w:i/>
        </w:rPr>
      </w:pPr>
      <w:r>
        <w:t>5.</w:t>
      </w:r>
      <w:r>
        <w:tab/>
      </w:r>
      <w:r w:rsidR="00736809">
        <w:t>The reference to paragraph 6.4.24.3 at the end should be deleted (Refer to SSR-6 para 824)</w:t>
      </w:r>
    </w:p>
    <w:p w:rsidR="004C6FCC" w:rsidRDefault="004C6FCC" w:rsidP="004C6FCC">
      <w:pPr>
        <w:pStyle w:val="SingleTxtG"/>
        <w:rPr>
          <w:b/>
          <w:i/>
        </w:rPr>
      </w:pPr>
      <w:r w:rsidRPr="004C6FCC">
        <w:rPr>
          <w:b/>
          <w:i/>
        </w:rPr>
        <w:t>Special Provision 325</w:t>
      </w:r>
    </w:p>
    <w:p w:rsidR="004C6FCC" w:rsidRDefault="004A20B0" w:rsidP="004A20B0">
      <w:pPr>
        <w:pStyle w:val="SingleTxtG"/>
      </w:pPr>
      <w:r>
        <w:t>6.</w:t>
      </w:r>
      <w:r>
        <w:tab/>
      </w:r>
      <w:r w:rsidR="004C6FCC">
        <w:t xml:space="preserve">Special Provision 325 </w:t>
      </w:r>
      <w:proofErr w:type="gramStart"/>
      <w:r w:rsidR="004C6FCC">
        <w:t>should be assigned</w:t>
      </w:r>
      <w:proofErr w:type="gramEnd"/>
      <w:r w:rsidR="004C6FCC">
        <w:t xml:space="preserve"> to UN No.2913 to take account of the case where inner surfaces of an object are contaminated by uranium hexafluoride.</w:t>
      </w:r>
    </w:p>
    <w:p w:rsidR="004C6FCC" w:rsidRDefault="004C6FCC" w:rsidP="002959CF">
      <w:pPr>
        <w:pStyle w:val="SingleTxtG"/>
        <w:rPr>
          <w:b/>
          <w:i/>
        </w:rPr>
      </w:pPr>
      <w:r>
        <w:t>S</w:t>
      </w:r>
      <w:r w:rsidRPr="004C6FCC">
        <w:rPr>
          <w:b/>
          <w:i/>
        </w:rPr>
        <w:t>pecial Provision 326</w:t>
      </w:r>
    </w:p>
    <w:p w:rsidR="002959CF" w:rsidRPr="002959CF" w:rsidRDefault="004A20B0" w:rsidP="004A20B0">
      <w:pPr>
        <w:pStyle w:val="SingleTxtG"/>
        <w:rPr>
          <w:b/>
          <w:i/>
        </w:rPr>
      </w:pPr>
      <w:r>
        <w:t>7.</w:t>
      </w:r>
      <w:r>
        <w:tab/>
      </w:r>
      <w:r w:rsidR="002959CF">
        <w:t xml:space="preserve">Special Provision 326 </w:t>
      </w:r>
      <w:proofErr w:type="gramStart"/>
      <w:r w:rsidR="002959CF">
        <w:t>should be assigned</w:t>
      </w:r>
      <w:proofErr w:type="gramEnd"/>
      <w:r w:rsidR="002959CF">
        <w:t xml:space="preserve"> to UN No.3326 to take account of the case where the inner surfaces of an object are contaminated with uranium hexafluoride.</w:t>
      </w:r>
    </w:p>
    <w:p w:rsidR="002959CF" w:rsidRDefault="002959CF" w:rsidP="004A20B0">
      <w:pPr>
        <w:pStyle w:val="SingleTxtG"/>
        <w:rPr>
          <w:b/>
          <w:i/>
        </w:rPr>
      </w:pPr>
      <w:r w:rsidRPr="002959CF">
        <w:rPr>
          <w:b/>
          <w:i/>
        </w:rPr>
        <w:lastRenderedPageBreak/>
        <w:t>Special Provision 336</w:t>
      </w:r>
    </w:p>
    <w:p w:rsidR="002959CF" w:rsidRDefault="004A20B0" w:rsidP="004A20B0">
      <w:pPr>
        <w:pStyle w:val="SingleTxtG"/>
      </w:pPr>
      <w:r>
        <w:t>8.</w:t>
      </w:r>
      <w:r>
        <w:tab/>
      </w:r>
      <w:r w:rsidR="002959CF">
        <w:t xml:space="preserve">Special Provision 336 </w:t>
      </w:r>
      <w:proofErr w:type="gramStart"/>
      <w:r w:rsidR="002959CF">
        <w:t>should not have been assigned</w:t>
      </w:r>
      <w:proofErr w:type="gramEnd"/>
      <w:r w:rsidR="002959CF">
        <w:t xml:space="preserve"> to UN numbers 2913 and 3326 (Surface Contaminated Objects) because it is intended to apply to the carriage of packages of non-combustible solid LSA-II or LSA-III material only.</w:t>
      </w:r>
    </w:p>
    <w:p w:rsidR="002959CF" w:rsidRDefault="002959CF" w:rsidP="004A20B0">
      <w:pPr>
        <w:pStyle w:val="SingleTxtG"/>
        <w:rPr>
          <w:b/>
          <w:i/>
        </w:rPr>
      </w:pPr>
      <w:r w:rsidRPr="002959CF">
        <w:rPr>
          <w:b/>
          <w:i/>
        </w:rPr>
        <w:t>Special provision 368</w:t>
      </w:r>
    </w:p>
    <w:p w:rsidR="002959CF" w:rsidRDefault="004A20B0" w:rsidP="004A20B0">
      <w:pPr>
        <w:pStyle w:val="SingleTxtG"/>
      </w:pPr>
      <w:r>
        <w:t>9.</w:t>
      </w:r>
      <w:r>
        <w:tab/>
      </w:r>
      <w:r w:rsidR="002959CF">
        <w:t xml:space="preserve">Special Provision 368 </w:t>
      </w:r>
      <w:proofErr w:type="gramStart"/>
      <w:r w:rsidR="002959CF">
        <w:t>should have been assigned</w:t>
      </w:r>
      <w:proofErr w:type="gramEnd"/>
      <w:r w:rsidR="002959CF">
        <w:t xml:space="preserve"> to UN No.2908 (</w:t>
      </w:r>
      <w:r w:rsidR="00EF365D">
        <w:t xml:space="preserve">RADIOACTIVE MATERIAL, EXCEPTED PACKAGE-EMPTY PACKAGING) because empty </w:t>
      </w:r>
      <w:proofErr w:type="spellStart"/>
      <w:r w:rsidR="00EF365D">
        <w:t>uncleaned</w:t>
      </w:r>
      <w:proofErr w:type="spellEnd"/>
      <w:r w:rsidR="00EF365D">
        <w:t xml:space="preserve"> </w:t>
      </w:r>
      <w:proofErr w:type="spellStart"/>
      <w:r w:rsidR="00EF365D">
        <w:t>packagings</w:t>
      </w:r>
      <w:proofErr w:type="spellEnd"/>
      <w:r w:rsidR="00EF365D">
        <w:t xml:space="preserve"> containing residues of non-fissile or fissile-excepted uranium hexafluoride should be classified under UN3507 or UN2978 as appropriate</w:t>
      </w:r>
      <w:r w:rsidR="00EE157A">
        <w:t>.</w:t>
      </w:r>
    </w:p>
    <w:p w:rsidR="00EE157A" w:rsidRDefault="00EE157A" w:rsidP="004A20B0">
      <w:pPr>
        <w:pStyle w:val="SingleTxtG"/>
        <w:rPr>
          <w:b/>
          <w:i/>
        </w:rPr>
      </w:pPr>
      <w:r>
        <w:rPr>
          <w:b/>
          <w:i/>
        </w:rPr>
        <w:t>Special Provision 369</w:t>
      </w:r>
    </w:p>
    <w:p w:rsidR="00EE157A" w:rsidRPr="00EE157A" w:rsidRDefault="004A20B0" w:rsidP="004A20B0">
      <w:pPr>
        <w:pStyle w:val="SingleTxtG"/>
      </w:pPr>
      <w:r>
        <w:t>10.</w:t>
      </w:r>
      <w:r>
        <w:tab/>
      </w:r>
      <w:r w:rsidR="00EE157A">
        <w:t>In the second paragraph, replace “of 2.7.2.3.6” by “of 2.7.2.3.5” (Reference to wrong paragraph).</w:t>
      </w:r>
    </w:p>
    <w:p w:rsidR="005C7C88" w:rsidRDefault="00EE157A" w:rsidP="00EE6ACF">
      <w:pPr>
        <w:pStyle w:val="H1G"/>
        <w:spacing w:before="240" w:after="120"/>
      </w:pPr>
      <w:r>
        <w:tab/>
      </w:r>
      <w:r>
        <w:tab/>
        <w:t>Corrections proposed</w:t>
      </w:r>
    </w:p>
    <w:p w:rsidR="005C7C88" w:rsidRDefault="00EE157A" w:rsidP="00EE6ACF">
      <w:pPr>
        <w:pStyle w:val="H23G"/>
        <w:spacing w:before="0"/>
      </w:pPr>
      <w:r>
        <w:tab/>
      </w:r>
      <w:r>
        <w:tab/>
        <w:t>Sub-paragraphs 2.7.2.3.2 (a) (ii) and 2.7.2.3.2 (b) (ii)</w:t>
      </w:r>
      <w:r w:rsidR="00EE6ACF">
        <w:t>, at the end of the sub-paragraph</w:t>
      </w:r>
    </w:p>
    <w:p w:rsidR="005C7C88" w:rsidRDefault="00EE6ACF" w:rsidP="00EE6ACF">
      <w:pPr>
        <w:pStyle w:val="SingleTxtG"/>
      </w:pPr>
      <w:r>
        <w:rPr>
          <w:i/>
        </w:rPr>
        <w:t>For</w:t>
      </w:r>
      <w:r w:rsidR="00EE157A">
        <w:t xml:space="preserve"> or </w:t>
      </w:r>
      <w:r>
        <w:rPr>
          <w:i/>
        </w:rPr>
        <w:t>read</w:t>
      </w:r>
      <w:r w:rsidR="005C7C88">
        <w:t xml:space="preserve"> </w:t>
      </w:r>
      <w:r w:rsidR="00EE157A">
        <w:t>and</w:t>
      </w:r>
    </w:p>
    <w:p w:rsidR="00EE157A" w:rsidRDefault="00CE695C" w:rsidP="00EE6ACF">
      <w:pPr>
        <w:pStyle w:val="SingleTxtG"/>
        <w:rPr>
          <w:b/>
        </w:rPr>
      </w:pPr>
      <w:r>
        <w:rPr>
          <w:b/>
        </w:rPr>
        <w:t>Chapter 3.2, Dangerous Goods List, UN No. 2908, Column (6)</w:t>
      </w:r>
    </w:p>
    <w:p w:rsidR="00CE695C" w:rsidRDefault="00CE695C" w:rsidP="00EE6ACF">
      <w:pPr>
        <w:pStyle w:val="SingleTxtG"/>
      </w:pPr>
      <w:r w:rsidRPr="00CE695C">
        <w:rPr>
          <w:i/>
        </w:rPr>
        <w:t>Insert</w:t>
      </w:r>
      <w:r>
        <w:rPr>
          <w:i/>
        </w:rPr>
        <w:t xml:space="preserve"> </w:t>
      </w:r>
      <w:r>
        <w:t>368</w:t>
      </w:r>
    </w:p>
    <w:p w:rsidR="00CE695C" w:rsidRDefault="00CE695C" w:rsidP="00EE6ACF">
      <w:pPr>
        <w:pStyle w:val="SingleTxtG"/>
        <w:rPr>
          <w:b/>
        </w:rPr>
      </w:pPr>
      <w:r w:rsidRPr="00CE695C">
        <w:rPr>
          <w:b/>
        </w:rPr>
        <w:t>Chapter 3.2, Dangerous Goods List, UN No. 2913, Column (6)</w:t>
      </w:r>
    </w:p>
    <w:p w:rsidR="00CE695C" w:rsidRDefault="00CE695C" w:rsidP="00EE6ACF">
      <w:pPr>
        <w:pStyle w:val="SingleTxtG"/>
      </w:pPr>
      <w:r>
        <w:rPr>
          <w:i/>
        </w:rPr>
        <w:t xml:space="preserve">Insert </w:t>
      </w:r>
      <w:r>
        <w:t>325</w:t>
      </w:r>
    </w:p>
    <w:p w:rsidR="00EE6ACF" w:rsidRDefault="00EE6ACF" w:rsidP="00EE6ACF">
      <w:pPr>
        <w:pStyle w:val="SingleTxtG"/>
        <w:rPr>
          <w:b/>
        </w:rPr>
      </w:pPr>
      <w:r w:rsidRPr="00CE695C">
        <w:rPr>
          <w:b/>
        </w:rPr>
        <w:t>Chapter 3.2, Dangerous Goods List, UN No. 2913, Column (6)</w:t>
      </w:r>
    </w:p>
    <w:p w:rsidR="00CE695C" w:rsidRDefault="00CE695C" w:rsidP="00EE6ACF">
      <w:pPr>
        <w:pStyle w:val="SingleTxtG"/>
      </w:pPr>
      <w:r>
        <w:rPr>
          <w:i/>
        </w:rPr>
        <w:t xml:space="preserve">Delete </w:t>
      </w:r>
      <w:r>
        <w:t>336</w:t>
      </w:r>
    </w:p>
    <w:p w:rsidR="00CE695C" w:rsidRDefault="00CE695C" w:rsidP="00EE6ACF">
      <w:pPr>
        <w:pStyle w:val="SingleTxtG"/>
        <w:rPr>
          <w:b/>
        </w:rPr>
      </w:pPr>
      <w:r>
        <w:rPr>
          <w:b/>
        </w:rPr>
        <w:t>Chapter 3.2, Dangerous Goods List, UN No.</w:t>
      </w:r>
      <w:r w:rsidR="00011A2F">
        <w:rPr>
          <w:b/>
        </w:rPr>
        <w:t xml:space="preserve"> 3326, Column (6)</w:t>
      </w:r>
    </w:p>
    <w:p w:rsidR="00011A2F" w:rsidRDefault="00011A2F" w:rsidP="00EE6ACF">
      <w:pPr>
        <w:pStyle w:val="SingleTxtG"/>
      </w:pPr>
      <w:r>
        <w:rPr>
          <w:i/>
        </w:rPr>
        <w:t xml:space="preserve">Insert </w:t>
      </w:r>
      <w:r>
        <w:t>326</w:t>
      </w:r>
    </w:p>
    <w:p w:rsidR="00EE6ACF" w:rsidRDefault="00EE6ACF" w:rsidP="00EE6ACF">
      <w:pPr>
        <w:pStyle w:val="SingleTxtG"/>
        <w:rPr>
          <w:b/>
        </w:rPr>
      </w:pPr>
      <w:r>
        <w:rPr>
          <w:b/>
        </w:rPr>
        <w:t>Chapter 3.2, Dangerous Goods List, UN No. 3326, Column (6)</w:t>
      </w:r>
    </w:p>
    <w:p w:rsidR="00011A2F" w:rsidRDefault="00011A2F" w:rsidP="00EE6ACF">
      <w:pPr>
        <w:pStyle w:val="SingleTxtG"/>
      </w:pPr>
      <w:r>
        <w:rPr>
          <w:i/>
        </w:rPr>
        <w:t xml:space="preserve">Delete </w:t>
      </w:r>
      <w:r>
        <w:t>336</w:t>
      </w:r>
    </w:p>
    <w:p w:rsidR="00011A2F" w:rsidRDefault="00011A2F" w:rsidP="00EE6ACF">
      <w:pPr>
        <w:pStyle w:val="SingleTxtG"/>
        <w:rPr>
          <w:b/>
        </w:rPr>
      </w:pPr>
      <w:r>
        <w:rPr>
          <w:b/>
        </w:rPr>
        <w:t>Chapter 3.2, Special Provision 369</w:t>
      </w:r>
      <w:r w:rsidR="00EE6ACF">
        <w:t xml:space="preserve">, </w:t>
      </w:r>
      <w:r w:rsidR="00EE6ACF" w:rsidRPr="00EE6ACF">
        <w:rPr>
          <w:b/>
        </w:rPr>
        <w:t>second paragraph</w:t>
      </w:r>
    </w:p>
    <w:p w:rsidR="00011A2F" w:rsidRDefault="00EE6ACF" w:rsidP="00EE6ACF">
      <w:pPr>
        <w:pStyle w:val="SingleTxtG"/>
      </w:pPr>
      <w:r>
        <w:rPr>
          <w:i/>
        </w:rPr>
        <w:t>For</w:t>
      </w:r>
      <w:r w:rsidR="00011A2F">
        <w:rPr>
          <w:i/>
        </w:rPr>
        <w:t xml:space="preserve"> </w:t>
      </w:r>
      <w:r w:rsidR="00011A2F">
        <w:t xml:space="preserve">and, for fissile-excepted material, of 2.7.2.3.6 </w:t>
      </w:r>
      <w:r>
        <w:rPr>
          <w:i/>
        </w:rPr>
        <w:t>read</w:t>
      </w:r>
      <w:r w:rsidR="00011A2F">
        <w:rPr>
          <w:i/>
        </w:rPr>
        <w:t xml:space="preserve"> </w:t>
      </w:r>
      <w:r w:rsidR="00011A2F">
        <w:t>and, for fissile-excepted material, of 2.7.2.3.5</w:t>
      </w:r>
    </w:p>
    <w:p w:rsidR="00B65C06" w:rsidRDefault="00B65C06" w:rsidP="00EE6ACF">
      <w:pPr>
        <w:pStyle w:val="SingleTxtG"/>
        <w:rPr>
          <w:b/>
        </w:rPr>
      </w:pPr>
      <w:r>
        <w:rPr>
          <w:b/>
        </w:rPr>
        <w:t>Chapter 4.1, Packing Instruction P603</w:t>
      </w:r>
      <w:r w:rsidR="00EE6ACF">
        <w:rPr>
          <w:b/>
        </w:rPr>
        <w:t>, i</w:t>
      </w:r>
      <w:r w:rsidR="00EE6ACF" w:rsidRPr="00EE6ACF">
        <w:rPr>
          <w:b/>
        </w:rPr>
        <w:t>n the Special packing provision</w:t>
      </w:r>
    </w:p>
    <w:p w:rsidR="00B65C06" w:rsidRDefault="00EE6ACF" w:rsidP="00EE6ACF">
      <w:pPr>
        <w:pStyle w:val="SingleTxtG"/>
      </w:pPr>
      <w:r>
        <w:rPr>
          <w:i/>
        </w:rPr>
        <w:t>D</w:t>
      </w:r>
      <w:r w:rsidR="00B65C06">
        <w:rPr>
          <w:i/>
        </w:rPr>
        <w:t xml:space="preserve">elete </w:t>
      </w:r>
      <w:r w:rsidR="00B65C06">
        <w:t>and 6.4.11.2</w:t>
      </w:r>
    </w:p>
    <w:p w:rsidR="005349F0" w:rsidRDefault="005349F0" w:rsidP="00EE6ACF">
      <w:pPr>
        <w:pStyle w:val="SingleTxtG"/>
        <w:rPr>
          <w:b/>
        </w:rPr>
      </w:pPr>
      <w:r>
        <w:rPr>
          <w:b/>
        </w:rPr>
        <w:t>Chapter 6.4, paragraph 6.4.2.11</w:t>
      </w:r>
      <w:r w:rsidR="00EE6ACF">
        <w:rPr>
          <w:b/>
        </w:rPr>
        <w:t xml:space="preserve">, in the </w:t>
      </w:r>
      <w:r w:rsidR="00EE6ACF" w:rsidRPr="00EE6ACF">
        <w:rPr>
          <w:b/>
        </w:rPr>
        <w:t>fourth line</w:t>
      </w:r>
    </w:p>
    <w:p w:rsidR="005349F0" w:rsidRDefault="00EE6ACF" w:rsidP="00EE6ACF">
      <w:pPr>
        <w:pStyle w:val="SingleTxtG"/>
      </w:pPr>
      <w:r>
        <w:rPr>
          <w:i/>
        </w:rPr>
        <w:t>For</w:t>
      </w:r>
      <w:r w:rsidR="005349F0">
        <w:rPr>
          <w:i/>
        </w:rPr>
        <w:t xml:space="preserve"> </w:t>
      </w:r>
      <w:r w:rsidR="005349F0">
        <w:t xml:space="preserve">4.1.9.1.10 and 4.1.9.1.11 </w:t>
      </w:r>
      <w:r>
        <w:rPr>
          <w:i/>
        </w:rPr>
        <w:t>read</w:t>
      </w:r>
      <w:r w:rsidR="005349F0">
        <w:rPr>
          <w:i/>
        </w:rPr>
        <w:t xml:space="preserve"> </w:t>
      </w:r>
      <w:r w:rsidR="005349F0">
        <w:t>4.1.9.1.11 and 4.1.9.1.12</w:t>
      </w:r>
    </w:p>
    <w:p w:rsidR="005349F0" w:rsidRDefault="005349F0" w:rsidP="00EE6ACF">
      <w:pPr>
        <w:pStyle w:val="SingleTxtG"/>
        <w:rPr>
          <w:b/>
        </w:rPr>
      </w:pPr>
      <w:r>
        <w:rPr>
          <w:b/>
        </w:rPr>
        <w:t>Chapter 6.4, paragraph 6.4.23.19</w:t>
      </w:r>
    </w:p>
    <w:p w:rsidR="00EE6ACF" w:rsidRDefault="005349F0" w:rsidP="00EE6ACF">
      <w:pPr>
        <w:pStyle w:val="SingleTxtG"/>
        <w:spacing w:after="0"/>
      </w:pPr>
      <w:r>
        <w:rPr>
          <w:i/>
        </w:rPr>
        <w:t xml:space="preserve">For </w:t>
      </w:r>
      <w:r>
        <w:t>under 6.4.22.2, 6.4.22.3, 6.4.22.4, 6.4.</w:t>
      </w:r>
      <w:r w:rsidR="00590E6F">
        <w:t xml:space="preserve">24.2 and 6.4.24.3 </w:t>
      </w:r>
      <w:r w:rsidR="00590E6F">
        <w:rPr>
          <w:i/>
        </w:rPr>
        <w:t>read</w:t>
      </w:r>
      <w:r w:rsidR="00590E6F">
        <w:t xml:space="preserve"> under</w:t>
      </w:r>
      <w:r w:rsidR="00590E6F">
        <w:rPr>
          <w:i/>
        </w:rPr>
        <w:t xml:space="preserve"> </w:t>
      </w:r>
      <w:r w:rsidR="00590E6F">
        <w:t>6.4.22.2, 6.4.22.3, 6.4.22.4 and 6.4.24.2</w:t>
      </w:r>
    </w:p>
    <w:p w:rsidR="00A04DAF" w:rsidRPr="00EE6ACF" w:rsidRDefault="00EE6ACF" w:rsidP="00EE6ACF">
      <w:pPr>
        <w:pStyle w:val="SingleTxtG"/>
        <w:rPr>
          <w:u w:val="single"/>
        </w:rPr>
      </w:pPr>
      <w:r w:rsidRPr="00EE6ACF">
        <w:tab/>
      </w:r>
      <w:r w:rsidRPr="00EE6ACF">
        <w:tab/>
      </w:r>
      <w:r w:rsidRPr="00EE6ACF">
        <w:tab/>
      </w:r>
      <w:r w:rsidRPr="00EE6ACF">
        <w:tab/>
      </w:r>
      <w:r w:rsidRPr="00EE6ACF">
        <w:tab/>
      </w:r>
      <w:r w:rsidR="00C97A10" w:rsidRPr="00EE6ACF">
        <w:rPr>
          <w:u w:val="single"/>
        </w:rPr>
        <w:tab/>
      </w:r>
      <w:r w:rsidR="00C97A10" w:rsidRPr="00EE6ACF">
        <w:rPr>
          <w:u w:val="single"/>
        </w:rPr>
        <w:tab/>
      </w:r>
      <w:r w:rsidR="00C97A10" w:rsidRPr="00EE6ACF">
        <w:rPr>
          <w:u w:val="single"/>
        </w:rPr>
        <w:tab/>
      </w:r>
    </w:p>
    <w:sectPr w:rsidR="00A04DAF" w:rsidRPr="00EE6ACF" w:rsidSect="00055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C4" w:rsidRDefault="00DF74C4"/>
  </w:endnote>
  <w:endnote w:type="continuationSeparator" w:id="0">
    <w:p w:rsidR="00DF74C4" w:rsidRDefault="00DF74C4"/>
  </w:endnote>
  <w:endnote w:type="continuationNotice" w:id="1">
    <w:p w:rsidR="00DF74C4" w:rsidRDefault="00DF7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2264E0" w:rsidRDefault="0044017E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4A20B0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44017E" w:rsidRPr="0005570C" w:rsidRDefault="0044017E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44017E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EE6AC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B0" w:rsidRDefault="004A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C4" w:rsidRPr="000B175B" w:rsidRDefault="00DF74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74C4" w:rsidRPr="00FC68B7" w:rsidRDefault="00DF74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74C4" w:rsidRDefault="00DF7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F54DDA" w:rsidRDefault="004A20B0" w:rsidP="00F54DDA">
    <w:pPr>
      <w:pStyle w:val="Header"/>
    </w:pPr>
    <w:r>
      <w:rPr>
        <w:noProof/>
      </w:rPr>
      <w:t>UN/SCETDG/50</w:t>
    </w:r>
    <w:r w:rsidR="00832905">
      <w:rPr>
        <w:noProof/>
      </w:rPr>
      <w:t>/INF.</w:t>
    </w:r>
    <w:r>
      <w:rPr>
        <w:noProof/>
      </w:rPr>
      <w:t>28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F54DDA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 w:rsidR="00585DB8">
      <w:t>4</w:t>
    </w:r>
    <w:r w:rsidR="00B07D84">
      <w:t>/Rev.1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B0" w:rsidRDefault="004A2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A44496"/>
    <w:multiLevelType w:val="hybridMultilevel"/>
    <w:tmpl w:val="34F28DE4"/>
    <w:lvl w:ilvl="0" w:tplc="C4E05196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C010762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18"/>
  </w:num>
  <w:num w:numId="19">
    <w:abstractNumId w:val="12"/>
  </w:num>
  <w:num w:numId="20">
    <w:abstractNumId w:val="19"/>
  </w:num>
  <w:num w:numId="21">
    <w:abstractNumId w:val="14"/>
  </w:num>
  <w:num w:numId="22">
    <w:abstractNumId w:val="2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1A2F"/>
    <w:rsid w:val="00015A1E"/>
    <w:rsid w:val="0003260B"/>
    <w:rsid w:val="00033C0C"/>
    <w:rsid w:val="00042310"/>
    <w:rsid w:val="00044167"/>
    <w:rsid w:val="00050F6B"/>
    <w:rsid w:val="0005111B"/>
    <w:rsid w:val="0005570C"/>
    <w:rsid w:val="00064F24"/>
    <w:rsid w:val="00067C1A"/>
    <w:rsid w:val="00071BC5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32E3"/>
    <w:rsid w:val="000E572A"/>
    <w:rsid w:val="000F143A"/>
    <w:rsid w:val="000F5FF7"/>
    <w:rsid w:val="00103C0E"/>
    <w:rsid w:val="00117787"/>
    <w:rsid w:val="00120F5D"/>
    <w:rsid w:val="00125775"/>
    <w:rsid w:val="001266BA"/>
    <w:rsid w:val="00131D42"/>
    <w:rsid w:val="00144FC4"/>
    <w:rsid w:val="0016063F"/>
    <w:rsid w:val="001633FB"/>
    <w:rsid w:val="00166B07"/>
    <w:rsid w:val="00176D4B"/>
    <w:rsid w:val="00177434"/>
    <w:rsid w:val="00187869"/>
    <w:rsid w:val="00191BE2"/>
    <w:rsid w:val="001967AB"/>
    <w:rsid w:val="00196C6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1636C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959CF"/>
    <w:rsid w:val="002A2560"/>
    <w:rsid w:val="002A7532"/>
    <w:rsid w:val="002B1CDA"/>
    <w:rsid w:val="002B2EA7"/>
    <w:rsid w:val="002B521D"/>
    <w:rsid w:val="002B79CF"/>
    <w:rsid w:val="002B7D6F"/>
    <w:rsid w:val="002C54A4"/>
    <w:rsid w:val="002C7649"/>
    <w:rsid w:val="002D7530"/>
    <w:rsid w:val="002D7651"/>
    <w:rsid w:val="002E7C35"/>
    <w:rsid w:val="002F0918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35FFF"/>
    <w:rsid w:val="00337808"/>
    <w:rsid w:val="0034522A"/>
    <w:rsid w:val="00347184"/>
    <w:rsid w:val="00372BDC"/>
    <w:rsid w:val="00373815"/>
    <w:rsid w:val="00374763"/>
    <w:rsid w:val="00381262"/>
    <w:rsid w:val="0039277A"/>
    <w:rsid w:val="003972E0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165D"/>
    <w:rsid w:val="0040291E"/>
    <w:rsid w:val="00404FD4"/>
    <w:rsid w:val="004179D7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4C2B"/>
    <w:rsid w:val="004655DE"/>
    <w:rsid w:val="0047319B"/>
    <w:rsid w:val="004735FB"/>
    <w:rsid w:val="00475444"/>
    <w:rsid w:val="0049309D"/>
    <w:rsid w:val="00494D24"/>
    <w:rsid w:val="004969ED"/>
    <w:rsid w:val="00497FF3"/>
    <w:rsid w:val="004A20B0"/>
    <w:rsid w:val="004A2BD1"/>
    <w:rsid w:val="004B163A"/>
    <w:rsid w:val="004B2C9D"/>
    <w:rsid w:val="004B49FD"/>
    <w:rsid w:val="004B6475"/>
    <w:rsid w:val="004C6FCC"/>
    <w:rsid w:val="004E4DCE"/>
    <w:rsid w:val="00500DCD"/>
    <w:rsid w:val="00512574"/>
    <w:rsid w:val="00515763"/>
    <w:rsid w:val="005206A2"/>
    <w:rsid w:val="005248FF"/>
    <w:rsid w:val="00527910"/>
    <w:rsid w:val="00532A62"/>
    <w:rsid w:val="00532D7B"/>
    <w:rsid w:val="00532FDC"/>
    <w:rsid w:val="005335B1"/>
    <w:rsid w:val="005349F0"/>
    <w:rsid w:val="0053786F"/>
    <w:rsid w:val="005420F2"/>
    <w:rsid w:val="00543B03"/>
    <w:rsid w:val="00552C5F"/>
    <w:rsid w:val="005553A2"/>
    <w:rsid w:val="005557E8"/>
    <w:rsid w:val="00566392"/>
    <w:rsid w:val="00566B77"/>
    <w:rsid w:val="005676D5"/>
    <w:rsid w:val="0057509F"/>
    <w:rsid w:val="00581B62"/>
    <w:rsid w:val="00581C11"/>
    <w:rsid w:val="00585DB8"/>
    <w:rsid w:val="00590144"/>
    <w:rsid w:val="00590E6F"/>
    <w:rsid w:val="005A1FEB"/>
    <w:rsid w:val="005A37A2"/>
    <w:rsid w:val="005B2C26"/>
    <w:rsid w:val="005B3614"/>
    <w:rsid w:val="005B3DB3"/>
    <w:rsid w:val="005B6EC0"/>
    <w:rsid w:val="005C7C88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5395D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D5F"/>
    <w:rsid w:val="006E51FB"/>
    <w:rsid w:val="006E564B"/>
    <w:rsid w:val="00707A67"/>
    <w:rsid w:val="0071233A"/>
    <w:rsid w:val="00716D0F"/>
    <w:rsid w:val="00725764"/>
    <w:rsid w:val="0072632A"/>
    <w:rsid w:val="00736809"/>
    <w:rsid w:val="007428A0"/>
    <w:rsid w:val="0075177E"/>
    <w:rsid w:val="00757A17"/>
    <w:rsid w:val="00790791"/>
    <w:rsid w:val="007909EA"/>
    <w:rsid w:val="00795779"/>
    <w:rsid w:val="007965B5"/>
    <w:rsid w:val="007B41A0"/>
    <w:rsid w:val="007B6BA5"/>
    <w:rsid w:val="007B6BE5"/>
    <w:rsid w:val="007C3390"/>
    <w:rsid w:val="007C3416"/>
    <w:rsid w:val="007C3658"/>
    <w:rsid w:val="007C400E"/>
    <w:rsid w:val="007C455E"/>
    <w:rsid w:val="007C4F4B"/>
    <w:rsid w:val="007D3266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32905"/>
    <w:rsid w:val="00841B7E"/>
    <w:rsid w:val="00842FAF"/>
    <w:rsid w:val="00844A23"/>
    <w:rsid w:val="008553AE"/>
    <w:rsid w:val="008566E6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D44E2"/>
    <w:rsid w:val="008E0E46"/>
    <w:rsid w:val="008E1D4C"/>
    <w:rsid w:val="008F36A7"/>
    <w:rsid w:val="008F42F2"/>
    <w:rsid w:val="00905AEA"/>
    <w:rsid w:val="00910E37"/>
    <w:rsid w:val="00915E24"/>
    <w:rsid w:val="009174F9"/>
    <w:rsid w:val="009178F6"/>
    <w:rsid w:val="00924330"/>
    <w:rsid w:val="0093457E"/>
    <w:rsid w:val="00936452"/>
    <w:rsid w:val="00945A5D"/>
    <w:rsid w:val="009471E5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9124E"/>
    <w:rsid w:val="00991261"/>
    <w:rsid w:val="00994010"/>
    <w:rsid w:val="00994014"/>
    <w:rsid w:val="009A37C7"/>
    <w:rsid w:val="009B2FB7"/>
    <w:rsid w:val="009B3CC1"/>
    <w:rsid w:val="009B6F46"/>
    <w:rsid w:val="009E2874"/>
    <w:rsid w:val="009E35FF"/>
    <w:rsid w:val="009E587B"/>
    <w:rsid w:val="00A04DAF"/>
    <w:rsid w:val="00A12267"/>
    <w:rsid w:val="00A1427D"/>
    <w:rsid w:val="00A1654E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0592"/>
    <w:rsid w:val="00AF1185"/>
    <w:rsid w:val="00AF1489"/>
    <w:rsid w:val="00AF248C"/>
    <w:rsid w:val="00B02079"/>
    <w:rsid w:val="00B05614"/>
    <w:rsid w:val="00B07D84"/>
    <w:rsid w:val="00B2292E"/>
    <w:rsid w:val="00B30179"/>
    <w:rsid w:val="00B32399"/>
    <w:rsid w:val="00B3317B"/>
    <w:rsid w:val="00B34A94"/>
    <w:rsid w:val="00B35770"/>
    <w:rsid w:val="00B4255D"/>
    <w:rsid w:val="00B45379"/>
    <w:rsid w:val="00B50A16"/>
    <w:rsid w:val="00B62799"/>
    <w:rsid w:val="00B65BD4"/>
    <w:rsid w:val="00B65C06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5D3B"/>
    <w:rsid w:val="00BC46B9"/>
    <w:rsid w:val="00BC4804"/>
    <w:rsid w:val="00BC553A"/>
    <w:rsid w:val="00BC5CF4"/>
    <w:rsid w:val="00BC74E9"/>
    <w:rsid w:val="00BD42B2"/>
    <w:rsid w:val="00BE618E"/>
    <w:rsid w:val="00C17582"/>
    <w:rsid w:val="00C20E3D"/>
    <w:rsid w:val="00C23226"/>
    <w:rsid w:val="00C3461F"/>
    <w:rsid w:val="00C4186E"/>
    <w:rsid w:val="00C463DD"/>
    <w:rsid w:val="00C60DCD"/>
    <w:rsid w:val="00C626EA"/>
    <w:rsid w:val="00C62F76"/>
    <w:rsid w:val="00C64CF9"/>
    <w:rsid w:val="00C67F22"/>
    <w:rsid w:val="00C72209"/>
    <w:rsid w:val="00C745C3"/>
    <w:rsid w:val="00C835F0"/>
    <w:rsid w:val="00C97A10"/>
    <w:rsid w:val="00CA1406"/>
    <w:rsid w:val="00CA5C02"/>
    <w:rsid w:val="00CB4C9D"/>
    <w:rsid w:val="00CC23F0"/>
    <w:rsid w:val="00CD1998"/>
    <w:rsid w:val="00CD42C3"/>
    <w:rsid w:val="00CD68B3"/>
    <w:rsid w:val="00CE4A8F"/>
    <w:rsid w:val="00CE58B6"/>
    <w:rsid w:val="00CE5C4D"/>
    <w:rsid w:val="00CE695C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EFC"/>
    <w:rsid w:val="00D5171D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6077"/>
    <w:rsid w:val="00DC16B9"/>
    <w:rsid w:val="00DC1797"/>
    <w:rsid w:val="00DD70B8"/>
    <w:rsid w:val="00DE19A0"/>
    <w:rsid w:val="00DE4184"/>
    <w:rsid w:val="00DF0081"/>
    <w:rsid w:val="00DF7129"/>
    <w:rsid w:val="00DF74C4"/>
    <w:rsid w:val="00E0294C"/>
    <w:rsid w:val="00E049CA"/>
    <w:rsid w:val="00E130AB"/>
    <w:rsid w:val="00E1315F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D4EB3"/>
    <w:rsid w:val="00ED67DB"/>
    <w:rsid w:val="00ED7A2A"/>
    <w:rsid w:val="00EE157A"/>
    <w:rsid w:val="00EE18BF"/>
    <w:rsid w:val="00EE32E6"/>
    <w:rsid w:val="00EE6ACF"/>
    <w:rsid w:val="00EE6D6E"/>
    <w:rsid w:val="00EE7FF7"/>
    <w:rsid w:val="00EF1393"/>
    <w:rsid w:val="00EF1D7F"/>
    <w:rsid w:val="00EF365D"/>
    <w:rsid w:val="00F01117"/>
    <w:rsid w:val="00F01716"/>
    <w:rsid w:val="00F0351B"/>
    <w:rsid w:val="00F04B76"/>
    <w:rsid w:val="00F054AD"/>
    <w:rsid w:val="00F14001"/>
    <w:rsid w:val="00F14936"/>
    <w:rsid w:val="00F40E75"/>
    <w:rsid w:val="00F416AA"/>
    <w:rsid w:val="00F447F9"/>
    <w:rsid w:val="00F45C14"/>
    <w:rsid w:val="00F45D1A"/>
    <w:rsid w:val="00F475EB"/>
    <w:rsid w:val="00F54674"/>
    <w:rsid w:val="00F54DDA"/>
    <w:rsid w:val="00F6331D"/>
    <w:rsid w:val="00F660F2"/>
    <w:rsid w:val="00F72912"/>
    <w:rsid w:val="00F85D7A"/>
    <w:rsid w:val="00F873E7"/>
    <w:rsid w:val="00F93B34"/>
    <w:rsid w:val="00FA54B1"/>
    <w:rsid w:val="00FB7905"/>
    <w:rsid w:val="00FC68B7"/>
    <w:rsid w:val="00FD6B2B"/>
    <w:rsid w:val="00FE4A81"/>
    <w:rsid w:val="00FE752E"/>
    <w:rsid w:val="00FF03BB"/>
    <w:rsid w:val="00FF59C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696C-1EFA-4A57-98B4-5BCD580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12</cp:revision>
  <cp:lastPrinted>2015-06-25T09:22:00Z</cp:lastPrinted>
  <dcterms:created xsi:type="dcterms:W3CDTF">2016-11-16T09:44:00Z</dcterms:created>
  <dcterms:modified xsi:type="dcterms:W3CDTF">2016-11-17T07:08:00Z</dcterms:modified>
</cp:coreProperties>
</file>