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810663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810663" w:rsidRDefault="00132EA9" w:rsidP="009818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810663" w:rsidRDefault="00132EA9" w:rsidP="009C3129">
            <w:pPr>
              <w:spacing w:after="80" w:line="300" w:lineRule="exact"/>
              <w:rPr>
                <w:sz w:val="28"/>
              </w:rPr>
            </w:pPr>
            <w:r w:rsidRPr="0081066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810663" w:rsidRDefault="009818D6" w:rsidP="009818D6">
            <w:pPr>
              <w:jc w:val="right"/>
            </w:pPr>
            <w:r w:rsidRPr="00810663">
              <w:rPr>
                <w:sz w:val="40"/>
              </w:rPr>
              <w:t>ST</w:t>
            </w:r>
            <w:r w:rsidRPr="00810663">
              <w:t>/SG/AC.10/C.3/99/Add.1</w:t>
            </w:r>
          </w:p>
        </w:tc>
      </w:tr>
      <w:tr w:rsidR="00132EA9" w:rsidRPr="00810663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810663" w:rsidRDefault="00132EA9" w:rsidP="009C3129">
            <w:pPr>
              <w:spacing w:before="120"/>
              <w:jc w:val="center"/>
            </w:pPr>
            <w:r w:rsidRPr="00810663">
              <w:rPr>
                <w:noProof/>
                <w:lang w:val="en-GB" w:eastAsia="en-GB"/>
              </w:rPr>
              <w:drawing>
                <wp:inline distT="0" distB="0" distL="0" distR="0" wp14:anchorId="0727E0AA" wp14:editId="1FE295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810663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10663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810663" w:rsidRDefault="009818D6" w:rsidP="009C3129">
            <w:pPr>
              <w:spacing w:before="240"/>
            </w:pPr>
            <w:r w:rsidRPr="00810663">
              <w:t>Distr. générale</w:t>
            </w:r>
          </w:p>
          <w:p w:rsidR="009818D6" w:rsidRPr="00810663" w:rsidRDefault="009818D6" w:rsidP="009818D6">
            <w:pPr>
              <w:spacing w:line="240" w:lineRule="exact"/>
            </w:pPr>
            <w:r w:rsidRPr="00810663">
              <w:t>16 septembre 2016</w:t>
            </w:r>
          </w:p>
          <w:p w:rsidR="009818D6" w:rsidRPr="00810663" w:rsidRDefault="009818D6" w:rsidP="009818D6">
            <w:pPr>
              <w:spacing w:line="240" w:lineRule="exact"/>
            </w:pPr>
            <w:r w:rsidRPr="00810663">
              <w:t>Français</w:t>
            </w:r>
          </w:p>
          <w:p w:rsidR="009818D6" w:rsidRPr="00810663" w:rsidRDefault="009818D6" w:rsidP="009818D6">
            <w:pPr>
              <w:spacing w:line="240" w:lineRule="exact"/>
            </w:pPr>
            <w:r w:rsidRPr="00810663">
              <w:t>Original</w:t>
            </w:r>
            <w:r w:rsidR="00810663" w:rsidRPr="00810663">
              <w:t> :</w:t>
            </w:r>
            <w:r w:rsidRPr="00810663">
              <w:t xml:space="preserve"> anglais</w:t>
            </w:r>
          </w:p>
        </w:tc>
      </w:tr>
    </w:tbl>
    <w:p w:rsidR="009818D6" w:rsidRPr="00810663" w:rsidRDefault="009818D6" w:rsidP="00873FD8">
      <w:pPr>
        <w:spacing w:before="120" w:after="120"/>
        <w:rPr>
          <w:b/>
          <w:bCs/>
          <w:sz w:val="24"/>
          <w:szCs w:val="24"/>
        </w:rPr>
      </w:pPr>
      <w:r w:rsidRPr="00810663">
        <w:rPr>
          <w:b/>
          <w:bCs/>
          <w:sz w:val="24"/>
          <w:szCs w:val="24"/>
        </w:rPr>
        <w:t xml:space="preserve">Comité d’experts du transport des marchandises dangereuses </w:t>
      </w:r>
      <w:r w:rsidR="00873FD8" w:rsidRPr="00810663">
        <w:rPr>
          <w:b/>
          <w:bCs/>
          <w:sz w:val="24"/>
          <w:szCs w:val="24"/>
        </w:rPr>
        <w:br/>
      </w:r>
      <w:r w:rsidRPr="00810663">
        <w:rPr>
          <w:b/>
          <w:bCs/>
          <w:sz w:val="24"/>
          <w:szCs w:val="24"/>
        </w:rPr>
        <w:t xml:space="preserve">et du Système général harmonisé de classification </w:t>
      </w:r>
      <w:r w:rsidR="00873FD8" w:rsidRPr="00810663">
        <w:rPr>
          <w:b/>
          <w:bCs/>
          <w:sz w:val="24"/>
          <w:szCs w:val="24"/>
        </w:rPr>
        <w:br/>
      </w:r>
      <w:r w:rsidRPr="00810663">
        <w:rPr>
          <w:b/>
          <w:bCs/>
          <w:sz w:val="24"/>
          <w:szCs w:val="24"/>
        </w:rPr>
        <w:t>et d’étiquetage des produits chimiques</w:t>
      </w:r>
    </w:p>
    <w:p w:rsidR="009818D6" w:rsidRPr="00810663" w:rsidRDefault="009818D6" w:rsidP="00873FD8">
      <w:pPr>
        <w:spacing w:after="120"/>
        <w:rPr>
          <w:rFonts w:ascii="Helv" w:hAnsi="Helv" w:cs="Helv"/>
          <w:b/>
          <w:bCs/>
          <w:color w:val="000000"/>
        </w:rPr>
      </w:pPr>
      <w:r w:rsidRPr="00810663">
        <w:rPr>
          <w:b/>
          <w:bCs/>
        </w:rPr>
        <w:t>Sous-Comité d’experts du transport des marchandises dangereuses</w:t>
      </w:r>
    </w:p>
    <w:p w:rsidR="009818D6" w:rsidRPr="00810663" w:rsidRDefault="009818D6" w:rsidP="00873FD8">
      <w:pPr>
        <w:rPr>
          <w:b/>
          <w:bCs/>
        </w:rPr>
      </w:pPr>
      <w:r w:rsidRPr="00810663">
        <w:rPr>
          <w:b/>
          <w:bCs/>
        </w:rPr>
        <w:t>Cinquantième session</w:t>
      </w:r>
    </w:p>
    <w:p w:rsidR="009818D6" w:rsidRPr="00810663" w:rsidRDefault="009818D6" w:rsidP="00873FD8">
      <w:r w:rsidRPr="00810663">
        <w:t>Genève, 28 novembre</w:t>
      </w:r>
      <w:r w:rsidR="00873FD8" w:rsidRPr="00810663">
        <w:t>-6 décembre 2016</w:t>
      </w:r>
    </w:p>
    <w:p w:rsidR="009818D6" w:rsidRPr="00810663" w:rsidRDefault="009818D6" w:rsidP="00873FD8">
      <w:r w:rsidRPr="00810663">
        <w:t>Point 1 de l’ordre du jour provisoire</w:t>
      </w:r>
    </w:p>
    <w:p w:rsidR="009818D6" w:rsidRPr="00810663" w:rsidRDefault="009818D6" w:rsidP="00873FD8">
      <w:pPr>
        <w:rPr>
          <w:b/>
          <w:bCs/>
        </w:rPr>
      </w:pPr>
      <w:r w:rsidRPr="00810663">
        <w:rPr>
          <w:b/>
          <w:bCs/>
        </w:rPr>
        <w:t>Adoption de l’ordre du jour</w:t>
      </w:r>
    </w:p>
    <w:p w:rsidR="009818D6" w:rsidRPr="00810663" w:rsidRDefault="009818D6" w:rsidP="00810663">
      <w:pPr>
        <w:pStyle w:val="HChG"/>
      </w:pPr>
      <w:r w:rsidRPr="008106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81BAC2" wp14:editId="55E69564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Pr="00810663">
        <w:tab/>
      </w:r>
      <w:r w:rsidRPr="00810663">
        <w:tab/>
        <w:t>Ordre du jour provisoire de la cinquantième session</w:t>
      </w:r>
    </w:p>
    <w:p w:rsidR="009818D6" w:rsidRPr="00810663" w:rsidRDefault="009818D6" w:rsidP="00810663">
      <w:pPr>
        <w:pStyle w:val="H23G"/>
      </w:pPr>
      <w:r w:rsidRPr="00810663">
        <w:tab/>
      </w:r>
      <w:r w:rsidRPr="00810663">
        <w:tab/>
        <w:t>Additif</w:t>
      </w:r>
    </w:p>
    <w:p w:rsidR="009818D6" w:rsidRPr="00810663" w:rsidRDefault="009818D6" w:rsidP="00810663">
      <w:pPr>
        <w:pStyle w:val="H1G"/>
      </w:pPr>
      <w:r w:rsidRPr="00810663">
        <w:tab/>
      </w:r>
      <w:r w:rsidRPr="00810663">
        <w:tab/>
        <w:t>Liste des documents</w:t>
      </w:r>
    </w:p>
    <w:p w:rsidR="009818D6" w:rsidRPr="00810663" w:rsidRDefault="009818D6" w:rsidP="00810663">
      <w:pPr>
        <w:pStyle w:val="H1G"/>
      </w:pPr>
      <w:r w:rsidRPr="00810663">
        <w:tab/>
        <w:t>1.</w:t>
      </w:r>
      <w:r w:rsidRPr="00810663">
        <w:tab/>
        <w:t>Adoption de l’ordre du jour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9818D6" w:rsidRPr="00810663" w:rsidTr="00DB0B72">
        <w:tc>
          <w:tcPr>
            <w:tcW w:w="2466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ST/SG/AC.10/C.3/99</w:t>
            </w:r>
          </w:p>
        </w:tc>
        <w:tc>
          <w:tcPr>
            <w:tcW w:w="4904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0"/>
              <w:jc w:val="left"/>
            </w:pPr>
            <w:r w:rsidRPr="00810663">
              <w:t>Ordre du jour provisoire de la cinquantième session</w:t>
            </w:r>
          </w:p>
        </w:tc>
      </w:tr>
      <w:tr w:rsidR="009818D6" w:rsidRPr="00810663" w:rsidTr="00DB0B72">
        <w:tc>
          <w:tcPr>
            <w:tcW w:w="2466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ST/SG/AC.10/C.3/99/Add.1</w:t>
            </w:r>
          </w:p>
        </w:tc>
        <w:tc>
          <w:tcPr>
            <w:tcW w:w="4904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0"/>
              <w:jc w:val="left"/>
            </w:pPr>
            <w:r w:rsidRPr="00810663">
              <w:t>Liste des documents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</w:r>
      <w:r w:rsidRPr="00810663">
        <w:tab/>
        <w:t>Documents de référence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9818D6" w:rsidRPr="00810663" w:rsidTr="00DB0B72">
        <w:tc>
          <w:tcPr>
            <w:tcW w:w="2466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ST/SG/AC.10/1/Rev.19</w:t>
            </w:r>
          </w:p>
        </w:tc>
        <w:tc>
          <w:tcPr>
            <w:tcW w:w="4904" w:type="dxa"/>
            <w:shd w:val="clear" w:color="auto" w:fill="auto"/>
          </w:tcPr>
          <w:p w:rsidR="009818D6" w:rsidRPr="00810663" w:rsidRDefault="009818D6" w:rsidP="00DB0B72">
            <w:pPr>
              <w:spacing w:after="120"/>
            </w:pPr>
            <w:r w:rsidRPr="00810663">
              <w:t>Recommandations relatives au transport des marchandises dangereuses, Règlement type, dix-neuvième édition révisée</w:t>
            </w:r>
          </w:p>
        </w:tc>
      </w:tr>
      <w:tr w:rsidR="009818D6" w:rsidRPr="00810663" w:rsidTr="00DB0B72">
        <w:tc>
          <w:tcPr>
            <w:tcW w:w="2466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ST/SG/AC.10/11/Rev.6</w:t>
            </w:r>
          </w:p>
        </w:tc>
        <w:tc>
          <w:tcPr>
            <w:tcW w:w="4904" w:type="dxa"/>
            <w:shd w:val="clear" w:color="auto" w:fill="auto"/>
          </w:tcPr>
          <w:p w:rsidR="009818D6" w:rsidRPr="00810663" w:rsidRDefault="009818D6" w:rsidP="00DB0B72">
            <w:pPr>
              <w:spacing w:after="120"/>
            </w:pPr>
            <w:r w:rsidRPr="00810663">
              <w:t>Recommandations relatives au transport des marchandises dangereuses, Manuel d’épreuves et de critères, sixième édition révisée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ST/SG/AC.10/30/Rev.6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Système général harmonisé de classification et d’étiquetage des produits chimiques (SGH), sixième édition révisée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ST/SG/AC.10/C.3/94 et Corr.1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Rapport du Sous-Comité d’experts du transport des marchandises dangereuses sur sa quarante-septième session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ST/SG/AC.10/C.3/96 et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Rapport du Sous-Comité d’experts du transport des marchandises dangereuses sur sa quarante-huitième session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lastRenderedPageBreak/>
              <w:t>ST/SG/AC.10/C.3/98 et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Rapport du Sous-Comité d’experts du transport des marchandises dangereuses sur sa quarante-neuvième session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ST/SG/AC.10/C.4/58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Rapport du Sous-Comité d’experts du Système général harmonisé de classification et d’étiquetage des produits chimiques sur sa vingt-neuvième session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ST/SG/AC.10/C.4/60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Rapport du Sous-Comité d’experts du Système général harmonisé de classification et d’étiquetage des produits chimiques sur sa trentième session</w:t>
            </w:r>
          </w:p>
        </w:tc>
      </w:tr>
      <w:tr w:rsidR="009818D6" w:rsidRPr="00810663" w:rsidTr="00DB0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ST/SG/AC.10/C.4/62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Rapport du Sous-Comité d’experts du Système général harmonisé de classification et d’étiquetage des produits chimiques sur sa trente et unième session</w:t>
            </w:r>
          </w:p>
        </w:tc>
      </w:tr>
    </w:tbl>
    <w:p w:rsidR="009818D6" w:rsidRPr="00810663" w:rsidRDefault="00810663" w:rsidP="00810663">
      <w:pPr>
        <w:pStyle w:val="H1G"/>
        <w:rPr>
          <w:spacing w:val="-2"/>
        </w:rPr>
      </w:pPr>
      <w:r w:rsidRPr="00810663">
        <w:rPr>
          <w:spacing w:val="-2"/>
        </w:rPr>
        <w:tab/>
        <w:t>2.</w:t>
      </w:r>
      <w:r w:rsidRPr="00810663">
        <w:rPr>
          <w:spacing w:val="-2"/>
        </w:rPr>
        <w:tab/>
      </w:r>
      <w:r w:rsidR="009818D6" w:rsidRPr="00810663">
        <w:rPr>
          <w:spacing w:val="-2"/>
        </w:rPr>
        <w:t>Recommandations du Sous-Comité formulées à ses quarante-septième, quarante-huitième et quarante-neuvième sessions et questions en suspens</w:t>
      </w:r>
    </w:p>
    <w:p w:rsidR="009818D6" w:rsidRPr="00810663" w:rsidRDefault="00810663" w:rsidP="00810663">
      <w:pPr>
        <w:pStyle w:val="H23G"/>
      </w:pPr>
      <w:r w:rsidRPr="00810663">
        <w:tab/>
      </w:r>
      <w:r w:rsidR="009818D6" w:rsidRPr="00810663">
        <w:t>a)</w:t>
      </w:r>
      <w:r w:rsidR="009818D6" w:rsidRPr="00810663">
        <w:tab/>
        <w:t>Examen des projets d’amendements déjà adoptés durant la période biennale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9818D6" w:rsidRPr="00810663" w:rsidTr="00DB0B72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57"/>
              <w:jc w:val="left"/>
            </w:pPr>
            <w:r w:rsidRPr="00810663">
              <w:t>ST/SG/AC.10/C.3/2016/55 (Secrétariat)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Liste récapitulative des projets d’amendements adoptés aux quarante-septième, quarante-huitième et quarante-neuvième sessions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b)</w:t>
      </w:r>
      <w:r w:rsidRPr="00810663">
        <w:tab/>
        <w:t>Explosifs et questions connexes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ST/SG/AC.10/C.3/2016/53 (AEISG)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810663" w:rsidP="00810663">
            <w:pPr>
              <w:spacing w:before="40" w:after="120"/>
            </w:pPr>
            <w:r>
              <w:t>Chapitre 2.</w:t>
            </w:r>
            <w:r w:rsidR="009818D6" w:rsidRPr="00810663">
              <w:t xml:space="preserve">1 du Règlement type </w:t>
            </w:r>
            <w:r>
              <w:t>− définition de la classe </w:t>
            </w:r>
            <w:r w:rsidR="009818D6" w:rsidRPr="00810663">
              <w:t>1, chapitre 2</w:t>
            </w:r>
            <w:r>
              <w:t>.</w:t>
            </w:r>
            <w:r w:rsidR="009818D6" w:rsidRPr="00810663">
              <w:t>1 du SGH − classe des matières et objets explosibles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ST/SG/AC.10/C.3/2016/60 (AEISG)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Propositions visant à modifier la section 10.3.3 (Manuel d’épreuves et de critères)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ST/SG/AC.10/C.3/2016/61 (CEFIC)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Transport d’échantillons énergétiques en vue d’essais ultérieurs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ST/SG/AC.10/C.3/2016/66 (Suède)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</w:pPr>
            <w:r w:rsidRPr="00810663">
              <w:t>Précisions concernant la classification des engrais au nitrate d’ammonium − proposition de nouvelle section 39 dans le Manuel d’épreuves et de critères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c)</w:t>
      </w:r>
      <w:r w:rsidRPr="00810663">
        <w:tab/>
        <w:t>Inscription, classement et emballage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 xml:space="preserve">ST/SG/AC.10/C.3/2016/50 (Canada, CEFIC, AISE) Document INF.5 </w:t>
            </w:r>
            <w:r w:rsidR="00810663">
              <w:br/>
            </w:r>
            <w:r w:rsidRPr="00810663">
              <w:t>(Canada, CEFIC, AISE)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0"/>
              <w:jc w:val="left"/>
            </w:pPr>
            <w:r w:rsidRPr="00810663">
              <w:t>Texte modifié pour le chapitre 2.8 révisé</w:t>
            </w:r>
            <w:r w:rsidRPr="0081066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C648B4A" wp14:editId="084044CB">
                      <wp:simplePos x="0" y="0"/>
                      <wp:positionH relativeFrom="column">
                        <wp:posOffset>-94615</wp:posOffset>
                      </wp:positionH>
                      <wp:positionV relativeFrom="page">
                        <wp:posOffset>67310</wp:posOffset>
                      </wp:positionV>
                      <wp:extent cx="63500" cy="550545"/>
                      <wp:effectExtent l="0" t="0" r="12700" b="2095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55054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-7.45pt;margin-top:5.3pt;width: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x7gQIAAC4FAAAOAAAAZHJzL2Uyb0RvYy54bWysVFFv0zAQfkfiP1h+b5N0SbdGTafRtAhp&#10;wMTgB7i20xgcO9hu0w3x3zk7aWnZC0LkwTnnLt/dd/7O89tDI9GeGyu0KnAyjjHiimom1LbAXz6v&#10;RzcYWUcUI1IrXuAnbvHt4vWredfmfKJrLRk3CECUzbu2wLVzbR5Flta8IXasW67AWWnTEAdbs42Y&#10;IR2gNzKaxPE06rRhrdGUWwtfy96JFwG/qjh1H6vKcodkgaE2F1YT1o1fo8Wc5FtD2lrQoQzyD1U0&#10;RChIeoIqiSNoZ8QLqEZQo62u3JjqJtJVJSgPHIBNEv/B5rEmLQ9coDm2PbXJ/j9Y+mH/YJBgBZ5i&#10;pEgDR/RJbGuH3hhCOZr6BnWtzSHusX0wnqJt7zX9ZsERXXj8xkIM2nTvNQMgsnM6NOVQmcb/CXTR&#10;IfT+6dR7fnCIwsfpVRbDAVHwZFmcpZnPHJH8+G9rrHvLdYO8UWDjiww1hgxkf29d6D8bWBD2NcGo&#10;aiQc555IlAL88bjPYibnMT4kxEDeARGsY2YPr/RaSBlEIxXqCjzLJlmowGopmHeGFpntZikNgsRA&#10;NDwDnYswo3eKBbCaE7YabEeE7G1ILpXHgyYN/Hy7gq5+zOLZ6mZ1k47SyXQ1SuOyHN2tl+louk6u&#10;s/KqXC7L5KcvLUnzWjDGla/uqPEk/TsNDdPWq/Ok8gsW9pzsOjwvyUaXZYSjBS7Hd2AX5OQV1Etu&#10;o9kTqMnofmjhkgGj1uYZow4GtsD2+44YjpF8p2AiZkma+gkPmzS7nsDGnHs25x6iKEAV2GHUm0vX&#10;3wq7NkgL7rJwrErfgYor4Y5y76satA9DGRgMF4if+vN9iPp9zS1+AQAA//8DAFBLAwQUAAYACAAA&#10;ACEA7JlnKN0AAAAIAQAADwAAAGRycy9kb3ducmV2LnhtbEyPy07DMBBF90j8gzVIbFBqt/SZxqkQ&#10;ErsKiYDUrRtPk6jxOMRuE/6e6QqWV/fozplsN7pWXLEPjScN04kCgVR621Cl4evzLVmDCNGQNa0n&#10;1PCDAXb5/V1mUusH+sBrESvBIxRSo6GOsUulDGWNzoSJ75C4O/nemcixr6TtzcDjrpUzpZbSmYb4&#10;Qm06fK2xPBcXp2H/fljPhmK+souFPKnvp8OwZz39+DC+bEFEHOMfDDd9VoecnY7+QjaIVkMynW8Y&#10;5UItQTCQ3PJRw2b1DDLP5P8H8l8AAAD//wMAUEsBAi0AFAAGAAgAAAAhALaDOJL+AAAA4QEAABMA&#10;AAAAAAAAAAAAAAAAAAAAAFtDb250ZW50X1R5cGVzXS54bWxQSwECLQAUAAYACAAAACEAOP0h/9YA&#10;AACUAQAACwAAAAAAAAAAAAAAAAAvAQAAX3JlbHMvLnJlbHNQSwECLQAUAAYACAAAACEAOHI8e4EC&#10;AAAuBQAADgAAAAAAAAAAAAAAAAAuAgAAZHJzL2Uyb0RvYy54bWxQSwECLQAUAAYACAAAACEA7Jln&#10;KN0AAAAIAQAADwAAAAAAAAAAAAAAAADbBAAAZHJzL2Rvd25yZXYueG1sUEsFBgAAAAAEAAQA8wAA&#10;AOUFAAAAAA==&#10;" adj="1121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ST/SG/AC.10/C.3/2016/54 (Royaume-Uni)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Marchandises dangereuses contenues dans des machines, des appareils ou des objets, N.S.A.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ST/SG/AC.10/C.3/2016/49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Marchandises dangereuses contenues dans des machines, des appareils ou des objets, N.S.A.</w:t>
            </w:r>
          </w:p>
        </w:tc>
      </w:tr>
      <w:tr w:rsidR="009818D6" w:rsidRPr="00810663" w:rsidTr="00810663">
        <w:trPr>
          <w:cantSplit/>
        </w:trPr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lastRenderedPageBreak/>
              <w:t>ST/SG/AC.10/C.3/2016/59 (COSTHA)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Proposition visant à modifier l’instruction d’emballage P902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ST/SG/AC.10/C.3/2016/64 (République de Corée)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Indications relatives à la toxicité des numéros ONU 2248, 2264 et 2357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ST/SG/AC.10/C.3/2016/65 (Royaume-Uni et Canada)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Transport de déchets infectieux de la catégorie A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ST/SG/AC.10/C.3/2016/69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Emballages pour matières infectieuses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ST/SG/AC.10/C.3/2016/72 (Autriche)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0"/>
              <w:jc w:val="left"/>
            </w:pPr>
            <w:r w:rsidRPr="00810663">
              <w:t>Désignation officielle de transport des matières susceptibles de polymériser qui ne satisfont à aucun autre des critères d’inclusion dans les classes 1 à 8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E4683D">
            <w:pPr>
              <w:spacing w:before="40" w:after="120"/>
              <w:ind w:right="57"/>
            </w:pPr>
            <w:r w:rsidRPr="00810663">
              <w:t>ST/SG/AC.10/C.3/2016/</w:t>
            </w:r>
            <w:r w:rsidR="00E4683D">
              <w:t>77</w:t>
            </w:r>
            <w:r w:rsidRPr="00810663">
              <w:t xml:space="preserve"> (OMS, FAO)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810663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Classification des animaux infectés </w:t>
            </w:r>
            <w:r w:rsidR="00810663">
              <w:t>−</w:t>
            </w:r>
            <w:r w:rsidRPr="00810663">
              <w:t xml:space="preserve"> proposition révisée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810663">
            <w:pPr>
              <w:spacing w:before="40" w:after="120"/>
              <w:ind w:right="57"/>
            </w:pPr>
            <w:r w:rsidRPr="00810663">
              <w:t>ST/SG/AC.10/C.3/2016/82 (IFFO)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Disposition spéciale 308 relative à la farine de poisson (déchets de poisson) stabilisée (ONU 2216), classe 9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d)</w:t>
      </w:r>
      <w:r w:rsidRPr="00810663">
        <w:tab/>
        <w:t>Systèmes de stockage de l’électricité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ST/SG/AC.10/C.3/2016/52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Grands emballages contenant des piles au lithium produites en séries limitées ou des prototypes de piles au lithium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ST/SG/AC.10/C.3/2016/56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spacing w:before="40"/>
              <w:ind w:left="0" w:right="0"/>
              <w:jc w:val="left"/>
            </w:pPr>
            <w:r w:rsidRPr="00810663">
              <w:t>Engins de transport équipés de dispositifs de localisation de conteneur contenant des piles au lithium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ST/SG/AC.10/C.3/2016/67 (OICA RECHARGE)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Transport de </w:t>
            </w:r>
            <w:r w:rsidR="005C2EB5">
              <w:t xml:space="preserve">piles au lithium </w:t>
            </w:r>
            <w:r w:rsidRPr="00810663">
              <w:t>endommagées</w:t>
            </w:r>
            <w:r w:rsidR="005C2EB5">
              <w:t xml:space="preserve"> ou </w:t>
            </w:r>
            <w:r w:rsidRPr="00810663">
              <w:t>défectueuses, étape 1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ST/SG/AC.10/C.3/2016/68 (RECHARGE, PRBA)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 w:rsidRPr="00810663">
              <w:t xml:space="preserve">Harmonisation des </w:t>
            </w:r>
            <w:r w:rsidR="005C2EB5">
              <w:t>batteries</w:t>
            </w:r>
            <w:r w:rsidRPr="00810663">
              <w:t xml:space="preserve"> rechargeables au lithium métal polymère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keepNext/>
              <w:keepLines/>
              <w:spacing w:before="40" w:after="120"/>
            </w:pPr>
            <w:r w:rsidRPr="00810663">
              <w:t>ST/SG/AC.10/C.3/2016/74 (PRBA)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810663">
              <w:t xml:space="preserve">Rapport d’essais de </w:t>
            </w:r>
            <w:r w:rsidR="005C2EB5">
              <w:t xml:space="preserve">piles au lithium 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keepNext/>
              <w:keepLines/>
              <w:spacing w:before="40" w:after="120"/>
            </w:pPr>
            <w:r w:rsidRPr="00810663">
              <w:t>ST/SG/AC.10/C.3/2016/75 (France)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810663">
              <w:t xml:space="preserve">Rapport d’essais sur des </w:t>
            </w:r>
            <w:r w:rsidR="005C2EB5">
              <w:t xml:space="preserve">piles au lithium 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ST/SG/AC.10/C.3/2016/76 (PRBA)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Prescriptions d’emballage des </w:t>
            </w:r>
            <w:r w:rsidR="005C2EB5">
              <w:t xml:space="preserve">piles au lithium </w:t>
            </w:r>
            <w:r w:rsidRPr="00810663">
              <w:t>endommagées ou défectueuses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ST/SG/AC.10/C.3/2016/81 (PRBA,RECHARGE)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Épreuve thermique T.2 réalisée sur des </w:t>
            </w:r>
            <w:r w:rsidR="005C2EB5">
              <w:t xml:space="preserve">piles au lithium 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e)</w:t>
      </w:r>
      <w:r w:rsidRPr="00810663">
        <w:tab/>
        <w:t>Transport de gaz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ST/SG/AC.10/C.3/2016/51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Transport de réservoirs à gaz destinés </w:t>
            </w:r>
            <w:r w:rsidR="005C2EB5">
              <w:t>à des</w:t>
            </w:r>
            <w:r w:rsidRPr="00810663">
              <w:t xml:space="preserve"> véhicules automobiles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lastRenderedPageBreak/>
        <w:tab/>
        <w:t>f)</w:t>
      </w:r>
      <w:r w:rsidRPr="00810663">
        <w:tab/>
        <w:t>Questions diverses en suspens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5C2EB5">
        <w:trPr>
          <w:cantSplit/>
        </w:trPr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ST/SG/AC.10/C.3/2016/70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Matières susceptibles de former des polymères </w:t>
            </w:r>
            <w:r w:rsidR="005C2EB5">
              <w:t>−</w:t>
            </w:r>
            <w:r w:rsidRPr="00810663">
              <w:t xml:space="preserve"> Indication de la température critique et de la température de régulation</w:t>
            </w:r>
          </w:p>
        </w:tc>
      </w:tr>
    </w:tbl>
    <w:p w:rsidR="009818D6" w:rsidRPr="00810663" w:rsidRDefault="00810663" w:rsidP="00810663">
      <w:pPr>
        <w:pStyle w:val="H1G"/>
      </w:pPr>
      <w:r w:rsidRPr="00810663">
        <w:tab/>
        <w:t>3.</w:t>
      </w:r>
      <w:r w:rsidRPr="00810663">
        <w:tab/>
      </w:r>
      <w:r w:rsidR="009818D6" w:rsidRPr="00810663">
        <w:t>Harmonisation générale des règlements de transport des marchandises dangereuses avec le Règlement type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5C2EB5">
            <w:pPr>
              <w:spacing w:before="40" w:after="120"/>
            </w:pPr>
            <w:r w:rsidRPr="00810663">
              <w:t>ST/SG/AC.10/C.3/2016/63 et document INF.4 (Espagne)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5C2EB5">
            <w:pPr>
              <w:pStyle w:val="SingleTxtG"/>
              <w:spacing w:before="40"/>
              <w:ind w:left="0" w:right="0"/>
              <w:jc w:val="left"/>
            </w:pPr>
            <w:r w:rsidRPr="00810663">
              <w:t xml:space="preserve">Différences concernant le </w:t>
            </w:r>
            <w:r w:rsidR="005C2EB5">
              <w:t xml:space="preserve">numéro </w:t>
            </w:r>
            <w:r w:rsidRPr="00810663">
              <w:t>ONU 1386 dans le Code IMSBC et le Code IMDG et le Règlement type</w:t>
            </w:r>
          </w:p>
        </w:tc>
      </w:tr>
    </w:tbl>
    <w:p w:rsidR="009818D6" w:rsidRPr="00810663" w:rsidRDefault="00810663" w:rsidP="00810663">
      <w:pPr>
        <w:pStyle w:val="H1G"/>
      </w:pPr>
      <w:r w:rsidRPr="00810663">
        <w:tab/>
        <w:t>4.</w:t>
      </w:r>
      <w:r w:rsidRPr="00810663">
        <w:tab/>
      </w:r>
      <w:r w:rsidR="009818D6" w:rsidRPr="00810663">
        <w:t>Principes directeurs du Règlement type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5C2EB5">
            <w:pPr>
              <w:spacing w:before="40" w:after="120"/>
            </w:pPr>
            <w:r w:rsidRPr="00810663">
              <w:t xml:space="preserve">ST/SG/AC.10/C.3/2016/78 et document INF.6 </w:t>
            </w:r>
            <w:r w:rsidR="00F57DCC">
              <w:br/>
            </w:r>
            <w:r w:rsidRPr="00810663">
              <w:t>(États-Unis d’Amérique)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Affectation de codes E</w:t>
            </w:r>
            <w:r w:rsidRPr="0081066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6F079A2" wp14:editId="0277237B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73025</wp:posOffset>
                      </wp:positionV>
                      <wp:extent cx="63500" cy="443230"/>
                      <wp:effectExtent l="0" t="0" r="12700" b="13970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443230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26" type="#_x0000_t88" style="position:absolute;margin-left:-7.05pt;margin-top:5.75pt;width: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m+gQIAAC4FAAAOAAAAZHJzL2Uyb0RvYy54bWysVNFu0zAUfUfiHyy/d0natF2jpdNoWoQ0&#10;YGLwAa7tNAbHDrbbdEP8O9dOUlr2ghB5cOzcm+N7js/1ze2xlujAjRVa5Ti5ijHiimom1C7HXz5v&#10;RtcYWUcUI1IrnuMnbvHt8vWrm7bJ+FhXWjJuEIAom7VNjivnmiyKLK14TeyVbriCYKlNTRwszS5i&#10;hrSAXstoHMezqNWGNUZTbi18LbogXgb8suTUfSxLyx2SOYbaXBhNGLd+jJY3JNsZ0lSC9mWQf6ii&#10;JkLBpieogjiC9ka8gKoFNdrq0l1RXUe6LAXlgQOwSeI/2DxWpOGBC4hjm5NM9v/B0g+HB4MEy/Ec&#10;I0VqOKJPYlc59MYQytHcC9Q2NoO8x+bBeIq2udf0m4VAdBHxCws5aNu+1wyAyN7pIMqxNLX/E+ii&#10;Y9D+6aQ9PzpE4eNsMo3hgChE0nQynoSjiUg2/NsY695yXSM/ybHxRYYaww7kcG9d0J/1LAj7mmBU&#10;1hKO80AkSgF+OO6znPF5jk8Z9u0RoYJhZw+v9EZIGUwjFWpzvJiOp6ECq6VgPhgkMrvtShoEGwPR&#10;8HghAewizei9YgGs4oSt+7kjQnZzyJfK44FIPT8vV/DVj0W8WF+vr9NROp6tR2lcFKO7zSodzTbJ&#10;fFpMitWqSH760pI0qwRjXPnqBo8n6d95qO+2zp0nl1+wsOdkN+F5STa6LCNoAVyGd2AX7OQd1Flu&#10;q9kTuMnormnhkoFJpc0zRi00bI7t9z0xHCP5TkFHLJI09R0eFul0PoaFOY9szyNEUYDKscOom65c&#10;dyvsm2AtuMvCsSp9By4uhRvs3lXVex+aMjDoLxDf9efrkPX7mlv+AgAA//8DAFBLAwQUAAYACAAA&#10;ACEAVVIDg9wAAAAIAQAADwAAAGRycy9kb3ducmV2LnhtbEyPMW/CMBCF90r9D9YhdQuOoUUojYMq&#10;pEpdOkAZ6GbiI4mIz5FtIPTX95ja8el9evdduRpdLy4YYudJg5rmIJBqbztqNOy+3rMliJgMWdN7&#10;Qg03jLCqHh9KU1h/pQ1etqkRPEKxMBralIZCyli36Eyc+gGJu6MPziSOoZE2mCuPu17O8nwhnemI&#10;L7RmwHWL9Wl7dhrwM3zH9WZuU3eiW9r9fMzy/V7rp8n49goi4Zj+YLjrszpU7HTwZ7JR9Boy9awY&#10;5UK9gGAgu+eDhqWag6xK+f+B6hcAAP//AwBQSwECLQAUAAYACAAAACEAtoM4kv4AAADhAQAAEwAA&#10;AAAAAAAAAAAAAAAAAAAAW0NvbnRlbnRfVHlwZXNdLnhtbFBLAQItABQABgAIAAAAIQA4/SH/1gAA&#10;AJQBAAALAAAAAAAAAAAAAAAAAC8BAABfcmVscy8ucmVsc1BLAQItABQABgAIAAAAIQCFRym+gQIA&#10;AC4FAAAOAAAAAAAAAAAAAAAAAC4CAABkcnMvZTJvRG9jLnhtbFBLAQItABQABgAIAAAAIQBVUgOD&#10;3AAAAAgBAAAPAAAAAAAAAAAAAAAAANsEAABkcnMvZG93bnJldi54bWxQSwUGAAAAAAQABADzAAAA&#10;5AUAAAAA&#10;" adj="1393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9818D6" w:rsidRPr="00810663" w:rsidRDefault="00810663" w:rsidP="00810663">
      <w:pPr>
        <w:pStyle w:val="H1G"/>
      </w:pPr>
      <w:r w:rsidRPr="00810663">
        <w:tab/>
        <w:t>5.</w:t>
      </w:r>
      <w:r w:rsidRPr="00810663">
        <w:tab/>
      </w:r>
      <w:r w:rsidR="009818D6" w:rsidRPr="00810663">
        <w:t>Coopération avec l’Agence internationale de l’énergie atomique</w:t>
      </w:r>
    </w:p>
    <w:p w:rsidR="009818D6" w:rsidRPr="00810663" w:rsidRDefault="009818D6" w:rsidP="00F57DCC">
      <w:pPr>
        <w:pStyle w:val="SingleTxtG"/>
        <w:ind w:firstLine="567"/>
      </w:pPr>
      <w:r w:rsidRPr="00810663">
        <w:t>Au moment de la rédaction du présent document, aucun document n’avait été soumis au titre de ce point de l’ordre du jour.</w:t>
      </w:r>
    </w:p>
    <w:p w:rsidR="009818D6" w:rsidRPr="00810663" w:rsidRDefault="00810663" w:rsidP="00810663">
      <w:pPr>
        <w:pStyle w:val="H1G"/>
      </w:pPr>
      <w:r w:rsidRPr="00810663">
        <w:tab/>
        <w:t>6.</w:t>
      </w:r>
      <w:r w:rsidRPr="00810663">
        <w:tab/>
      </w:r>
      <w:r w:rsidR="009818D6" w:rsidRPr="00810663">
        <w:t>Nouvelles propositions d’amendements au Règlement type pour le transport des marchandises dangereuses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E92D75">
            <w:pPr>
              <w:spacing w:before="40" w:after="120"/>
            </w:pPr>
            <w:r w:rsidRPr="00810663">
              <w:t xml:space="preserve">ST/SG/AC.10/C.3/2016/57 et document </w:t>
            </w:r>
            <w:r w:rsidRPr="0081066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F98E141" wp14:editId="17063D9B">
                      <wp:simplePos x="0" y="0"/>
                      <wp:positionH relativeFrom="column">
                        <wp:posOffset>1487170</wp:posOffset>
                      </wp:positionH>
                      <wp:positionV relativeFrom="page">
                        <wp:posOffset>20955</wp:posOffset>
                      </wp:positionV>
                      <wp:extent cx="45085" cy="368300"/>
                      <wp:effectExtent l="0" t="0" r="12065" b="1270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68300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117.1pt;margin-top:1.65pt;width:3.5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GbggIAAC4FAAAOAAAAZHJzL2Uyb0RvYy54bWysVF1v2yAUfZ+0/4B4T22nTppYdaouTqZJ&#10;+6jW7QcQwDEbBgYkTjftv++CnSxZX6ZpfsDge32453Aut3eHVqI9t05oVeLsKsWIK6qZUNsSf/60&#10;Hs0wcp4oRqRWvMRP3OG7xcsXt50p+Fg3WjJuEYAoV3SmxI33pkgSRxveEnelDVcQrLVtiYel3SbM&#10;kg7QW5mM03SadNoyYzXlzsHXqg/iRcSva079h7p23CNZYqjNx9HGcRPGZHFLiq0lphF0KIP8QxUt&#10;EQo2PUFVxBO0s+IZVCuo1U7X/orqNtF1LSiPHIBNlv7B5rEhhkcuII4zJ5nc/4Ol7/cPFglWYjgo&#10;RVo4oo9i23j0yhLK0SwI1BlXQN6jebCBojNvNf3qIJBcRMLCQQ7adO80AyCy8zqKcqhtG/4EuugQ&#10;tX86ac8PHlH4mE/S2QQjCpHr6ew6jUeTkOL4r7HOv+a6RWFSYhuKjDXGHcj+rfNRfzawIOxLhlHd&#10;SjjOPZEI8HtMOKOznPF5Tkg57jsgQgXHnQO80mshZTSNVKgr8XwynsQKnJaChWCUyG43S2kRbAxE&#10;4xOEBLCLNKt3ikWwhhO2GuaeCNnPIV+qgAciDfyCXNFXP+bpfDVbzfJRPp6uRnlaVaP79TIfTdfZ&#10;zaS6rpbLKvsZSsvyohGMcRWqO3o8y//OQ0O39e48ufyChTsnu47Pc7LJZRlRC+ByfEd20U7BQb3l&#10;Npo9gZus7psWLhmYNNp+x6iDhi2x+7YjlmMk3yjoiHmW56HD4yKf3IxhYc8jm/MIURSgSuwx6qdL&#10;398KOxOtBXdZPFal78HFtfBHu/dVDd6HpowMhgskdP35Omb9vuYWvwAAAP//AwBQSwMEFAAGAAgA&#10;AAAhAMkMzdXbAAAACAEAAA8AAABkcnMvZG93bnJldi54bWxMj81OwzAQhO9IvIO1SNyo06QqKM2m&#10;QhFwhRYewIm3iSG2o9j54e1ZTnDaXc1o9pviuNpezDQG4x3CdpOAINd4bVyL8PH+fPcAIkTltOq9&#10;I4RvCnAsr68KlWu/uBPN59gKDnEhVwhdjEMuZWg6sips/ECOtYsfrYp8jq3Uo1o43PYyTZK9tMo4&#10;/tCpgaqOmq/zZBHeqjXMr+tink735qWuWrL154R4e7M+HkBEWuOfGX7xGR1KZqr95HQQPUKa7VK2&#10;ImQZCNbT3ZaXGmHPU5aF/F+g/AEAAP//AwBQSwECLQAUAAYACAAAACEAtoM4kv4AAADhAQAAEwAA&#10;AAAAAAAAAAAAAAAAAAAAW0NvbnRlbnRfVHlwZXNdLnhtbFBLAQItABQABgAIAAAAIQA4/SH/1gAA&#10;AJQBAAALAAAAAAAAAAAAAAAAAC8BAABfcmVscy8ucmVsc1BLAQItABQABgAIAAAAIQAgi1GbggIA&#10;AC4FAAAOAAAAAAAAAAAAAAAAAC4CAABkcnMvZTJvRG9jLnhtbFBLAQItABQABgAIAAAAIQDJDM3V&#10;2wAAAAgBAAAPAAAAAAAAAAAAAAAAANwEAABkcnMvZG93bnJldi54bWxQSwUGAAAAAAQABADzAAAA&#10;5AUAAAAA&#10;" adj="1190">
                      <w10:wrap anchory="page"/>
                      <w10:anchorlock/>
                    </v:shape>
                  </w:pict>
                </mc:Fallback>
              </mc:AlternateContent>
            </w:r>
            <w:r w:rsidRPr="00810663">
              <w:t>INF.3 (ICPP)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Emballages (y compris les GRV et les grands emballages)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ST/SG/AC.10/C.3/2016/71 (PRBA, RECHARGE)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E92D75">
            <w:pPr>
              <w:spacing w:before="40" w:after="120"/>
            </w:pPr>
            <w:r w:rsidRPr="00810663">
              <w:t xml:space="preserve">Amendements à la section 2.9.4 </w:t>
            </w:r>
            <w:r w:rsidR="00E92D75">
              <w:t xml:space="preserve">− </w:t>
            </w:r>
            <w:r w:rsidRPr="00810663">
              <w:t>batteries au lithium et disposition spéciale 310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ST/SG/AC.10/C.3/2016/79 (États-Unis d’Amérique)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Prescriptions d’</w:t>
            </w:r>
            <w:r w:rsidR="00E92D75">
              <w:t>essais des revêtements en</w:t>
            </w:r>
            <w:r w:rsidRPr="00810663">
              <w:t xml:space="preserve"> plomb des citernes mobiles contenant du brome</w:t>
            </w:r>
          </w:p>
        </w:tc>
      </w:tr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ST/SG/AC.10/C.3/2016/80 (États-Unis d’Amérique)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Classification des mélanges de matières dangereuses pour l’environnement</w:t>
            </w:r>
          </w:p>
        </w:tc>
      </w:tr>
    </w:tbl>
    <w:p w:rsidR="009818D6" w:rsidRPr="00810663" w:rsidRDefault="00810663" w:rsidP="00F57DCC">
      <w:pPr>
        <w:pStyle w:val="H1G"/>
      </w:pPr>
      <w:r w:rsidRPr="00810663">
        <w:tab/>
        <w:t>7.</w:t>
      </w:r>
      <w:r w:rsidRPr="00810663">
        <w:tab/>
      </w:r>
      <w:r w:rsidR="009818D6" w:rsidRPr="00810663">
        <w:t>Questions relatives au Système général harmonisé de classification et</w:t>
      </w:r>
      <w:r w:rsidR="00F57DCC">
        <w:t> </w:t>
      </w:r>
      <w:r w:rsidR="009818D6" w:rsidRPr="00810663">
        <w:t>d’étiquetage des produits chimiques (SGH)</w:t>
      </w:r>
    </w:p>
    <w:p w:rsidR="009818D6" w:rsidRPr="00810663" w:rsidRDefault="009818D6" w:rsidP="00810663">
      <w:pPr>
        <w:pStyle w:val="H23G"/>
      </w:pPr>
      <w:r w:rsidRPr="00810663">
        <w:tab/>
        <w:t>a)</w:t>
      </w:r>
      <w:r w:rsidRPr="00810663">
        <w:tab/>
        <w:t>Critères relatifs à l’hydroréactivité</w:t>
      </w:r>
    </w:p>
    <w:p w:rsidR="009818D6" w:rsidRPr="00810663" w:rsidRDefault="009818D6" w:rsidP="00F57DCC">
      <w:pPr>
        <w:pStyle w:val="SingleTxtG"/>
        <w:ind w:firstLine="567"/>
      </w:pPr>
      <w:r w:rsidRPr="00810663">
        <w:t>Au moment de la rédaction du présent document, aucun document n’avait été soumis au titre de ce sous-point de l’ordre du jour.</w:t>
      </w:r>
    </w:p>
    <w:p w:rsidR="009818D6" w:rsidRPr="00810663" w:rsidRDefault="009818D6" w:rsidP="00810663">
      <w:pPr>
        <w:pStyle w:val="H23G"/>
      </w:pPr>
      <w:r w:rsidRPr="00810663">
        <w:lastRenderedPageBreak/>
        <w:tab/>
        <w:t>b)</w:t>
      </w:r>
      <w:r w:rsidRPr="00810663">
        <w:tab/>
        <w:t>Épreuves et critères relatifs aux matières liquides et solides comburantes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F57DCC">
        <w:trPr>
          <w:cantSplit/>
        </w:trPr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ST/SG/AC.10/C.3/2016/73 (France)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Épreuves et critères pour les matières liquides comburantes (épreuve O.2) et solides comburantes (épreuve O.3) − Résultats définitifs du programme d’épreuves interlaboratoire</w:t>
            </w:r>
            <w:r w:rsidR="00F57DCC">
              <w:t>s</w:t>
            </w:r>
            <w:r w:rsidRPr="00810663">
              <w:t xml:space="preserve"> et propositions d’amendements aux descriptions des épreuves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c)</w:t>
      </w:r>
      <w:r w:rsidRPr="00810663">
        <w:tab/>
        <w:t>Critères de classification relatifs aux gaz inflammables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ST/SG/AC.10/C.3/2016/58 (Belgique, Japon)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Proposition de modification des critères de classification et de la communication des dangers des gaz inflammables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d)</w:t>
      </w:r>
      <w:r w:rsidRPr="00810663">
        <w:tab/>
        <w:t>Jugement d’experts et force probante des données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sous-point de l’ordre du jour.</w:t>
      </w:r>
    </w:p>
    <w:p w:rsidR="009818D6" w:rsidRPr="00810663" w:rsidRDefault="009818D6" w:rsidP="00810663">
      <w:pPr>
        <w:pStyle w:val="H23G"/>
      </w:pPr>
      <w:r w:rsidRPr="00810663">
        <w:tab/>
        <w:t>e)</w:t>
      </w:r>
      <w:r w:rsidRPr="00810663">
        <w:tab/>
        <w:t>Critères relatifs à la corrosivité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sous-point de l’ordre du jour.</w:t>
      </w:r>
    </w:p>
    <w:p w:rsidR="009818D6" w:rsidRPr="00810663" w:rsidRDefault="009818D6" w:rsidP="00F57DCC">
      <w:pPr>
        <w:pStyle w:val="H23G"/>
      </w:pPr>
      <w:r w:rsidRPr="00810663">
        <w:tab/>
        <w:t>f)</w:t>
      </w:r>
      <w:r w:rsidRPr="00810663">
        <w:tab/>
        <w:t xml:space="preserve">Mise à jour des </w:t>
      </w:r>
      <w:r w:rsidR="00F57DCC">
        <w:t>renvois</w:t>
      </w:r>
      <w:r w:rsidRPr="00810663">
        <w:t xml:space="preserve"> aux directives de l’OCDE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sous-point de l’ordre du jour.</w:t>
      </w:r>
    </w:p>
    <w:p w:rsidR="009818D6" w:rsidRPr="00810663" w:rsidRDefault="009818D6" w:rsidP="00810663">
      <w:pPr>
        <w:pStyle w:val="H23G"/>
      </w:pPr>
      <w:r w:rsidRPr="00810663">
        <w:tab/>
        <w:t>g)</w:t>
      </w:r>
      <w:r w:rsidRPr="00810663">
        <w:tab/>
        <w:t>Utilisation du Manuel d’épreuves et de critères dans le contexte du SGH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F57DCC" w:rsidP="00F57DCC">
            <w:pPr>
              <w:spacing w:before="40" w:after="120"/>
            </w:pPr>
            <w:r>
              <w:t>ST/SG/AC.10/C.3/2016/83 et d</w:t>
            </w:r>
            <w:r w:rsidR="009818D6" w:rsidRPr="00810663">
              <w:t>ocuments informels</w:t>
            </w:r>
            <w:r w:rsidR="00810663" w:rsidRPr="00810663">
              <w:t> :</w:t>
            </w:r>
            <w:r w:rsidR="009818D6" w:rsidRPr="00810663">
              <w:t xml:space="preserve"> INF.7 et 1</w:t>
            </w:r>
            <w:r>
              <w:t xml:space="preserve"> à 5 (Président du </w:t>
            </w:r>
            <w:r w:rsidR="009818D6" w:rsidRPr="00810663">
              <w:t>Groupe de travail des</w:t>
            </w:r>
            <w:r>
              <w:t> </w:t>
            </w:r>
            <w:r w:rsidR="009818D6" w:rsidRPr="00810663">
              <w:t>explosifs)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Utilisation du Manuel d’épreuves et de critères dans le contexte du SGH</w:t>
            </w:r>
          </w:p>
        </w:tc>
      </w:tr>
    </w:tbl>
    <w:p w:rsidR="009818D6" w:rsidRPr="00810663" w:rsidRDefault="009818D6" w:rsidP="00810663">
      <w:pPr>
        <w:pStyle w:val="H23G"/>
      </w:pPr>
      <w:r w:rsidRPr="00810663">
        <w:tab/>
        <w:t>h)</w:t>
      </w:r>
      <w:r w:rsidRPr="00810663">
        <w:tab/>
        <w:t>Examen du chapitre 2.1 du SGH</w:t>
      </w:r>
    </w:p>
    <w:p w:rsidR="009818D6" w:rsidRPr="00810663" w:rsidRDefault="009818D6" w:rsidP="00E50BE5">
      <w:pPr>
        <w:pStyle w:val="SingleTxtG"/>
        <w:ind w:firstLine="567"/>
      </w:pPr>
      <w:r w:rsidRPr="00810663">
        <w:t>Au moment de la rédaction du présent document, aucun document n’avait été soumis au titre de ce sous-point de l’ordre du jour.</w:t>
      </w:r>
    </w:p>
    <w:p w:rsidR="009818D6" w:rsidRPr="00810663" w:rsidRDefault="009818D6" w:rsidP="009818D6">
      <w:pPr>
        <w:pStyle w:val="H23G"/>
        <w:rPr>
          <w:b w:val="0"/>
        </w:rPr>
      </w:pPr>
      <w:r w:rsidRPr="00810663">
        <w:tab/>
        <w:t>i)</w:t>
      </w:r>
      <w:r w:rsidRPr="00810663">
        <w:tab/>
        <w:t>Divers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818D6" w:rsidRPr="00810663" w:rsidTr="00DB0B72">
        <w:tc>
          <w:tcPr>
            <w:tcW w:w="245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ST/SG/AC.10/C.3/2016/62 (Allemagne)</w:t>
            </w:r>
          </w:p>
        </w:tc>
        <w:tc>
          <w:tcPr>
            <w:tcW w:w="4920" w:type="dxa"/>
            <w:shd w:val="clear" w:color="auto" w:fill="auto"/>
          </w:tcPr>
          <w:p w:rsidR="009818D6" w:rsidRPr="00810663" w:rsidRDefault="009818D6" w:rsidP="00DB0B72">
            <w:pPr>
              <w:spacing w:before="40" w:after="120"/>
            </w:pPr>
            <w:r w:rsidRPr="00810663">
              <w:t>Corrections à apporter à la classification des liquides inflammables</w:t>
            </w:r>
          </w:p>
        </w:tc>
      </w:tr>
    </w:tbl>
    <w:p w:rsidR="009818D6" w:rsidRPr="00810663" w:rsidRDefault="00810663" w:rsidP="00810663">
      <w:pPr>
        <w:pStyle w:val="H1G"/>
      </w:pPr>
      <w:r w:rsidRPr="00810663">
        <w:tab/>
        <w:t>8.</w:t>
      </w:r>
      <w:r w:rsidRPr="00810663">
        <w:tab/>
      </w:r>
      <w:r w:rsidR="009818D6" w:rsidRPr="00810663">
        <w:t>Programme de travail pour la période biennale 2017-2018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point de l’ordre du jour.</w:t>
      </w:r>
    </w:p>
    <w:p w:rsidR="009818D6" w:rsidRPr="00810663" w:rsidRDefault="00810663" w:rsidP="00810663">
      <w:pPr>
        <w:pStyle w:val="H1G"/>
      </w:pPr>
      <w:r w:rsidRPr="00810663">
        <w:lastRenderedPageBreak/>
        <w:tab/>
        <w:t>9.</w:t>
      </w:r>
      <w:r w:rsidRPr="00810663">
        <w:tab/>
      </w:r>
      <w:r w:rsidR="009818D6" w:rsidRPr="00810663">
        <w:t>Projet de résolution 2017/… du Conseil économique et social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point de l’ordre du jour.</w:t>
      </w:r>
    </w:p>
    <w:p w:rsidR="009818D6" w:rsidRPr="00810663" w:rsidRDefault="00810663" w:rsidP="00810663">
      <w:pPr>
        <w:pStyle w:val="H1G"/>
      </w:pPr>
      <w:r w:rsidRPr="00810663">
        <w:tab/>
        <w:t>10.</w:t>
      </w:r>
      <w:r w:rsidRPr="00810663">
        <w:tab/>
      </w:r>
      <w:r w:rsidR="009818D6" w:rsidRPr="00810663">
        <w:t>Élection du bureau pour la période biennale 2017-2018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point de l’ordre du jour.</w:t>
      </w:r>
    </w:p>
    <w:p w:rsidR="009818D6" w:rsidRPr="00810663" w:rsidRDefault="009818D6" w:rsidP="00810663">
      <w:pPr>
        <w:pStyle w:val="H1G"/>
      </w:pPr>
      <w:r w:rsidRPr="00810663">
        <w:tab/>
        <w:t>11.</w:t>
      </w:r>
      <w:r w:rsidRPr="00810663">
        <w:tab/>
        <w:t>Questions diverses</w:t>
      </w:r>
    </w:p>
    <w:p w:rsidR="009818D6" w:rsidRPr="00810663" w:rsidRDefault="009818D6" w:rsidP="00810663">
      <w:pPr>
        <w:pStyle w:val="SingleTxtG"/>
        <w:ind w:firstLine="567"/>
      </w:pPr>
      <w:r w:rsidRPr="00810663">
        <w:t>Au moment de la rédaction du présent document, aucun document n’avait été soumis au titre de ce point de l’ordre du jour.</w:t>
      </w:r>
    </w:p>
    <w:p w:rsidR="009818D6" w:rsidRPr="00810663" w:rsidRDefault="009818D6" w:rsidP="00810663">
      <w:pPr>
        <w:pStyle w:val="H1G"/>
      </w:pPr>
      <w:r w:rsidRPr="00810663">
        <w:tab/>
        <w:t>12.</w:t>
      </w:r>
      <w:r w:rsidRPr="00810663">
        <w:tab/>
        <w:t>Adoption du rapport</w:t>
      </w:r>
    </w:p>
    <w:p w:rsidR="009818D6" w:rsidRPr="00810663" w:rsidRDefault="009818D6" w:rsidP="009818D6">
      <w:pPr>
        <w:pStyle w:val="SingleTxtG"/>
        <w:spacing w:before="240" w:after="0"/>
        <w:jc w:val="center"/>
        <w:rPr>
          <w:u w:val="single"/>
        </w:rPr>
      </w:pPr>
      <w:r w:rsidRPr="00810663">
        <w:rPr>
          <w:u w:val="single"/>
        </w:rPr>
        <w:tab/>
      </w:r>
      <w:r w:rsidRPr="00810663">
        <w:rPr>
          <w:u w:val="single"/>
        </w:rPr>
        <w:tab/>
      </w:r>
      <w:r w:rsidRPr="00810663">
        <w:rPr>
          <w:u w:val="single"/>
        </w:rPr>
        <w:tab/>
      </w:r>
    </w:p>
    <w:sectPr w:rsidR="009818D6" w:rsidRPr="00810663" w:rsidSect="009818D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02" w:rsidRDefault="004B4D02" w:rsidP="00F95C08">
      <w:pPr>
        <w:spacing w:line="240" w:lineRule="auto"/>
      </w:pPr>
    </w:p>
  </w:endnote>
  <w:endnote w:type="continuationSeparator" w:id="0">
    <w:p w:rsidR="004B4D02" w:rsidRPr="00AC3823" w:rsidRDefault="004B4D02" w:rsidP="00AC3823">
      <w:pPr>
        <w:pStyle w:val="Footer"/>
      </w:pPr>
    </w:p>
  </w:endnote>
  <w:endnote w:type="continuationNotice" w:id="1">
    <w:p w:rsidR="004B4D02" w:rsidRDefault="004B4D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6" w:rsidRPr="009818D6" w:rsidRDefault="009818D6" w:rsidP="009818D6">
    <w:pPr>
      <w:pStyle w:val="Footer"/>
      <w:tabs>
        <w:tab w:val="right" w:pos="9638"/>
      </w:tabs>
    </w:pPr>
    <w:r w:rsidRPr="009818D6">
      <w:rPr>
        <w:b/>
        <w:sz w:val="18"/>
      </w:rPr>
      <w:fldChar w:fldCharType="begin"/>
    </w:r>
    <w:r w:rsidRPr="009818D6">
      <w:rPr>
        <w:b/>
        <w:sz w:val="18"/>
      </w:rPr>
      <w:instrText xml:space="preserve"> PAGE  \* MERGEFORMAT </w:instrText>
    </w:r>
    <w:r w:rsidRPr="009818D6">
      <w:rPr>
        <w:b/>
        <w:sz w:val="18"/>
      </w:rPr>
      <w:fldChar w:fldCharType="separate"/>
    </w:r>
    <w:r w:rsidR="00C07439">
      <w:rPr>
        <w:b/>
        <w:noProof/>
        <w:sz w:val="18"/>
      </w:rPr>
      <w:t>6</w:t>
    </w:r>
    <w:r w:rsidRPr="009818D6">
      <w:rPr>
        <w:b/>
        <w:sz w:val="18"/>
      </w:rPr>
      <w:fldChar w:fldCharType="end"/>
    </w:r>
    <w:r>
      <w:rPr>
        <w:b/>
        <w:sz w:val="18"/>
      </w:rPr>
      <w:tab/>
    </w:r>
    <w:r>
      <w:t>GE.16-16066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6" w:rsidRPr="009818D6" w:rsidRDefault="009818D6" w:rsidP="009818D6">
    <w:pPr>
      <w:pStyle w:val="Footer"/>
      <w:tabs>
        <w:tab w:val="right" w:pos="9638"/>
      </w:tabs>
      <w:rPr>
        <w:b/>
        <w:sz w:val="18"/>
      </w:rPr>
    </w:pPr>
    <w:r>
      <w:t>GE.16-16066</w:t>
    </w:r>
    <w:r>
      <w:tab/>
    </w:r>
    <w:r w:rsidRPr="009818D6">
      <w:rPr>
        <w:b/>
        <w:sz w:val="18"/>
      </w:rPr>
      <w:fldChar w:fldCharType="begin"/>
    </w:r>
    <w:r w:rsidRPr="009818D6">
      <w:rPr>
        <w:b/>
        <w:sz w:val="18"/>
      </w:rPr>
      <w:instrText xml:space="preserve"> PAGE  \* MERGEFORMAT </w:instrText>
    </w:r>
    <w:r w:rsidRPr="009818D6">
      <w:rPr>
        <w:b/>
        <w:sz w:val="18"/>
      </w:rPr>
      <w:fldChar w:fldCharType="separate"/>
    </w:r>
    <w:r w:rsidR="00C07439">
      <w:rPr>
        <w:b/>
        <w:noProof/>
        <w:sz w:val="18"/>
      </w:rPr>
      <w:t>5</w:t>
    </w:r>
    <w:r w:rsidRPr="009818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9818D6" w:rsidRDefault="009818D6" w:rsidP="009818D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7A6266B" wp14:editId="6C1CD4A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16-16066  (F)    061016    071016</w:t>
    </w:r>
    <w:r>
      <w:rPr>
        <w:sz w:val="20"/>
      </w:rPr>
      <w:br/>
    </w:r>
    <w:r w:rsidRPr="009818D6">
      <w:rPr>
        <w:rFonts w:ascii="C39T30Lfz" w:hAnsi="C39T30Lfz"/>
        <w:sz w:val="56"/>
      </w:rPr>
      <w:t></w:t>
    </w:r>
    <w:r w:rsidRPr="009818D6">
      <w:rPr>
        <w:rFonts w:ascii="C39T30Lfz" w:hAnsi="C39T30Lfz"/>
        <w:sz w:val="56"/>
      </w:rPr>
      <w:t></w:t>
    </w:r>
    <w:r w:rsidRPr="009818D6">
      <w:rPr>
        <w:rFonts w:ascii="C39T30Lfz" w:hAnsi="C39T30Lfz"/>
        <w:sz w:val="56"/>
      </w:rPr>
      <w:t></w:t>
    </w:r>
    <w:r w:rsidRPr="009818D6">
      <w:rPr>
        <w:rFonts w:ascii="C39T30Lfz" w:hAnsi="C39T30Lfz"/>
        <w:sz w:val="56"/>
      </w:rPr>
      <w:t></w:t>
    </w:r>
    <w:r w:rsidRPr="009818D6">
      <w:rPr>
        <w:rFonts w:ascii="C39T30Lfz" w:hAnsi="C39T30Lfz"/>
        <w:sz w:val="56"/>
      </w:rPr>
      <w:t></w:t>
    </w:r>
    <w:r w:rsidRPr="009818D6">
      <w:rPr>
        <w:rFonts w:ascii="C39T30Lfz" w:hAnsi="C39T30Lfz"/>
        <w:sz w:val="56"/>
      </w:rPr>
      <w:t></w:t>
    </w:r>
    <w:r w:rsidRPr="009818D6">
      <w:rPr>
        <w:rFonts w:ascii="C39T30Lfz" w:hAnsi="C39T30Lfz"/>
        <w:sz w:val="56"/>
      </w:rPr>
      <w:t></w:t>
    </w:r>
    <w:r w:rsidRPr="009818D6">
      <w:rPr>
        <w:rFonts w:ascii="C39T30Lfz" w:hAnsi="C39T30Lfz"/>
        <w:sz w:val="56"/>
      </w:rPr>
      <w:t></w:t>
    </w:r>
    <w:r w:rsidRPr="009818D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0A2354B" wp14:editId="39E3407C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99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99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02" w:rsidRPr="00AC3823" w:rsidRDefault="004B4D0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4D02" w:rsidRPr="00AC3823" w:rsidRDefault="004B4D0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4D02" w:rsidRPr="00AC3823" w:rsidRDefault="004B4D02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6" w:rsidRPr="009818D6" w:rsidRDefault="009818D6">
    <w:pPr>
      <w:pStyle w:val="Header"/>
    </w:pPr>
    <w:r>
      <w:t>ST/SG/AC.10/C.3/99/Add.1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D6" w:rsidRPr="009818D6" w:rsidRDefault="009818D6" w:rsidP="009818D6">
    <w:pPr>
      <w:pStyle w:val="Header"/>
      <w:jc w:val="right"/>
    </w:pPr>
    <w:r>
      <w:t>ST/SG/AC.10/C.3/99/Add.1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B4D02"/>
    <w:rsid w:val="004E468C"/>
    <w:rsid w:val="005505B7"/>
    <w:rsid w:val="00573BE5"/>
    <w:rsid w:val="00586ED3"/>
    <w:rsid w:val="00596AA9"/>
    <w:rsid w:val="005C2EB5"/>
    <w:rsid w:val="0068456F"/>
    <w:rsid w:val="0071601D"/>
    <w:rsid w:val="007A62E6"/>
    <w:rsid w:val="0080684C"/>
    <w:rsid w:val="00810663"/>
    <w:rsid w:val="00857F76"/>
    <w:rsid w:val="00871C75"/>
    <w:rsid w:val="00873FD8"/>
    <w:rsid w:val="008776DC"/>
    <w:rsid w:val="009705C8"/>
    <w:rsid w:val="009818D6"/>
    <w:rsid w:val="009C1CF4"/>
    <w:rsid w:val="00A30353"/>
    <w:rsid w:val="00AC3823"/>
    <w:rsid w:val="00AE323C"/>
    <w:rsid w:val="00B00181"/>
    <w:rsid w:val="00B00B0D"/>
    <w:rsid w:val="00B423EC"/>
    <w:rsid w:val="00B765F7"/>
    <w:rsid w:val="00BA0CA9"/>
    <w:rsid w:val="00C02897"/>
    <w:rsid w:val="00C07439"/>
    <w:rsid w:val="00D3439C"/>
    <w:rsid w:val="00DB1831"/>
    <w:rsid w:val="00DD3BFD"/>
    <w:rsid w:val="00DF6678"/>
    <w:rsid w:val="00E4683D"/>
    <w:rsid w:val="00E50BE5"/>
    <w:rsid w:val="00E92D75"/>
    <w:rsid w:val="00EF2E22"/>
    <w:rsid w:val="00F57DCC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818D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9818D6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818D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9818D6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ST/SG/AC.10/C.3/99/Add.1</vt:lpstr>
      <vt:lpstr>ST/SG/AC.10/C.3/99/Add.1</vt:lpstr>
    </vt:vector>
  </TitlesOfParts>
  <Company>DCM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ST/SG/AC.10/C.3/99/Add.1</dc:title>
  <dc:creator>Morin</dc:creator>
  <cp:lastModifiedBy>Laurence Berthet</cp:lastModifiedBy>
  <cp:revision>2</cp:revision>
  <cp:lastPrinted>2016-10-07T12:34:00Z</cp:lastPrinted>
  <dcterms:created xsi:type="dcterms:W3CDTF">2016-10-25T07:22:00Z</dcterms:created>
  <dcterms:modified xsi:type="dcterms:W3CDTF">2016-10-25T07:22:00Z</dcterms:modified>
</cp:coreProperties>
</file>