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02475E"/>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02475E" w:rsidP="0002475E">
            <w:pPr>
              <w:jc w:val="right"/>
            </w:pPr>
            <w:r w:rsidRPr="0002475E">
              <w:rPr>
                <w:sz w:val="40"/>
              </w:rPr>
              <w:t>ST</w:t>
            </w:r>
            <w:r>
              <w:t>/SG/AC.10/C.3/2016/8</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02475E" w:rsidP="009C3129">
            <w:pPr>
              <w:spacing w:before="240"/>
            </w:pPr>
            <w:r>
              <w:t>Distr. générale</w:t>
            </w:r>
          </w:p>
          <w:p w:rsidR="0002475E" w:rsidRDefault="0002475E" w:rsidP="0002475E">
            <w:pPr>
              <w:spacing w:line="240" w:lineRule="exact"/>
            </w:pPr>
            <w:r>
              <w:t>29 mars 2016</w:t>
            </w:r>
          </w:p>
          <w:p w:rsidR="0002475E" w:rsidRDefault="0002475E" w:rsidP="0002475E">
            <w:pPr>
              <w:spacing w:line="240" w:lineRule="exact"/>
            </w:pPr>
            <w:r>
              <w:t>Français</w:t>
            </w:r>
          </w:p>
          <w:p w:rsidR="0002475E" w:rsidRPr="00DB58B5" w:rsidRDefault="0002475E" w:rsidP="0002475E">
            <w:pPr>
              <w:spacing w:line="240" w:lineRule="exact"/>
            </w:pPr>
            <w:r>
              <w:t>Original : anglais</w:t>
            </w:r>
          </w:p>
        </w:tc>
      </w:tr>
    </w:tbl>
    <w:p w:rsidR="00E0458B" w:rsidRPr="00CA0680" w:rsidRDefault="00E0458B" w:rsidP="000305D3">
      <w:pPr>
        <w:spacing w:before="120"/>
        <w:rPr>
          <w:b/>
          <w:sz w:val="24"/>
          <w:szCs w:val="24"/>
        </w:rPr>
      </w:pPr>
      <w:r w:rsidRPr="00CA0680">
        <w:rPr>
          <w:b/>
          <w:sz w:val="24"/>
          <w:szCs w:val="24"/>
        </w:rPr>
        <w:t>Comité d</w:t>
      </w:r>
      <w:r w:rsidR="000273DA">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sidR="000273DA">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0273DA">
        <w:rPr>
          <w:b/>
          <w:sz w:val="24"/>
          <w:szCs w:val="24"/>
        </w:rPr>
        <w:t xml:space="preserve"> </w:t>
      </w:r>
      <w:r>
        <w:rPr>
          <w:b/>
          <w:sz w:val="24"/>
          <w:szCs w:val="24"/>
        </w:rPr>
        <w:br/>
      </w:r>
      <w:r w:rsidRPr="00CA0680">
        <w:rPr>
          <w:b/>
          <w:sz w:val="24"/>
          <w:szCs w:val="24"/>
        </w:rPr>
        <w:t>et d</w:t>
      </w:r>
      <w:r w:rsidR="000273DA">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E0458B" w:rsidRPr="00CA0680" w:rsidRDefault="00E0458B" w:rsidP="000305D3">
      <w:pPr>
        <w:spacing w:before="120"/>
        <w:rPr>
          <w:b/>
        </w:rPr>
      </w:pPr>
      <w:r w:rsidRPr="00CA0680">
        <w:rPr>
          <w:b/>
        </w:rPr>
        <w:t>Sous</w:t>
      </w:r>
      <w:r>
        <w:rPr>
          <w:b/>
        </w:rPr>
        <w:t>-</w:t>
      </w:r>
      <w:r w:rsidRPr="00CA0680">
        <w:rPr>
          <w:b/>
        </w:rPr>
        <w:t>Comité d</w:t>
      </w:r>
      <w:r w:rsidR="000273DA">
        <w:rPr>
          <w:b/>
        </w:rPr>
        <w:t>’</w:t>
      </w:r>
      <w:r w:rsidRPr="00CA0680">
        <w:rPr>
          <w:b/>
        </w:rPr>
        <w:t>experts du transport des marchandises dangereus</w:t>
      </w:r>
      <w:bookmarkStart w:id="0" w:name="_GoBack"/>
      <w:bookmarkEnd w:id="0"/>
      <w:r w:rsidRPr="00CA0680">
        <w:rPr>
          <w:b/>
        </w:rPr>
        <w:t>es</w:t>
      </w:r>
    </w:p>
    <w:p w:rsidR="00E0458B" w:rsidRDefault="00E0458B" w:rsidP="000305D3">
      <w:pPr>
        <w:spacing w:before="120"/>
        <w:rPr>
          <w:b/>
        </w:rPr>
      </w:pPr>
      <w:r w:rsidRPr="00E0458B">
        <w:rPr>
          <w:b/>
          <w:bCs/>
          <w:lang w:val="fr-FR"/>
        </w:rPr>
        <w:t>Quarante-neuvième</w:t>
      </w:r>
      <w:r>
        <w:rPr>
          <w:b/>
        </w:rPr>
        <w:t xml:space="preserve"> </w:t>
      </w:r>
      <w:r w:rsidRPr="00CA0680">
        <w:rPr>
          <w:b/>
        </w:rPr>
        <w:t>session</w:t>
      </w:r>
    </w:p>
    <w:p w:rsidR="00E0458B" w:rsidRDefault="00E0458B" w:rsidP="000305D3">
      <w:r>
        <w:t xml:space="preserve">Genève, </w:t>
      </w:r>
      <w:r w:rsidRPr="00E0458B">
        <w:rPr>
          <w:lang w:val="fr-FR"/>
        </w:rPr>
        <w:t>27 juin</w:t>
      </w:r>
      <w:r>
        <w:rPr>
          <w:lang w:val="fr-FR"/>
        </w:rPr>
        <w:t>-</w:t>
      </w:r>
      <w:r w:rsidRPr="00E0458B">
        <w:rPr>
          <w:lang w:val="fr-FR"/>
        </w:rPr>
        <w:t>6 juillet 2016</w:t>
      </w:r>
    </w:p>
    <w:p w:rsidR="00E0458B" w:rsidRDefault="00E0458B" w:rsidP="000305D3">
      <w:r>
        <w:t xml:space="preserve">Point </w:t>
      </w:r>
      <w:r w:rsidRPr="00E0458B">
        <w:rPr>
          <w:lang w:val="fr-FR"/>
        </w:rPr>
        <w:t xml:space="preserve">5 b) </w:t>
      </w:r>
      <w:r>
        <w:t>de l</w:t>
      </w:r>
      <w:r w:rsidR="000273DA">
        <w:t>’</w:t>
      </w:r>
      <w:r>
        <w:t>ordre du jour provisoire</w:t>
      </w:r>
    </w:p>
    <w:p w:rsidR="0002475E" w:rsidRDefault="00E0458B" w:rsidP="00AC3823">
      <w:pPr>
        <w:rPr>
          <w:b/>
          <w:bCs/>
          <w:lang w:val="fr-FR"/>
        </w:rPr>
      </w:pPr>
      <w:r w:rsidRPr="00DD5E69">
        <w:rPr>
          <w:b/>
          <w:bCs/>
          <w:lang w:val="fr-FR"/>
        </w:rPr>
        <w:t>Transport de gaz</w:t>
      </w:r>
      <w:r w:rsidR="0033443B">
        <w:rPr>
          <w:b/>
          <w:bCs/>
          <w:lang w:val="fr-FR"/>
        </w:rPr>
        <w:t> :</w:t>
      </w:r>
      <w:r w:rsidRPr="00DD5E69">
        <w:rPr>
          <w:b/>
          <w:bCs/>
          <w:lang w:val="fr-FR"/>
        </w:rPr>
        <w:t xml:space="preserve"> Questions diverses</w:t>
      </w:r>
    </w:p>
    <w:p w:rsidR="00E0458B" w:rsidRPr="00DD5E69" w:rsidRDefault="00E0458B" w:rsidP="0033443B">
      <w:pPr>
        <w:pStyle w:val="HChG"/>
        <w:rPr>
          <w:lang w:val="fr-FR" w:eastAsia="en-GB"/>
        </w:rPr>
      </w:pPr>
      <w:r w:rsidRPr="00DD5E69">
        <w:rPr>
          <w:lang w:val="fr-FR"/>
        </w:rPr>
        <w:tab/>
      </w:r>
      <w:r w:rsidRPr="00DD5E69">
        <w:rPr>
          <w:lang w:val="fr-FR"/>
        </w:rPr>
        <w:tab/>
        <w:t xml:space="preserve">Transport de réservoirs à gaz destinés aux véhicules automobiles </w:t>
      </w:r>
    </w:p>
    <w:p w:rsidR="00E0458B" w:rsidRPr="00DD5E69" w:rsidRDefault="00E0458B" w:rsidP="0033443B">
      <w:pPr>
        <w:pStyle w:val="H1G"/>
        <w:rPr>
          <w:lang w:val="fr-FR" w:eastAsia="en-GB"/>
        </w:rPr>
      </w:pPr>
      <w:r w:rsidRPr="00DD5E69">
        <w:rPr>
          <w:lang w:val="fr-FR" w:eastAsia="en-GB"/>
        </w:rPr>
        <w:tab/>
      </w:r>
      <w:r w:rsidRPr="00DD5E69">
        <w:rPr>
          <w:lang w:val="fr-FR" w:eastAsia="en-GB"/>
        </w:rPr>
        <w:tab/>
      </w:r>
      <w:r w:rsidRPr="00DD5E69">
        <w:rPr>
          <w:lang w:val="fr-FR"/>
        </w:rPr>
        <w:t>Communication des experts de l</w:t>
      </w:r>
      <w:r w:rsidR="000273DA">
        <w:rPr>
          <w:lang w:val="fr-FR"/>
        </w:rPr>
        <w:t>’</w:t>
      </w:r>
      <w:r w:rsidRPr="00DD5E69">
        <w:rPr>
          <w:lang w:val="fr-FR"/>
        </w:rPr>
        <w:t>Allemagne</w:t>
      </w:r>
      <w:r w:rsidRPr="00D10EEC">
        <w:rPr>
          <w:rStyle w:val="FootnoteReference"/>
          <w:b w:val="0"/>
        </w:rPr>
        <w:footnoteReference w:id="2"/>
      </w:r>
    </w:p>
    <w:p w:rsidR="00E0458B" w:rsidRPr="00DD5E69" w:rsidRDefault="00E0458B" w:rsidP="0033443B">
      <w:pPr>
        <w:pStyle w:val="HChG"/>
        <w:rPr>
          <w:lang w:val="fr-FR" w:eastAsia="en-GB"/>
        </w:rPr>
      </w:pPr>
      <w:r w:rsidRPr="00DD5E69">
        <w:rPr>
          <w:lang w:val="fr-FR" w:eastAsia="en-GB"/>
        </w:rPr>
        <w:tab/>
      </w:r>
      <w:r w:rsidRPr="00DD5E69">
        <w:rPr>
          <w:lang w:val="fr-FR" w:eastAsia="en-GB"/>
        </w:rPr>
        <w:tab/>
        <w:t>Introduction</w:t>
      </w:r>
    </w:p>
    <w:p w:rsidR="00E0458B" w:rsidRPr="00DD5E69" w:rsidRDefault="00E0458B" w:rsidP="00884484">
      <w:pPr>
        <w:pStyle w:val="ParNoG"/>
        <w:rPr>
          <w:lang w:val="fr-FR" w:eastAsia="en-GB"/>
        </w:rPr>
      </w:pPr>
      <w:r w:rsidRPr="00DD5E69">
        <w:rPr>
          <w:lang w:val="fr-FR"/>
        </w:rPr>
        <w:t>À sa quarante-septième session, le Sous-Comité a examiné le document</w:t>
      </w:r>
      <w:r w:rsidR="0033443B">
        <w:rPr>
          <w:rStyle w:val="apple-converted-space"/>
          <w:color w:val="000000"/>
          <w:lang w:val="fr-FR"/>
        </w:rPr>
        <w:t xml:space="preserve"> </w:t>
      </w:r>
      <w:r w:rsidRPr="00DD5E69">
        <w:rPr>
          <w:lang w:val="fr-FR" w:eastAsia="en-GB"/>
        </w:rPr>
        <w:t>ST/SG/AC.10/C.3/2015/5, qui proposait une disposition spéciale concernant le t</w:t>
      </w:r>
      <w:r w:rsidRPr="00DD5E69">
        <w:rPr>
          <w:lang w:val="fr-FR"/>
        </w:rPr>
        <w:t>ransport de réservoirs à gaz destinés aux véhicules automobiles</w:t>
      </w:r>
      <w:r w:rsidRPr="00DD5E69">
        <w:rPr>
          <w:lang w:val="fr-FR" w:eastAsia="en-GB"/>
        </w:rPr>
        <w:t>. Le Sous-Comité s</w:t>
      </w:r>
      <w:r w:rsidR="000273DA">
        <w:rPr>
          <w:lang w:val="fr-FR" w:eastAsia="en-GB"/>
        </w:rPr>
        <w:t>’</w:t>
      </w:r>
      <w:r w:rsidRPr="00DD5E69">
        <w:rPr>
          <w:lang w:val="fr-FR" w:eastAsia="en-GB"/>
        </w:rPr>
        <w:t>est félicité de l</w:t>
      </w:r>
      <w:r w:rsidR="000273DA">
        <w:rPr>
          <w:lang w:val="fr-FR" w:eastAsia="en-GB"/>
        </w:rPr>
        <w:t>’</w:t>
      </w:r>
      <w:r w:rsidRPr="00DD5E69">
        <w:rPr>
          <w:lang w:val="fr-FR" w:eastAsia="en-GB"/>
        </w:rPr>
        <w:t>initiative, mais plusieurs observations ont été formulées au sujet des précisions données dans le document. Suite à ces observations, le document informel INF.12 a été présenté à la quarante-huitième session. Certains experts ne voyaient pas la nécessité d</w:t>
      </w:r>
      <w:r w:rsidR="000273DA">
        <w:rPr>
          <w:lang w:val="fr-FR" w:eastAsia="en-GB"/>
        </w:rPr>
        <w:t>’</w:t>
      </w:r>
      <w:r w:rsidRPr="00DD5E69">
        <w:rPr>
          <w:lang w:val="fr-FR" w:eastAsia="en-GB"/>
        </w:rPr>
        <w:t xml:space="preserve">insérer des dispositions </w:t>
      </w:r>
      <w:r w:rsidRPr="00DD5E69">
        <w:rPr>
          <w:lang w:val="fr-FR"/>
        </w:rPr>
        <w:t>pour le transport des réservoirs</w:t>
      </w:r>
      <w:r w:rsidRPr="00DD5E69">
        <w:rPr>
          <w:lang w:val="fr-FR" w:eastAsia="en-GB"/>
        </w:rPr>
        <w:t>, mais d</w:t>
      </w:r>
      <w:r w:rsidR="000273DA">
        <w:rPr>
          <w:lang w:val="fr-FR" w:eastAsia="en-GB"/>
        </w:rPr>
        <w:t>’</w:t>
      </w:r>
      <w:r w:rsidRPr="00DD5E69">
        <w:rPr>
          <w:lang w:val="fr-FR" w:eastAsia="en-GB"/>
        </w:rPr>
        <w:t>autres s</w:t>
      </w:r>
      <w:r w:rsidR="000273DA">
        <w:rPr>
          <w:lang w:val="fr-FR" w:eastAsia="en-GB"/>
        </w:rPr>
        <w:t>’</w:t>
      </w:r>
      <w:r w:rsidRPr="00DD5E69">
        <w:rPr>
          <w:lang w:val="fr-FR" w:eastAsia="en-GB"/>
        </w:rPr>
        <w:t xml:space="preserve">y sont déclarés favorables. </w:t>
      </w:r>
      <w:r w:rsidRPr="00DD5E69">
        <w:rPr>
          <w:lang w:val="fr-FR"/>
        </w:rPr>
        <w:t>Les représentants de l</w:t>
      </w:r>
      <w:r w:rsidR="000273DA">
        <w:rPr>
          <w:lang w:val="fr-FR"/>
        </w:rPr>
        <w:t>’</w:t>
      </w:r>
      <w:r w:rsidRPr="00DD5E69">
        <w:rPr>
          <w:lang w:val="fr-FR"/>
        </w:rPr>
        <w:t>OICA et de COSTHA ont souligné l</w:t>
      </w:r>
      <w:r w:rsidR="000273DA">
        <w:rPr>
          <w:lang w:val="fr-FR"/>
        </w:rPr>
        <w:t>’</w:t>
      </w:r>
      <w:r w:rsidRPr="00DD5E69">
        <w:rPr>
          <w:lang w:val="fr-FR"/>
        </w:rPr>
        <w:t>importance de telles dispositions pour l</w:t>
      </w:r>
      <w:r w:rsidR="000273DA">
        <w:rPr>
          <w:lang w:val="fr-FR"/>
        </w:rPr>
        <w:t>’</w:t>
      </w:r>
      <w:r w:rsidRPr="00DD5E69">
        <w:rPr>
          <w:lang w:val="fr-FR"/>
        </w:rPr>
        <w:t>industrie automobile</w:t>
      </w:r>
      <w:r w:rsidRPr="00DD5E69">
        <w:rPr>
          <w:lang w:val="fr-FR" w:eastAsia="en-GB"/>
        </w:rPr>
        <w:t>.</w:t>
      </w:r>
      <w:r w:rsidRPr="00DD5E69">
        <w:rPr>
          <w:lang w:val="fr-FR"/>
        </w:rPr>
        <w:t xml:space="preserve"> Ces dispositions avaient été introduites dans le RID, </w:t>
      </w:r>
      <w:r w:rsidR="00D10EEC">
        <w:rPr>
          <w:lang w:val="fr-FR"/>
        </w:rPr>
        <w:t>l’</w:t>
      </w:r>
      <w:r w:rsidRPr="00DD5E69">
        <w:rPr>
          <w:lang w:val="fr-FR"/>
        </w:rPr>
        <w:t>ADR et l</w:t>
      </w:r>
      <w:r w:rsidR="000273DA">
        <w:rPr>
          <w:lang w:val="fr-FR"/>
        </w:rPr>
        <w:t>’</w:t>
      </w:r>
      <w:r w:rsidRPr="00DD5E69">
        <w:rPr>
          <w:lang w:val="fr-FR"/>
        </w:rPr>
        <w:t>ADN</w:t>
      </w:r>
      <w:r w:rsidRPr="00DD5E69">
        <w:rPr>
          <w:lang w:val="fr-FR" w:eastAsia="en-GB"/>
        </w:rPr>
        <w:t xml:space="preserve"> et les </w:t>
      </w:r>
      <w:r w:rsidRPr="00DD5E69">
        <w:rPr>
          <w:lang w:val="fr-FR"/>
        </w:rPr>
        <w:t>autorités compétentes</w:t>
      </w:r>
      <w:r w:rsidRPr="00DD5E69">
        <w:rPr>
          <w:lang w:val="fr-FR" w:eastAsia="en-GB"/>
        </w:rPr>
        <w:t xml:space="preserve"> avaient donné leur agrément dans d</w:t>
      </w:r>
      <w:r w:rsidR="000273DA">
        <w:rPr>
          <w:lang w:val="fr-FR" w:eastAsia="en-GB"/>
        </w:rPr>
        <w:t>’</w:t>
      </w:r>
      <w:r w:rsidRPr="00DD5E69">
        <w:rPr>
          <w:lang w:val="fr-FR" w:eastAsia="en-GB"/>
        </w:rPr>
        <w:t>autres parties du monde.</w:t>
      </w:r>
    </w:p>
    <w:p w:rsidR="00E0458B" w:rsidRPr="00DD5E69" w:rsidRDefault="00E0458B" w:rsidP="0033443B">
      <w:pPr>
        <w:pStyle w:val="ParNoG"/>
        <w:rPr>
          <w:lang w:val="fr-FR"/>
        </w:rPr>
      </w:pPr>
      <w:r w:rsidRPr="00DD5E69">
        <w:rPr>
          <w:color w:val="000000"/>
          <w:lang w:val="fr-FR"/>
        </w:rPr>
        <w:t>Les réservoirs destinés à être installés sur des véhicules sont habituellement transportés soit vides soit remplis d</w:t>
      </w:r>
      <w:r w:rsidR="000273DA">
        <w:rPr>
          <w:color w:val="000000"/>
          <w:lang w:val="fr-FR"/>
        </w:rPr>
        <w:t>’</w:t>
      </w:r>
      <w:r w:rsidRPr="00DD5E69">
        <w:rPr>
          <w:color w:val="000000"/>
          <w:lang w:val="fr-FR"/>
        </w:rPr>
        <w:t xml:space="preserve">un gaz inerte à basse </w:t>
      </w:r>
      <w:r w:rsidRPr="0033443B">
        <w:rPr>
          <w:lang w:val="fr-FR" w:eastAsia="en-GB"/>
        </w:rPr>
        <w:t>pression</w:t>
      </w:r>
      <w:r w:rsidRPr="00DD5E69">
        <w:rPr>
          <w:lang w:val="fr-FR" w:eastAsia="en-GB"/>
        </w:rPr>
        <w:t>. Cependant, dans certains cas, il est nécessaire de transporter des réservoirs pleins, notamment si des réservoirs démontés doivent être transportés pour être réparés, éliminés ou recyclés, ou encore pour répondre aux besoins du processus de production.</w:t>
      </w:r>
      <w:r w:rsidRPr="00DD5E69">
        <w:rPr>
          <w:lang w:val="fr-FR"/>
        </w:rPr>
        <w:t xml:space="preserve"> </w:t>
      </w:r>
    </w:p>
    <w:p w:rsidR="00E0458B" w:rsidRPr="00DD5E69" w:rsidRDefault="00E0458B" w:rsidP="0033443B">
      <w:pPr>
        <w:pStyle w:val="ParNoG"/>
        <w:rPr>
          <w:lang w:val="fr-FR" w:eastAsia="en-GB"/>
        </w:rPr>
      </w:pPr>
      <w:r w:rsidRPr="00DD5E69">
        <w:rPr>
          <w:color w:val="000000"/>
          <w:lang w:val="fr-FR"/>
        </w:rPr>
        <w:lastRenderedPageBreak/>
        <w:t>Un atelier de réparation qui remplace un réservoir ne dispose pas toujours de l</w:t>
      </w:r>
      <w:r w:rsidR="000273DA">
        <w:rPr>
          <w:color w:val="000000"/>
          <w:lang w:val="fr-FR"/>
        </w:rPr>
        <w:t>’</w:t>
      </w:r>
      <w:r w:rsidRPr="00DD5E69">
        <w:rPr>
          <w:color w:val="000000"/>
          <w:lang w:val="fr-FR"/>
        </w:rPr>
        <w:t>équipement nécessaire pour vider (complètement) ce réservoir.</w:t>
      </w:r>
      <w:r w:rsidRPr="00DD5E69">
        <w:rPr>
          <w:lang w:val="fr-FR" w:eastAsia="en-GB"/>
        </w:rPr>
        <w:t xml:space="preserve"> </w:t>
      </w:r>
      <w:r w:rsidRPr="00DD5E69">
        <w:rPr>
          <w:color w:val="000000"/>
          <w:lang w:val="fr-FR"/>
        </w:rPr>
        <w:t>Le réservoir démonté doit donc être transporté encore plein pour être éliminé ou recyclé.</w:t>
      </w:r>
      <w:r w:rsidRPr="00DD5E69">
        <w:rPr>
          <w:lang w:val="fr-FR" w:eastAsia="en-GB"/>
        </w:rPr>
        <w:t xml:space="preserve"> </w:t>
      </w:r>
      <w:r w:rsidRPr="00DD5E69">
        <w:rPr>
          <w:color w:val="000000"/>
          <w:lang w:val="fr-FR"/>
        </w:rPr>
        <w:t>Tel peut aussi être le cas lorsqu</w:t>
      </w:r>
      <w:r w:rsidR="000273DA">
        <w:rPr>
          <w:color w:val="000000"/>
          <w:lang w:val="fr-FR"/>
        </w:rPr>
        <w:t>’</w:t>
      </w:r>
      <w:r w:rsidRPr="00DD5E69">
        <w:rPr>
          <w:color w:val="000000"/>
          <w:lang w:val="fr-FR"/>
        </w:rPr>
        <w:t>un réservoir démonté est transporté jusqu</w:t>
      </w:r>
      <w:r w:rsidR="000273DA">
        <w:rPr>
          <w:color w:val="000000"/>
          <w:lang w:val="fr-FR"/>
        </w:rPr>
        <w:t>’</w:t>
      </w:r>
      <w:r w:rsidRPr="00DD5E69">
        <w:rPr>
          <w:color w:val="000000"/>
          <w:lang w:val="fr-FR"/>
        </w:rPr>
        <w:t>à un site d</w:t>
      </w:r>
      <w:r w:rsidR="000273DA">
        <w:rPr>
          <w:color w:val="000000"/>
          <w:lang w:val="fr-FR"/>
        </w:rPr>
        <w:t>’</w:t>
      </w:r>
      <w:r w:rsidRPr="00DD5E69">
        <w:rPr>
          <w:color w:val="000000"/>
          <w:lang w:val="fr-FR"/>
        </w:rPr>
        <w:t xml:space="preserve">inspection, par exemple en cas de demande </w:t>
      </w:r>
      <w:r w:rsidRPr="0033443B">
        <w:rPr>
          <w:lang w:val="fr-FR" w:eastAsia="en-GB"/>
        </w:rPr>
        <w:t>d</w:t>
      </w:r>
      <w:r w:rsidR="000273DA">
        <w:rPr>
          <w:lang w:val="fr-FR" w:eastAsia="en-GB"/>
        </w:rPr>
        <w:t>’</w:t>
      </w:r>
      <w:r w:rsidRPr="0033443B">
        <w:rPr>
          <w:lang w:val="fr-FR" w:eastAsia="en-GB"/>
        </w:rPr>
        <w:t>activation</w:t>
      </w:r>
      <w:r w:rsidRPr="00DD5E69">
        <w:rPr>
          <w:color w:val="000000"/>
          <w:lang w:val="fr-FR"/>
        </w:rPr>
        <w:t xml:space="preserve"> de garantie.</w:t>
      </w:r>
      <w:r w:rsidRPr="00DD5E69">
        <w:rPr>
          <w:lang w:val="fr-FR" w:eastAsia="en-GB"/>
        </w:rPr>
        <w:t xml:space="preserve"> </w:t>
      </w:r>
    </w:p>
    <w:p w:rsidR="00E0458B" w:rsidRPr="00DD5E69" w:rsidRDefault="00E0458B" w:rsidP="0033443B">
      <w:pPr>
        <w:pStyle w:val="ParNoG"/>
        <w:rPr>
          <w:lang w:val="fr-FR" w:eastAsia="en-GB"/>
        </w:rPr>
      </w:pPr>
      <w:r w:rsidRPr="00DD5E69">
        <w:rPr>
          <w:lang w:val="fr-FR"/>
        </w:rPr>
        <w:t>En outre, pour simplifier le processus de production, on transporte parfois les nouveaux réservoirs à hydrogène pleins jusqu</w:t>
      </w:r>
      <w:r w:rsidR="000273DA">
        <w:rPr>
          <w:lang w:val="fr-FR"/>
        </w:rPr>
        <w:t>’</w:t>
      </w:r>
      <w:r w:rsidRPr="00DD5E69">
        <w:rPr>
          <w:lang w:val="fr-FR"/>
        </w:rPr>
        <w:t>au lieu d</w:t>
      </w:r>
      <w:r w:rsidR="000273DA">
        <w:rPr>
          <w:lang w:val="fr-FR"/>
        </w:rPr>
        <w:t>’</w:t>
      </w:r>
      <w:r w:rsidRPr="00DD5E69">
        <w:rPr>
          <w:lang w:val="fr-FR"/>
        </w:rPr>
        <w:t>assemblage. Généralement, le réservoir subit une épreuve d</w:t>
      </w:r>
      <w:r w:rsidR="000273DA">
        <w:rPr>
          <w:lang w:val="fr-FR"/>
        </w:rPr>
        <w:t>’</w:t>
      </w:r>
      <w:r w:rsidRPr="00DD5E69">
        <w:rPr>
          <w:lang w:val="fr-FR"/>
        </w:rPr>
        <w:t>étanchéité au moyen d</w:t>
      </w:r>
      <w:r w:rsidR="000273DA">
        <w:rPr>
          <w:lang w:val="fr-FR"/>
        </w:rPr>
        <w:t>’</w:t>
      </w:r>
      <w:r w:rsidRPr="00DD5E69">
        <w:rPr>
          <w:lang w:val="fr-FR"/>
        </w:rPr>
        <w:t>un gaz inerte sur le lieu de production puis est transporté à basse pression. Sur le lieu d</w:t>
      </w:r>
      <w:r w:rsidR="000273DA">
        <w:rPr>
          <w:lang w:val="fr-FR"/>
        </w:rPr>
        <w:t>’</w:t>
      </w:r>
      <w:r w:rsidRPr="00DD5E69">
        <w:rPr>
          <w:lang w:val="fr-FR"/>
        </w:rPr>
        <w:t>assemblage, il est rincé à l</w:t>
      </w:r>
      <w:r w:rsidR="000273DA">
        <w:rPr>
          <w:lang w:val="fr-FR"/>
        </w:rPr>
        <w:t>’</w:t>
      </w:r>
      <w:r w:rsidRPr="00DD5E69">
        <w:rPr>
          <w:lang w:val="fr-FR"/>
        </w:rPr>
        <w:t>hydrogène plusieurs fois jusqu</w:t>
      </w:r>
      <w:r w:rsidR="000273DA">
        <w:rPr>
          <w:lang w:val="fr-FR"/>
        </w:rPr>
        <w:t>’</w:t>
      </w:r>
      <w:r w:rsidRPr="00DD5E69">
        <w:rPr>
          <w:lang w:val="fr-FR"/>
        </w:rPr>
        <w:t>à atteindre le rapport de mélange requis dans la pile à combustible. La</w:t>
      </w:r>
      <w:r w:rsidR="00884484">
        <w:rPr>
          <w:lang w:val="fr-FR"/>
        </w:rPr>
        <w:t xml:space="preserve"> </w:t>
      </w:r>
      <w:r w:rsidRPr="00DD5E69">
        <w:rPr>
          <w:lang w:val="fr-FR"/>
        </w:rPr>
        <w:t>pile à combustible est sensible aux contaminations du combustible gazeux. Si le réservoir a déjà subi une épreuve d</w:t>
      </w:r>
      <w:r w:rsidR="000273DA">
        <w:rPr>
          <w:lang w:val="fr-FR"/>
        </w:rPr>
        <w:t>’</w:t>
      </w:r>
      <w:r w:rsidRPr="00DD5E69">
        <w:rPr>
          <w:lang w:val="fr-FR"/>
        </w:rPr>
        <w:t>étanchéité pour l</w:t>
      </w:r>
      <w:r w:rsidR="000273DA">
        <w:rPr>
          <w:lang w:val="fr-FR"/>
        </w:rPr>
        <w:t>’</w:t>
      </w:r>
      <w:r w:rsidRPr="00DD5E69">
        <w:rPr>
          <w:lang w:val="fr-FR"/>
        </w:rPr>
        <w:t>hydrogène, pur ou en mélange, l</w:t>
      </w:r>
      <w:r w:rsidR="000273DA">
        <w:rPr>
          <w:lang w:val="fr-FR"/>
        </w:rPr>
        <w:t>’</w:t>
      </w:r>
      <w:r w:rsidRPr="00DD5E69">
        <w:rPr>
          <w:lang w:val="fr-FR"/>
        </w:rPr>
        <w:t>élimination du gaz inerte au lieu d</w:t>
      </w:r>
      <w:r w:rsidR="000273DA">
        <w:rPr>
          <w:lang w:val="fr-FR"/>
        </w:rPr>
        <w:t>’</w:t>
      </w:r>
      <w:r w:rsidRPr="00DD5E69">
        <w:rPr>
          <w:lang w:val="fr-FR"/>
        </w:rPr>
        <w:t>assemblage s</w:t>
      </w:r>
      <w:r w:rsidR="000273DA">
        <w:rPr>
          <w:lang w:val="fr-FR"/>
        </w:rPr>
        <w:t>’</w:t>
      </w:r>
      <w:r w:rsidRPr="00DD5E69">
        <w:rPr>
          <w:lang w:val="fr-FR"/>
        </w:rPr>
        <w:t>en trouvera considérablement facilitée</w:t>
      </w:r>
      <w:r w:rsidRPr="00DD5E69">
        <w:rPr>
          <w:lang w:val="fr-FR" w:eastAsia="en-GB"/>
        </w:rPr>
        <w:t>.</w:t>
      </w:r>
    </w:p>
    <w:p w:rsidR="00E0458B" w:rsidRPr="00DD5E69" w:rsidRDefault="00E0458B" w:rsidP="0033443B">
      <w:pPr>
        <w:pStyle w:val="ParNoG"/>
        <w:rPr>
          <w:lang w:val="fr-FR" w:eastAsia="en-GB"/>
        </w:rPr>
      </w:pPr>
      <w:r w:rsidRPr="00D50F7B">
        <w:rPr>
          <w:lang w:val="fr-FR" w:eastAsia="en-GB"/>
        </w:rPr>
        <w:t xml:space="preserve">Les réservoirs doivent être </w:t>
      </w:r>
      <w:r w:rsidRPr="00D50F7B">
        <w:rPr>
          <w:color w:val="000000"/>
          <w:lang w:val="fr-FR"/>
        </w:rPr>
        <w:t>conformes aux normes et règlements pertinents appliqués aux v</w:t>
      </w:r>
      <w:r w:rsidRPr="00D50F7B">
        <w:rPr>
          <w:lang w:val="fr-FR" w:eastAsia="en-GB"/>
        </w:rPr>
        <w:t xml:space="preserve">éhicules routiers. </w:t>
      </w:r>
      <w:r w:rsidRPr="00D50F7B">
        <w:rPr>
          <w:color w:val="000000"/>
          <w:lang w:val="fr-FR"/>
        </w:rPr>
        <w:t xml:space="preserve">Les Règlements de </w:t>
      </w:r>
      <w:r w:rsidR="00D10EEC">
        <w:rPr>
          <w:color w:val="000000"/>
          <w:lang w:val="fr-FR"/>
        </w:rPr>
        <w:t>l’ONU</w:t>
      </w:r>
      <w:r w:rsidRPr="00D50F7B">
        <w:rPr>
          <w:color w:val="000000"/>
          <w:lang w:val="fr-FR"/>
        </w:rPr>
        <w:t xml:space="preserve"> et les normes de l</w:t>
      </w:r>
      <w:r w:rsidR="000273DA">
        <w:rPr>
          <w:color w:val="000000"/>
          <w:lang w:val="fr-FR"/>
        </w:rPr>
        <w:t>’</w:t>
      </w:r>
      <w:r w:rsidRPr="00D50F7B">
        <w:rPr>
          <w:color w:val="000000"/>
          <w:lang w:val="fr-FR"/>
        </w:rPr>
        <w:t>ISO pour les réservoirs à GNC et à</w:t>
      </w:r>
      <w:r w:rsidR="00884484">
        <w:rPr>
          <w:color w:val="000000"/>
          <w:lang w:val="fr-FR"/>
        </w:rPr>
        <w:t xml:space="preserve"> </w:t>
      </w:r>
      <w:r w:rsidRPr="00D50F7B">
        <w:rPr>
          <w:color w:val="000000"/>
          <w:lang w:val="fr-FR"/>
        </w:rPr>
        <w:t xml:space="preserve">GPL ainsi que les RTM garantissent un degré élevé de sécurité </w:t>
      </w:r>
      <w:r w:rsidRPr="00D50F7B">
        <w:rPr>
          <w:lang w:val="fr-FR" w:eastAsia="en-GB"/>
        </w:rPr>
        <w:t>(l</w:t>
      </w:r>
      <w:r w:rsidR="000273DA">
        <w:rPr>
          <w:lang w:val="fr-FR" w:eastAsia="en-GB"/>
        </w:rPr>
        <w:t>’</w:t>
      </w:r>
      <w:r w:rsidRPr="00D50F7B">
        <w:rPr>
          <w:lang w:val="fr-FR" w:eastAsia="en-GB"/>
        </w:rPr>
        <w:t xml:space="preserve">Annexe du document ST/SG/AC.10/C.3/2015/5 énonce </w:t>
      </w:r>
      <w:r w:rsidRPr="00D50F7B">
        <w:rPr>
          <w:color w:val="000000"/>
          <w:lang w:val="fr-FR"/>
        </w:rPr>
        <w:t>certaines prescriptions d</w:t>
      </w:r>
      <w:r w:rsidR="000273DA">
        <w:rPr>
          <w:color w:val="000000"/>
          <w:lang w:val="fr-FR"/>
        </w:rPr>
        <w:t>’</w:t>
      </w:r>
      <w:r w:rsidRPr="00D50F7B">
        <w:rPr>
          <w:color w:val="000000"/>
          <w:lang w:val="fr-FR"/>
        </w:rPr>
        <w:t>épreuve</w:t>
      </w:r>
      <w:r w:rsidRPr="00D50F7B">
        <w:rPr>
          <w:lang w:val="fr-FR" w:eastAsia="en-GB"/>
        </w:rPr>
        <w:t xml:space="preserve">). </w:t>
      </w:r>
      <w:r w:rsidRPr="00D50F7B">
        <w:rPr>
          <w:color w:val="000000"/>
          <w:lang w:val="fr-FR"/>
        </w:rPr>
        <w:t>Les épreuves ont été établies pour démontrer l</w:t>
      </w:r>
      <w:r w:rsidR="000273DA">
        <w:rPr>
          <w:color w:val="000000"/>
          <w:lang w:val="fr-FR"/>
        </w:rPr>
        <w:t>’</w:t>
      </w:r>
      <w:r w:rsidRPr="00D50F7B">
        <w:rPr>
          <w:color w:val="000000"/>
          <w:lang w:val="fr-FR"/>
        </w:rPr>
        <w:t>aptitude du réservoir à assurer les fonctions clefs</w:t>
      </w:r>
      <w:r w:rsidR="00CF46F7">
        <w:rPr>
          <w:color w:val="000000"/>
          <w:lang w:val="fr-FR"/>
        </w:rPr>
        <w:t>,</w:t>
      </w:r>
      <w:r w:rsidRPr="00D50F7B">
        <w:rPr>
          <w:color w:val="000000"/>
          <w:lang w:val="fr-FR"/>
        </w:rPr>
        <w:t xml:space="preserve"> notamment celles liées à l</w:t>
      </w:r>
      <w:r w:rsidR="000273DA">
        <w:rPr>
          <w:color w:val="000000"/>
          <w:lang w:val="fr-FR"/>
        </w:rPr>
        <w:t>’</w:t>
      </w:r>
      <w:r w:rsidRPr="00D50F7B">
        <w:rPr>
          <w:color w:val="000000"/>
          <w:lang w:val="fr-FR"/>
        </w:rPr>
        <w:t>utilisation du véhicule comme les opérations de ravitaillement et de vidage, le stationnement en conditions extrêmes et le comportement en cas d</w:t>
      </w:r>
      <w:r w:rsidR="000273DA">
        <w:rPr>
          <w:color w:val="000000"/>
          <w:lang w:val="fr-FR"/>
        </w:rPr>
        <w:t>’</w:t>
      </w:r>
      <w:r w:rsidRPr="00D50F7B">
        <w:rPr>
          <w:color w:val="000000"/>
          <w:lang w:val="fr-FR"/>
        </w:rPr>
        <w:t>incendie</w:t>
      </w:r>
      <w:r w:rsidRPr="00D50F7B">
        <w:rPr>
          <w:lang w:val="fr-FR" w:eastAsia="en-GB"/>
        </w:rPr>
        <w:t xml:space="preserve">. </w:t>
      </w:r>
      <w:r w:rsidRPr="00D50F7B">
        <w:rPr>
          <w:color w:val="000000"/>
          <w:lang w:val="fr-FR"/>
        </w:rPr>
        <w:t>Les fabricants sont tenus de surveiller la fiabilité, la durabilité et la résistance résiduelle d</w:t>
      </w:r>
      <w:r w:rsidR="000273DA">
        <w:rPr>
          <w:color w:val="000000"/>
          <w:lang w:val="fr-FR"/>
        </w:rPr>
        <w:t>’</w:t>
      </w:r>
      <w:r w:rsidRPr="00D50F7B">
        <w:rPr>
          <w:color w:val="000000"/>
          <w:lang w:val="fr-FR"/>
        </w:rPr>
        <w:t>unités représentatives pendant toute la durée de service du véhicule</w:t>
      </w:r>
      <w:r w:rsidRPr="00D50F7B">
        <w:rPr>
          <w:lang w:val="fr-FR" w:eastAsia="en-GB"/>
        </w:rPr>
        <w:t>. En cas d</w:t>
      </w:r>
      <w:r w:rsidR="000273DA">
        <w:rPr>
          <w:lang w:val="fr-FR" w:eastAsia="en-GB"/>
        </w:rPr>
        <w:t>’</w:t>
      </w:r>
      <w:r w:rsidRPr="00D50F7B">
        <w:rPr>
          <w:lang w:val="fr-FR" w:eastAsia="en-GB"/>
        </w:rPr>
        <w:t>incendie, le gaz sera libéré par une soupape et il ne se produira pas d</w:t>
      </w:r>
      <w:r w:rsidR="000273DA">
        <w:rPr>
          <w:lang w:val="fr-FR" w:eastAsia="en-GB"/>
        </w:rPr>
        <w:t>’</w:t>
      </w:r>
      <w:r w:rsidRPr="00D50F7B">
        <w:rPr>
          <w:lang w:val="fr-FR" w:eastAsia="en-GB"/>
        </w:rPr>
        <w:t>explosion.</w:t>
      </w:r>
      <w:r w:rsidRPr="00DD5E69">
        <w:rPr>
          <w:lang w:val="fr-FR" w:eastAsia="en-GB"/>
        </w:rPr>
        <w:t xml:space="preserve"> </w:t>
      </w:r>
    </w:p>
    <w:p w:rsidR="00E0458B" w:rsidRPr="00DD5E69" w:rsidRDefault="00E0458B" w:rsidP="0033443B">
      <w:pPr>
        <w:pStyle w:val="ParNoG"/>
        <w:rPr>
          <w:lang w:val="fr-FR" w:eastAsia="en-GB"/>
        </w:rPr>
      </w:pPr>
      <w:r w:rsidRPr="00D50F7B">
        <w:rPr>
          <w:color w:val="000000"/>
          <w:lang w:val="fr-FR"/>
        </w:rPr>
        <w:t xml:space="preserve">Le </w:t>
      </w:r>
      <w:r w:rsidRPr="0033443B">
        <w:rPr>
          <w:lang w:val="fr-FR" w:eastAsia="en-GB"/>
        </w:rPr>
        <w:t>statut</w:t>
      </w:r>
      <w:r w:rsidRPr="00D50F7B">
        <w:rPr>
          <w:color w:val="000000"/>
          <w:lang w:val="fr-FR"/>
        </w:rPr>
        <w:t xml:space="preserve"> de l</w:t>
      </w:r>
      <w:r w:rsidR="000273DA">
        <w:rPr>
          <w:color w:val="000000"/>
          <w:lang w:val="fr-FR"/>
        </w:rPr>
        <w:t>’</w:t>
      </w:r>
      <w:r w:rsidRPr="00D50F7B">
        <w:rPr>
          <w:color w:val="000000"/>
          <w:lang w:val="fr-FR"/>
        </w:rPr>
        <w:t xml:space="preserve">application des règlements </w:t>
      </w:r>
      <w:r w:rsidR="00D10EEC" w:rsidRPr="00D10EEC">
        <w:rPr>
          <w:color w:val="000000"/>
          <w:lang w:val="fr-FR"/>
        </w:rPr>
        <w:t>de l’ONU</w:t>
      </w:r>
      <w:r w:rsidRPr="00D50F7B">
        <w:rPr>
          <w:color w:val="000000"/>
          <w:lang w:val="fr-FR"/>
        </w:rPr>
        <w:t xml:space="preserve"> et des règlements techniques mondiaux </w:t>
      </w:r>
      <w:r w:rsidRPr="00D50F7B">
        <w:rPr>
          <w:lang w:val="fr-FR" w:eastAsia="en-GB"/>
        </w:rPr>
        <w:t xml:space="preserve">et </w:t>
      </w:r>
      <w:r w:rsidRPr="00D50F7B">
        <w:rPr>
          <w:color w:val="000000"/>
          <w:lang w:val="fr-FR"/>
        </w:rPr>
        <w:t>la possibilité de faire référence à d</w:t>
      </w:r>
      <w:r w:rsidR="000273DA">
        <w:rPr>
          <w:color w:val="000000"/>
          <w:lang w:val="fr-FR"/>
        </w:rPr>
        <w:t>’</w:t>
      </w:r>
      <w:r w:rsidRPr="00D50F7B">
        <w:rPr>
          <w:color w:val="000000"/>
          <w:lang w:val="fr-FR"/>
        </w:rPr>
        <w:t>autres normes nationales ont été discutés lors des</w:t>
      </w:r>
      <w:r w:rsidRPr="00DD5E69">
        <w:rPr>
          <w:color w:val="000000"/>
          <w:sz w:val="27"/>
          <w:szCs w:val="27"/>
          <w:lang w:val="fr-FR"/>
        </w:rPr>
        <w:t xml:space="preserve"> </w:t>
      </w:r>
      <w:r w:rsidRPr="00DD5E69">
        <w:rPr>
          <w:lang w:val="fr-FR" w:eastAsia="en-GB"/>
        </w:rPr>
        <w:t>sessions précédentes. Il est clairement apparu que des normes et règlements différents s</w:t>
      </w:r>
      <w:r w:rsidR="000273DA">
        <w:rPr>
          <w:lang w:val="fr-FR" w:eastAsia="en-GB"/>
        </w:rPr>
        <w:t>’</w:t>
      </w:r>
      <w:r w:rsidRPr="00DD5E69">
        <w:rPr>
          <w:lang w:val="fr-FR" w:eastAsia="en-GB"/>
        </w:rPr>
        <w:t>appliqu</w:t>
      </w:r>
      <w:r>
        <w:rPr>
          <w:lang w:val="fr-FR" w:eastAsia="en-GB"/>
        </w:rPr>
        <w:t>ai</w:t>
      </w:r>
      <w:r w:rsidRPr="00DD5E69">
        <w:rPr>
          <w:lang w:val="fr-FR" w:eastAsia="en-GB"/>
        </w:rPr>
        <w:t xml:space="preserve">ent dans diverses parties du monde et que la portée territoriale des règlements </w:t>
      </w:r>
      <w:r w:rsidR="00D10EEC" w:rsidRPr="00D10EEC">
        <w:rPr>
          <w:lang w:val="fr-FR" w:eastAsia="en-GB"/>
        </w:rPr>
        <w:t>de l’ONU</w:t>
      </w:r>
      <w:r w:rsidRPr="00DD5E69">
        <w:rPr>
          <w:lang w:val="fr-FR" w:eastAsia="en-GB"/>
        </w:rPr>
        <w:t xml:space="preserve"> et </w:t>
      </w:r>
      <w:r>
        <w:rPr>
          <w:lang w:val="fr-FR" w:eastAsia="en-GB"/>
        </w:rPr>
        <w:t>d</w:t>
      </w:r>
      <w:r w:rsidRPr="00DD5E69">
        <w:rPr>
          <w:lang w:val="fr-FR" w:eastAsia="en-GB"/>
        </w:rPr>
        <w:t xml:space="preserve">es RTM </w:t>
      </w:r>
      <w:proofErr w:type="gramStart"/>
      <w:r>
        <w:rPr>
          <w:lang w:val="fr-FR" w:eastAsia="en-GB"/>
        </w:rPr>
        <w:t>était</w:t>
      </w:r>
      <w:proofErr w:type="gramEnd"/>
      <w:r>
        <w:rPr>
          <w:lang w:val="fr-FR" w:eastAsia="en-GB"/>
        </w:rPr>
        <w:t xml:space="preserve"> </w:t>
      </w:r>
      <w:r w:rsidRPr="00DD5E69">
        <w:rPr>
          <w:lang w:val="fr-FR" w:eastAsia="en-GB"/>
        </w:rPr>
        <w:t>restreinte. Dans ce contexte, les références ont pour but de décrire les réservoirs de gaz et de garantir un niveau suffisant de sécurité, mais il n</w:t>
      </w:r>
      <w:r w:rsidR="000273DA">
        <w:rPr>
          <w:lang w:val="fr-FR" w:eastAsia="en-GB"/>
        </w:rPr>
        <w:t>’</w:t>
      </w:r>
      <w:r w:rsidRPr="00DD5E69">
        <w:rPr>
          <w:lang w:val="fr-FR" w:eastAsia="en-GB"/>
        </w:rPr>
        <w:t>est pas obligatoire d</w:t>
      </w:r>
      <w:r w:rsidR="000273DA">
        <w:rPr>
          <w:lang w:val="fr-FR" w:eastAsia="en-GB"/>
        </w:rPr>
        <w:t>’</w:t>
      </w:r>
      <w:r w:rsidRPr="00DD5E69">
        <w:rPr>
          <w:lang w:val="fr-FR" w:eastAsia="en-GB"/>
        </w:rPr>
        <w:t>appliquer à l</w:t>
      </w:r>
      <w:r w:rsidR="000273DA">
        <w:rPr>
          <w:lang w:val="fr-FR" w:eastAsia="en-GB"/>
        </w:rPr>
        <w:t>’</w:t>
      </w:r>
      <w:r w:rsidRPr="00DD5E69">
        <w:rPr>
          <w:lang w:val="fr-FR" w:eastAsia="en-GB"/>
        </w:rPr>
        <w:t>échelle mondiale les normes ou règlements mentionnés. Par exemple, des réservoirs de gaz fabriqués dans un pays A mais installés sur des véhicules utilisés dans un pays B doivent être conformes aux normes techniques applicables dans le pays B. En conséquence, d</w:t>
      </w:r>
      <w:r w:rsidR="000273DA">
        <w:rPr>
          <w:lang w:val="fr-FR" w:eastAsia="en-GB"/>
        </w:rPr>
        <w:t>’</w:t>
      </w:r>
      <w:r w:rsidRPr="00DD5E69">
        <w:rPr>
          <w:lang w:val="fr-FR" w:eastAsia="en-GB"/>
        </w:rPr>
        <w:t>autres règlements nationaux et européens ont été ajoutés à la proposition.</w:t>
      </w:r>
    </w:p>
    <w:p w:rsidR="00E0458B" w:rsidRPr="00DD5E69" w:rsidRDefault="00E0458B" w:rsidP="0033443B">
      <w:pPr>
        <w:pStyle w:val="ParNoG"/>
        <w:rPr>
          <w:lang w:val="fr-FR" w:eastAsia="en-GB"/>
        </w:rPr>
      </w:pPr>
      <w:r w:rsidRPr="00DD5E69">
        <w:rPr>
          <w:lang w:val="fr-FR"/>
        </w:rPr>
        <w:t xml:space="preserve">Les réservoirs à GNL ne sont pas visés par la proposition. Des prescriptions concernant les </w:t>
      </w:r>
      <w:r w:rsidRPr="00DD5E69">
        <w:rPr>
          <w:lang w:val="fr-FR" w:eastAsia="en-GB"/>
        </w:rPr>
        <w:t xml:space="preserve">organes GNL ont été introduites dans le </w:t>
      </w:r>
      <w:r w:rsidR="00D10EEC" w:rsidRPr="00DD5E69">
        <w:rPr>
          <w:lang w:val="fr-FR" w:eastAsia="en-GB"/>
        </w:rPr>
        <w:t xml:space="preserve">Règlement </w:t>
      </w:r>
      <w:r w:rsidR="00D10EEC">
        <w:rPr>
          <w:lang w:val="fr-FR"/>
        </w:rPr>
        <w:t xml:space="preserve">ONU </w:t>
      </w:r>
      <w:r w:rsidR="00D10EEC" w:rsidRPr="00D10EEC">
        <w:rPr>
          <w:rFonts w:eastAsia="MS Mincho"/>
          <w:szCs w:val="22"/>
          <w:lang w:val="fr-FR"/>
        </w:rPr>
        <w:t>n</w:t>
      </w:r>
      <w:r w:rsidR="00D10EEC" w:rsidRPr="00D10EEC">
        <w:rPr>
          <w:rFonts w:eastAsia="MS Mincho"/>
          <w:szCs w:val="22"/>
          <w:vertAlign w:val="superscript"/>
          <w:lang w:val="fr-FR"/>
        </w:rPr>
        <w:t>o</w:t>
      </w:r>
      <w:r w:rsidR="00D10EEC">
        <w:rPr>
          <w:lang w:val="fr-FR"/>
        </w:rPr>
        <w:t> </w:t>
      </w:r>
      <w:r w:rsidRPr="00DD5E69">
        <w:rPr>
          <w:lang w:val="fr-FR"/>
        </w:rPr>
        <w:t>110</w:t>
      </w:r>
      <w:r w:rsidRPr="00DD5E69">
        <w:rPr>
          <w:lang w:val="fr-FR" w:eastAsia="en-GB"/>
        </w:rPr>
        <w:t>. Cela étant, l</w:t>
      </w:r>
      <w:r w:rsidR="000273DA">
        <w:rPr>
          <w:lang w:val="fr-FR" w:eastAsia="en-GB"/>
        </w:rPr>
        <w:t>’</w:t>
      </w:r>
      <w:r w:rsidRPr="00DD5E69">
        <w:rPr>
          <w:lang w:val="fr-FR" w:eastAsia="en-GB"/>
        </w:rPr>
        <w:t xml:space="preserve">isolation des réservoirs à GNL pourrait ne pas suffire pour maintenir le niveau de température nécessaire et empêcher une décharge de surpression par le </w:t>
      </w:r>
      <w:r w:rsidRPr="00DD5E69">
        <w:rPr>
          <w:lang w:val="fr-FR"/>
        </w:rPr>
        <w:t>système d</w:t>
      </w:r>
      <w:r w:rsidR="000273DA">
        <w:rPr>
          <w:lang w:val="fr-FR"/>
        </w:rPr>
        <w:t>’</w:t>
      </w:r>
      <w:r w:rsidRPr="00DD5E69">
        <w:rPr>
          <w:lang w:val="fr-FR"/>
        </w:rPr>
        <w:t>évacuation</w:t>
      </w:r>
      <w:r w:rsidRPr="00DD5E69">
        <w:rPr>
          <w:lang w:val="fr-FR" w:eastAsia="en-GB"/>
        </w:rPr>
        <w:t xml:space="preserve"> lorsque le transport dure longtemps. Théoriquement, le temps de maintien minimal des réservoirs à GNL n</w:t>
      </w:r>
      <w:r w:rsidR="000273DA">
        <w:rPr>
          <w:lang w:val="fr-FR" w:eastAsia="en-GB"/>
        </w:rPr>
        <w:t>’</w:t>
      </w:r>
      <w:r w:rsidRPr="00DD5E69">
        <w:rPr>
          <w:lang w:val="fr-FR" w:eastAsia="en-GB"/>
        </w:rPr>
        <w:t xml:space="preserve">excède pas cinq jours. Lorsque la durée du transport est longue, en particulier par voie maritime, cela semble insuffisant pour assurer la sécurité dans tous les modes de transport selon le </w:t>
      </w:r>
      <w:r w:rsidRPr="00DD5E69">
        <w:rPr>
          <w:lang w:val="fr-FR"/>
        </w:rPr>
        <w:t>Règlement type de l</w:t>
      </w:r>
      <w:r w:rsidR="000273DA">
        <w:rPr>
          <w:lang w:val="fr-FR"/>
        </w:rPr>
        <w:t>’</w:t>
      </w:r>
      <w:r w:rsidRPr="00DD5E69">
        <w:rPr>
          <w:lang w:val="fr-FR"/>
        </w:rPr>
        <w:t>ONU</w:t>
      </w:r>
      <w:r w:rsidRPr="00DD5E69">
        <w:rPr>
          <w:lang w:val="fr-FR" w:eastAsia="en-GB"/>
        </w:rPr>
        <w:t>.</w:t>
      </w:r>
    </w:p>
    <w:p w:rsidR="00E0458B" w:rsidRDefault="00E0458B" w:rsidP="0033443B">
      <w:pPr>
        <w:pStyle w:val="ParNoG"/>
        <w:rPr>
          <w:lang w:val="fr-FR" w:eastAsia="en-GB"/>
        </w:rPr>
      </w:pPr>
      <w:r w:rsidRPr="00DD5E69">
        <w:rPr>
          <w:lang w:val="fr-FR" w:eastAsia="en-GB"/>
        </w:rPr>
        <w:t>Dans ce contexte, il faudrait aussi prendre en considération l</w:t>
      </w:r>
      <w:r w:rsidR="000273DA">
        <w:rPr>
          <w:lang w:val="fr-FR" w:eastAsia="en-GB"/>
        </w:rPr>
        <w:t>’</w:t>
      </w:r>
      <w:r w:rsidRPr="00DD5E69">
        <w:rPr>
          <w:lang w:val="fr-FR" w:eastAsia="en-GB"/>
        </w:rPr>
        <w:t xml:space="preserve">examen des marchandises dangereuses </w:t>
      </w:r>
      <w:r w:rsidRPr="00DD5E69">
        <w:rPr>
          <w:lang w:val="fr-FR"/>
        </w:rPr>
        <w:t>contenues dans des machines, des appareils ou des objets</w:t>
      </w:r>
      <w:r w:rsidRPr="00DD5E69">
        <w:rPr>
          <w:lang w:val="fr-FR" w:eastAsia="en-GB"/>
        </w:rPr>
        <w:t>, N.S.A. Les réservoirs de gaz destinés aux véhicules pourraient à l</w:t>
      </w:r>
      <w:r w:rsidR="000273DA">
        <w:rPr>
          <w:lang w:val="fr-FR" w:eastAsia="en-GB"/>
        </w:rPr>
        <w:t>’</w:t>
      </w:r>
      <w:r w:rsidRPr="00DD5E69">
        <w:rPr>
          <w:lang w:val="fr-FR" w:eastAsia="en-GB"/>
        </w:rPr>
        <w:t>avenir être désignés comme marchandises dangereuses contenues dans des objets si de nouvelles dispositions spéciales les concernant n</w:t>
      </w:r>
      <w:r w:rsidR="000273DA">
        <w:rPr>
          <w:lang w:val="fr-FR" w:eastAsia="en-GB"/>
        </w:rPr>
        <w:t>’</w:t>
      </w:r>
      <w:r>
        <w:rPr>
          <w:lang w:val="fr-FR" w:eastAsia="en-GB"/>
        </w:rPr>
        <w:t xml:space="preserve">étaient </w:t>
      </w:r>
      <w:r w:rsidRPr="00DD5E69">
        <w:rPr>
          <w:lang w:val="fr-FR" w:eastAsia="en-GB"/>
        </w:rPr>
        <w:t>pas insérées.</w:t>
      </w:r>
    </w:p>
    <w:p w:rsidR="00E0458B" w:rsidRPr="00BE2AFF" w:rsidRDefault="0033443B" w:rsidP="000F002A">
      <w:pPr>
        <w:pStyle w:val="HChG"/>
        <w:spacing w:after="200"/>
        <w:rPr>
          <w:lang w:val="en-US" w:eastAsia="en-GB" w:bidi="en-GB"/>
        </w:rPr>
      </w:pPr>
      <w:r>
        <w:rPr>
          <w:lang w:val="en-US" w:eastAsia="en-GB" w:bidi="en-GB"/>
        </w:rPr>
        <w:lastRenderedPageBreak/>
        <w:tab/>
      </w:r>
      <w:r>
        <w:rPr>
          <w:lang w:val="en-US" w:eastAsia="en-GB" w:bidi="en-GB"/>
        </w:rPr>
        <w:tab/>
      </w:r>
      <w:r w:rsidR="00E0458B">
        <w:rPr>
          <w:lang w:val="en-US" w:eastAsia="en-GB" w:bidi="en-GB"/>
        </w:rPr>
        <w:t>Proposition</w:t>
      </w:r>
    </w:p>
    <w:p w:rsidR="00E0458B" w:rsidRPr="00834AB2" w:rsidRDefault="00E0458B" w:rsidP="000F002A">
      <w:pPr>
        <w:pStyle w:val="ParNoG"/>
        <w:spacing w:after="100" w:line="224" w:lineRule="exact"/>
        <w:rPr>
          <w:lang w:eastAsia="en-GB" w:bidi="en-GB"/>
        </w:rPr>
      </w:pPr>
      <w:r w:rsidRPr="0033443B">
        <w:rPr>
          <w:lang w:val="fr-FR" w:eastAsia="en-GB"/>
        </w:rPr>
        <w:t>Modifier</w:t>
      </w:r>
      <w:r w:rsidRPr="00834AB2">
        <w:rPr>
          <w:lang w:eastAsia="en-GB" w:bidi="en-GB"/>
        </w:rPr>
        <w:t xml:space="preserve"> le Règlement type comme suit (</w:t>
      </w:r>
      <w:r>
        <w:rPr>
          <w:lang w:eastAsia="en-GB" w:bidi="en-GB"/>
        </w:rPr>
        <w:t>les modif</w:t>
      </w:r>
      <w:r w:rsidRPr="00834AB2">
        <w:rPr>
          <w:lang w:eastAsia="en-GB" w:bidi="en-GB"/>
        </w:rPr>
        <w:t>i</w:t>
      </w:r>
      <w:r>
        <w:rPr>
          <w:lang w:eastAsia="en-GB" w:bidi="en-GB"/>
        </w:rPr>
        <w:t>c</w:t>
      </w:r>
      <w:r w:rsidRPr="00834AB2">
        <w:rPr>
          <w:lang w:eastAsia="en-GB" w:bidi="en-GB"/>
        </w:rPr>
        <w:t xml:space="preserve">ations apportées à la version précédente </w:t>
      </w:r>
      <w:r>
        <w:rPr>
          <w:lang w:eastAsia="en-GB" w:bidi="en-GB"/>
        </w:rPr>
        <w:t>sont indiquées en caractères gras pour les ajouts et en caractères biffés pour les suppressions</w:t>
      </w:r>
      <w:r w:rsidRPr="00834AB2">
        <w:rPr>
          <w:lang w:eastAsia="en-GB" w:bidi="en-GB"/>
        </w:rPr>
        <w:t>)</w:t>
      </w:r>
      <w:r w:rsidR="0033443B">
        <w:rPr>
          <w:lang w:eastAsia="en-GB" w:bidi="en-GB"/>
        </w:rPr>
        <w:t> :</w:t>
      </w:r>
    </w:p>
    <w:p w:rsidR="00E0458B" w:rsidRDefault="00E0458B" w:rsidP="000F002A">
      <w:pPr>
        <w:pStyle w:val="SingleTxtG"/>
        <w:spacing w:after="100" w:line="224" w:lineRule="exact"/>
        <w:ind w:left="1701"/>
      </w:pPr>
      <w:r>
        <w:t>Chapitre</w:t>
      </w:r>
      <w:r w:rsidR="00884484">
        <w:t xml:space="preserve"> </w:t>
      </w:r>
      <w:r>
        <w:t>3.2. Liste des marchandises dangereuses</w:t>
      </w:r>
    </w:p>
    <w:p w:rsidR="00E0458B" w:rsidRPr="00834AB2" w:rsidRDefault="00E0458B" w:rsidP="000F002A">
      <w:pPr>
        <w:pStyle w:val="SingleTxtG"/>
        <w:spacing w:after="100" w:line="224" w:lineRule="exact"/>
        <w:ind w:left="1701"/>
      </w:pPr>
      <w:r w:rsidRPr="00834AB2">
        <w:t xml:space="preserve">En regard </w:t>
      </w:r>
      <w:proofErr w:type="spellStart"/>
      <w:r w:rsidRPr="00834AB2">
        <w:t>des</w:t>
      </w:r>
      <w:proofErr w:type="spellEnd"/>
      <w:r w:rsidRPr="00834AB2">
        <w:t xml:space="preserve"> Nos ONU 1011, 1049, 1075, 1954, 1965, 1969, 1971, 1978, ajouter la disposition spéciale xxx dans la colonne 6</w:t>
      </w:r>
      <w:r>
        <w:t>.</w:t>
      </w:r>
    </w:p>
    <w:p w:rsidR="00E0458B" w:rsidRPr="00834AB2" w:rsidRDefault="00E0458B" w:rsidP="000F002A">
      <w:pPr>
        <w:pStyle w:val="SingleTxtG"/>
        <w:spacing w:after="100" w:line="224" w:lineRule="exact"/>
        <w:ind w:left="1701"/>
      </w:pPr>
      <w:r w:rsidRPr="00834AB2">
        <w:t>Ajouter la disposition spéciale xxx au chapitre 3.3</w:t>
      </w:r>
      <w:r w:rsidR="0033443B">
        <w:t> :</w:t>
      </w:r>
    </w:p>
    <w:p w:rsidR="00E0458B" w:rsidRPr="00834AB2" w:rsidRDefault="000273DA" w:rsidP="000F002A">
      <w:pPr>
        <w:pStyle w:val="SingleTxtG"/>
        <w:spacing w:after="100" w:line="224" w:lineRule="exact"/>
        <w:ind w:left="1701"/>
      </w:pPr>
      <w:r>
        <w:t>« </w:t>
      </w:r>
      <w:r w:rsidR="00E0458B" w:rsidRPr="00834AB2">
        <w:t>xxx Pour le transport</w:t>
      </w:r>
      <w:r w:rsidR="00E0458B">
        <w:t xml:space="preserve"> des enveloppes de confinement de gaz combustible</w:t>
      </w:r>
      <w:r w:rsidR="00E0458B" w:rsidRPr="00834AB2">
        <w:t xml:space="preserve"> qui sont conçu</w:t>
      </w:r>
      <w:r w:rsidR="00D10EEC">
        <w:t>e</w:t>
      </w:r>
      <w:r w:rsidR="00E0458B" w:rsidRPr="00834AB2">
        <w:t>s pour être installé</w:t>
      </w:r>
      <w:r w:rsidR="00D10EEC">
        <w:t>e</w:t>
      </w:r>
      <w:r w:rsidR="00E0458B" w:rsidRPr="00834AB2">
        <w:t>s sur des véhicules automobiles et qui contiennent ce gaz, il n</w:t>
      </w:r>
      <w:r>
        <w:t>’</w:t>
      </w:r>
      <w:r w:rsidR="00E0458B" w:rsidRPr="00834AB2">
        <w:t>y a pas lieu d</w:t>
      </w:r>
      <w:r>
        <w:t>’</w:t>
      </w:r>
      <w:r w:rsidR="00E0458B" w:rsidRPr="00834AB2">
        <w:t xml:space="preserve">appliquer les dispositions de la sous-section 4.1.4.1, des chapitres 5.2, 5.4 et 6.2 </w:t>
      </w:r>
      <w:r w:rsidR="00E0458B">
        <w:t xml:space="preserve">du présent Règlement </w:t>
      </w:r>
      <w:r w:rsidR="00D10EEC">
        <w:t>si elles</w:t>
      </w:r>
      <w:r w:rsidR="00E0458B">
        <w:t xml:space="preserve"> sont transporté</w:t>
      </w:r>
      <w:r w:rsidR="00D10EEC">
        <w:t>e</w:t>
      </w:r>
      <w:r w:rsidR="00E0458B">
        <w:t xml:space="preserve">s en vue </w:t>
      </w:r>
      <w:r w:rsidR="00E0458B" w:rsidRPr="00D10EEC">
        <w:rPr>
          <w:b/>
        </w:rPr>
        <w:t>de leur</w:t>
      </w:r>
      <w:r w:rsidR="00E0458B" w:rsidRPr="00834AB2">
        <w:t xml:space="preserve"> </w:t>
      </w:r>
      <w:r w:rsidR="00E0458B" w:rsidRPr="00AF18E0">
        <w:rPr>
          <w:b/>
        </w:rPr>
        <w:t>élimination, de leur recyclage,</w:t>
      </w:r>
      <w:r w:rsidR="00E0458B">
        <w:t xml:space="preserve"> de leur réparation, de leur </w:t>
      </w:r>
      <w:r w:rsidR="00E0458B" w:rsidRPr="00834AB2">
        <w:t>inspection</w:t>
      </w:r>
      <w:r w:rsidR="00E0458B" w:rsidRPr="00AF18E0">
        <w:rPr>
          <w:b/>
        </w:rPr>
        <w:t>,</w:t>
      </w:r>
      <w:r w:rsidR="00E0458B" w:rsidRPr="00AF18E0">
        <w:t xml:space="preserve"> </w:t>
      </w:r>
      <w:r w:rsidR="00E0458B">
        <w:t xml:space="preserve">ou </w:t>
      </w:r>
      <w:r w:rsidR="00E0458B" w:rsidRPr="00AF18E0">
        <w:t>de leur</w:t>
      </w:r>
      <w:r w:rsidR="00E0458B">
        <w:t xml:space="preserve"> entretien,</w:t>
      </w:r>
      <w:r w:rsidR="00E0458B" w:rsidRPr="00834AB2">
        <w:t xml:space="preserve"> </w:t>
      </w:r>
      <w:r w:rsidR="00E0458B">
        <w:t xml:space="preserve">ou depuis leur lieu de fabrication vers un atelier de montage </w:t>
      </w:r>
      <w:r w:rsidR="00E0458B">
        <w:rPr>
          <w:b/>
        </w:rPr>
        <w:t>de véhicules</w:t>
      </w:r>
      <w:r w:rsidR="00E0458B" w:rsidRPr="00834AB2">
        <w:t xml:space="preserve">, </w:t>
      </w:r>
      <w:r w:rsidR="00E0458B" w:rsidRPr="00AF18E0">
        <w:t>si les conditions ci-après sont satisfaites</w:t>
      </w:r>
      <w:r w:rsidR="0033443B">
        <w:t> :</w:t>
      </w:r>
    </w:p>
    <w:p w:rsidR="00E0458B" w:rsidRPr="00AF18E0" w:rsidRDefault="00E0458B" w:rsidP="000F002A">
      <w:pPr>
        <w:pStyle w:val="SingleTxtG"/>
        <w:spacing w:after="100" w:line="224" w:lineRule="exact"/>
        <w:ind w:left="1701"/>
      </w:pPr>
      <w:r w:rsidRPr="00AF18E0">
        <w:rPr>
          <w:lang w:eastAsia="en-GB" w:bidi="en-GB"/>
        </w:rPr>
        <w:t>a)</w:t>
      </w:r>
      <w:r w:rsidRPr="00AF18E0">
        <w:rPr>
          <w:lang w:eastAsia="en-GB" w:bidi="en-GB"/>
        </w:rPr>
        <w:tab/>
      </w:r>
      <w:r>
        <w:rPr>
          <w:lang w:eastAsia="en-GB" w:bidi="en-GB"/>
        </w:rPr>
        <w:t xml:space="preserve">Les </w:t>
      </w:r>
      <w:r>
        <w:t>enveloppes</w:t>
      </w:r>
      <w:r>
        <w:rPr>
          <w:lang w:eastAsia="en-GB" w:bidi="en-GB"/>
        </w:rPr>
        <w:t xml:space="preserve"> de confinement de</w:t>
      </w:r>
      <w:r w:rsidRPr="00AF18E0">
        <w:rPr>
          <w:lang w:eastAsia="en-GB" w:bidi="en-GB"/>
        </w:rPr>
        <w:t xml:space="preserve"> gaz com</w:t>
      </w:r>
      <w:r>
        <w:rPr>
          <w:lang w:eastAsia="en-GB" w:bidi="en-GB"/>
        </w:rPr>
        <w:t>bustible</w:t>
      </w:r>
      <w:r w:rsidRPr="00AF18E0">
        <w:rPr>
          <w:lang w:eastAsia="en-GB" w:bidi="en-GB"/>
        </w:rPr>
        <w:t xml:space="preserve"> doivent satisfaire aux dispositions du Règlement</w:t>
      </w:r>
      <w:r>
        <w:rPr>
          <w:lang w:eastAsia="en-GB" w:bidi="en-GB"/>
        </w:rPr>
        <w:t xml:space="preserve"> ONU</w:t>
      </w:r>
      <w:r w:rsidRPr="00AF18E0">
        <w:rPr>
          <w:lang w:eastAsia="en-GB" w:bidi="en-GB"/>
        </w:rPr>
        <w:t xml:space="preserve"> </w:t>
      </w:r>
      <w:r w:rsidRPr="00A04DAD">
        <w:rPr>
          <w:lang w:eastAsia="en-GB" w:bidi="en-GB"/>
        </w:rPr>
        <w:t>n</w:t>
      </w:r>
      <w:r w:rsidRPr="00AF18E0">
        <w:rPr>
          <w:vertAlign w:val="superscript"/>
          <w:lang w:eastAsia="en-GB" w:bidi="en-GB"/>
        </w:rPr>
        <w:t>o</w:t>
      </w:r>
      <w:r>
        <w:rPr>
          <w:lang w:eastAsia="en-GB" w:bidi="en-GB"/>
        </w:rPr>
        <w:t> </w:t>
      </w:r>
      <w:r w:rsidRPr="00AF18E0">
        <w:rPr>
          <w:lang w:eastAsia="en-GB" w:bidi="en-GB"/>
        </w:rPr>
        <w:t xml:space="preserve">67 </w:t>
      </w:r>
      <w:r>
        <w:rPr>
          <w:lang w:eastAsia="en-GB" w:bidi="en-GB"/>
        </w:rPr>
        <w:t>Ré</w:t>
      </w:r>
      <w:r w:rsidRPr="00AF18E0">
        <w:rPr>
          <w:lang w:eastAsia="en-GB" w:bidi="en-GB"/>
        </w:rPr>
        <w:t>vision 2</w:t>
      </w:r>
      <w:r w:rsidRPr="00876F1D">
        <w:rPr>
          <w:rStyle w:val="FootnoteReference"/>
        </w:rPr>
        <w:footnoteReference w:id="3"/>
      </w:r>
      <w:r w:rsidRPr="00AF18E0">
        <w:rPr>
          <w:lang w:eastAsia="en-GB" w:bidi="en-GB"/>
        </w:rPr>
        <w:t xml:space="preserve"> </w:t>
      </w:r>
      <w:r>
        <w:rPr>
          <w:lang w:eastAsia="en-GB" w:bidi="en-GB"/>
        </w:rPr>
        <w:t xml:space="preserve">ou du Règlement ONU </w:t>
      </w:r>
      <w:r w:rsidRPr="00A04DAD">
        <w:rPr>
          <w:lang w:eastAsia="en-GB" w:bidi="en-GB"/>
        </w:rPr>
        <w:t>n</w:t>
      </w:r>
      <w:r w:rsidRPr="00AF18E0">
        <w:rPr>
          <w:vertAlign w:val="superscript"/>
          <w:lang w:eastAsia="en-GB" w:bidi="en-GB"/>
        </w:rPr>
        <w:t>o</w:t>
      </w:r>
      <w:r>
        <w:rPr>
          <w:lang w:eastAsia="en-GB" w:bidi="en-GB"/>
        </w:rPr>
        <w:t> </w:t>
      </w:r>
      <w:r w:rsidRPr="00AF18E0">
        <w:rPr>
          <w:lang w:eastAsia="en-GB" w:bidi="en-GB"/>
        </w:rPr>
        <w:t>115</w:t>
      </w:r>
      <w:r w:rsidRPr="00876F1D">
        <w:rPr>
          <w:rStyle w:val="FootnoteReference"/>
        </w:rPr>
        <w:footnoteReference w:id="4"/>
      </w:r>
      <w:r w:rsidRPr="00AF18E0">
        <w:rPr>
          <w:strike/>
          <w:lang w:eastAsia="en-GB" w:bidi="en-GB"/>
        </w:rPr>
        <w:t xml:space="preserve"> dans le cas des réservoirs de GPL</w:t>
      </w:r>
      <w:r w:rsidRPr="00AF18E0">
        <w:rPr>
          <w:lang w:eastAsia="en-GB" w:bidi="en-GB"/>
        </w:rPr>
        <w:t xml:space="preserve">, </w:t>
      </w:r>
      <w:r>
        <w:rPr>
          <w:lang w:eastAsia="en-GB" w:bidi="en-GB"/>
        </w:rPr>
        <w:t xml:space="preserve">du Règlement ONU </w:t>
      </w:r>
      <w:r w:rsidRPr="00A04DAD">
        <w:rPr>
          <w:lang w:eastAsia="en-GB" w:bidi="en-GB"/>
        </w:rPr>
        <w:t>n</w:t>
      </w:r>
      <w:r w:rsidRPr="00AF18E0">
        <w:rPr>
          <w:vertAlign w:val="superscript"/>
          <w:lang w:eastAsia="en-GB" w:bidi="en-GB"/>
        </w:rPr>
        <w:t>o</w:t>
      </w:r>
      <w:r>
        <w:rPr>
          <w:lang w:eastAsia="en-GB" w:bidi="en-GB"/>
        </w:rPr>
        <w:t> 110 Ré</w:t>
      </w:r>
      <w:r w:rsidRPr="00AF18E0">
        <w:rPr>
          <w:lang w:eastAsia="en-GB" w:bidi="en-GB"/>
        </w:rPr>
        <w:t>vision 1</w:t>
      </w:r>
      <w:r w:rsidRPr="00876F1D">
        <w:rPr>
          <w:rStyle w:val="FootnoteReference"/>
        </w:rPr>
        <w:footnoteReference w:id="5"/>
      </w:r>
      <w:r w:rsidRPr="00AF18E0">
        <w:rPr>
          <w:lang w:eastAsia="en-GB" w:bidi="en-GB"/>
        </w:rPr>
        <w:t xml:space="preserve"> </w:t>
      </w:r>
      <w:r>
        <w:rPr>
          <w:lang w:eastAsia="en-GB" w:bidi="en-GB"/>
        </w:rPr>
        <w:t xml:space="preserve">ou du Règlement ONU </w:t>
      </w:r>
      <w:r w:rsidRPr="00A04DAD">
        <w:rPr>
          <w:lang w:eastAsia="en-GB" w:bidi="en-GB"/>
        </w:rPr>
        <w:t>n</w:t>
      </w:r>
      <w:r w:rsidRPr="00AF18E0">
        <w:rPr>
          <w:vertAlign w:val="superscript"/>
          <w:lang w:eastAsia="en-GB" w:bidi="en-GB"/>
        </w:rPr>
        <w:t>o</w:t>
      </w:r>
      <w:r>
        <w:rPr>
          <w:lang w:eastAsia="en-GB" w:bidi="en-GB"/>
        </w:rPr>
        <w:t> </w:t>
      </w:r>
      <w:r w:rsidRPr="00AF18E0">
        <w:rPr>
          <w:lang w:eastAsia="en-GB" w:bidi="en-GB"/>
        </w:rPr>
        <w:t>115</w:t>
      </w:r>
      <w:r w:rsidRPr="00876F1D">
        <w:rPr>
          <w:rStyle w:val="FootnoteReference"/>
        </w:rPr>
        <w:footnoteReference w:id="6"/>
      </w:r>
      <w:r w:rsidRPr="00AF18E0">
        <w:rPr>
          <w:lang w:eastAsia="en-GB" w:bidi="en-GB"/>
        </w:rPr>
        <w:t xml:space="preserve"> </w:t>
      </w:r>
      <w:r>
        <w:rPr>
          <w:lang w:eastAsia="en-GB" w:bidi="en-GB"/>
        </w:rPr>
        <w:t>ou des normes</w:t>
      </w:r>
      <w:r w:rsidRPr="00AF18E0">
        <w:rPr>
          <w:lang w:eastAsia="en-GB" w:bidi="en-GB"/>
        </w:rPr>
        <w:t xml:space="preserve"> ISO 11439/ISO 15500</w:t>
      </w:r>
      <w:r w:rsidRPr="00876F1D">
        <w:rPr>
          <w:rStyle w:val="FootnoteReference"/>
        </w:rPr>
        <w:footnoteReference w:id="7"/>
      </w:r>
      <w:r w:rsidRPr="00AF18E0">
        <w:rPr>
          <w:lang w:eastAsia="en-GB" w:bidi="en-GB"/>
        </w:rPr>
        <w:t xml:space="preserve"> </w:t>
      </w:r>
      <w:r>
        <w:rPr>
          <w:b/>
          <w:lang w:eastAsia="en-GB" w:bidi="en-GB"/>
        </w:rPr>
        <w:t>ou ANSI NGV 2</w:t>
      </w:r>
      <w:r w:rsidRPr="00876F1D">
        <w:rPr>
          <w:rStyle w:val="FootnoteReference"/>
        </w:rPr>
        <w:footnoteReference w:id="8"/>
      </w:r>
      <w:r w:rsidRPr="00AF18E0">
        <w:rPr>
          <w:b/>
          <w:lang w:eastAsia="en-GB" w:bidi="en-GB"/>
        </w:rPr>
        <w:t xml:space="preserve"> </w:t>
      </w:r>
      <w:r>
        <w:rPr>
          <w:b/>
          <w:lang w:eastAsia="en-GB" w:bidi="en-GB"/>
        </w:rPr>
        <w:t>ou</w:t>
      </w:r>
      <w:r w:rsidRPr="00AF18E0">
        <w:rPr>
          <w:b/>
          <w:lang w:eastAsia="en-GB" w:bidi="en-GB"/>
        </w:rPr>
        <w:t xml:space="preserve"> CSA B51 </w:t>
      </w:r>
      <w:r>
        <w:rPr>
          <w:b/>
          <w:lang w:eastAsia="en-GB" w:bidi="en-GB"/>
        </w:rPr>
        <w:t>Deuxième partie</w:t>
      </w:r>
      <w:r w:rsidRPr="00876F1D">
        <w:rPr>
          <w:rStyle w:val="FootnoteReference"/>
        </w:rPr>
        <w:footnoteReference w:id="9"/>
      </w:r>
      <w:r w:rsidRPr="00AF18E0">
        <w:rPr>
          <w:strike/>
          <w:lang w:eastAsia="en-GB" w:bidi="en-GB"/>
        </w:rPr>
        <w:t xml:space="preserve"> dans le cas des réservoirs à GNC</w:t>
      </w:r>
      <w:r w:rsidRPr="00AF18E0">
        <w:rPr>
          <w:lang w:eastAsia="en-GB" w:bidi="en-GB"/>
        </w:rPr>
        <w:t>,</w:t>
      </w:r>
      <w:r>
        <w:rPr>
          <w:lang w:eastAsia="en-GB" w:bidi="en-GB"/>
        </w:rPr>
        <w:t xml:space="preserve"> du Règlement technique mondial </w:t>
      </w:r>
      <w:r w:rsidRPr="00AF18E0">
        <w:rPr>
          <w:lang w:eastAsia="en-GB" w:bidi="en-GB"/>
        </w:rPr>
        <w:t>(</w:t>
      </w:r>
      <w:r>
        <w:rPr>
          <w:lang w:eastAsia="en-GB" w:bidi="en-GB"/>
        </w:rPr>
        <w:t>RTM</w:t>
      </w:r>
      <w:r w:rsidRPr="00AF18E0">
        <w:rPr>
          <w:lang w:eastAsia="en-GB" w:bidi="en-GB"/>
        </w:rPr>
        <w:t xml:space="preserve">) </w:t>
      </w:r>
      <w:r w:rsidRPr="00A04DAD">
        <w:rPr>
          <w:lang w:eastAsia="en-GB" w:bidi="en-GB"/>
        </w:rPr>
        <w:t>n</w:t>
      </w:r>
      <w:r w:rsidRPr="00AF18E0">
        <w:rPr>
          <w:vertAlign w:val="superscript"/>
          <w:lang w:eastAsia="en-GB" w:bidi="en-GB"/>
        </w:rPr>
        <w:t>o</w:t>
      </w:r>
      <w:r>
        <w:rPr>
          <w:lang w:eastAsia="en-GB" w:bidi="en-GB"/>
        </w:rPr>
        <w:t> </w:t>
      </w:r>
      <w:r w:rsidRPr="00AF18E0">
        <w:rPr>
          <w:lang w:eastAsia="en-GB" w:bidi="en-GB"/>
        </w:rPr>
        <w:t>13</w:t>
      </w:r>
      <w:r w:rsidRPr="00876F1D">
        <w:rPr>
          <w:rStyle w:val="FootnoteReference"/>
        </w:rPr>
        <w:footnoteReference w:id="10"/>
      </w:r>
      <w:r w:rsidRPr="00AF18E0">
        <w:rPr>
          <w:lang w:eastAsia="en-GB" w:bidi="en-GB"/>
        </w:rPr>
        <w:t xml:space="preserve"> </w:t>
      </w:r>
      <w:r>
        <w:rPr>
          <w:lang w:eastAsia="en-GB" w:bidi="en-GB"/>
        </w:rPr>
        <w:t xml:space="preserve">ou des normes </w:t>
      </w:r>
      <w:r w:rsidRPr="00AF18E0">
        <w:rPr>
          <w:lang w:eastAsia="en-GB" w:bidi="en-GB"/>
        </w:rPr>
        <w:t>ISO/TS 15869/ISO 13985</w:t>
      </w:r>
      <w:r w:rsidRPr="00876F1D">
        <w:rPr>
          <w:rStyle w:val="FootnoteReference"/>
        </w:rPr>
        <w:footnoteReference w:id="11"/>
      </w:r>
      <w:r w:rsidRPr="00AF18E0">
        <w:rPr>
          <w:lang w:eastAsia="en-GB" w:bidi="en-GB"/>
        </w:rPr>
        <w:t xml:space="preserve"> </w:t>
      </w:r>
      <w:r>
        <w:rPr>
          <w:b/>
          <w:lang w:eastAsia="en-GB" w:bidi="en-GB"/>
        </w:rPr>
        <w:t>ou du Règlement (CE)</w:t>
      </w:r>
      <w:r w:rsidRPr="00AF18E0">
        <w:rPr>
          <w:b/>
          <w:lang w:eastAsia="en-GB" w:bidi="en-GB"/>
        </w:rPr>
        <w:t xml:space="preserve"> n</w:t>
      </w:r>
      <w:r w:rsidRPr="00AF18E0">
        <w:rPr>
          <w:b/>
          <w:vertAlign w:val="superscript"/>
          <w:lang w:eastAsia="en-GB" w:bidi="en-GB"/>
        </w:rPr>
        <w:t>o</w:t>
      </w:r>
      <w:r>
        <w:rPr>
          <w:b/>
          <w:lang w:eastAsia="en-GB" w:bidi="en-GB"/>
        </w:rPr>
        <w:t> </w:t>
      </w:r>
      <w:r w:rsidRPr="00AF18E0">
        <w:rPr>
          <w:b/>
          <w:lang w:eastAsia="en-GB" w:bidi="en-GB"/>
        </w:rPr>
        <w:t>79/2009</w:t>
      </w:r>
      <w:r w:rsidRPr="00876F1D">
        <w:rPr>
          <w:rStyle w:val="FootnoteReference"/>
        </w:rPr>
        <w:footnoteReference w:id="12"/>
      </w:r>
      <w:r w:rsidRPr="00AF18E0">
        <w:rPr>
          <w:b/>
          <w:lang w:eastAsia="en-GB" w:bidi="en-GB"/>
        </w:rPr>
        <w:t xml:space="preserve"> </w:t>
      </w:r>
      <w:r>
        <w:rPr>
          <w:b/>
          <w:lang w:eastAsia="en-GB" w:bidi="en-GB"/>
        </w:rPr>
        <w:t xml:space="preserve">associées à celles du Règlement </w:t>
      </w:r>
      <w:r w:rsidRPr="00AF18E0">
        <w:rPr>
          <w:b/>
          <w:lang w:eastAsia="en-GB" w:bidi="en-GB"/>
        </w:rPr>
        <w:t>(U</w:t>
      </w:r>
      <w:r>
        <w:rPr>
          <w:b/>
          <w:lang w:eastAsia="en-GB" w:bidi="en-GB"/>
        </w:rPr>
        <w:t>E</w:t>
      </w:r>
      <w:r w:rsidRPr="00AF18E0">
        <w:rPr>
          <w:b/>
          <w:lang w:eastAsia="en-GB" w:bidi="en-GB"/>
        </w:rPr>
        <w:t xml:space="preserve">) </w:t>
      </w:r>
      <w:r w:rsidRPr="001739FB">
        <w:rPr>
          <w:b/>
          <w:lang w:eastAsia="en-GB" w:bidi="en-GB"/>
        </w:rPr>
        <w:t>n</w:t>
      </w:r>
      <w:r w:rsidRPr="001739FB">
        <w:rPr>
          <w:b/>
          <w:vertAlign w:val="superscript"/>
          <w:lang w:eastAsia="en-GB" w:bidi="en-GB"/>
        </w:rPr>
        <w:t>o</w:t>
      </w:r>
      <w:r>
        <w:rPr>
          <w:b/>
          <w:lang w:eastAsia="en-GB" w:bidi="en-GB"/>
        </w:rPr>
        <w:t> </w:t>
      </w:r>
      <w:r w:rsidRPr="00AF18E0">
        <w:rPr>
          <w:b/>
          <w:lang w:eastAsia="en-GB" w:bidi="en-GB"/>
        </w:rPr>
        <w:t>406/2010</w:t>
      </w:r>
      <w:r w:rsidRPr="00876F1D">
        <w:rPr>
          <w:rStyle w:val="FootnoteReference"/>
        </w:rPr>
        <w:footnoteReference w:id="13"/>
      </w:r>
      <w:r w:rsidRPr="001739FB">
        <w:rPr>
          <w:strike/>
          <w:lang w:eastAsia="en-GB" w:bidi="en-GB"/>
        </w:rPr>
        <w:t xml:space="preserve"> dans le cas des réservoirs à hydrogène sous pression</w:t>
      </w:r>
      <w:r w:rsidRPr="00AF18E0">
        <w:rPr>
          <w:lang w:eastAsia="en-GB" w:bidi="en-GB"/>
        </w:rPr>
        <w:t xml:space="preserve">, </w:t>
      </w:r>
      <w:r>
        <w:rPr>
          <w:lang w:eastAsia="en-GB" w:bidi="en-GB"/>
        </w:rPr>
        <w:t>selon le cas</w:t>
      </w:r>
      <w:r w:rsidRPr="00AF18E0">
        <w:rPr>
          <w:lang w:eastAsia="en-GB" w:bidi="en-GB"/>
        </w:rPr>
        <w:t>.</w:t>
      </w:r>
    </w:p>
    <w:p w:rsidR="00E0458B" w:rsidRPr="001739FB" w:rsidRDefault="00E0458B" w:rsidP="000F002A">
      <w:pPr>
        <w:pStyle w:val="SingleTxtG"/>
        <w:spacing w:after="100" w:line="224" w:lineRule="exact"/>
        <w:ind w:left="1701"/>
        <w:rPr>
          <w:lang w:eastAsia="en-GB" w:bidi="en-GB"/>
        </w:rPr>
      </w:pPr>
      <w:r w:rsidRPr="001739FB">
        <w:rPr>
          <w:lang w:eastAsia="en-GB" w:bidi="en-GB"/>
        </w:rPr>
        <w:t>b)</w:t>
      </w:r>
      <w:r w:rsidRPr="001739FB">
        <w:rPr>
          <w:lang w:eastAsia="en-GB" w:bidi="en-GB"/>
        </w:rPr>
        <w:tab/>
        <w:t xml:space="preserve">Les </w:t>
      </w:r>
      <w:r>
        <w:t>enveloppes</w:t>
      </w:r>
      <w:r>
        <w:rPr>
          <w:lang w:eastAsia="en-GB" w:bidi="en-GB"/>
        </w:rPr>
        <w:t xml:space="preserve"> de conf</w:t>
      </w:r>
      <w:r w:rsidRPr="001739FB">
        <w:rPr>
          <w:lang w:eastAsia="en-GB" w:bidi="en-GB"/>
        </w:rPr>
        <w:t xml:space="preserve">inement </w:t>
      </w:r>
      <w:r>
        <w:rPr>
          <w:lang w:eastAsia="en-GB" w:bidi="en-GB"/>
        </w:rPr>
        <w:t>de gaz combustible</w:t>
      </w:r>
      <w:r w:rsidRPr="001739FB">
        <w:rPr>
          <w:lang w:eastAsia="en-GB" w:bidi="en-GB"/>
        </w:rPr>
        <w:t xml:space="preserve"> doivent être étanches et ne </w:t>
      </w:r>
      <w:r w:rsidRPr="001739FB">
        <w:t>présenter</w:t>
      </w:r>
      <w:r w:rsidRPr="001739FB">
        <w:rPr>
          <w:lang w:eastAsia="en-GB" w:bidi="en-GB"/>
        </w:rPr>
        <w:t xml:space="preserve"> aucun dommage externe susceptible d</w:t>
      </w:r>
      <w:r w:rsidR="000273DA">
        <w:rPr>
          <w:lang w:eastAsia="en-GB" w:bidi="en-GB"/>
        </w:rPr>
        <w:t>’</w:t>
      </w:r>
      <w:r w:rsidRPr="001739FB">
        <w:rPr>
          <w:lang w:eastAsia="en-GB" w:bidi="en-GB"/>
        </w:rPr>
        <w:t>affecter la sécurité.</w:t>
      </w:r>
    </w:p>
    <w:p w:rsidR="00E0458B" w:rsidRPr="001739FB" w:rsidRDefault="00E0458B" w:rsidP="000F002A">
      <w:pPr>
        <w:pStyle w:val="SingleTxtG"/>
        <w:spacing w:after="100" w:line="224" w:lineRule="exact"/>
        <w:ind w:left="1701"/>
      </w:pPr>
      <w:r w:rsidRPr="001739FB">
        <w:rPr>
          <w:b/>
          <w:i/>
        </w:rPr>
        <w:t>NOTA 1</w:t>
      </w:r>
      <w:r w:rsidR="0033443B" w:rsidRPr="0033443B">
        <w:t> :</w:t>
      </w:r>
      <w:r w:rsidRPr="001739FB">
        <w:t xml:space="preserve"> Les critères sont énoncés dans la norme ISO 11623:</w:t>
      </w:r>
      <w:r w:rsidRPr="001739FB">
        <w:rPr>
          <w:strike/>
        </w:rPr>
        <w:t>2002</w:t>
      </w:r>
      <w:r w:rsidRPr="001739FB">
        <w:rPr>
          <w:b/>
        </w:rPr>
        <w:t>2015</w:t>
      </w:r>
      <w:r w:rsidRPr="001739FB">
        <w:t xml:space="preserve"> Bouteilles à gaz transportable − Contrôles et essais périodiques des bouteilles à gaz en matériau composite</w:t>
      </w:r>
      <w:r>
        <w:t xml:space="preserve"> </w:t>
      </w:r>
      <w:r w:rsidRPr="001739FB">
        <w:t>(ou ISO 19078:2013 Bouteilles à gaz − Inspection de l</w:t>
      </w:r>
      <w:r w:rsidR="000273DA">
        <w:t>’</w:t>
      </w:r>
      <w:r w:rsidRPr="001739FB">
        <w:t>installation des bouteilles, et requalification des bouteilles haute pression pour le stockage du gaz naturel, utilisé comme carburant, à bord des véhicules automobiles).</w:t>
      </w:r>
    </w:p>
    <w:p w:rsidR="00E0458B" w:rsidRPr="0010778E" w:rsidRDefault="00E0458B" w:rsidP="000F002A">
      <w:pPr>
        <w:pStyle w:val="SingleTxtG"/>
        <w:spacing w:after="100" w:line="224" w:lineRule="exact"/>
        <w:ind w:left="1701"/>
      </w:pPr>
      <w:r w:rsidRPr="0010778E">
        <w:rPr>
          <w:b/>
          <w:i/>
        </w:rPr>
        <w:t>NOTA 2</w:t>
      </w:r>
      <w:r w:rsidR="0033443B" w:rsidRPr="0033443B">
        <w:t> :</w:t>
      </w:r>
      <w:r w:rsidRPr="0010778E">
        <w:t xml:space="preserve"> Si les </w:t>
      </w:r>
      <w:r>
        <w:t>enveloppes de conf</w:t>
      </w:r>
      <w:r w:rsidRPr="0010778E">
        <w:t xml:space="preserve">inement </w:t>
      </w:r>
      <w:r>
        <w:t>de gaz combustible</w:t>
      </w:r>
      <w:r w:rsidRPr="0010778E">
        <w:t xml:space="preserve"> ne sont pas étanches ou </w:t>
      </w:r>
      <w:r w:rsidR="00D10EEC">
        <w:t>si elles</w:t>
      </w:r>
      <w:r w:rsidRPr="0010778E">
        <w:t xml:space="preserve"> sont trop rempli</w:t>
      </w:r>
      <w:r w:rsidR="00D10EEC">
        <w:t>e</w:t>
      </w:r>
      <w:r w:rsidRPr="0010778E">
        <w:t xml:space="preserve">s ou </w:t>
      </w:r>
      <w:r w:rsidR="00D10EEC">
        <w:t>si elles</w:t>
      </w:r>
      <w:r w:rsidRPr="0010778E">
        <w:t xml:space="preserve"> présentent des dommages qui pourraient affecter la sécurité, </w:t>
      </w:r>
      <w:r w:rsidR="00D10EEC">
        <w:t>elles</w:t>
      </w:r>
      <w:r w:rsidRPr="0010778E">
        <w:t xml:space="preserve"> ne peuvent être transporté</w:t>
      </w:r>
      <w:r w:rsidR="00D10EEC">
        <w:t>e</w:t>
      </w:r>
      <w:r w:rsidRPr="0010778E">
        <w:t>s que dans des récipients à pression de secours conformes à ces Règlements.</w:t>
      </w:r>
    </w:p>
    <w:p w:rsidR="00E0458B" w:rsidRPr="0010778E" w:rsidRDefault="00E0458B" w:rsidP="00884484">
      <w:pPr>
        <w:pStyle w:val="SingleTxtG"/>
        <w:ind w:left="1701"/>
      </w:pPr>
      <w:r w:rsidRPr="0010778E">
        <w:t>c)</w:t>
      </w:r>
      <w:r w:rsidRPr="0010778E">
        <w:tab/>
        <w:t>Si l</w:t>
      </w:r>
      <w:r w:rsidR="000273DA">
        <w:t>’</w:t>
      </w:r>
      <w:r>
        <w:t>enveloppe de conf</w:t>
      </w:r>
      <w:r w:rsidRPr="0010778E">
        <w:t>inement des gaz est équipé</w:t>
      </w:r>
      <w:r w:rsidR="00D10EEC">
        <w:t>e</w:t>
      </w:r>
      <w:r w:rsidRPr="0010778E">
        <w:t xml:space="preserve"> d</w:t>
      </w:r>
      <w:r w:rsidR="000273DA">
        <w:t>’</w:t>
      </w:r>
      <w:r w:rsidRPr="0010778E">
        <w:t>au moins deux robinets intégrés en série, deux robinets doivent être obturés de manière à être étanches au gaz dans les conditions normales de transport. Si un seul robinet existe ou fonctionne correctement, toutes les ouvertures à l</w:t>
      </w:r>
      <w:r w:rsidR="000273DA">
        <w:t>’</w:t>
      </w:r>
      <w:r w:rsidRPr="0010778E">
        <w:t>exception de celle du dispositif de décompression, doivent être obturées de façon à être étanches aux gaz dans les conditions normales de transport.</w:t>
      </w:r>
    </w:p>
    <w:p w:rsidR="00E0458B" w:rsidRPr="0010778E" w:rsidRDefault="00E0458B" w:rsidP="00884484">
      <w:pPr>
        <w:pStyle w:val="SingleTxtG"/>
        <w:ind w:left="1701"/>
      </w:pPr>
      <w:r w:rsidRPr="0010778E">
        <w:t>d)</w:t>
      </w:r>
      <w:r w:rsidRPr="0010778E">
        <w:tab/>
        <w:t xml:space="preserve">Les </w:t>
      </w:r>
      <w:r>
        <w:t>enveloppes de conf</w:t>
      </w:r>
      <w:r w:rsidRPr="0010778E">
        <w:t xml:space="preserve">inement </w:t>
      </w:r>
      <w:r>
        <w:t>de gaz combustible</w:t>
      </w:r>
      <w:r w:rsidRPr="0010778E">
        <w:t xml:space="preserve"> doivent être transporté</w:t>
      </w:r>
      <w:r w:rsidR="00D10EEC">
        <w:t>e</w:t>
      </w:r>
      <w:r w:rsidRPr="0010778E">
        <w:t xml:space="preserve">s de façon à éviter toute obstruction du dispositif de décompression et tout endommagement des robinets et de toute autre partie sous pression des </w:t>
      </w:r>
      <w:r>
        <w:t>enveloppes de conf</w:t>
      </w:r>
      <w:r w:rsidRPr="0010778E">
        <w:t xml:space="preserve">inement </w:t>
      </w:r>
      <w:r>
        <w:t>de gaz combustible</w:t>
      </w:r>
      <w:r w:rsidRPr="0010778E">
        <w:t xml:space="preserve"> et tout dégagement accidentel de gaz dans les conditions normales de transport. L</w:t>
      </w:r>
      <w:r w:rsidR="000273DA">
        <w:t>’</w:t>
      </w:r>
      <w:r>
        <w:t>enveloppe de conf</w:t>
      </w:r>
      <w:r w:rsidRPr="0010778E">
        <w:t xml:space="preserve">inement </w:t>
      </w:r>
      <w:r>
        <w:t>de gaz combustible</w:t>
      </w:r>
      <w:r w:rsidRPr="0010778E">
        <w:t xml:space="preserve"> doit être fixé</w:t>
      </w:r>
      <w:r w:rsidR="00D10EEC">
        <w:t>e</w:t>
      </w:r>
      <w:r w:rsidRPr="0010778E">
        <w:t xml:space="preserve"> de façon à ne pas glisser, à ne pas rouler et à ne pas subir de déplacements verticaux.</w:t>
      </w:r>
    </w:p>
    <w:p w:rsidR="00E0458B" w:rsidRPr="00970312" w:rsidRDefault="00E0458B" w:rsidP="00884484">
      <w:pPr>
        <w:pStyle w:val="SingleTxtG"/>
        <w:ind w:left="1701"/>
      </w:pPr>
      <w:proofErr w:type="gramStart"/>
      <w:r w:rsidRPr="00970312">
        <w:t>e</w:t>
      </w:r>
      <w:proofErr w:type="gramEnd"/>
      <w:r w:rsidRPr="00970312">
        <w:t>)</w:t>
      </w:r>
      <w:r w:rsidRPr="00970312">
        <w:tab/>
        <w:t xml:space="preserve">Les </w:t>
      </w:r>
      <w:r>
        <w:t>enveloppes de conf</w:t>
      </w:r>
      <w:r w:rsidRPr="00970312">
        <w:t xml:space="preserve">inement </w:t>
      </w:r>
      <w:r>
        <w:t>de gaz comb</w:t>
      </w:r>
      <w:r w:rsidRPr="00970312">
        <w:t>ustible doivent satisfaire aux dispositions des alinéas</w:t>
      </w:r>
      <w:r w:rsidR="000273DA">
        <w:t xml:space="preserve"> </w:t>
      </w:r>
      <w:r w:rsidRPr="000273DA">
        <w:t>a, b, c, d ou e</w:t>
      </w:r>
      <w:r w:rsidRPr="00970312">
        <w:t xml:space="preserve"> du 4.1.6.1.8. </w:t>
      </w:r>
    </w:p>
    <w:p w:rsidR="00E0458B" w:rsidRPr="00D514E1" w:rsidRDefault="00E0458B" w:rsidP="00884484">
      <w:pPr>
        <w:pStyle w:val="SingleTxtG"/>
        <w:ind w:left="1701"/>
      </w:pPr>
      <w:r w:rsidRPr="00D514E1">
        <w:t>f)</w:t>
      </w:r>
      <w:r w:rsidRPr="00D514E1">
        <w:tab/>
        <w:t>Les envelop</w:t>
      </w:r>
      <w:r>
        <w:t>p</w:t>
      </w:r>
      <w:r w:rsidRPr="00D514E1">
        <w:t xml:space="preserve">es de confinement de gaz combustible transportées depuis leur lieu de fabrication vers un atelier de montage </w:t>
      </w:r>
      <w:r>
        <w:rPr>
          <w:b/>
        </w:rPr>
        <w:t>de véhicules</w:t>
      </w:r>
      <w:r w:rsidRPr="00D514E1">
        <w:t xml:space="preserve"> </w:t>
      </w:r>
      <w:r>
        <w:t>ne doivent pas être remplies</w:t>
      </w:r>
      <w:r w:rsidRPr="00D514E1">
        <w:t xml:space="preserve"> </w:t>
      </w:r>
      <w:r>
        <w:t xml:space="preserve">à plus de </w:t>
      </w:r>
      <w:r w:rsidRPr="00D514E1">
        <w:t>20</w:t>
      </w:r>
      <w:r w:rsidR="0033443B">
        <w:t> </w:t>
      </w:r>
      <w:r w:rsidRPr="00D514E1">
        <w:t xml:space="preserve">% </w:t>
      </w:r>
      <w:r>
        <w:t>de leur taux de remplissage nominal ou de leur pression de service nominale</w:t>
      </w:r>
      <w:r w:rsidRPr="00D514E1">
        <w:t xml:space="preserve">, </w:t>
      </w:r>
      <w:r>
        <w:t>selon qu</w:t>
      </w:r>
      <w:r w:rsidR="000273DA">
        <w:t>’</w:t>
      </w:r>
      <w:r>
        <w:t>il convient</w:t>
      </w:r>
      <w:r w:rsidRPr="00D514E1">
        <w:t>.</w:t>
      </w:r>
      <w:r w:rsidR="0033443B">
        <w:t xml:space="preserve"> </w:t>
      </w:r>
    </w:p>
    <w:p w:rsidR="00E0458B" w:rsidRPr="008E2E32" w:rsidRDefault="00E0458B" w:rsidP="00884484">
      <w:pPr>
        <w:pStyle w:val="SingleTxtG"/>
        <w:ind w:left="1701"/>
      </w:pPr>
      <w:r w:rsidRPr="008E2E32">
        <w:t>g)</w:t>
      </w:r>
      <w:r w:rsidRPr="008E2E32">
        <w:tab/>
        <w:t>Les dispositions du chapitre 5.2 relatives au marquage et à l</w:t>
      </w:r>
      <w:r w:rsidR="000273DA">
        <w:t>’</w:t>
      </w:r>
      <w:r w:rsidRPr="008E2E32">
        <w:t xml:space="preserve">étiquetage doivent être appliquées, sauf si les </w:t>
      </w:r>
      <w:r>
        <w:t>enveloppes de conf</w:t>
      </w:r>
      <w:r w:rsidRPr="008E2E32">
        <w:t xml:space="preserve">inement </w:t>
      </w:r>
      <w:r>
        <w:t>de gaz combustible</w:t>
      </w:r>
      <w:r w:rsidRPr="008E2E32">
        <w:t xml:space="preserve"> sont expédiées dans un dispositif de préhension. Si tel est le cas, les marquages et étiquettes de danger doivent être apposés sur ledit dispositif. </w:t>
      </w:r>
    </w:p>
    <w:p w:rsidR="00E0458B" w:rsidRPr="008E2E32" w:rsidRDefault="00E0458B" w:rsidP="00884484">
      <w:pPr>
        <w:pStyle w:val="SingleTxtG"/>
        <w:ind w:left="1701"/>
      </w:pPr>
      <w:r w:rsidRPr="008E2E32">
        <w:t>h)</w:t>
      </w:r>
      <w:r w:rsidRPr="008E2E32">
        <w:tab/>
        <w:t>Documentation</w:t>
      </w:r>
    </w:p>
    <w:p w:rsidR="00E0458B" w:rsidRPr="008E2E32" w:rsidRDefault="00E0458B" w:rsidP="0033443B">
      <w:pPr>
        <w:pStyle w:val="SingleTxtG"/>
        <w:ind w:left="2268"/>
        <w:rPr>
          <w:lang w:eastAsia="en-GB" w:bidi="en-GB"/>
        </w:rPr>
      </w:pPr>
      <w:r w:rsidRPr="008E2E32">
        <w:rPr>
          <w:lang w:eastAsia="en-GB" w:bidi="en-GB"/>
        </w:rPr>
        <w:t xml:space="preserve">Chaque lot qui est </w:t>
      </w:r>
      <w:r w:rsidRPr="008E2E32">
        <w:t>transporté</w:t>
      </w:r>
      <w:r w:rsidRPr="008E2E32">
        <w:rPr>
          <w:lang w:eastAsia="en-GB" w:bidi="en-GB"/>
        </w:rPr>
        <w:t xml:space="preserve"> conformément à cette disposition spéciale doit être accompagné d</w:t>
      </w:r>
      <w:r w:rsidR="000273DA">
        <w:rPr>
          <w:lang w:eastAsia="en-GB" w:bidi="en-GB"/>
        </w:rPr>
        <w:t>’</w:t>
      </w:r>
      <w:r w:rsidRPr="008E2E32">
        <w:rPr>
          <w:lang w:eastAsia="en-GB" w:bidi="en-GB"/>
        </w:rPr>
        <w:t>un document de transport comportant au moins les informations ci</w:t>
      </w:r>
      <w:r>
        <w:rPr>
          <w:lang w:eastAsia="en-GB" w:bidi="en-GB"/>
        </w:rPr>
        <w:t>-</w:t>
      </w:r>
      <w:r w:rsidRPr="008E2E32">
        <w:rPr>
          <w:lang w:eastAsia="en-GB" w:bidi="en-GB"/>
        </w:rPr>
        <w:t>après</w:t>
      </w:r>
      <w:r w:rsidR="0033443B">
        <w:rPr>
          <w:lang w:eastAsia="en-GB" w:bidi="en-GB"/>
        </w:rPr>
        <w:t> :</w:t>
      </w:r>
      <w:r w:rsidRPr="008E2E32">
        <w:rPr>
          <w:lang w:eastAsia="en-GB" w:bidi="en-GB"/>
        </w:rPr>
        <w:t xml:space="preserve"> </w:t>
      </w:r>
    </w:p>
    <w:p w:rsidR="00E0458B" w:rsidRPr="008E2E32" w:rsidRDefault="00E0458B" w:rsidP="00884484">
      <w:pPr>
        <w:pStyle w:val="SingleTxtG"/>
        <w:ind w:left="2268"/>
        <w:rPr>
          <w:lang w:eastAsia="en-GB" w:bidi="en-GB"/>
        </w:rPr>
      </w:pPr>
      <w:r w:rsidRPr="008E2E32">
        <w:rPr>
          <w:lang w:eastAsia="en-GB" w:bidi="en-GB"/>
        </w:rPr>
        <w:t>i)</w:t>
      </w:r>
      <w:r w:rsidRPr="008E2E32">
        <w:rPr>
          <w:lang w:eastAsia="en-GB" w:bidi="en-GB"/>
        </w:rPr>
        <w:tab/>
        <w:t xml:space="preserve">Le numéro ONU du gaz contenu dans les </w:t>
      </w:r>
      <w:r>
        <w:rPr>
          <w:lang w:eastAsia="en-GB" w:bidi="en-GB"/>
        </w:rPr>
        <w:t>enveloppes de conf</w:t>
      </w:r>
      <w:r w:rsidRPr="008E2E32">
        <w:rPr>
          <w:lang w:eastAsia="en-GB" w:bidi="en-GB"/>
        </w:rPr>
        <w:t xml:space="preserve">inement </w:t>
      </w:r>
      <w:r>
        <w:rPr>
          <w:lang w:eastAsia="en-GB" w:bidi="en-GB"/>
        </w:rPr>
        <w:t>de gaz combustible</w:t>
      </w:r>
      <w:r w:rsidRPr="008E2E32">
        <w:rPr>
          <w:lang w:eastAsia="en-GB" w:bidi="en-GB"/>
        </w:rPr>
        <w:t xml:space="preserve">, précédé des lettres </w:t>
      </w:r>
      <w:r w:rsidR="000273DA" w:rsidRPr="008B24F0">
        <w:rPr>
          <w:lang w:eastAsia="zh-CN"/>
        </w:rPr>
        <w:t>“</w:t>
      </w:r>
      <w:r w:rsidRPr="008E2E32">
        <w:rPr>
          <w:lang w:eastAsia="en-GB" w:bidi="en-GB"/>
        </w:rPr>
        <w:t>UN</w:t>
      </w:r>
      <w:r w:rsidR="000273DA" w:rsidRPr="008B24F0">
        <w:rPr>
          <w:lang w:eastAsia="zh-CN"/>
        </w:rPr>
        <w:t>”</w:t>
      </w:r>
      <w:r w:rsidRPr="008E2E32">
        <w:rPr>
          <w:lang w:eastAsia="en-GB" w:bidi="en-GB"/>
        </w:rPr>
        <w:t>;</w:t>
      </w:r>
    </w:p>
    <w:p w:rsidR="00E0458B" w:rsidRPr="008E2E32" w:rsidRDefault="00E0458B" w:rsidP="0033443B">
      <w:pPr>
        <w:pStyle w:val="SingleTxtG"/>
        <w:ind w:left="2268"/>
        <w:rPr>
          <w:lang w:eastAsia="en-GB" w:bidi="en-GB"/>
        </w:rPr>
      </w:pPr>
      <w:r w:rsidRPr="008E2E32">
        <w:rPr>
          <w:lang w:eastAsia="en-GB" w:bidi="en-GB"/>
        </w:rPr>
        <w:t>ii)</w:t>
      </w:r>
      <w:r w:rsidRPr="008E2E32">
        <w:rPr>
          <w:lang w:eastAsia="en-GB" w:bidi="en-GB"/>
        </w:rPr>
        <w:tab/>
        <w:t xml:space="preserve">La </w:t>
      </w:r>
      <w:r w:rsidRPr="008E2E32">
        <w:t>désignation</w:t>
      </w:r>
      <w:r w:rsidRPr="008E2E32">
        <w:rPr>
          <w:lang w:eastAsia="en-GB" w:bidi="en-GB"/>
        </w:rPr>
        <w:t xml:space="preserve"> officielle de transport du gaz;</w:t>
      </w:r>
    </w:p>
    <w:p w:rsidR="00E0458B" w:rsidRPr="008E2E32" w:rsidRDefault="00E0458B" w:rsidP="0033443B">
      <w:pPr>
        <w:pStyle w:val="SingleTxtG"/>
        <w:ind w:left="2268"/>
        <w:rPr>
          <w:lang w:eastAsia="en-GB" w:bidi="en-GB"/>
        </w:rPr>
      </w:pPr>
      <w:r w:rsidRPr="008E2E32">
        <w:rPr>
          <w:lang w:eastAsia="en-GB" w:bidi="en-GB"/>
        </w:rPr>
        <w:t>iii)</w:t>
      </w:r>
      <w:r w:rsidRPr="008E2E32">
        <w:rPr>
          <w:lang w:eastAsia="en-GB" w:bidi="en-GB"/>
        </w:rPr>
        <w:tab/>
        <w:t xml:space="preserve">Le </w:t>
      </w:r>
      <w:r w:rsidRPr="008E2E32">
        <w:t>numéro</w:t>
      </w:r>
      <w:r w:rsidRPr="008E2E32">
        <w:rPr>
          <w:lang w:eastAsia="en-GB" w:bidi="en-GB"/>
        </w:rPr>
        <w:t xml:space="preserve"> de la division;</w:t>
      </w:r>
    </w:p>
    <w:p w:rsidR="00E0458B" w:rsidRPr="008E2E32" w:rsidRDefault="00E0458B" w:rsidP="0033443B">
      <w:pPr>
        <w:pStyle w:val="SingleTxtG"/>
        <w:ind w:left="2268"/>
      </w:pPr>
      <w:r w:rsidRPr="008E2E32">
        <w:t>iv)</w:t>
      </w:r>
      <w:r w:rsidRPr="008E2E32">
        <w:tab/>
      </w:r>
      <w:r>
        <w:t xml:space="preserve">Le nombre </w:t>
      </w:r>
      <w:r w:rsidR="00D10EEC">
        <w:t>d’</w:t>
      </w:r>
      <w:r>
        <w:t>enveloppes de conf</w:t>
      </w:r>
      <w:r w:rsidRPr="008E2E32">
        <w:t xml:space="preserve">inement </w:t>
      </w:r>
      <w:r>
        <w:t>de gaz combustible</w:t>
      </w:r>
      <w:r w:rsidRPr="008E2E32">
        <w:t>;</w:t>
      </w:r>
    </w:p>
    <w:p w:rsidR="00E0458B" w:rsidRPr="008E2E32" w:rsidRDefault="00E0458B" w:rsidP="0033443B">
      <w:pPr>
        <w:pStyle w:val="SingleTxtG"/>
        <w:ind w:left="2268"/>
      </w:pPr>
      <w:r w:rsidRPr="008E2E32">
        <w:t>v)</w:t>
      </w:r>
      <w:r w:rsidRPr="008E2E32">
        <w:tab/>
        <w:t xml:space="preserve">Dans le cas des gaz liquéfiés, la masse totale </w:t>
      </w:r>
      <w:r w:rsidRPr="008E2E32">
        <w:rPr>
          <w:b/>
        </w:rPr>
        <w:t xml:space="preserve">(kg) </w:t>
      </w:r>
      <w:r w:rsidRPr="008E2E32">
        <w:t xml:space="preserve">de gaz pour chaque </w:t>
      </w:r>
      <w:r>
        <w:t>enveloppe de conf</w:t>
      </w:r>
      <w:r w:rsidRPr="008E2E32">
        <w:t xml:space="preserve">inement </w:t>
      </w:r>
      <w:r>
        <w:t>de gaz combustible</w:t>
      </w:r>
      <w:r w:rsidRPr="008E2E32">
        <w:t xml:space="preserve"> et, dans le cas des gaz comprimés, la capacité totale en eau </w:t>
      </w:r>
      <w:r w:rsidRPr="008E2E32">
        <w:rPr>
          <w:b/>
        </w:rPr>
        <w:t xml:space="preserve">(l) </w:t>
      </w:r>
      <w:r w:rsidRPr="008E2E32">
        <w:t xml:space="preserve">de chaque enveloppe de confinement </w:t>
      </w:r>
      <w:r>
        <w:t>de gaz combustible</w:t>
      </w:r>
      <w:r w:rsidRPr="008E2E32">
        <w:t xml:space="preserve">, suivie de la pression nominale de service; </w:t>
      </w:r>
    </w:p>
    <w:p w:rsidR="00E0458B" w:rsidRPr="00AD0BD2" w:rsidRDefault="00E0458B" w:rsidP="0033443B">
      <w:pPr>
        <w:pStyle w:val="SingleTxtG"/>
        <w:ind w:left="2268"/>
      </w:pPr>
      <w:r w:rsidRPr="00AD0BD2">
        <w:t>vi)</w:t>
      </w:r>
      <w:r w:rsidRPr="00AD0BD2">
        <w:tab/>
        <w:t xml:space="preserve">Les </w:t>
      </w:r>
      <w:r w:rsidRPr="00AD0BD2">
        <w:rPr>
          <w:lang w:eastAsia="en-GB" w:bidi="en-GB"/>
        </w:rPr>
        <w:t>noms</w:t>
      </w:r>
      <w:r w:rsidRPr="00AD0BD2">
        <w:t xml:space="preserve"> et adresses de l</w:t>
      </w:r>
      <w:r w:rsidR="000273DA">
        <w:t>’</w:t>
      </w:r>
      <w:r w:rsidRPr="00AD0BD2">
        <w:t>expéditeur et du destinataire.</w:t>
      </w:r>
    </w:p>
    <w:p w:rsidR="00E0458B" w:rsidRPr="00AD0BD2" w:rsidRDefault="00E0458B" w:rsidP="00D10EEC">
      <w:pPr>
        <w:pStyle w:val="SingleTxtG"/>
        <w:ind w:left="2268"/>
        <w:rPr>
          <w:lang w:eastAsia="en-GB" w:bidi="en-GB"/>
        </w:rPr>
      </w:pPr>
      <w:r w:rsidRPr="00AD0BD2">
        <w:rPr>
          <w:lang w:eastAsia="en-GB" w:bidi="en-GB"/>
        </w:rPr>
        <w:t>Les éléments i) à v) doivent apparaître com</w:t>
      </w:r>
      <w:r>
        <w:rPr>
          <w:lang w:eastAsia="en-GB" w:bidi="en-GB"/>
        </w:rPr>
        <w:t>me dans les exemples ci-</w:t>
      </w:r>
      <w:r w:rsidRPr="00AD0BD2">
        <w:rPr>
          <w:lang w:eastAsia="en-GB" w:bidi="en-GB"/>
        </w:rPr>
        <w:t>après</w:t>
      </w:r>
      <w:r w:rsidR="0033443B">
        <w:rPr>
          <w:lang w:eastAsia="en-GB" w:bidi="en-GB"/>
        </w:rPr>
        <w:t> :</w:t>
      </w:r>
    </w:p>
    <w:p w:rsidR="00E0458B" w:rsidRPr="00AD0BD2" w:rsidRDefault="00E0458B" w:rsidP="00884484">
      <w:pPr>
        <w:pStyle w:val="SingleTxtG"/>
        <w:ind w:left="1701"/>
      </w:pPr>
      <w:r w:rsidRPr="00AD0BD2">
        <w:rPr>
          <w:lang w:eastAsia="en-GB" w:bidi="en-GB"/>
        </w:rPr>
        <w:t>Exemple</w:t>
      </w:r>
      <w:r w:rsidRPr="00AD0BD2">
        <w:t xml:space="preserve"> 1</w:t>
      </w:r>
      <w:r w:rsidR="0033443B">
        <w:t> :</w:t>
      </w:r>
      <w:r w:rsidRPr="00AD0BD2">
        <w:t xml:space="preserve"> </w:t>
      </w:r>
      <w:r w:rsidR="000273DA" w:rsidRPr="008B24F0">
        <w:rPr>
          <w:lang w:eastAsia="zh-CN"/>
        </w:rPr>
        <w:t>“</w:t>
      </w:r>
      <w:r w:rsidRPr="00AD0BD2">
        <w:t xml:space="preserve">No ONU 1971 gaz naturel, comprimé, 2.1, un dispositif de stockage </w:t>
      </w:r>
      <w:r>
        <w:t>de gaz combustible</w:t>
      </w:r>
      <w:r w:rsidRPr="00AD0BD2">
        <w:t xml:space="preserve"> d</w:t>
      </w:r>
      <w:r w:rsidR="000273DA">
        <w:t>’</w:t>
      </w:r>
      <w:r w:rsidRPr="00AD0BD2">
        <w:t>une capacité totale de 50</w:t>
      </w:r>
      <w:r w:rsidR="00FB00CA">
        <w:t> </w:t>
      </w:r>
      <w:r w:rsidRPr="00AD0BD2">
        <w:t>l, sous une pression de 200</w:t>
      </w:r>
      <w:r w:rsidR="00FB00CA">
        <w:t> </w:t>
      </w:r>
      <w:r w:rsidRPr="00AD0BD2">
        <w:t>bar</w:t>
      </w:r>
      <w:r w:rsidR="000273DA" w:rsidRPr="008B24F0">
        <w:rPr>
          <w:lang w:eastAsia="zh-CN"/>
        </w:rPr>
        <w:t>”</w:t>
      </w:r>
      <w:r w:rsidRPr="00AD0BD2">
        <w:t>.</w:t>
      </w:r>
    </w:p>
    <w:p w:rsidR="00E0458B" w:rsidRDefault="00E0458B" w:rsidP="00884484">
      <w:pPr>
        <w:pStyle w:val="SingleTxtG"/>
        <w:ind w:left="1701"/>
      </w:pPr>
      <w:r w:rsidRPr="00AD0BD2">
        <w:t>Exemple 2</w:t>
      </w:r>
      <w:r w:rsidR="0033443B">
        <w:t> :</w:t>
      </w:r>
      <w:r w:rsidRPr="00AD0BD2">
        <w:t xml:space="preserve"> </w:t>
      </w:r>
      <w:r w:rsidR="000273DA" w:rsidRPr="008B24F0">
        <w:rPr>
          <w:lang w:eastAsia="zh-CN"/>
        </w:rPr>
        <w:t>“</w:t>
      </w:r>
      <w:r w:rsidRPr="00AD0BD2">
        <w:t xml:space="preserve">No ONU 1965 hydrocarbures gazeux en mélange, liquéfié, </w:t>
      </w:r>
      <w:proofErr w:type="gramStart"/>
      <w:r w:rsidRPr="00AD0BD2">
        <w:t>n.s.a.,</w:t>
      </w:r>
      <w:proofErr w:type="gramEnd"/>
      <w:r w:rsidRPr="00AD0BD2">
        <w:t xml:space="preserve"> 2.1, trois </w:t>
      </w:r>
      <w:r w:rsidRPr="00AD0BD2">
        <w:rPr>
          <w:lang w:eastAsia="en-GB" w:bidi="en-GB"/>
        </w:rPr>
        <w:t xml:space="preserve">dispositifs de stockage </w:t>
      </w:r>
      <w:r>
        <w:rPr>
          <w:lang w:eastAsia="en-GB" w:bidi="en-GB"/>
        </w:rPr>
        <w:t>de gaz combustible</w:t>
      </w:r>
      <w:r w:rsidRPr="00AD0BD2">
        <w:rPr>
          <w:lang w:eastAsia="en-GB" w:bidi="en-GB"/>
        </w:rPr>
        <w:t xml:space="preserve"> pour véhicule, la masse de gaz étant pour cha</w:t>
      </w:r>
      <w:r w:rsidRPr="00AD0BD2">
        <w:t>cun de 15</w:t>
      </w:r>
      <w:r w:rsidR="00FB00CA">
        <w:t> </w:t>
      </w:r>
      <w:r w:rsidRPr="00AD0BD2">
        <w:t>kg</w:t>
      </w:r>
      <w:r w:rsidR="000273DA" w:rsidRPr="008B24F0">
        <w:rPr>
          <w:lang w:eastAsia="zh-CN"/>
        </w:rPr>
        <w:t>”</w:t>
      </w:r>
      <w:r w:rsidRPr="00AD0BD2">
        <w:t>.</w:t>
      </w:r>
      <w:r w:rsidR="00D10EEC">
        <w:t> ».</w:t>
      </w:r>
    </w:p>
    <w:p w:rsidR="0033443B" w:rsidRPr="0033443B" w:rsidRDefault="0033443B" w:rsidP="0033443B">
      <w:pPr>
        <w:pStyle w:val="SingleTxtG"/>
        <w:spacing w:before="240" w:after="0"/>
        <w:jc w:val="center"/>
        <w:rPr>
          <w:u w:val="single"/>
        </w:rPr>
      </w:pPr>
      <w:r>
        <w:rPr>
          <w:u w:val="single"/>
        </w:rPr>
        <w:tab/>
      </w:r>
      <w:r>
        <w:rPr>
          <w:u w:val="single"/>
        </w:rPr>
        <w:tab/>
      </w:r>
      <w:r>
        <w:rPr>
          <w:u w:val="single"/>
        </w:rPr>
        <w:tab/>
      </w:r>
    </w:p>
    <w:sectPr w:rsidR="0033443B" w:rsidRPr="0033443B" w:rsidSect="0002475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61" w:rsidRDefault="00155A61" w:rsidP="00F95C08">
      <w:pPr>
        <w:spacing w:line="240" w:lineRule="auto"/>
      </w:pPr>
    </w:p>
  </w:endnote>
  <w:endnote w:type="continuationSeparator" w:id="0">
    <w:p w:rsidR="00155A61" w:rsidRPr="00AC3823" w:rsidRDefault="00155A61" w:rsidP="00AC3823">
      <w:pPr>
        <w:pStyle w:val="Footer"/>
      </w:pPr>
    </w:p>
  </w:endnote>
  <w:endnote w:type="continuationNotice" w:id="1">
    <w:p w:rsidR="00155A61" w:rsidRDefault="00155A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5E" w:rsidRPr="0002475E" w:rsidRDefault="0002475E" w:rsidP="0002475E">
    <w:pPr>
      <w:pStyle w:val="Footer"/>
      <w:tabs>
        <w:tab w:val="right" w:pos="9638"/>
      </w:tabs>
    </w:pPr>
    <w:r w:rsidRPr="0002475E">
      <w:rPr>
        <w:b/>
        <w:sz w:val="18"/>
      </w:rPr>
      <w:fldChar w:fldCharType="begin"/>
    </w:r>
    <w:r w:rsidRPr="0002475E">
      <w:rPr>
        <w:b/>
        <w:sz w:val="18"/>
      </w:rPr>
      <w:instrText xml:space="preserve"> PAGE  \* MERGEFORMAT </w:instrText>
    </w:r>
    <w:r w:rsidRPr="0002475E">
      <w:rPr>
        <w:b/>
        <w:sz w:val="18"/>
      </w:rPr>
      <w:fldChar w:fldCharType="separate"/>
    </w:r>
    <w:r w:rsidR="00AE755C">
      <w:rPr>
        <w:b/>
        <w:noProof/>
        <w:sz w:val="18"/>
      </w:rPr>
      <w:t>4</w:t>
    </w:r>
    <w:r w:rsidRPr="0002475E">
      <w:rPr>
        <w:b/>
        <w:sz w:val="18"/>
      </w:rPr>
      <w:fldChar w:fldCharType="end"/>
    </w:r>
    <w:r>
      <w:rPr>
        <w:b/>
        <w:sz w:val="18"/>
      </w:rPr>
      <w:tab/>
    </w:r>
    <w:r>
      <w:t>GE.16-05047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5E" w:rsidRPr="0002475E" w:rsidRDefault="0002475E" w:rsidP="0002475E">
    <w:pPr>
      <w:pStyle w:val="Footer"/>
      <w:tabs>
        <w:tab w:val="right" w:pos="9638"/>
      </w:tabs>
      <w:rPr>
        <w:b/>
        <w:sz w:val="18"/>
      </w:rPr>
    </w:pPr>
    <w:r>
      <w:t>GE.16-05047</w:t>
    </w:r>
    <w:r>
      <w:tab/>
    </w:r>
    <w:r w:rsidRPr="0002475E">
      <w:rPr>
        <w:b/>
        <w:sz w:val="18"/>
      </w:rPr>
      <w:fldChar w:fldCharType="begin"/>
    </w:r>
    <w:r w:rsidRPr="0002475E">
      <w:rPr>
        <w:b/>
        <w:sz w:val="18"/>
      </w:rPr>
      <w:instrText xml:space="preserve"> PAGE  \* MERGEFORMAT </w:instrText>
    </w:r>
    <w:r w:rsidRPr="0002475E">
      <w:rPr>
        <w:b/>
        <w:sz w:val="18"/>
      </w:rPr>
      <w:fldChar w:fldCharType="separate"/>
    </w:r>
    <w:r w:rsidR="00AE755C">
      <w:rPr>
        <w:b/>
        <w:noProof/>
        <w:sz w:val="18"/>
      </w:rPr>
      <w:t>5</w:t>
    </w:r>
    <w:r w:rsidRPr="0002475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02475E" w:rsidRDefault="0002475E" w:rsidP="0002475E">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3744DC14" wp14:editId="67BBC94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16-05047  (F)</w:t>
    </w:r>
    <w:r w:rsidR="00884484">
      <w:rPr>
        <w:sz w:val="20"/>
      </w:rPr>
      <w:t xml:space="preserve">    230516    230516</w:t>
    </w:r>
    <w:r>
      <w:rPr>
        <w:sz w:val="20"/>
      </w:rPr>
      <w:br/>
    </w:r>
    <w:r w:rsidRPr="0002475E">
      <w:rPr>
        <w:rFonts w:ascii="C39T30Lfz" w:hAnsi="C39T30Lfz"/>
        <w:sz w:val="56"/>
      </w:rPr>
      <w:t></w:t>
    </w:r>
    <w:r w:rsidRPr="0002475E">
      <w:rPr>
        <w:rFonts w:ascii="C39T30Lfz" w:hAnsi="C39T30Lfz"/>
        <w:sz w:val="56"/>
      </w:rPr>
      <w:t></w:t>
    </w:r>
    <w:r w:rsidRPr="0002475E">
      <w:rPr>
        <w:rFonts w:ascii="C39T30Lfz" w:hAnsi="C39T30Lfz"/>
        <w:sz w:val="56"/>
      </w:rPr>
      <w:t></w:t>
    </w:r>
    <w:r w:rsidRPr="0002475E">
      <w:rPr>
        <w:rFonts w:ascii="C39T30Lfz" w:hAnsi="C39T30Lfz"/>
        <w:sz w:val="56"/>
      </w:rPr>
      <w:t></w:t>
    </w:r>
    <w:r w:rsidRPr="0002475E">
      <w:rPr>
        <w:rFonts w:ascii="C39T30Lfz" w:hAnsi="C39T30Lfz"/>
        <w:sz w:val="56"/>
      </w:rPr>
      <w:t></w:t>
    </w:r>
    <w:r w:rsidRPr="0002475E">
      <w:rPr>
        <w:rFonts w:ascii="C39T30Lfz" w:hAnsi="C39T30Lfz"/>
        <w:sz w:val="56"/>
      </w:rPr>
      <w:t></w:t>
    </w:r>
    <w:r w:rsidRPr="0002475E">
      <w:rPr>
        <w:rFonts w:ascii="C39T30Lfz" w:hAnsi="C39T30Lfz"/>
        <w:sz w:val="56"/>
      </w:rPr>
      <w:t></w:t>
    </w:r>
    <w:r w:rsidRPr="0002475E">
      <w:rPr>
        <w:rFonts w:ascii="C39T30Lfz" w:hAnsi="C39T30Lfz"/>
        <w:sz w:val="56"/>
      </w:rPr>
      <w:t></w:t>
    </w:r>
    <w:r w:rsidRPr="0002475E">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2A26673D" wp14:editId="1E5367F4">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61" w:rsidRPr="00AC3823" w:rsidRDefault="00155A61" w:rsidP="00AC3823">
      <w:pPr>
        <w:pStyle w:val="Footer"/>
        <w:tabs>
          <w:tab w:val="right" w:pos="2155"/>
        </w:tabs>
        <w:spacing w:after="80" w:line="240" w:lineRule="atLeast"/>
        <w:ind w:left="680"/>
        <w:rPr>
          <w:u w:val="single"/>
        </w:rPr>
      </w:pPr>
      <w:r>
        <w:rPr>
          <w:u w:val="single"/>
        </w:rPr>
        <w:tab/>
      </w:r>
    </w:p>
  </w:footnote>
  <w:footnote w:type="continuationSeparator" w:id="0">
    <w:p w:rsidR="00155A61" w:rsidRPr="00AC3823" w:rsidRDefault="00155A61" w:rsidP="00AC3823">
      <w:pPr>
        <w:pStyle w:val="Footer"/>
        <w:tabs>
          <w:tab w:val="right" w:pos="2155"/>
        </w:tabs>
        <w:spacing w:after="80" w:line="240" w:lineRule="atLeast"/>
        <w:ind w:left="680"/>
        <w:rPr>
          <w:u w:val="single"/>
        </w:rPr>
      </w:pPr>
      <w:r>
        <w:rPr>
          <w:u w:val="single"/>
        </w:rPr>
        <w:tab/>
      </w:r>
    </w:p>
  </w:footnote>
  <w:footnote w:type="continuationNotice" w:id="1">
    <w:p w:rsidR="00155A61" w:rsidRPr="00AC3823" w:rsidRDefault="00155A61">
      <w:pPr>
        <w:spacing w:line="240" w:lineRule="auto"/>
        <w:rPr>
          <w:sz w:val="2"/>
          <w:szCs w:val="2"/>
        </w:rPr>
      </w:pPr>
    </w:p>
  </w:footnote>
  <w:footnote w:id="2">
    <w:p w:rsidR="00E0458B" w:rsidRDefault="000273DA" w:rsidP="00E0458B">
      <w:pPr>
        <w:pStyle w:val="FootnoteText"/>
      </w:pPr>
      <w:r>
        <w:rPr>
          <w:lang w:val="fr-FR"/>
        </w:rPr>
        <w:tab/>
      </w:r>
      <w:r w:rsidR="00E0458B" w:rsidRPr="00876F1D">
        <w:rPr>
          <w:rStyle w:val="FootnoteReference"/>
        </w:rPr>
        <w:footnoteRef/>
      </w:r>
      <w:r w:rsidR="00686734">
        <w:rPr>
          <w:lang w:val="fr-FR"/>
        </w:rPr>
        <w:tab/>
      </w:r>
      <w:r w:rsidR="00E0458B" w:rsidRPr="00DD5E69">
        <w:rPr>
          <w:lang w:val="fr-FR"/>
        </w:rPr>
        <w:t xml:space="preserve">Conformément au programme de travail du Sous-Comité pour la période 2015-2016 tel qu’approuvé par le Comité à sa septième session (voir ST/SG/AC.10/C.3/92, </w:t>
      </w:r>
      <w:r w:rsidR="0033443B">
        <w:rPr>
          <w:lang w:val="fr-FR"/>
        </w:rPr>
        <w:t>par. </w:t>
      </w:r>
      <w:r w:rsidR="00E0458B" w:rsidRPr="00DD5E69">
        <w:rPr>
          <w:lang w:val="fr-FR"/>
        </w:rPr>
        <w:t xml:space="preserve">95, et ST/SG/AC.10/42, </w:t>
      </w:r>
      <w:r w:rsidR="0033443B">
        <w:rPr>
          <w:lang w:val="fr-FR"/>
        </w:rPr>
        <w:t>par. </w:t>
      </w:r>
      <w:r w:rsidR="00E0458B" w:rsidRPr="00DD5E69">
        <w:rPr>
          <w:lang w:val="fr-FR"/>
        </w:rPr>
        <w:t>15).</w:t>
      </w:r>
    </w:p>
  </w:footnote>
  <w:footnote w:id="3">
    <w:p w:rsidR="00E0458B" w:rsidRPr="009F4B29" w:rsidRDefault="0033443B" w:rsidP="00E0458B">
      <w:pPr>
        <w:pStyle w:val="FootnoteText"/>
        <w:rPr>
          <w:sz w:val="16"/>
          <w:szCs w:val="16"/>
        </w:rPr>
      </w:pPr>
      <w:r>
        <w:tab/>
      </w:r>
      <w:r w:rsidR="00E0458B" w:rsidRPr="00876F1D">
        <w:rPr>
          <w:rStyle w:val="FootnoteReference"/>
        </w:rPr>
        <w:footnoteRef/>
      </w:r>
      <w:r w:rsidR="00E0458B" w:rsidRPr="009F4B29">
        <w:t xml:space="preserve"> </w:t>
      </w:r>
      <w:r w:rsidR="00E0458B" w:rsidRPr="009F4B29">
        <w:tab/>
      </w:r>
      <w:r w:rsidR="00E0458B" w:rsidRPr="009F4B29">
        <w:rPr>
          <w:sz w:val="16"/>
          <w:szCs w:val="16"/>
        </w:rPr>
        <w:t xml:space="preserve">Règlement ONU </w:t>
      </w:r>
      <w:r w:rsidRPr="0033443B">
        <w:rPr>
          <w:rFonts w:eastAsia="MS Mincho"/>
          <w:sz w:val="16"/>
          <w:szCs w:val="22"/>
        </w:rPr>
        <w:t>n</w:t>
      </w:r>
      <w:r w:rsidRPr="0033443B">
        <w:rPr>
          <w:rFonts w:eastAsia="MS Mincho"/>
          <w:sz w:val="16"/>
          <w:szCs w:val="22"/>
          <w:vertAlign w:val="superscript"/>
        </w:rPr>
        <w:t>o</w:t>
      </w:r>
      <w:r>
        <w:rPr>
          <w:sz w:val="16"/>
          <w:szCs w:val="16"/>
        </w:rPr>
        <w:t> </w:t>
      </w:r>
      <w:r w:rsidR="00E0458B" w:rsidRPr="009F4B29">
        <w:rPr>
          <w:sz w:val="16"/>
          <w:szCs w:val="16"/>
        </w:rPr>
        <w:t>67 (Prescriptions uniformes relatives à l’homologation</w:t>
      </w:r>
      <w:r w:rsidR="00D10EEC">
        <w:rPr>
          <w:sz w:val="16"/>
          <w:szCs w:val="16"/>
        </w:rPr>
        <w:t> :</w:t>
      </w:r>
      <w:r w:rsidR="00E0458B" w:rsidRPr="009F4B29">
        <w:rPr>
          <w:sz w:val="16"/>
          <w:szCs w:val="16"/>
        </w:rPr>
        <w:t xml:space="preserve"> I. Des équipements spéciaux pour l’alimentation du moteur au gaz de pétrole liquéfié sur les véhicules</w:t>
      </w:r>
      <w:r w:rsidR="00D10EEC">
        <w:rPr>
          <w:sz w:val="16"/>
          <w:szCs w:val="16"/>
        </w:rPr>
        <w:t> </w:t>
      </w:r>
      <w:r w:rsidR="00E0458B" w:rsidRPr="009F4B29">
        <w:rPr>
          <w:sz w:val="16"/>
          <w:szCs w:val="16"/>
        </w:rPr>
        <w:t>; II. Des véhicules munis d’un équipement spécial pour l’alimentation du moteur au gaz de pétrole liquéfié en ce qui concerne l’installation de cet équipement)</w:t>
      </w:r>
      <w:r w:rsidR="00D10EEC">
        <w:rPr>
          <w:sz w:val="16"/>
          <w:szCs w:val="16"/>
        </w:rPr>
        <w:t>.</w:t>
      </w:r>
    </w:p>
  </w:footnote>
  <w:footnote w:id="4">
    <w:p w:rsidR="00E0458B" w:rsidRPr="009F4B29" w:rsidRDefault="0033443B" w:rsidP="00E0458B">
      <w:pPr>
        <w:pStyle w:val="FootnoteText"/>
        <w:rPr>
          <w:sz w:val="16"/>
          <w:szCs w:val="16"/>
        </w:rPr>
      </w:pPr>
      <w:r>
        <w:tab/>
      </w:r>
      <w:r w:rsidR="00E0458B" w:rsidRPr="00876F1D">
        <w:rPr>
          <w:rStyle w:val="FootnoteReference"/>
        </w:rPr>
        <w:footnoteRef/>
      </w:r>
      <w:r w:rsidR="00E0458B" w:rsidRPr="009F4B29">
        <w:t xml:space="preserve"> </w:t>
      </w:r>
      <w:r w:rsidR="00E0458B" w:rsidRPr="009F4B29">
        <w:tab/>
      </w:r>
      <w:r w:rsidR="00E0458B" w:rsidRPr="009F4B29">
        <w:rPr>
          <w:sz w:val="16"/>
          <w:szCs w:val="16"/>
        </w:rPr>
        <w:t xml:space="preserve">Règlement ONU </w:t>
      </w:r>
      <w:r w:rsidRPr="0033443B">
        <w:rPr>
          <w:sz w:val="16"/>
          <w:szCs w:val="16"/>
        </w:rPr>
        <w:t>n</w:t>
      </w:r>
      <w:r w:rsidRPr="0033443B">
        <w:rPr>
          <w:sz w:val="16"/>
          <w:szCs w:val="16"/>
          <w:vertAlign w:val="superscript"/>
        </w:rPr>
        <w:t>o</w:t>
      </w:r>
      <w:r w:rsidRPr="0033443B">
        <w:rPr>
          <w:sz w:val="16"/>
          <w:szCs w:val="16"/>
        </w:rPr>
        <w:t> </w:t>
      </w:r>
      <w:r w:rsidR="00E0458B" w:rsidRPr="009F4B29">
        <w:rPr>
          <w:sz w:val="16"/>
          <w:szCs w:val="16"/>
        </w:rPr>
        <w:t>115 (Prescriptions uniformes relatives à l</w:t>
      </w:r>
      <w:r w:rsidR="000273DA">
        <w:rPr>
          <w:sz w:val="16"/>
          <w:szCs w:val="16"/>
        </w:rPr>
        <w:t>’</w:t>
      </w:r>
      <w:r w:rsidR="00E0458B" w:rsidRPr="009F4B29">
        <w:rPr>
          <w:sz w:val="16"/>
          <w:szCs w:val="16"/>
        </w:rPr>
        <w:t>homologation</w:t>
      </w:r>
      <w:r w:rsidR="00D10EEC">
        <w:rPr>
          <w:sz w:val="16"/>
          <w:szCs w:val="16"/>
        </w:rPr>
        <w:t> :</w:t>
      </w:r>
      <w:r w:rsidR="00E0458B">
        <w:rPr>
          <w:sz w:val="16"/>
          <w:szCs w:val="16"/>
        </w:rPr>
        <w:t xml:space="preserve"> </w:t>
      </w:r>
      <w:r w:rsidR="00E0458B" w:rsidRPr="009F4B29">
        <w:rPr>
          <w:sz w:val="16"/>
          <w:szCs w:val="16"/>
        </w:rPr>
        <w:t>I.</w:t>
      </w:r>
      <w:r w:rsidR="00E0458B">
        <w:rPr>
          <w:sz w:val="16"/>
          <w:szCs w:val="16"/>
        </w:rPr>
        <w:t xml:space="preserve"> </w:t>
      </w:r>
      <w:r w:rsidR="00E0458B" w:rsidRPr="009F4B29">
        <w:rPr>
          <w:sz w:val="16"/>
          <w:szCs w:val="16"/>
        </w:rPr>
        <w:t>Des systèmes spéciaux d</w:t>
      </w:r>
      <w:r w:rsidR="000273DA">
        <w:rPr>
          <w:sz w:val="16"/>
          <w:szCs w:val="16"/>
        </w:rPr>
        <w:t>’</w:t>
      </w:r>
      <w:r w:rsidR="00E0458B" w:rsidRPr="009F4B29">
        <w:rPr>
          <w:sz w:val="16"/>
          <w:szCs w:val="16"/>
        </w:rPr>
        <w:t>adaptation au GPL (gaz de pétrole liquéfié) pour véhicules automobiles leur permettant d</w:t>
      </w:r>
      <w:r w:rsidR="000273DA">
        <w:rPr>
          <w:sz w:val="16"/>
          <w:szCs w:val="16"/>
        </w:rPr>
        <w:t>’</w:t>
      </w:r>
      <w:r w:rsidR="00E0458B" w:rsidRPr="009F4B29">
        <w:rPr>
          <w:sz w:val="16"/>
          <w:szCs w:val="16"/>
        </w:rPr>
        <w:t>utiliser ce carburant dans leur système de propulsion</w:t>
      </w:r>
      <w:r w:rsidR="00E0458B">
        <w:rPr>
          <w:sz w:val="16"/>
          <w:szCs w:val="16"/>
        </w:rPr>
        <w:t xml:space="preserve"> ; </w:t>
      </w:r>
      <w:r w:rsidR="00E0458B" w:rsidRPr="009F4B29">
        <w:rPr>
          <w:sz w:val="16"/>
          <w:szCs w:val="16"/>
        </w:rPr>
        <w:t>II</w:t>
      </w:r>
      <w:r w:rsidR="00E0458B">
        <w:rPr>
          <w:sz w:val="16"/>
          <w:szCs w:val="16"/>
        </w:rPr>
        <w:t xml:space="preserve">. </w:t>
      </w:r>
      <w:r w:rsidR="00E0458B" w:rsidRPr="009F4B29">
        <w:rPr>
          <w:sz w:val="16"/>
          <w:szCs w:val="16"/>
        </w:rPr>
        <w:t>Des systèmes spéciaux d</w:t>
      </w:r>
      <w:r w:rsidR="000273DA">
        <w:rPr>
          <w:sz w:val="16"/>
          <w:szCs w:val="16"/>
        </w:rPr>
        <w:t>’</w:t>
      </w:r>
      <w:r w:rsidR="00E0458B" w:rsidRPr="009F4B29">
        <w:rPr>
          <w:sz w:val="16"/>
          <w:szCs w:val="16"/>
        </w:rPr>
        <w:t>adaptation au GNC (gaz naturel comprimé) pour véhicules automobiles leur permettant d</w:t>
      </w:r>
      <w:r w:rsidR="000273DA">
        <w:rPr>
          <w:sz w:val="16"/>
          <w:szCs w:val="16"/>
        </w:rPr>
        <w:t>’</w:t>
      </w:r>
      <w:r w:rsidR="00E0458B" w:rsidRPr="009F4B29">
        <w:rPr>
          <w:sz w:val="16"/>
          <w:szCs w:val="16"/>
        </w:rPr>
        <w:t>utiliser ce carburant dans leur système de propulsion)</w:t>
      </w:r>
      <w:r w:rsidR="00E0458B">
        <w:rPr>
          <w:sz w:val="16"/>
          <w:szCs w:val="16"/>
        </w:rPr>
        <w:t>.</w:t>
      </w:r>
    </w:p>
  </w:footnote>
  <w:footnote w:id="5">
    <w:p w:rsidR="00E0458B" w:rsidRPr="00EB6423" w:rsidRDefault="0033443B" w:rsidP="00E0458B">
      <w:pPr>
        <w:pStyle w:val="FootnoteText"/>
        <w:rPr>
          <w:sz w:val="16"/>
          <w:szCs w:val="16"/>
        </w:rPr>
      </w:pPr>
      <w:r>
        <w:tab/>
      </w:r>
      <w:r w:rsidR="00E0458B" w:rsidRPr="00876F1D">
        <w:rPr>
          <w:rStyle w:val="FootnoteReference"/>
        </w:rPr>
        <w:footnoteRef/>
      </w:r>
      <w:r w:rsidR="00E0458B" w:rsidRPr="00EB6423">
        <w:t xml:space="preserve"> </w:t>
      </w:r>
      <w:r w:rsidR="00E0458B" w:rsidRPr="00EB6423">
        <w:tab/>
      </w:r>
      <w:r w:rsidR="00E0458B" w:rsidRPr="00EB6423">
        <w:rPr>
          <w:sz w:val="16"/>
          <w:szCs w:val="16"/>
        </w:rPr>
        <w:t xml:space="preserve">Règlement ONU </w:t>
      </w:r>
      <w:r w:rsidRPr="0033443B">
        <w:rPr>
          <w:sz w:val="16"/>
          <w:szCs w:val="16"/>
        </w:rPr>
        <w:t>n</w:t>
      </w:r>
      <w:r w:rsidRPr="0033443B">
        <w:rPr>
          <w:sz w:val="16"/>
          <w:szCs w:val="16"/>
          <w:vertAlign w:val="superscript"/>
        </w:rPr>
        <w:t>o</w:t>
      </w:r>
      <w:r w:rsidRPr="0033443B">
        <w:rPr>
          <w:sz w:val="16"/>
          <w:szCs w:val="16"/>
        </w:rPr>
        <w:t> </w:t>
      </w:r>
      <w:r w:rsidR="00E0458B" w:rsidRPr="00EB6423">
        <w:rPr>
          <w:sz w:val="16"/>
          <w:szCs w:val="16"/>
        </w:rPr>
        <w:t>110 (Prescriptions uniformes relatives à l</w:t>
      </w:r>
      <w:r w:rsidR="000273DA">
        <w:rPr>
          <w:sz w:val="16"/>
          <w:szCs w:val="16"/>
        </w:rPr>
        <w:t>’</w:t>
      </w:r>
      <w:r w:rsidR="00E0458B" w:rsidRPr="00EB6423">
        <w:rPr>
          <w:sz w:val="16"/>
          <w:szCs w:val="16"/>
        </w:rPr>
        <w:t>homologation</w:t>
      </w:r>
      <w:r w:rsidR="00D10EEC">
        <w:rPr>
          <w:sz w:val="16"/>
          <w:szCs w:val="16"/>
        </w:rPr>
        <w:t> :</w:t>
      </w:r>
      <w:r w:rsidR="00E0458B" w:rsidRPr="00EB6423">
        <w:rPr>
          <w:sz w:val="16"/>
          <w:szCs w:val="16"/>
        </w:rPr>
        <w:t xml:space="preserve"> I. Des organes spéciaux pour l</w:t>
      </w:r>
      <w:r w:rsidR="000273DA">
        <w:rPr>
          <w:sz w:val="16"/>
          <w:szCs w:val="16"/>
        </w:rPr>
        <w:t>’</w:t>
      </w:r>
      <w:r w:rsidR="00E0458B" w:rsidRPr="00EB6423">
        <w:rPr>
          <w:sz w:val="16"/>
          <w:szCs w:val="16"/>
        </w:rPr>
        <w:t>alimentation du moteur au gaz naturel comprimé (GNC) sur les véhicules</w:t>
      </w:r>
      <w:r w:rsidR="00D10EEC">
        <w:rPr>
          <w:sz w:val="16"/>
          <w:szCs w:val="16"/>
        </w:rPr>
        <w:t> </w:t>
      </w:r>
      <w:r w:rsidR="00E0458B" w:rsidRPr="00EB6423">
        <w:rPr>
          <w:sz w:val="16"/>
          <w:szCs w:val="16"/>
        </w:rPr>
        <w:t>; II. Des véhicules munis d</w:t>
      </w:r>
      <w:r w:rsidR="000273DA">
        <w:rPr>
          <w:sz w:val="16"/>
          <w:szCs w:val="16"/>
        </w:rPr>
        <w:t>’</w:t>
      </w:r>
      <w:r w:rsidR="00E0458B" w:rsidRPr="00EB6423">
        <w:rPr>
          <w:sz w:val="16"/>
          <w:szCs w:val="16"/>
        </w:rPr>
        <w:t>organes spéciaux d</w:t>
      </w:r>
      <w:r w:rsidR="000273DA">
        <w:rPr>
          <w:sz w:val="16"/>
          <w:szCs w:val="16"/>
        </w:rPr>
        <w:t>’</w:t>
      </w:r>
      <w:r w:rsidR="00E0458B" w:rsidRPr="00EB6423">
        <w:rPr>
          <w:sz w:val="16"/>
          <w:szCs w:val="16"/>
        </w:rPr>
        <w:t>un type homologué pour l</w:t>
      </w:r>
      <w:r w:rsidR="000273DA">
        <w:rPr>
          <w:sz w:val="16"/>
          <w:szCs w:val="16"/>
        </w:rPr>
        <w:t>’</w:t>
      </w:r>
      <w:r w:rsidR="00E0458B" w:rsidRPr="00EB6423">
        <w:rPr>
          <w:sz w:val="16"/>
          <w:szCs w:val="16"/>
        </w:rPr>
        <w:t>alimentation du moteur au gaz naturel comprimé (GNC) en ce qui concerne l</w:t>
      </w:r>
      <w:r w:rsidR="000273DA">
        <w:rPr>
          <w:sz w:val="16"/>
          <w:szCs w:val="16"/>
        </w:rPr>
        <w:t>’</w:t>
      </w:r>
      <w:r w:rsidR="00E0458B" w:rsidRPr="00EB6423">
        <w:rPr>
          <w:sz w:val="16"/>
          <w:szCs w:val="16"/>
        </w:rPr>
        <w:t>installation de ces organes)</w:t>
      </w:r>
      <w:r w:rsidR="00E0458B">
        <w:rPr>
          <w:sz w:val="16"/>
          <w:szCs w:val="16"/>
        </w:rPr>
        <w:t>.</w:t>
      </w:r>
    </w:p>
  </w:footnote>
  <w:footnote w:id="6">
    <w:p w:rsidR="00E0458B" w:rsidRPr="00EB6423" w:rsidRDefault="0033443B" w:rsidP="00E0458B">
      <w:pPr>
        <w:pStyle w:val="FootnoteText"/>
        <w:rPr>
          <w:sz w:val="16"/>
          <w:szCs w:val="16"/>
        </w:rPr>
      </w:pPr>
      <w:r>
        <w:tab/>
      </w:r>
      <w:r w:rsidR="00E0458B" w:rsidRPr="00876F1D">
        <w:rPr>
          <w:rStyle w:val="FootnoteReference"/>
        </w:rPr>
        <w:footnoteRef/>
      </w:r>
      <w:r w:rsidR="00E0458B" w:rsidRPr="00EB6423">
        <w:t xml:space="preserve"> </w:t>
      </w:r>
      <w:r w:rsidR="00E0458B" w:rsidRPr="00EB6423">
        <w:tab/>
      </w:r>
      <w:r w:rsidR="00E0458B" w:rsidRPr="00EB6423">
        <w:rPr>
          <w:sz w:val="16"/>
          <w:szCs w:val="16"/>
        </w:rPr>
        <w:t xml:space="preserve">Règlement ONU </w:t>
      </w:r>
      <w:r w:rsidRPr="0033443B">
        <w:rPr>
          <w:sz w:val="16"/>
          <w:szCs w:val="16"/>
        </w:rPr>
        <w:t>n</w:t>
      </w:r>
      <w:r w:rsidRPr="0033443B">
        <w:rPr>
          <w:sz w:val="16"/>
          <w:szCs w:val="16"/>
          <w:vertAlign w:val="superscript"/>
        </w:rPr>
        <w:t>o</w:t>
      </w:r>
      <w:r w:rsidRPr="0033443B">
        <w:rPr>
          <w:sz w:val="16"/>
          <w:szCs w:val="16"/>
        </w:rPr>
        <w:t> </w:t>
      </w:r>
      <w:r w:rsidR="00E0458B" w:rsidRPr="00EB6423">
        <w:rPr>
          <w:sz w:val="16"/>
          <w:szCs w:val="16"/>
        </w:rPr>
        <w:t>115 (Prescriptions uniformes relatives à l</w:t>
      </w:r>
      <w:r w:rsidR="000273DA">
        <w:rPr>
          <w:sz w:val="16"/>
          <w:szCs w:val="16"/>
        </w:rPr>
        <w:t>’</w:t>
      </w:r>
      <w:r w:rsidR="00E0458B" w:rsidRPr="00EB6423">
        <w:rPr>
          <w:sz w:val="16"/>
          <w:szCs w:val="16"/>
        </w:rPr>
        <w:t>homologation</w:t>
      </w:r>
      <w:r w:rsidR="00D10EEC">
        <w:rPr>
          <w:sz w:val="16"/>
          <w:szCs w:val="16"/>
        </w:rPr>
        <w:t> :</w:t>
      </w:r>
      <w:r w:rsidR="00E0458B" w:rsidRPr="00EB6423">
        <w:rPr>
          <w:sz w:val="16"/>
          <w:szCs w:val="16"/>
        </w:rPr>
        <w:t xml:space="preserve"> I. Des systèmes spéciaux d</w:t>
      </w:r>
      <w:r w:rsidR="000273DA">
        <w:rPr>
          <w:sz w:val="16"/>
          <w:szCs w:val="16"/>
        </w:rPr>
        <w:t>’</w:t>
      </w:r>
      <w:r w:rsidR="00E0458B" w:rsidRPr="00EB6423">
        <w:rPr>
          <w:sz w:val="16"/>
          <w:szCs w:val="16"/>
        </w:rPr>
        <w:t>adaptation au GPL (gaz de pétrole liquéfié) pour véhicules automobiles leur permettant d</w:t>
      </w:r>
      <w:r w:rsidR="000273DA">
        <w:rPr>
          <w:sz w:val="16"/>
          <w:szCs w:val="16"/>
        </w:rPr>
        <w:t>’</w:t>
      </w:r>
      <w:r w:rsidR="00E0458B" w:rsidRPr="00EB6423">
        <w:rPr>
          <w:sz w:val="16"/>
          <w:szCs w:val="16"/>
        </w:rPr>
        <w:t>utiliser ce carburant dans leur système de propulsion ; II. Des systèmes spéciaux d</w:t>
      </w:r>
      <w:r w:rsidR="000273DA">
        <w:rPr>
          <w:sz w:val="16"/>
          <w:szCs w:val="16"/>
        </w:rPr>
        <w:t>’</w:t>
      </w:r>
      <w:r w:rsidR="00E0458B" w:rsidRPr="00EB6423">
        <w:rPr>
          <w:sz w:val="16"/>
          <w:szCs w:val="16"/>
        </w:rPr>
        <w:t>adaptation au GNC (gaz naturel comprimé) pour véhicules automobiles leur permettant d</w:t>
      </w:r>
      <w:r w:rsidR="000273DA">
        <w:rPr>
          <w:sz w:val="16"/>
          <w:szCs w:val="16"/>
        </w:rPr>
        <w:t>’</w:t>
      </w:r>
      <w:r w:rsidR="00E0458B" w:rsidRPr="00EB6423">
        <w:rPr>
          <w:sz w:val="16"/>
          <w:szCs w:val="16"/>
        </w:rPr>
        <w:t>utiliser ce carburant dans leur système de propulsion)</w:t>
      </w:r>
      <w:r w:rsidR="00D10EEC">
        <w:rPr>
          <w:sz w:val="16"/>
          <w:szCs w:val="16"/>
        </w:rPr>
        <w:t>.</w:t>
      </w:r>
    </w:p>
  </w:footnote>
  <w:footnote w:id="7">
    <w:p w:rsidR="00E0458B" w:rsidRPr="00EB6423" w:rsidRDefault="0033443B" w:rsidP="00E0458B">
      <w:pPr>
        <w:pStyle w:val="FootnoteText"/>
        <w:rPr>
          <w:b/>
          <w:sz w:val="16"/>
          <w:szCs w:val="16"/>
        </w:rPr>
      </w:pPr>
      <w:r>
        <w:rPr>
          <w:rStyle w:val="FootnoteReference"/>
          <w:szCs w:val="18"/>
        </w:rPr>
        <w:tab/>
      </w:r>
      <w:r w:rsidR="00E0458B" w:rsidRPr="00876F1D">
        <w:rPr>
          <w:rStyle w:val="FootnoteReference"/>
        </w:rPr>
        <w:footnoteRef/>
      </w:r>
      <w:r w:rsidR="00E0458B" w:rsidRPr="00EB6423">
        <w:rPr>
          <w:rStyle w:val="FootnoteReference"/>
          <w:szCs w:val="18"/>
        </w:rPr>
        <w:t xml:space="preserve"> </w:t>
      </w:r>
      <w:r w:rsidR="00E0458B" w:rsidRPr="00EB6423">
        <w:tab/>
      </w:r>
      <w:r w:rsidR="00E0458B" w:rsidRPr="00EB6423">
        <w:rPr>
          <w:sz w:val="16"/>
        </w:rPr>
        <w:t>ISO 11439:</w:t>
      </w:r>
      <w:r w:rsidR="00E0458B" w:rsidRPr="00EB6423">
        <w:rPr>
          <w:b/>
          <w:sz w:val="16"/>
        </w:rPr>
        <w:t>2013</w:t>
      </w:r>
      <w:r w:rsidR="00E0458B" w:rsidRPr="00EB6423">
        <w:rPr>
          <w:sz w:val="16"/>
        </w:rPr>
        <w:t xml:space="preserve"> Bouteilles à gaz </w:t>
      </w:r>
      <w:r w:rsidR="00884484">
        <w:rPr>
          <w:sz w:val="16"/>
        </w:rPr>
        <w:t>−</w:t>
      </w:r>
      <w:r w:rsidR="00E0458B" w:rsidRPr="00EB6423">
        <w:rPr>
          <w:sz w:val="16"/>
        </w:rPr>
        <w:t xml:space="preserve"> Bouteilles haute pression pour le stockage de gaz naturel utilisé comme carburant à bord des véhicules automobiles</w:t>
      </w:r>
      <w:r w:rsidR="00E0458B">
        <w:rPr>
          <w:sz w:val="16"/>
        </w:rPr>
        <w:t xml:space="preserve"> et </w:t>
      </w:r>
      <w:r w:rsidR="00E0458B" w:rsidRPr="00EB6423">
        <w:rPr>
          <w:sz w:val="16"/>
        </w:rPr>
        <w:t xml:space="preserve">ISO 15500 Véhicules routiers </w:t>
      </w:r>
      <w:r w:rsidR="00884484">
        <w:rPr>
          <w:sz w:val="16"/>
        </w:rPr>
        <w:t>−</w:t>
      </w:r>
      <w:r w:rsidR="00E0458B" w:rsidRPr="00EB6423">
        <w:rPr>
          <w:sz w:val="16"/>
        </w:rPr>
        <w:t xml:space="preserve"> Systèmes d</w:t>
      </w:r>
      <w:r w:rsidR="000273DA">
        <w:rPr>
          <w:sz w:val="16"/>
        </w:rPr>
        <w:t>’</w:t>
      </w:r>
      <w:r w:rsidR="00E0458B" w:rsidRPr="00EB6423">
        <w:rPr>
          <w:sz w:val="16"/>
        </w:rPr>
        <w:t>alimentation en gaz naturel comprimé (GNC)</w:t>
      </w:r>
      <w:r w:rsidR="00E0458B" w:rsidRPr="00EB6423">
        <w:rPr>
          <w:strike/>
          <w:sz w:val="16"/>
        </w:rPr>
        <w:t>, parties 1 à 20</w:t>
      </w:r>
      <w:r w:rsidR="00D10EEC" w:rsidRPr="00CF46F7">
        <w:rPr>
          <w:sz w:val="16"/>
        </w:rPr>
        <w:t>.</w:t>
      </w:r>
    </w:p>
    <w:p w:rsidR="00E0458B" w:rsidRPr="0033443B" w:rsidRDefault="00E0458B" w:rsidP="00FB00CA">
      <w:pPr>
        <w:pStyle w:val="FootnoteText"/>
        <w:spacing w:before="120"/>
        <w:ind w:firstLine="0"/>
        <w:rPr>
          <w:b/>
          <w:sz w:val="16"/>
          <w:szCs w:val="16"/>
        </w:rPr>
      </w:pPr>
      <w:r w:rsidRPr="0033443B">
        <w:rPr>
          <w:b/>
          <w:sz w:val="16"/>
          <w:szCs w:val="16"/>
        </w:rPr>
        <w:t xml:space="preserve">ISO 15500-1:2015 Véhicules routiers </w:t>
      </w:r>
      <w:r w:rsidR="00884484">
        <w:rPr>
          <w:b/>
          <w:sz w:val="16"/>
          <w:szCs w:val="16"/>
        </w:rPr>
        <w:t>−</w:t>
      </w:r>
      <w:r w:rsidRPr="0033443B">
        <w:rPr>
          <w:b/>
          <w:sz w:val="16"/>
          <w:szCs w:val="16"/>
        </w:rPr>
        <w:t xml:space="preserve"> Composants des systèmes de combustible gaz naturel comprimé (GNC) </w:t>
      </w:r>
      <w:r w:rsidR="00884484">
        <w:rPr>
          <w:b/>
          <w:sz w:val="16"/>
          <w:szCs w:val="16"/>
        </w:rPr>
        <w:t>−</w:t>
      </w:r>
      <w:r w:rsidRPr="0033443B">
        <w:rPr>
          <w:b/>
          <w:sz w:val="16"/>
          <w:szCs w:val="16"/>
        </w:rPr>
        <w:t xml:space="preserve"> Partie 1</w:t>
      </w:r>
      <w:r w:rsidR="00D10EEC">
        <w:rPr>
          <w:b/>
          <w:sz w:val="16"/>
          <w:szCs w:val="16"/>
        </w:rPr>
        <w:t> :</w:t>
      </w:r>
      <w:r w:rsidRPr="0033443B">
        <w:rPr>
          <w:b/>
          <w:sz w:val="16"/>
          <w:szCs w:val="16"/>
        </w:rPr>
        <w:t xml:space="preserve"> Exigences générales et définitions</w:t>
      </w:r>
    </w:p>
    <w:p w:rsidR="00E0458B" w:rsidRPr="004E1FC9" w:rsidRDefault="00E0458B" w:rsidP="0033443B">
      <w:pPr>
        <w:pStyle w:val="FootnoteText"/>
        <w:ind w:firstLine="0"/>
        <w:rPr>
          <w:b/>
          <w:sz w:val="16"/>
          <w:szCs w:val="16"/>
        </w:rPr>
      </w:pPr>
      <w:r w:rsidRPr="004E1FC9">
        <w:rPr>
          <w:b/>
          <w:sz w:val="16"/>
          <w:szCs w:val="16"/>
        </w:rPr>
        <w:t xml:space="preserve">ISO 15500-2:2012 Véhicules routiers </w:t>
      </w:r>
      <w:r w:rsidR="00884484">
        <w:rPr>
          <w:b/>
          <w:sz w:val="16"/>
          <w:szCs w:val="16"/>
        </w:rPr>
        <w:t>−</w:t>
      </w:r>
      <w:r w:rsidRPr="004E1FC9">
        <w:rPr>
          <w:b/>
          <w:sz w:val="16"/>
          <w:szCs w:val="16"/>
        </w:rPr>
        <w:t xml:space="preserve"> Composants des systèmes de combustible gaz naturel comprimé (GNC) </w:t>
      </w:r>
      <w:r w:rsidR="00884484">
        <w:rPr>
          <w:b/>
          <w:sz w:val="16"/>
          <w:szCs w:val="16"/>
        </w:rPr>
        <w:t>−</w:t>
      </w:r>
      <w:r w:rsidRPr="004E1FC9">
        <w:rPr>
          <w:b/>
          <w:sz w:val="16"/>
          <w:szCs w:val="16"/>
        </w:rPr>
        <w:t xml:space="preserve"> Partie 2</w:t>
      </w:r>
      <w:r w:rsidR="00D10EEC">
        <w:rPr>
          <w:b/>
          <w:sz w:val="16"/>
          <w:szCs w:val="16"/>
        </w:rPr>
        <w:t> :</w:t>
      </w:r>
      <w:r w:rsidRPr="004E1FC9">
        <w:rPr>
          <w:b/>
          <w:sz w:val="16"/>
          <w:szCs w:val="16"/>
        </w:rPr>
        <w:t xml:space="preserve"> Performances et méthodes d</w:t>
      </w:r>
      <w:r w:rsidR="000273DA">
        <w:rPr>
          <w:b/>
          <w:sz w:val="16"/>
          <w:szCs w:val="16"/>
        </w:rPr>
        <w:t>’</w:t>
      </w:r>
      <w:r w:rsidRPr="004E1FC9">
        <w:rPr>
          <w:b/>
          <w:sz w:val="16"/>
          <w:szCs w:val="16"/>
        </w:rPr>
        <w:t>essai générales</w:t>
      </w:r>
    </w:p>
    <w:p w:rsidR="00E0458B" w:rsidRPr="00EB6423" w:rsidRDefault="00E0458B" w:rsidP="0033443B">
      <w:pPr>
        <w:pStyle w:val="FootnoteText"/>
        <w:ind w:firstLine="0"/>
        <w:rPr>
          <w:b/>
          <w:sz w:val="16"/>
          <w:szCs w:val="16"/>
        </w:rPr>
      </w:pPr>
      <w:r w:rsidRPr="00EB6423">
        <w:rPr>
          <w:b/>
          <w:sz w:val="16"/>
          <w:szCs w:val="16"/>
        </w:rPr>
        <w:t xml:space="preserve">ISO 15500-3:2013 Véhicules routiers </w:t>
      </w:r>
      <w:r w:rsidR="00884484">
        <w:rPr>
          <w:b/>
          <w:sz w:val="16"/>
          <w:szCs w:val="16"/>
        </w:rPr>
        <w:t>−</w:t>
      </w:r>
      <w:r w:rsidRPr="00EB6423">
        <w:rPr>
          <w:b/>
          <w:sz w:val="16"/>
          <w:szCs w:val="16"/>
        </w:rPr>
        <w:t xml:space="preserve"> Composants des systèmes de combustible gaz naturel comprimé (GNC) </w:t>
      </w:r>
      <w:r w:rsidR="00884484">
        <w:rPr>
          <w:b/>
          <w:sz w:val="16"/>
          <w:szCs w:val="16"/>
        </w:rPr>
        <w:t>−</w:t>
      </w:r>
      <w:r w:rsidRPr="00EB6423">
        <w:rPr>
          <w:b/>
          <w:sz w:val="16"/>
          <w:szCs w:val="16"/>
        </w:rPr>
        <w:t xml:space="preserve"> Partie 3</w:t>
      </w:r>
      <w:r w:rsidR="00D10EEC">
        <w:rPr>
          <w:b/>
          <w:sz w:val="16"/>
          <w:szCs w:val="16"/>
        </w:rPr>
        <w:t> :</w:t>
      </w:r>
      <w:r w:rsidRPr="00EB6423">
        <w:rPr>
          <w:b/>
          <w:sz w:val="16"/>
          <w:szCs w:val="16"/>
        </w:rPr>
        <w:t xml:space="preserve"> Valve de contrôle</w:t>
      </w:r>
    </w:p>
    <w:p w:rsidR="00E0458B" w:rsidRPr="00EB6423" w:rsidRDefault="00E0458B" w:rsidP="0033443B">
      <w:pPr>
        <w:pStyle w:val="FootnoteText"/>
        <w:ind w:firstLine="0"/>
        <w:rPr>
          <w:b/>
          <w:sz w:val="16"/>
          <w:szCs w:val="16"/>
        </w:rPr>
      </w:pPr>
      <w:r w:rsidRPr="00EB6423">
        <w:rPr>
          <w:b/>
          <w:sz w:val="16"/>
          <w:szCs w:val="16"/>
        </w:rPr>
        <w:t xml:space="preserve">ISO 15500-4:2012 Véhicules routiers </w:t>
      </w:r>
      <w:r w:rsidR="00884484">
        <w:rPr>
          <w:b/>
          <w:sz w:val="16"/>
          <w:szCs w:val="16"/>
        </w:rPr>
        <w:t>−</w:t>
      </w:r>
      <w:r w:rsidRPr="00EB6423">
        <w:rPr>
          <w:b/>
          <w:sz w:val="16"/>
          <w:szCs w:val="16"/>
        </w:rPr>
        <w:t xml:space="preserve"> Composants des systèmes de combustible gaz naturel comprimé (GNC) </w:t>
      </w:r>
      <w:r w:rsidR="00884484">
        <w:rPr>
          <w:b/>
          <w:sz w:val="16"/>
          <w:szCs w:val="16"/>
        </w:rPr>
        <w:t>−</w:t>
      </w:r>
      <w:r w:rsidRPr="00EB6423">
        <w:rPr>
          <w:b/>
          <w:sz w:val="16"/>
          <w:szCs w:val="16"/>
        </w:rPr>
        <w:t xml:space="preserve"> Partie 4</w:t>
      </w:r>
      <w:r w:rsidR="00D10EEC">
        <w:rPr>
          <w:b/>
          <w:sz w:val="16"/>
          <w:szCs w:val="16"/>
        </w:rPr>
        <w:t> :</w:t>
      </w:r>
      <w:r w:rsidRPr="00EB6423">
        <w:rPr>
          <w:b/>
          <w:sz w:val="16"/>
          <w:szCs w:val="16"/>
        </w:rPr>
        <w:t xml:space="preserve"> Valve manuelle</w:t>
      </w:r>
    </w:p>
    <w:p w:rsidR="00E0458B" w:rsidRPr="00EB6423" w:rsidRDefault="00E0458B" w:rsidP="0033443B">
      <w:pPr>
        <w:pStyle w:val="FootnoteText"/>
        <w:ind w:firstLine="0"/>
        <w:rPr>
          <w:b/>
          <w:sz w:val="16"/>
          <w:szCs w:val="16"/>
        </w:rPr>
      </w:pPr>
      <w:r w:rsidRPr="00EB6423">
        <w:rPr>
          <w:b/>
          <w:sz w:val="16"/>
          <w:szCs w:val="16"/>
        </w:rPr>
        <w:t xml:space="preserve">ISO 15500-5:2012 Véhicules routiers </w:t>
      </w:r>
      <w:r w:rsidR="00884484">
        <w:rPr>
          <w:b/>
          <w:sz w:val="16"/>
          <w:szCs w:val="16"/>
        </w:rPr>
        <w:t>−</w:t>
      </w:r>
      <w:r w:rsidRPr="00EB6423">
        <w:rPr>
          <w:b/>
          <w:sz w:val="16"/>
          <w:szCs w:val="16"/>
        </w:rPr>
        <w:t xml:space="preserve"> Composants des systèmes de combustible gaz naturel comprimé (GNC) </w:t>
      </w:r>
      <w:r w:rsidR="00884484">
        <w:rPr>
          <w:b/>
          <w:sz w:val="16"/>
          <w:szCs w:val="16"/>
        </w:rPr>
        <w:t>−</w:t>
      </w:r>
      <w:r w:rsidRPr="00EB6423">
        <w:rPr>
          <w:b/>
          <w:sz w:val="16"/>
          <w:szCs w:val="16"/>
        </w:rPr>
        <w:t xml:space="preserve"> Partie 5</w:t>
      </w:r>
      <w:r w:rsidR="00D10EEC">
        <w:rPr>
          <w:b/>
          <w:sz w:val="16"/>
          <w:szCs w:val="16"/>
        </w:rPr>
        <w:t> :</w:t>
      </w:r>
      <w:r w:rsidRPr="00EB6423">
        <w:rPr>
          <w:b/>
          <w:sz w:val="16"/>
          <w:szCs w:val="16"/>
        </w:rPr>
        <w:t xml:space="preserve"> Valve manuelle du cylindre</w:t>
      </w:r>
    </w:p>
    <w:p w:rsidR="00E0458B" w:rsidRPr="00EB6423" w:rsidRDefault="00E0458B" w:rsidP="0033443B">
      <w:pPr>
        <w:pStyle w:val="FootnoteText"/>
        <w:ind w:firstLine="0"/>
        <w:rPr>
          <w:b/>
          <w:sz w:val="16"/>
          <w:szCs w:val="16"/>
        </w:rPr>
      </w:pPr>
      <w:r w:rsidRPr="00EB6423">
        <w:rPr>
          <w:b/>
          <w:sz w:val="16"/>
          <w:szCs w:val="16"/>
        </w:rPr>
        <w:t xml:space="preserve">ISO 15500-6:2012 Véhicules routiers </w:t>
      </w:r>
      <w:r w:rsidR="00884484">
        <w:rPr>
          <w:b/>
          <w:sz w:val="16"/>
          <w:szCs w:val="16"/>
        </w:rPr>
        <w:t>−</w:t>
      </w:r>
      <w:r w:rsidRPr="00EB6423">
        <w:rPr>
          <w:b/>
          <w:sz w:val="16"/>
          <w:szCs w:val="16"/>
        </w:rPr>
        <w:t xml:space="preserve"> Composants des systèmes de combustible gaz naturel comprimé (GNC) </w:t>
      </w:r>
      <w:r w:rsidR="00884484">
        <w:rPr>
          <w:b/>
          <w:sz w:val="16"/>
          <w:szCs w:val="16"/>
        </w:rPr>
        <w:t>−</w:t>
      </w:r>
      <w:r w:rsidRPr="00EB6423">
        <w:rPr>
          <w:b/>
          <w:sz w:val="16"/>
          <w:szCs w:val="16"/>
        </w:rPr>
        <w:t xml:space="preserve"> Partie 6</w:t>
      </w:r>
      <w:r w:rsidR="00D10EEC">
        <w:rPr>
          <w:b/>
          <w:sz w:val="16"/>
          <w:szCs w:val="16"/>
        </w:rPr>
        <w:t> :</w:t>
      </w:r>
      <w:r w:rsidRPr="00EB6423">
        <w:rPr>
          <w:b/>
          <w:sz w:val="16"/>
          <w:szCs w:val="16"/>
        </w:rPr>
        <w:t xml:space="preserve"> Valve automatique</w:t>
      </w:r>
    </w:p>
    <w:p w:rsidR="00E0458B" w:rsidRPr="00230F27" w:rsidRDefault="00E0458B" w:rsidP="0033443B">
      <w:pPr>
        <w:pStyle w:val="FootnoteText"/>
        <w:ind w:firstLine="0"/>
        <w:rPr>
          <w:b/>
          <w:sz w:val="16"/>
          <w:szCs w:val="16"/>
        </w:rPr>
      </w:pPr>
      <w:r w:rsidRPr="00230F27">
        <w:rPr>
          <w:b/>
          <w:sz w:val="16"/>
          <w:szCs w:val="16"/>
        </w:rPr>
        <w:t xml:space="preserve">ISO 15500-7:2015 Véhicules routiers </w:t>
      </w:r>
      <w:r w:rsidR="00884484">
        <w:rPr>
          <w:b/>
          <w:sz w:val="16"/>
          <w:szCs w:val="16"/>
        </w:rPr>
        <w:t>−</w:t>
      </w:r>
      <w:r w:rsidRPr="00230F27">
        <w:rPr>
          <w:b/>
          <w:sz w:val="16"/>
          <w:szCs w:val="16"/>
        </w:rPr>
        <w:t xml:space="preserve"> Composants des systèmes de combustible gaz naturel comprimé (GNC) </w:t>
      </w:r>
      <w:r w:rsidR="00884484">
        <w:rPr>
          <w:b/>
          <w:sz w:val="16"/>
          <w:szCs w:val="16"/>
        </w:rPr>
        <w:t>−</w:t>
      </w:r>
      <w:r w:rsidRPr="00230F27">
        <w:rPr>
          <w:b/>
          <w:sz w:val="16"/>
          <w:szCs w:val="16"/>
        </w:rPr>
        <w:t xml:space="preserve"> Partie 7</w:t>
      </w:r>
      <w:r w:rsidR="00D10EEC">
        <w:rPr>
          <w:b/>
          <w:sz w:val="16"/>
          <w:szCs w:val="16"/>
        </w:rPr>
        <w:t> :</w:t>
      </w:r>
      <w:r w:rsidRPr="00230F27">
        <w:rPr>
          <w:b/>
          <w:sz w:val="16"/>
          <w:szCs w:val="16"/>
        </w:rPr>
        <w:t xml:space="preserve"> Injecteur de gaz</w:t>
      </w:r>
    </w:p>
    <w:p w:rsidR="00E0458B" w:rsidRPr="00230F27" w:rsidRDefault="00E0458B" w:rsidP="0033443B">
      <w:pPr>
        <w:pStyle w:val="FootnoteText"/>
        <w:ind w:firstLine="0"/>
        <w:rPr>
          <w:b/>
          <w:sz w:val="16"/>
          <w:szCs w:val="16"/>
        </w:rPr>
      </w:pPr>
      <w:r w:rsidRPr="00230F27">
        <w:rPr>
          <w:b/>
          <w:sz w:val="16"/>
          <w:szCs w:val="16"/>
        </w:rPr>
        <w:t xml:space="preserve">ISO 15500-8:2015 Véhicules routiers </w:t>
      </w:r>
      <w:r w:rsidR="00884484">
        <w:rPr>
          <w:b/>
          <w:sz w:val="16"/>
          <w:szCs w:val="16"/>
        </w:rPr>
        <w:t>−</w:t>
      </w:r>
      <w:r w:rsidRPr="00230F27">
        <w:rPr>
          <w:b/>
          <w:sz w:val="16"/>
          <w:szCs w:val="16"/>
        </w:rPr>
        <w:t xml:space="preserve"> Composants des systèmes de combustible gaz naturel comprimé (GNC) </w:t>
      </w:r>
      <w:r w:rsidR="00884484">
        <w:rPr>
          <w:b/>
          <w:sz w:val="16"/>
          <w:szCs w:val="16"/>
        </w:rPr>
        <w:t>−</w:t>
      </w:r>
      <w:r w:rsidRPr="00230F27">
        <w:rPr>
          <w:b/>
          <w:sz w:val="16"/>
          <w:szCs w:val="16"/>
        </w:rPr>
        <w:t xml:space="preserve"> Partie 8</w:t>
      </w:r>
      <w:r w:rsidR="00D10EEC">
        <w:rPr>
          <w:b/>
          <w:sz w:val="16"/>
          <w:szCs w:val="16"/>
        </w:rPr>
        <w:t> :</w:t>
      </w:r>
      <w:r w:rsidRPr="00230F27">
        <w:rPr>
          <w:b/>
          <w:sz w:val="16"/>
          <w:szCs w:val="16"/>
        </w:rPr>
        <w:t xml:space="preserve"> Indicateur de pression</w:t>
      </w:r>
    </w:p>
    <w:p w:rsidR="00E0458B" w:rsidRPr="00EB6423" w:rsidRDefault="00E0458B" w:rsidP="0033443B">
      <w:pPr>
        <w:pStyle w:val="FootnoteText"/>
        <w:ind w:firstLine="0"/>
        <w:rPr>
          <w:b/>
          <w:sz w:val="16"/>
          <w:szCs w:val="16"/>
        </w:rPr>
      </w:pPr>
      <w:r>
        <w:rPr>
          <w:b/>
          <w:sz w:val="16"/>
          <w:szCs w:val="16"/>
        </w:rPr>
        <w:t xml:space="preserve">ISO 15500-9:2012 </w:t>
      </w:r>
      <w:r w:rsidRPr="00EB6423">
        <w:rPr>
          <w:b/>
          <w:sz w:val="16"/>
          <w:szCs w:val="16"/>
        </w:rPr>
        <w:t xml:space="preserve">Véhicules routiers </w:t>
      </w:r>
      <w:r w:rsidR="00884484">
        <w:rPr>
          <w:b/>
          <w:sz w:val="16"/>
          <w:szCs w:val="16"/>
        </w:rPr>
        <w:t>−</w:t>
      </w:r>
      <w:r w:rsidRPr="00EB6423">
        <w:rPr>
          <w:b/>
          <w:sz w:val="16"/>
          <w:szCs w:val="16"/>
        </w:rPr>
        <w:t xml:space="preserve"> Composants des systèmes de combustible gaz naturel comprimé (GNC) </w:t>
      </w:r>
      <w:r w:rsidR="00884484">
        <w:rPr>
          <w:b/>
          <w:sz w:val="16"/>
          <w:szCs w:val="16"/>
        </w:rPr>
        <w:t>−</w:t>
      </w:r>
      <w:r w:rsidRPr="00EB6423">
        <w:rPr>
          <w:b/>
          <w:sz w:val="16"/>
          <w:szCs w:val="16"/>
        </w:rPr>
        <w:t xml:space="preserve"> Partie 9</w:t>
      </w:r>
      <w:r w:rsidR="00D10EEC">
        <w:rPr>
          <w:b/>
          <w:sz w:val="16"/>
          <w:szCs w:val="16"/>
        </w:rPr>
        <w:t> :</w:t>
      </w:r>
      <w:r w:rsidRPr="00EB6423">
        <w:rPr>
          <w:b/>
          <w:sz w:val="16"/>
          <w:szCs w:val="16"/>
        </w:rPr>
        <w:t xml:space="preserve"> Régulateur de pression</w:t>
      </w:r>
    </w:p>
    <w:p w:rsidR="00E0458B" w:rsidRPr="00230F27" w:rsidRDefault="00E0458B" w:rsidP="0033443B">
      <w:pPr>
        <w:pStyle w:val="FootnoteText"/>
        <w:ind w:firstLine="0"/>
        <w:rPr>
          <w:b/>
          <w:sz w:val="16"/>
          <w:szCs w:val="16"/>
        </w:rPr>
      </w:pPr>
      <w:r w:rsidRPr="00230F27">
        <w:rPr>
          <w:b/>
          <w:sz w:val="16"/>
          <w:szCs w:val="16"/>
        </w:rPr>
        <w:t xml:space="preserve">ISO 15500-10:2015 Véhicules routiers </w:t>
      </w:r>
      <w:r w:rsidR="00884484">
        <w:rPr>
          <w:b/>
          <w:sz w:val="16"/>
          <w:szCs w:val="16"/>
        </w:rPr>
        <w:t>−</w:t>
      </w:r>
      <w:r w:rsidRPr="00230F27">
        <w:rPr>
          <w:b/>
          <w:sz w:val="16"/>
          <w:szCs w:val="16"/>
        </w:rPr>
        <w:t xml:space="preserve"> Composants des systèmes de combustible gaz naturel comprimé (GNC) </w:t>
      </w:r>
      <w:r w:rsidR="00884484">
        <w:rPr>
          <w:b/>
          <w:sz w:val="16"/>
          <w:szCs w:val="16"/>
        </w:rPr>
        <w:t>−</w:t>
      </w:r>
      <w:r w:rsidRPr="00230F27">
        <w:rPr>
          <w:b/>
          <w:sz w:val="16"/>
          <w:szCs w:val="16"/>
        </w:rPr>
        <w:t xml:space="preserve"> Partie 10</w:t>
      </w:r>
      <w:r w:rsidR="00D10EEC">
        <w:rPr>
          <w:b/>
          <w:sz w:val="16"/>
          <w:szCs w:val="16"/>
        </w:rPr>
        <w:t> :</w:t>
      </w:r>
      <w:r w:rsidRPr="00230F27">
        <w:rPr>
          <w:b/>
          <w:sz w:val="16"/>
          <w:szCs w:val="16"/>
        </w:rPr>
        <w:t xml:space="preserve"> Régulateur du débit de gaz</w:t>
      </w:r>
    </w:p>
    <w:p w:rsidR="00E0458B" w:rsidRPr="00230F27" w:rsidRDefault="00E0458B" w:rsidP="0033443B">
      <w:pPr>
        <w:pStyle w:val="FootnoteText"/>
        <w:ind w:firstLine="0"/>
        <w:rPr>
          <w:b/>
          <w:sz w:val="16"/>
          <w:szCs w:val="16"/>
        </w:rPr>
      </w:pPr>
      <w:r w:rsidRPr="00230F27">
        <w:rPr>
          <w:b/>
          <w:sz w:val="16"/>
          <w:szCs w:val="16"/>
        </w:rPr>
        <w:t xml:space="preserve">ISO 15500-11:2015 Véhicules routiers </w:t>
      </w:r>
      <w:r w:rsidR="00884484">
        <w:rPr>
          <w:b/>
          <w:sz w:val="16"/>
          <w:szCs w:val="16"/>
        </w:rPr>
        <w:t>−</w:t>
      </w:r>
      <w:r w:rsidRPr="00230F27">
        <w:rPr>
          <w:b/>
          <w:sz w:val="16"/>
          <w:szCs w:val="16"/>
        </w:rPr>
        <w:t xml:space="preserve"> Composants des systèmes de combustible gaz naturel comprimé (GNC) </w:t>
      </w:r>
      <w:r w:rsidR="00884484">
        <w:rPr>
          <w:b/>
          <w:sz w:val="16"/>
          <w:szCs w:val="16"/>
        </w:rPr>
        <w:t>−</w:t>
      </w:r>
      <w:r w:rsidRPr="00230F27">
        <w:rPr>
          <w:b/>
          <w:sz w:val="16"/>
          <w:szCs w:val="16"/>
        </w:rPr>
        <w:t xml:space="preserve"> Partie 11</w:t>
      </w:r>
      <w:r w:rsidR="00D10EEC">
        <w:rPr>
          <w:b/>
          <w:sz w:val="16"/>
          <w:szCs w:val="16"/>
        </w:rPr>
        <w:t> :</w:t>
      </w:r>
      <w:r w:rsidRPr="00230F27">
        <w:rPr>
          <w:b/>
          <w:sz w:val="16"/>
          <w:szCs w:val="16"/>
        </w:rPr>
        <w:t xml:space="preserve"> Mélangeur air/gaz</w:t>
      </w:r>
    </w:p>
    <w:p w:rsidR="00E0458B" w:rsidRPr="00230F27" w:rsidRDefault="00E0458B" w:rsidP="0033443B">
      <w:pPr>
        <w:pStyle w:val="FootnoteText"/>
        <w:ind w:firstLine="0"/>
        <w:rPr>
          <w:b/>
          <w:sz w:val="16"/>
          <w:szCs w:val="16"/>
        </w:rPr>
      </w:pPr>
      <w:r w:rsidRPr="00230F27">
        <w:rPr>
          <w:b/>
          <w:sz w:val="16"/>
          <w:szCs w:val="16"/>
        </w:rPr>
        <w:t xml:space="preserve">ISO 15500-12:2015 Véhicules routiers </w:t>
      </w:r>
      <w:r w:rsidR="00884484">
        <w:rPr>
          <w:b/>
          <w:sz w:val="16"/>
          <w:szCs w:val="16"/>
        </w:rPr>
        <w:t>−</w:t>
      </w:r>
      <w:r w:rsidRPr="00230F27">
        <w:rPr>
          <w:b/>
          <w:sz w:val="16"/>
          <w:szCs w:val="16"/>
        </w:rPr>
        <w:t xml:space="preserve"> Composants des systèmes de combustible gaz naturel comprimé (GNC) </w:t>
      </w:r>
      <w:r w:rsidR="00884484">
        <w:rPr>
          <w:b/>
          <w:sz w:val="16"/>
          <w:szCs w:val="16"/>
        </w:rPr>
        <w:t>−</w:t>
      </w:r>
      <w:r w:rsidRPr="00230F27">
        <w:rPr>
          <w:b/>
          <w:sz w:val="16"/>
          <w:szCs w:val="16"/>
        </w:rPr>
        <w:t xml:space="preserve"> Partie 12</w:t>
      </w:r>
      <w:r w:rsidR="00D10EEC">
        <w:rPr>
          <w:b/>
          <w:sz w:val="16"/>
          <w:szCs w:val="16"/>
        </w:rPr>
        <w:t> :</w:t>
      </w:r>
      <w:r w:rsidRPr="00230F27">
        <w:rPr>
          <w:b/>
          <w:sz w:val="16"/>
          <w:szCs w:val="16"/>
        </w:rPr>
        <w:t xml:space="preserve"> Soupapes de sécurité à la pression</w:t>
      </w:r>
    </w:p>
    <w:p w:rsidR="00E0458B" w:rsidRPr="00EB6423" w:rsidRDefault="00E0458B" w:rsidP="0033443B">
      <w:pPr>
        <w:pStyle w:val="FootnoteText"/>
        <w:ind w:firstLine="0"/>
        <w:rPr>
          <w:b/>
          <w:sz w:val="16"/>
          <w:szCs w:val="16"/>
        </w:rPr>
      </w:pPr>
      <w:r w:rsidRPr="00EB6423">
        <w:rPr>
          <w:b/>
          <w:sz w:val="16"/>
          <w:szCs w:val="16"/>
        </w:rPr>
        <w:t xml:space="preserve">ISO 15500-13:2012 Véhicules routiers </w:t>
      </w:r>
      <w:r w:rsidR="00884484">
        <w:rPr>
          <w:b/>
          <w:sz w:val="16"/>
          <w:szCs w:val="16"/>
        </w:rPr>
        <w:t>−</w:t>
      </w:r>
      <w:r w:rsidRPr="00EB6423">
        <w:rPr>
          <w:b/>
          <w:sz w:val="16"/>
          <w:szCs w:val="16"/>
        </w:rPr>
        <w:t xml:space="preserve"> Composants des systèmes de combustible gaz naturel comprimé (GNC) </w:t>
      </w:r>
      <w:r w:rsidR="00884484">
        <w:rPr>
          <w:b/>
          <w:sz w:val="16"/>
          <w:szCs w:val="16"/>
        </w:rPr>
        <w:t>−</w:t>
      </w:r>
      <w:r w:rsidRPr="00EB6423">
        <w:rPr>
          <w:b/>
          <w:sz w:val="16"/>
          <w:szCs w:val="16"/>
        </w:rPr>
        <w:t xml:space="preserve"> Partie 13</w:t>
      </w:r>
      <w:r w:rsidR="00D10EEC">
        <w:rPr>
          <w:b/>
          <w:sz w:val="16"/>
          <w:szCs w:val="16"/>
        </w:rPr>
        <w:t> :</w:t>
      </w:r>
      <w:r w:rsidRPr="00EB6423">
        <w:rPr>
          <w:b/>
          <w:sz w:val="16"/>
          <w:szCs w:val="16"/>
        </w:rPr>
        <w:t xml:space="preserve"> Dispositifs de limitation de pression</w:t>
      </w:r>
    </w:p>
    <w:p w:rsidR="00E0458B" w:rsidRPr="00EB6423" w:rsidRDefault="00E0458B" w:rsidP="0033443B">
      <w:pPr>
        <w:pStyle w:val="FootnoteText"/>
        <w:ind w:firstLine="0"/>
        <w:rPr>
          <w:b/>
          <w:sz w:val="16"/>
          <w:szCs w:val="16"/>
        </w:rPr>
      </w:pPr>
      <w:r w:rsidRPr="00EB6423">
        <w:rPr>
          <w:b/>
          <w:sz w:val="16"/>
          <w:szCs w:val="16"/>
        </w:rPr>
        <w:t xml:space="preserve">ISO 15500-14:2012 Véhicules routiers </w:t>
      </w:r>
      <w:r w:rsidR="00884484">
        <w:rPr>
          <w:b/>
          <w:sz w:val="16"/>
          <w:szCs w:val="16"/>
        </w:rPr>
        <w:t>−</w:t>
      </w:r>
      <w:r w:rsidRPr="00EB6423">
        <w:rPr>
          <w:b/>
          <w:sz w:val="16"/>
          <w:szCs w:val="16"/>
        </w:rPr>
        <w:t xml:space="preserve"> Composants des systèmes de combustible gaz naturel comprimé (GNC) </w:t>
      </w:r>
      <w:r w:rsidR="00884484">
        <w:rPr>
          <w:b/>
          <w:sz w:val="16"/>
          <w:szCs w:val="16"/>
        </w:rPr>
        <w:t>−</w:t>
      </w:r>
      <w:r w:rsidRPr="00EB6423">
        <w:rPr>
          <w:b/>
          <w:sz w:val="16"/>
          <w:szCs w:val="16"/>
        </w:rPr>
        <w:t xml:space="preserve"> Partie 14</w:t>
      </w:r>
      <w:r w:rsidR="00D10EEC">
        <w:rPr>
          <w:b/>
          <w:sz w:val="16"/>
          <w:szCs w:val="16"/>
        </w:rPr>
        <w:t> :</w:t>
      </w:r>
      <w:r w:rsidRPr="00EB6423">
        <w:rPr>
          <w:b/>
          <w:sz w:val="16"/>
          <w:szCs w:val="16"/>
        </w:rPr>
        <w:t xml:space="preserve"> Valve de limitation de débit</w:t>
      </w:r>
    </w:p>
    <w:p w:rsidR="00E0458B" w:rsidRPr="00230F27" w:rsidRDefault="00E0458B" w:rsidP="0033443B">
      <w:pPr>
        <w:pStyle w:val="FootnoteText"/>
        <w:ind w:firstLine="0"/>
        <w:rPr>
          <w:b/>
          <w:sz w:val="16"/>
          <w:szCs w:val="16"/>
        </w:rPr>
      </w:pPr>
      <w:r w:rsidRPr="00230F27">
        <w:rPr>
          <w:b/>
          <w:sz w:val="16"/>
          <w:szCs w:val="16"/>
        </w:rPr>
        <w:t xml:space="preserve">ISO 15500-15:2015 Véhicules routiers </w:t>
      </w:r>
      <w:r w:rsidR="00884484">
        <w:rPr>
          <w:b/>
          <w:sz w:val="16"/>
          <w:szCs w:val="16"/>
        </w:rPr>
        <w:t>−</w:t>
      </w:r>
      <w:r w:rsidRPr="00230F27">
        <w:rPr>
          <w:b/>
          <w:sz w:val="16"/>
          <w:szCs w:val="16"/>
        </w:rPr>
        <w:t xml:space="preserve"> Composants des systèmes de combustible gaz naturel comprimé (GNC) </w:t>
      </w:r>
      <w:r w:rsidR="00884484">
        <w:rPr>
          <w:b/>
          <w:sz w:val="16"/>
          <w:szCs w:val="16"/>
        </w:rPr>
        <w:t>−</w:t>
      </w:r>
      <w:r w:rsidRPr="00230F27">
        <w:rPr>
          <w:b/>
          <w:sz w:val="16"/>
          <w:szCs w:val="16"/>
        </w:rPr>
        <w:t xml:space="preserve"> Partie 15</w:t>
      </w:r>
      <w:r w:rsidR="00D10EEC">
        <w:rPr>
          <w:b/>
          <w:sz w:val="16"/>
          <w:szCs w:val="16"/>
        </w:rPr>
        <w:t> :</w:t>
      </w:r>
      <w:r w:rsidRPr="00230F27">
        <w:rPr>
          <w:b/>
          <w:sz w:val="16"/>
          <w:szCs w:val="16"/>
        </w:rPr>
        <w:t xml:space="preserve"> Compartiment étanche pour gaz et tuyaux de ventilation</w:t>
      </w:r>
    </w:p>
    <w:p w:rsidR="00E0458B" w:rsidRPr="00EB6423" w:rsidRDefault="00E0458B" w:rsidP="0033443B">
      <w:pPr>
        <w:pStyle w:val="FootnoteText"/>
        <w:ind w:firstLine="0"/>
        <w:rPr>
          <w:b/>
          <w:sz w:val="16"/>
          <w:szCs w:val="16"/>
        </w:rPr>
      </w:pPr>
      <w:r w:rsidRPr="00EB6423">
        <w:rPr>
          <w:b/>
          <w:sz w:val="16"/>
          <w:szCs w:val="16"/>
        </w:rPr>
        <w:t xml:space="preserve">ISO 15500-16:2012 Véhicules routiers </w:t>
      </w:r>
      <w:r w:rsidR="00884484">
        <w:rPr>
          <w:b/>
          <w:sz w:val="16"/>
          <w:szCs w:val="16"/>
        </w:rPr>
        <w:t>−</w:t>
      </w:r>
      <w:r w:rsidRPr="00EB6423">
        <w:rPr>
          <w:b/>
          <w:sz w:val="16"/>
          <w:szCs w:val="16"/>
        </w:rPr>
        <w:t xml:space="preserve"> Composants des systèmes de combustible gaz naturel comprimé (GNC) </w:t>
      </w:r>
      <w:r w:rsidR="00884484">
        <w:rPr>
          <w:b/>
          <w:sz w:val="16"/>
          <w:szCs w:val="16"/>
        </w:rPr>
        <w:t>−</w:t>
      </w:r>
      <w:r w:rsidRPr="00EB6423">
        <w:rPr>
          <w:b/>
          <w:sz w:val="16"/>
          <w:szCs w:val="16"/>
        </w:rPr>
        <w:t xml:space="preserve"> Partie 16</w:t>
      </w:r>
      <w:r w:rsidR="00D10EEC">
        <w:rPr>
          <w:b/>
          <w:sz w:val="16"/>
          <w:szCs w:val="16"/>
        </w:rPr>
        <w:t> :</w:t>
      </w:r>
      <w:r w:rsidRPr="00EB6423">
        <w:rPr>
          <w:b/>
          <w:sz w:val="16"/>
          <w:szCs w:val="16"/>
        </w:rPr>
        <w:t xml:space="preserve"> Tuyauterie rigide pour combustible en acier inoxydable</w:t>
      </w:r>
    </w:p>
    <w:p w:rsidR="00E0458B" w:rsidRPr="00EB6423" w:rsidRDefault="00E0458B" w:rsidP="0033443B">
      <w:pPr>
        <w:pStyle w:val="FootnoteText"/>
        <w:ind w:firstLine="0"/>
        <w:rPr>
          <w:b/>
          <w:sz w:val="16"/>
          <w:szCs w:val="16"/>
        </w:rPr>
      </w:pPr>
      <w:r w:rsidRPr="00EB6423">
        <w:rPr>
          <w:b/>
          <w:sz w:val="16"/>
          <w:szCs w:val="16"/>
        </w:rPr>
        <w:t xml:space="preserve">ISO 15500-17:2012 Véhicules routiers </w:t>
      </w:r>
      <w:r w:rsidR="00884484">
        <w:rPr>
          <w:b/>
          <w:sz w:val="16"/>
          <w:szCs w:val="16"/>
        </w:rPr>
        <w:t>−</w:t>
      </w:r>
      <w:r w:rsidRPr="00EB6423">
        <w:rPr>
          <w:b/>
          <w:sz w:val="16"/>
          <w:szCs w:val="16"/>
        </w:rPr>
        <w:t xml:space="preserve"> Composants des systèmes de combustible gaz naturel comprimé (GNC) </w:t>
      </w:r>
      <w:r w:rsidR="00884484">
        <w:rPr>
          <w:b/>
          <w:sz w:val="16"/>
          <w:szCs w:val="16"/>
        </w:rPr>
        <w:t>−</w:t>
      </w:r>
      <w:r w:rsidRPr="00EB6423">
        <w:rPr>
          <w:b/>
          <w:sz w:val="16"/>
          <w:szCs w:val="16"/>
        </w:rPr>
        <w:t xml:space="preserve"> Partie 17</w:t>
      </w:r>
      <w:r w:rsidR="00D10EEC">
        <w:rPr>
          <w:b/>
          <w:sz w:val="16"/>
          <w:szCs w:val="16"/>
        </w:rPr>
        <w:t> :</w:t>
      </w:r>
      <w:r w:rsidRPr="00EB6423">
        <w:rPr>
          <w:b/>
          <w:sz w:val="16"/>
          <w:szCs w:val="16"/>
        </w:rPr>
        <w:t xml:space="preserve"> Tuyauterie flexible pour combustible</w:t>
      </w:r>
    </w:p>
    <w:p w:rsidR="00E0458B" w:rsidRPr="00EB6423" w:rsidRDefault="00E0458B" w:rsidP="0033443B">
      <w:pPr>
        <w:pStyle w:val="FootnoteText"/>
        <w:ind w:firstLine="0"/>
        <w:rPr>
          <w:b/>
          <w:sz w:val="16"/>
          <w:szCs w:val="16"/>
        </w:rPr>
      </w:pPr>
      <w:r w:rsidRPr="00EB6423">
        <w:rPr>
          <w:b/>
          <w:sz w:val="16"/>
          <w:szCs w:val="16"/>
        </w:rPr>
        <w:t xml:space="preserve">ISO 15500-18:2012 Véhicules routiers </w:t>
      </w:r>
      <w:r w:rsidR="00884484">
        <w:rPr>
          <w:b/>
          <w:sz w:val="16"/>
          <w:szCs w:val="16"/>
        </w:rPr>
        <w:t>−</w:t>
      </w:r>
      <w:r w:rsidRPr="00EB6423">
        <w:rPr>
          <w:b/>
          <w:sz w:val="16"/>
          <w:szCs w:val="16"/>
        </w:rPr>
        <w:t xml:space="preserve"> Composants des systèmes de combustible gaz naturel comprimé (GNC) </w:t>
      </w:r>
      <w:r w:rsidR="00884484">
        <w:rPr>
          <w:b/>
          <w:sz w:val="16"/>
          <w:szCs w:val="16"/>
        </w:rPr>
        <w:t>−</w:t>
      </w:r>
      <w:r w:rsidRPr="00EB6423">
        <w:rPr>
          <w:b/>
          <w:sz w:val="16"/>
          <w:szCs w:val="16"/>
        </w:rPr>
        <w:t xml:space="preserve"> Partie 18</w:t>
      </w:r>
      <w:r w:rsidR="00D10EEC">
        <w:rPr>
          <w:b/>
          <w:sz w:val="16"/>
          <w:szCs w:val="16"/>
        </w:rPr>
        <w:t> :</w:t>
      </w:r>
      <w:r w:rsidRPr="00EB6423">
        <w:rPr>
          <w:b/>
          <w:sz w:val="16"/>
          <w:szCs w:val="16"/>
        </w:rPr>
        <w:t xml:space="preserve"> Filtre</w:t>
      </w:r>
    </w:p>
    <w:p w:rsidR="00E0458B" w:rsidRPr="00EB6423" w:rsidRDefault="00E0458B" w:rsidP="0033443B">
      <w:pPr>
        <w:pStyle w:val="FootnoteText"/>
        <w:ind w:firstLine="0"/>
        <w:rPr>
          <w:b/>
          <w:sz w:val="16"/>
          <w:szCs w:val="16"/>
        </w:rPr>
      </w:pPr>
      <w:r w:rsidRPr="00EB6423">
        <w:rPr>
          <w:b/>
          <w:sz w:val="16"/>
          <w:szCs w:val="16"/>
        </w:rPr>
        <w:t xml:space="preserve">ISO 15500-19:2012 Véhicules routiers </w:t>
      </w:r>
      <w:r w:rsidR="00884484">
        <w:rPr>
          <w:b/>
          <w:sz w:val="16"/>
          <w:szCs w:val="16"/>
        </w:rPr>
        <w:t>−</w:t>
      </w:r>
      <w:r w:rsidRPr="00EB6423">
        <w:rPr>
          <w:b/>
          <w:sz w:val="16"/>
          <w:szCs w:val="16"/>
        </w:rPr>
        <w:t xml:space="preserve"> Composants des systèmes de combustible gaz naturel comprimé (GNC) </w:t>
      </w:r>
      <w:r w:rsidR="00884484">
        <w:rPr>
          <w:b/>
          <w:sz w:val="16"/>
          <w:szCs w:val="16"/>
        </w:rPr>
        <w:t>−</w:t>
      </w:r>
      <w:r w:rsidRPr="00EB6423">
        <w:rPr>
          <w:b/>
          <w:sz w:val="16"/>
          <w:szCs w:val="16"/>
        </w:rPr>
        <w:t xml:space="preserve"> Partie 19</w:t>
      </w:r>
      <w:r w:rsidR="00D10EEC">
        <w:rPr>
          <w:b/>
          <w:sz w:val="16"/>
          <w:szCs w:val="16"/>
        </w:rPr>
        <w:t> :</w:t>
      </w:r>
      <w:r w:rsidRPr="00EB6423">
        <w:rPr>
          <w:b/>
          <w:sz w:val="16"/>
          <w:szCs w:val="16"/>
        </w:rPr>
        <w:t xml:space="preserve"> Raccords</w:t>
      </w:r>
    </w:p>
    <w:p w:rsidR="00E0458B" w:rsidRPr="0033443B" w:rsidRDefault="00E0458B" w:rsidP="0033443B">
      <w:pPr>
        <w:pStyle w:val="FootnoteText"/>
        <w:ind w:firstLine="0"/>
        <w:rPr>
          <w:b/>
          <w:sz w:val="16"/>
          <w:szCs w:val="16"/>
        </w:rPr>
      </w:pPr>
      <w:r w:rsidRPr="00230F27">
        <w:rPr>
          <w:b/>
          <w:sz w:val="16"/>
          <w:szCs w:val="16"/>
        </w:rPr>
        <w:t xml:space="preserve">ISO 15500-20:2015 Véhicules routiers </w:t>
      </w:r>
      <w:r w:rsidR="00884484">
        <w:rPr>
          <w:b/>
          <w:sz w:val="16"/>
          <w:szCs w:val="16"/>
        </w:rPr>
        <w:t>−</w:t>
      </w:r>
      <w:r w:rsidRPr="00230F27">
        <w:rPr>
          <w:b/>
          <w:sz w:val="16"/>
          <w:szCs w:val="16"/>
        </w:rPr>
        <w:t xml:space="preserve"> Composants des systèmes de remplissage en gaz naturel comprimé </w:t>
      </w:r>
      <w:r w:rsidR="00884484">
        <w:rPr>
          <w:b/>
          <w:sz w:val="16"/>
          <w:szCs w:val="16"/>
        </w:rPr>
        <w:t>−</w:t>
      </w:r>
      <w:r w:rsidRPr="00230F27">
        <w:rPr>
          <w:b/>
          <w:sz w:val="16"/>
          <w:szCs w:val="16"/>
        </w:rPr>
        <w:t xml:space="preserve"> Partie 20</w:t>
      </w:r>
      <w:r w:rsidR="00D10EEC">
        <w:rPr>
          <w:b/>
          <w:sz w:val="16"/>
          <w:szCs w:val="16"/>
        </w:rPr>
        <w:t> :</w:t>
      </w:r>
      <w:r w:rsidRPr="00230F27">
        <w:rPr>
          <w:b/>
          <w:sz w:val="16"/>
          <w:szCs w:val="16"/>
        </w:rPr>
        <w:t xml:space="preserve"> Circuit de combustible rigide en matériaux autres que l</w:t>
      </w:r>
      <w:r w:rsidR="000273DA">
        <w:rPr>
          <w:b/>
          <w:sz w:val="16"/>
          <w:szCs w:val="16"/>
        </w:rPr>
        <w:t>’</w:t>
      </w:r>
      <w:r w:rsidRPr="00230F27">
        <w:rPr>
          <w:b/>
          <w:sz w:val="16"/>
          <w:szCs w:val="16"/>
        </w:rPr>
        <w:t>acier inoxydable</w:t>
      </w:r>
      <w:r>
        <w:rPr>
          <w:b/>
          <w:sz w:val="16"/>
          <w:szCs w:val="16"/>
        </w:rPr>
        <w:t>.</w:t>
      </w:r>
    </w:p>
  </w:footnote>
  <w:footnote w:id="8">
    <w:p w:rsidR="00E0458B" w:rsidRPr="00B6290F" w:rsidRDefault="0033443B" w:rsidP="00E0458B">
      <w:pPr>
        <w:pStyle w:val="FootnoteText"/>
        <w:rPr>
          <w:b/>
          <w:sz w:val="16"/>
          <w:szCs w:val="16"/>
        </w:rPr>
      </w:pPr>
      <w:r>
        <w:rPr>
          <w:b/>
          <w:sz w:val="16"/>
          <w:szCs w:val="16"/>
        </w:rPr>
        <w:tab/>
      </w:r>
      <w:r w:rsidR="00E0458B" w:rsidRPr="00876F1D">
        <w:rPr>
          <w:rStyle w:val="FootnoteReference"/>
        </w:rPr>
        <w:footnoteRef/>
      </w:r>
      <w:r w:rsidR="00E0458B" w:rsidRPr="00B6290F">
        <w:rPr>
          <w:b/>
          <w:sz w:val="16"/>
          <w:szCs w:val="16"/>
        </w:rPr>
        <w:tab/>
        <w:t>ANSI NGV 2-2007 - Compressed natural gas vehicle fuel containers.</w:t>
      </w:r>
    </w:p>
  </w:footnote>
  <w:footnote w:id="9">
    <w:p w:rsidR="00E0458B" w:rsidRPr="001F7015" w:rsidRDefault="0033443B" w:rsidP="00E0458B">
      <w:pPr>
        <w:pStyle w:val="FootnoteText"/>
      </w:pPr>
      <w:r>
        <w:rPr>
          <w:b/>
          <w:sz w:val="16"/>
          <w:szCs w:val="16"/>
        </w:rPr>
        <w:tab/>
      </w:r>
      <w:r w:rsidR="00E0458B" w:rsidRPr="00876F1D">
        <w:rPr>
          <w:rStyle w:val="FootnoteReference"/>
        </w:rPr>
        <w:footnoteRef/>
      </w:r>
      <w:r w:rsidR="00E0458B" w:rsidRPr="001F7015">
        <w:rPr>
          <w:b/>
          <w:sz w:val="16"/>
          <w:szCs w:val="16"/>
        </w:rPr>
        <w:tab/>
        <w:t>CSA B51 Code sur les chaudières, les appareils et les tuyauteries sous pression</w:t>
      </w:r>
      <w:r w:rsidR="00E0458B">
        <w:rPr>
          <w:b/>
          <w:sz w:val="16"/>
          <w:szCs w:val="16"/>
        </w:rPr>
        <w:t xml:space="preserve"> - Deuxième partie : E</w:t>
      </w:r>
      <w:r w:rsidR="00E0458B" w:rsidRPr="001F7015">
        <w:rPr>
          <w:b/>
          <w:sz w:val="16"/>
          <w:szCs w:val="16"/>
        </w:rPr>
        <w:t>xigences s’appliquant aux cylindres à haute pression servant à l’entreposage de carburant à bord de véhicules automobiles.</w:t>
      </w:r>
    </w:p>
  </w:footnote>
  <w:footnote w:id="10">
    <w:p w:rsidR="00E0458B" w:rsidRPr="001F7015" w:rsidRDefault="0033443B" w:rsidP="00E0458B">
      <w:pPr>
        <w:pStyle w:val="FootnoteText"/>
        <w:rPr>
          <w:sz w:val="16"/>
          <w:szCs w:val="16"/>
        </w:rPr>
      </w:pPr>
      <w:r>
        <w:rPr>
          <w:sz w:val="16"/>
          <w:szCs w:val="16"/>
        </w:rPr>
        <w:tab/>
      </w:r>
      <w:r w:rsidR="00E0458B" w:rsidRPr="00876F1D">
        <w:rPr>
          <w:rStyle w:val="FootnoteReference"/>
        </w:rPr>
        <w:footnoteRef/>
      </w:r>
      <w:r w:rsidR="00E0458B" w:rsidRPr="001F7015">
        <w:rPr>
          <w:sz w:val="16"/>
          <w:szCs w:val="16"/>
        </w:rPr>
        <w:tab/>
        <w:t xml:space="preserve">Règlement technique mondial </w:t>
      </w:r>
      <w:r w:rsidRPr="0033443B">
        <w:rPr>
          <w:sz w:val="16"/>
          <w:szCs w:val="16"/>
        </w:rPr>
        <w:t>n</w:t>
      </w:r>
      <w:r w:rsidRPr="0033443B">
        <w:rPr>
          <w:sz w:val="16"/>
          <w:szCs w:val="16"/>
          <w:vertAlign w:val="superscript"/>
        </w:rPr>
        <w:t>o</w:t>
      </w:r>
      <w:r w:rsidRPr="0033443B">
        <w:rPr>
          <w:sz w:val="16"/>
          <w:szCs w:val="16"/>
        </w:rPr>
        <w:t> </w:t>
      </w:r>
      <w:r w:rsidR="00E0458B" w:rsidRPr="001F7015">
        <w:rPr>
          <w:sz w:val="16"/>
          <w:szCs w:val="16"/>
        </w:rPr>
        <w:t>13</w:t>
      </w:r>
      <w:r w:rsidR="00D10EEC">
        <w:rPr>
          <w:sz w:val="16"/>
          <w:szCs w:val="16"/>
        </w:rPr>
        <w:t> </w:t>
      </w:r>
      <w:r w:rsidR="00D10EEC">
        <w:rPr>
          <w:b/>
          <w:sz w:val="16"/>
          <w:szCs w:val="16"/>
        </w:rPr>
        <w:t>:</w:t>
      </w:r>
      <w:r w:rsidR="00E0458B" w:rsidRPr="001F7015">
        <w:rPr>
          <w:b/>
          <w:sz w:val="16"/>
          <w:szCs w:val="16"/>
        </w:rPr>
        <w:t xml:space="preserve"> </w:t>
      </w:r>
      <w:r w:rsidR="00E0458B" w:rsidRPr="001F7015">
        <w:rPr>
          <w:sz w:val="16"/>
          <w:szCs w:val="16"/>
        </w:rPr>
        <w:t xml:space="preserve">Règlement technique mondial sur les véhicules à hydrogène à pile à combustible (ECE/TRANS/180/Add.13). </w:t>
      </w:r>
    </w:p>
  </w:footnote>
  <w:footnote w:id="11">
    <w:p w:rsidR="00E0458B" w:rsidRPr="00057C31" w:rsidRDefault="0033443B" w:rsidP="00E0458B">
      <w:pPr>
        <w:pStyle w:val="FootnoteText"/>
        <w:rPr>
          <w:sz w:val="16"/>
          <w:szCs w:val="16"/>
        </w:rPr>
      </w:pPr>
      <w:r>
        <w:rPr>
          <w:sz w:val="16"/>
          <w:szCs w:val="16"/>
        </w:rPr>
        <w:tab/>
      </w:r>
      <w:r w:rsidR="00E0458B" w:rsidRPr="00876F1D">
        <w:rPr>
          <w:rStyle w:val="FootnoteReference"/>
        </w:rPr>
        <w:footnoteRef/>
      </w:r>
      <w:r w:rsidR="00E0458B" w:rsidRPr="00057C31">
        <w:rPr>
          <w:sz w:val="16"/>
          <w:szCs w:val="16"/>
        </w:rPr>
        <w:tab/>
        <w:t>ISO/TS 15869:</w:t>
      </w:r>
      <w:r w:rsidR="00E0458B" w:rsidRPr="00057C31">
        <w:rPr>
          <w:b/>
          <w:sz w:val="16"/>
          <w:szCs w:val="16"/>
        </w:rPr>
        <w:t>2009</w:t>
      </w:r>
      <w:r w:rsidR="00E0458B" w:rsidRPr="00057C31">
        <w:rPr>
          <w:sz w:val="16"/>
          <w:szCs w:val="16"/>
        </w:rPr>
        <w:t xml:space="preserve"> Hydrogène gazeux et mélanges d</w:t>
      </w:r>
      <w:r w:rsidR="000273DA">
        <w:rPr>
          <w:sz w:val="16"/>
          <w:szCs w:val="16"/>
        </w:rPr>
        <w:t>’</w:t>
      </w:r>
      <w:r w:rsidR="00E0458B" w:rsidRPr="00057C31">
        <w:rPr>
          <w:sz w:val="16"/>
          <w:szCs w:val="16"/>
        </w:rPr>
        <w:t xml:space="preserve">hydrogène gazeux </w:t>
      </w:r>
      <w:r w:rsidR="00884484">
        <w:rPr>
          <w:sz w:val="16"/>
          <w:szCs w:val="16"/>
        </w:rPr>
        <w:t>−</w:t>
      </w:r>
      <w:r w:rsidR="00E0458B" w:rsidRPr="00057C31">
        <w:rPr>
          <w:sz w:val="16"/>
          <w:szCs w:val="16"/>
        </w:rPr>
        <w:t xml:space="preserve"> Réservoirs de carburant pour véhicules terrestres et ISO 13985:</w:t>
      </w:r>
      <w:r w:rsidR="00E0458B" w:rsidRPr="00057C31">
        <w:rPr>
          <w:b/>
          <w:sz w:val="16"/>
          <w:szCs w:val="16"/>
        </w:rPr>
        <w:t>2006</w:t>
      </w:r>
      <w:r w:rsidR="00E0458B" w:rsidRPr="00057C31">
        <w:t xml:space="preserve"> </w:t>
      </w:r>
      <w:r w:rsidR="00E0458B" w:rsidRPr="00057C31">
        <w:rPr>
          <w:sz w:val="16"/>
          <w:szCs w:val="16"/>
        </w:rPr>
        <w:t xml:space="preserve">Hydrogène liquide </w:t>
      </w:r>
      <w:r w:rsidR="00884484">
        <w:rPr>
          <w:sz w:val="16"/>
          <w:szCs w:val="16"/>
        </w:rPr>
        <w:t>−</w:t>
      </w:r>
      <w:r w:rsidR="00E0458B" w:rsidRPr="00057C31">
        <w:rPr>
          <w:sz w:val="16"/>
          <w:szCs w:val="16"/>
        </w:rPr>
        <w:t xml:space="preserve"> Réservoirs de carburant pour véhicules terrestres</w:t>
      </w:r>
      <w:r w:rsidR="00E0458B">
        <w:rPr>
          <w:sz w:val="16"/>
          <w:szCs w:val="16"/>
        </w:rPr>
        <w:t>.</w:t>
      </w:r>
    </w:p>
  </w:footnote>
  <w:footnote w:id="12">
    <w:p w:rsidR="00E0458B" w:rsidRPr="006C7792" w:rsidRDefault="0033443B" w:rsidP="00E0458B">
      <w:pPr>
        <w:pStyle w:val="FootnoteText"/>
        <w:rPr>
          <w:b/>
          <w:sz w:val="16"/>
          <w:szCs w:val="16"/>
        </w:rPr>
      </w:pPr>
      <w:r>
        <w:rPr>
          <w:b/>
          <w:sz w:val="16"/>
          <w:szCs w:val="16"/>
        </w:rPr>
        <w:tab/>
      </w:r>
      <w:r w:rsidR="00E0458B" w:rsidRPr="00876F1D">
        <w:rPr>
          <w:rStyle w:val="FootnoteReference"/>
        </w:rPr>
        <w:footnoteRef/>
      </w:r>
      <w:r w:rsidR="00E0458B" w:rsidRPr="006C7792">
        <w:rPr>
          <w:b/>
          <w:sz w:val="16"/>
          <w:szCs w:val="16"/>
        </w:rPr>
        <w:tab/>
        <w:t xml:space="preserve">Règlement (CE) </w:t>
      </w:r>
      <w:r w:rsidRPr="0033443B">
        <w:rPr>
          <w:b/>
          <w:sz w:val="16"/>
          <w:szCs w:val="16"/>
        </w:rPr>
        <w:t>n</w:t>
      </w:r>
      <w:r w:rsidRPr="0033443B">
        <w:rPr>
          <w:b/>
          <w:sz w:val="16"/>
          <w:szCs w:val="16"/>
          <w:vertAlign w:val="superscript"/>
        </w:rPr>
        <w:t>o</w:t>
      </w:r>
      <w:r w:rsidRPr="0033443B">
        <w:rPr>
          <w:b/>
          <w:sz w:val="16"/>
          <w:szCs w:val="16"/>
        </w:rPr>
        <w:t> </w:t>
      </w:r>
      <w:r w:rsidR="00E0458B" w:rsidRPr="006C7792">
        <w:rPr>
          <w:b/>
          <w:sz w:val="16"/>
          <w:szCs w:val="16"/>
        </w:rPr>
        <w:t xml:space="preserve">79/2009 du </w:t>
      </w:r>
      <w:r w:rsidR="00E0458B">
        <w:rPr>
          <w:b/>
          <w:sz w:val="16"/>
          <w:szCs w:val="16"/>
        </w:rPr>
        <w:t>P</w:t>
      </w:r>
      <w:r w:rsidR="00E0458B" w:rsidRPr="006C7792">
        <w:rPr>
          <w:b/>
          <w:sz w:val="16"/>
          <w:szCs w:val="16"/>
        </w:rPr>
        <w:t xml:space="preserve">arlement européen et du </w:t>
      </w:r>
      <w:r w:rsidR="00E0458B">
        <w:rPr>
          <w:b/>
          <w:sz w:val="16"/>
          <w:szCs w:val="16"/>
        </w:rPr>
        <w:t>C</w:t>
      </w:r>
      <w:r w:rsidR="00E0458B" w:rsidRPr="006C7792">
        <w:rPr>
          <w:b/>
          <w:sz w:val="16"/>
          <w:szCs w:val="16"/>
        </w:rPr>
        <w:t>onseil</w:t>
      </w:r>
      <w:r w:rsidR="00E0458B">
        <w:rPr>
          <w:b/>
          <w:sz w:val="16"/>
          <w:szCs w:val="16"/>
        </w:rPr>
        <w:t xml:space="preserve"> du </w:t>
      </w:r>
      <w:r w:rsidR="00E0458B" w:rsidRPr="006C7792">
        <w:rPr>
          <w:b/>
          <w:sz w:val="16"/>
          <w:szCs w:val="16"/>
        </w:rPr>
        <w:t xml:space="preserve">14 </w:t>
      </w:r>
      <w:r w:rsidR="00E0458B">
        <w:rPr>
          <w:b/>
          <w:sz w:val="16"/>
          <w:szCs w:val="16"/>
        </w:rPr>
        <w:t xml:space="preserve">janvier </w:t>
      </w:r>
      <w:r w:rsidR="00E0458B" w:rsidRPr="006C7792">
        <w:rPr>
          <w:b/>
          <w:sz w:val="16"/>
          <w:szCs w:val="16"/>
        </w:rPr>
        <w:t>2009 concernant la réception par type des véhicules à moteur fonctionnant à l’hydrogène</w:t>
      </w:r>
      <w:r w:rsidR="00E0458B">
        <w:rPr>
          <w:b/>
          <w:sz w:val="16"/>
          <w:szCs w:val="16"/>
        </w:rPr>
        <w:t xml:space="preserve"> </w:t>
      </w:r>
      <w:r w:rsidR="00E0458B" w:rsidRPr="006C7792">
        <w:rPr>
          <w:b/>
          <w:sz w:val="16"/>
          <w:szCs w:val="16"/>
        </w:rPr>
        <w:t>et modifiant la directive 2007/46/CE</w:t>
      </w:r>
      <w:r w:rsidR="00E0458B">
        <w:rPr>
          <w:b/>
          <w:sz w:val="16"/>
          <w:szCs w:val="16"/>
        </w:rPr>
        <w:t>.</w:t>
      </w:r>
    </w:p>
  </w:footnote>
  <w:footnote w:id="13">
    <w:p w:rsidR="00E0458B" w:rsidRPr="00472FF9" w:rsidRDefault="0033443B" w:rsidP="00E0458B">
      <w:pPr>
        <w:pStyle w:val="FootnoteText"/>
        <w:rPr>
          <w:b/>
          <w:sz w:val="16"/>
          <w:szCs w:val="16"/>
        </w:rPr>
      </w:pPr>
      <w:r>
        <w:rPr>
          <w:b/>
          <w:sz w:val="16"/>
          <w:szCs w:val="16"/>
        </w:rPr>
        <w:tab/>
      </w:r>
      <w:r w:rsidR="00E0458B" w:rsidRPr="00876F1D">
        <w:rPr>
          <w:rStyle w:val="FootnoteReference"/>
        </w:rPr>
        <w:footnoteRef/>
      </w:r>
      <w:r w:rsidR="00E0458B" w:rsidRPr="00472FF9">
        <w:rPr>
          <w:b/>
          <w:sz w:val="16"/>
          <w:szCs w:val="16"/>
        </w:rPr>
        <w:tab/>
        <w:t>Règlement (U</w:t>
      </w:r>
      <w:r w:rsidR="00E0458B">
        <w:rPr>
          <w:b/>
          <w:sz w:val="16"/>
          <w:szCs w:val="16"/>
        </w:rPr>
        <w:t>E</w:t>
      </w:r>
      <w:r w:rsidR="00E0458B" w:rsidRPr="00472FF9">
        <w:rPr>
          <w:b/>
          <w:sz w:val="16"/>
          <w:szCs w:val="16"/>
        </w:rPr>
        <w:t>)</w:t>
      </w:r>
      <w:r w:rsidR="00E0458B">
        <w:rPr>
          <w:b/>
          <w:sz w:val="16"/>
          <w:szCs w:val="16"/>
        </w:rPr>
        <w:t xml:space="preserve"> </w:t>
      </w:r>
      <w:r w:rsidRPr="0033443B">
        <w:rPr>
          <w:b/>
          <w:sz w:val="16"/>
          <w:szCs w:val="16"/>
        </w:rPr>
        <w:t>n</w:t>
      </w:r>
      <w:r w:rsidRPr="0033443B">
        <w:rPr>
          <w:b/>
          <w:sz w:val="16"/>
          <w:szCs w:val="16"/>
          <w:vertAlign w:val="superscript"/>
        </w:rPr>
        <w:t>o</w:t>
      </w:r>
      <w:r w:rsidRPr="0033443B">
        <w:rPr>
          <w:b/>
          <w:sz w:val="16"/>
          <w:szCs w:val="16"/>
        </w:rPr>
        <w:t> </w:t>
      </w:r>
      <w:r w:rsidR="00E0458B" w:rsidRPr="00472FF9">
        <w:rPr>
          <w:b/>
          <w:sz w:val="16"/>
          <w:szCs w:val="16"/>
        </w:rPr>
        <w:t xml:space="preserve">406/2010 </w:t>
      </w:r>
      <w:r w:rsidR="00E0458B">
        <w:rPr>
          <w:b/>
          <w:sz w:val="16"/>
          <w:szCs w:val="16"/>
        </w:rPr>
        <w:t>d</w:t>
      </w:r>
      <w:r w:rsidR="00E0458B" w:rsidRPr="00472FF9">
        <w:rPr>
          <w:b/>
          <w:sz w:val="16"/>
          <w:szCs w:val="16"/>
        </w:rPr>
        <w:t xml:space="preserve">e </w:t>
      </w:r>
      <w:r w:rsidR="00E0458B">
        <w:rPr>
          <w:b/>
          <w:sz w:val="16"/>
          <w:szCs w:val="16"/>
        </w:rPr>
        <w:t>l</w:t>
      </w:r>
      <w:r w:rsidR="00E0458B" w:rsidRPr="00472FF9">
        <w:rPr>
          <w:b/>
          <w:sz w:val="16"/>
          <w:szCs w:val="16"/>
        </w:rPr>
        <w:t>a Commission</w:t>
      </w:r>
      <w:r w:rsidR="00E0458B">
        <w:rPr>
          <w:b/>
          <w:sz w:val="16"/>
          <w:szCs w:val="16"/>
        </w:rPr>
        <w:t xml:space="preserve"> </w:t>
      </w:r>
      <w:r w:rsidR="00E0458B" w:rsidRPr="00472FF9">
        <w:rPr>
          <w:b/>
          <w:sz w:val="16"/>
          <w:szCs w:val="16"/>
        </w:rPr>
        <w:t>du 26 avril 2010</w:t>
      </w:r>
      <w:r w:rsidR="00E0458B">
        <w:rPr>
          <w:b/>
          <w:sz w:val="16"/>
          <w:szCs w:val="16"/>
        </w:rPr>
        <w:t xml:space="preserve"> </w:t>
      </w:r>
      <w:r w:rsidR="00E0458B" w:rsidRPr="00472FF9">
        <w:rPr>
          <w:b/>
          <w:sz w:val="16"/>
          <w:szCs w:val="16"/>
        </w:rPr>
        <w:t xml:space="preserve">portant application du </w:t>
      </w:r>
      <w:r w:rsidR="00E0458B">
        <w:rPr>
          <w:b/>
          <w:sz w:val="16"/>
          <w:szCs w:val="16"/>
        </w:rPr>
        <w:t>R</w:t>
      </w:r>
      <w:r w:rsidR="00E0458B" w:rsidRPr="00472FF9">
        <w:rPr>
          <w:b/>
          <w:sz w:val="16"/>
          <w:szCs w:val="16"/>
        </w:rPr>
        <w:t xml:space="preserve">èglement (CE) </w:t>
      </w:r>
      <w:r w:rsidRPr="0033443B">
        <w:rPr>
          <w:b/>
          <w:sz w:val="16"/>
          <w:szCs w:val="16"/>
        </w:rPr>
        <w:t>n</w:t>
      </w:r>
      <w:r w:rsidRPr="0033443B">
        <w:rPr>
          <w:b/>
          <w:sz w:val="16"/>
          <w:szCs w:val="16"/>
          <w:vertAlign w:val="superscript"/>
        </w:rPr>
        <w:t>o</w:t>
      </w:r>
      <w:r w:rsidRPr="0033443B">
        <w:rPr>
          <w:b/>
          <w:sz w:val="16"/>
          <w:szCs w:val="16"/>
        </w:rPr>
        <w:t> </w:t>
      </w:r>
      <w:r w:rsidR="00E0458B" w:rsidRPr="00472FF9">
        <w:rPr>
          <w:b/>
          <w:sz w:val="16"/>
          <w:szCs w:val="16"/>
        </w:rPr>
        <w:t>79/2009</w:t>
      </w:r>
      <w:r>
        <w:rPr>
          <w:b/>
          <w:sz w:val="16"/>
          <w:szCs w:val="16"/>
        </w:rPr>
        <w:t xml:space="preserve"> </w:t>
      </w:r>
      <w:r w:rsidR="00E0458B" w:rsidRPr="00472FF9">
        <w:rPr>
          <w:b/>
          <w:sz w:val="16"/>
          <w:szCs w:val="16"/>
        </w:rPr>
        <w:t>du Parlement européen et du Conseil concernant</w:t>
      </w:r>
      <w:r w:rsidR="00E0458B">
        <w:rPr>
          <w:b/>
          <w:sz w:val="16"/>
          <w:szCs w:val="16"/>
        </w:rPr>
        <w:t xml:space="preserve"> </w:t>
      </w:r>
      <w:r w:rsidR="00E0458B" w:rsidRPr="00472FF9">
        <w:rPr>
          <w:b/>
          <w:sz w:val="16"/>
          <w:szCs w:val="16"/>
        </w:rPr>
        <w:t>la réception par type des véhicules à moteur fonctionnant à l’hydrogène.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5E" w:rsidRPr="0002475E" w:rsidRDefault="0002475E">
    <w:pPr>
      <w:pStyle w:val="Header"/>
    </w:pPr>
    <w:r>
      <w:t>ST/SG/AC.10/C.3/2016/8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5E" w:rsidRPr="0002475E" w:rsidRDefault="0002475E" w:rsidP="0002475E">
    <w:pPr>
      <w:pStyle w:val="Header"/>
      <w:jc w:val="right"/>
    </w:pPr>
    <w:r>
      <w:t>ST/SG/AC.10/C.3/2016/8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61"/>
    <w:rsid w:val="00005152"/>
    <w:rsid w:val="00017F94"/>
    <w:rsid w:val="00023842"/>
    <w:rsid w:val="0002475E"/>
    <w:rsid w:val="000273DA"/>
    <w:rsid w:val="000305D3"/>
    <w:rsid w:val="000334F9"/>
    <w:rsid w:val="0007796D"/>
    <w:rsid w:val="000B7790"/>
    <w:rsid w:val="000F002A"/>
    <w:rsid w:val="00111F2F"/>
    <w:rsid w:val="00132EA9"/>
    <w:rsid w:val="0014365E"/>
    <w:rsid w:val="00155A61"/>
    <w:rsid w:val="00176178"/>
    <w:rsid w:val="001E320D"/>
    <w:rsid w:val="001F525A"/>
    <w:rsid w:val="00223272"/>
    <w:rsid w:val="00232054"/>
    <w:rsid w:val="0024779E"/>
    <w:rsid w:val="00283190"/>
    <w:rsid w:val="002832AC"/>
    <w:rsid w:val="002D7C93"/>
    <w:rsid w:val="0033443B"/>
    <w:rsid w:val="00441C3B"/>
    <w:rsid w:val="00446FE5"/>
    <w:rsid w:val="00452396"/>
    <w:rsid w:val="004E468C"/>
    <w:rsid w:val="005505B7"/>
    <w:rsid w:val="00573BE5"/>
    <w:rsid w:val="00586ED3"/>
    <w:rsid w:val="00596AA9"/>
    <w:rsid w:val="0068456F"/>
    <w:rsid w:val="00686734"/>
    <w:rsid w:val="0071601D"/>
    <w:rsid w:val="007A62E6"/>
    <w:rsid w:val="0080684C"/>
    <w:rsid w:val="00871C75"/>
    <w:rsid w:val="008776DC"/>
    <w:rsid w:val="00884484"/>
    <w:rsid w:val="009705C8"/>
    <w:rsid w:val="009C1CF4"/>
    <w:rsid w:val="00A30353"/>
    <w:rsid w:val="00AC3823"/>
    <w:rsid w:val="00AE323C"/>
    <w:rsid w:val="00AE755C"/>
    <w:rsid w:val="00B00181"/>
    <w:rsid w:val="00B00B0D"/>
    <w:rsid w:val="00B765F7"/>
    <w:rsid w:val="00BA0CA9"/>
    <w:rsid w:val="00C02897"/>
    <w:rsid w:val="00C86021"/>
    <w:rsid w:val="00CF46F7"/>
    <w:rsid w:val="00D10EEC"/>
    <w:rsid w:val="00D3439C"/>
    <w:rsid w:val="00DB1831"/>
    <w:rsid w:val="00DD3BFD"/>
    <w:rsid w:val="00DE6B91"/>
    <w:rsid w:val="00DF6678"/>
    <w:rsid w:val="00E0458B"/>
    <w:rsid w:val="00EF2E22"/>
    <w:rsid w:val="00F660DF"/>
    <w:rsid w:val="00F730C8"/>
    <w:rsid w:val="00F95C08"/>
    <w:rsid w:val="00FB00C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8448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84484"/>
    <w:pPr>
      <w:keepNext/>
      <w:keepLines/>
      <w:spacing w:after="0" w:line="240" w:lineRule="auto"/>
      <w:ind w:right="0"/>
      <w:jc w:val="left"/>
      <w:outlineLvl w:val="0"/>
    </w:pPr>
  </w:style>
  <w:style w:type="paragraph" w:styleId="Heading2">
    <w:name w:val="heading 2"/>
    <w:basedOn w:val="Normal"/>
    <w:next w:val="Normal"/>
    <w:link w:val="Heading2Char"/>
    <w:semiHidden/>
    <w:qFormat/>
    <w:rsid w:val="00884484"/>
    <w:pPr>
      <w:outlineLvl w:val="1"/>
    </w:pPr>
  </w:style>
  <w:style w:type="paragraph" w:styleId="Heading3">
    <w:name w:val="heading 3"/>
    <w:basedOn w:val="Normal"/>
    <w:next w:val="Normal"/>
    <w:link w:val="Heading3Char"/>
    <w:semiHidden/>
    <w:qFormat/>
    <w:rsid w:val="00884484"/>
    <w:pPr>
      <w:outlineLvl w:val="2"/>
    </w:pPr>
  </w:style>
  <w:style w:type="paragraph" w:styleId="Heading4">
    <w:name w:val="heading 4"/>
    <w:basedOn w:val="Normal"/>
    <w:next w:val="Normal"/>
    <w:link w:val="Heading4Char"/>
    <w:semiHidden/>
    <w:qFormat/>
    <w:rsid w:val="00884484"/>
    <w:pPr>
      <w:outlineLvl w:val="3"/>
    </w:pPr>
  </w:style>
  <w:style w:type="paragraph" w:styleId="Heading5">
    <w:name w:val="heading 5"/>
    <w:basedOn w:val="Normal"/>
    <w:next w:val="Normal"/>
    <w:link w:val="Heading5Char"/>
    <w:semiHidden/>
    <w:qFormat/>
    <w:rsid w:val="00884484"/>
    <w:pPr>
      <w:outlineLvl w:val="4"/>
    </w:pPr>
  </w:style>
  <w:style w:type="paragraph" w:styleId="Heading6">
    <w:name w:val="heading 6"/>
    <w:basedOn w:val="Normal"/>
    <w:next w:val="Normal"/>
    <w:link w:val="Heading6Char"/>
    <w:semiHidden/>
    <w:qFormat/>
    <w:rsid w:val="00884484"/>
    <w:pPr>
      <w:outlineLvl w:val="5"/>
    </w:pPr>
  </w:style>
  <w:style w:type="paragraph" w:styleId="Heading7">
    <w:name w:val="heading 7"/>
    <w:basedOn w:val="Normal"/>
    <w:next w:val="Normal"/>
    <w:link w:val="Heading7Char"/>
    <w:semiHidden/>
    <w:qFormat/>
    <w:rsid w:val="00884484"/>
    <w:pPr>
      <w:outlineLvl w:val="6"/>
    </w:pPr>
  </w:style>
  <w:style w:type="paragraph" w:styleId="Heading8">
    <w:name w:val="heading 8"/>
    <w:basedOn w:val="Normal"/>
    <w:next w:val="Normal"/>
    <w:link w:val="Heading8Char"/>
    <w:semiHidden/>
    <w:qFormat/>
    <w:rsid w:val="00884484"/>
    <w:pPr>
      <w:outlineLvl w:val="7"/>
    </w:pPr>
  </w:style>
  <w:style w:type="paragraph" w:styleId="Heading9">
    <w:name w:val="heading 9"/>
    <w:basedOn w:val="Normal"/>
    <w:next w:val="Normal"/>
    <w:link w:val="Heading9Char"/>
    <w:semiHidden/>
    <w:qFormat/>
    <w:rsid w:val="008844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8448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84484"/>
    <w:rPr>
      <w:rFonts w:ascii="Times New Roman" w:hAnsi="Times New Roman" w:cs="Times New Roman"/>
      <w:b/>
      <w:sz w:val="18"/>
      <w:szCs w:val="20"/>
      <w:lang w:eastAsia="en-US"/>
    </w:rPr>
  </w:style>
  <w:style w:type="paragraph" w:styleId="Footer">
    <w:name w:val="footer"/>
    <w:aliases w:val="3_G"/>
    <w:basedOn w:val="Normal"/>
    <w:next w:val="Normal"/>
    <w:link w:val="FooterChar"/>
    <w:qFormat/>
    <w:rsid w:val="00884484"/>
    <w:pPr>
      <w:spacing w:line="240" w:lineRule="auto"/>
    </w:pPr>
    <w:rPr>
      <w:sz w:val="16"/>
    </w:rPr>
  </w:style>
  <w:style w:type="character" w:customStyle="1" w:styleId="FooterChar">
    <w:name w:val="Footer Char"/>
    <w:aliases w:val="3_G Char"/>
    <w:basedOn w:val="DefaultParagraphFont"/>
    <w:link w:val="Footer"/>
    <w:rsid w:val="00884484"/>
    <w:rPr>
      <w:rFonts w:ascii="Times New Roman" w:hAnsi="Times New Roman" w:cs="Times New Roman"/>
      <w:sz w:val="16"/>
      <w:szCs w:val="20"/>
      <w:lang w:eastAsia="en-US"/>
    </w:rPr>
  </w:style>
  <w:style w:type="paragraph" w:customStyle="1" w:styleId="HMG">
    <w:name w:val="_ H __M_G"/>
    <w:basedOn w:val="Normal"/>
    <w:next w:val="Normal"/>
    <w:qFormat/>
    <w:rsid w:val="0088448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8448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8448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8448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8448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8448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84484"/>
    <w:pPr>
      <w:spacing w:after="120"/>
      <w:ind w:left="1134" w:right="1134"/>
      <w:jc w:val="both"/>
    </w:pPr>
  </w:style>
  <w:style w:type="paragraph" w:customStyle="1" w:styleId="SLG">
    <w:name w:val="__S_L_G"/>
    <w:basedOn w:val="Normal"/>
    <w:next w:val="Normal"/>
    <w:rsid w:val="00884484"/>
    <w:pPr>
      <w:keepNext/>
      <w:keepLines/>
      <w:spacing w:before="240" w:after="240" w:line="580" w:lineRule="exact"/>
      <w:ind w:left="1134" w:right="1134"/>
    </w:pPr>
    <w:rPr>
      <w:b/>
      <w:sz w:val="56"/>
    </w:rPr>
  </w:style>
  <w:style w:type="paragraph" w:customStyle="1" w:styleId="SMG">
    <w:name w:val="__S_M_G"/>
    <w:basedOn w:val="Normal"/>
    <w:next w:val="Normal"/>
    <w:rsid w:val="00884484"/>
    <w:pPr>
      <w:keepNext/>
      <w:keepLines/>
      <w:spacing w:before="240" w:after="240" w:line="420" w:lineRule="exact"/>
      <w:ind w:left="1134" w:right="1134"/>
    </w:pPr>
    <w:rPr>
      <w:b/>
      <w:sz w:val="40"/>
    </w:rPr>
  </w:style>
  <w:style w:type="paragraph" w:customStyle="1" w:styleId="SSG">
    <w:name w:val="__S_S_G"/>
    <w:basedOn w:val="Normal"/>
    <w:next w:val="Normal"/>
    <w:rsid w:val="00884484"/>
    <w:pPr>
      <w:keepNext/>
      <w:keepLines/>
      <w:spacing w:before="240" w:after="240" w:line="300" w:lineRule="exact"/>
      <w:ind w:left="1134" w:right="1134"/>
    </w:pPr>
    <w:rPr>
      <w:b/>
      <w:sz w:val="28"/>
    </w:rPr>
  </w:style>
  <w:style w:type="paragraph" w:customStyle="1" w:styleId="XLargeG">
    <w:name w:val="__XLarge_G"/>
    <w:basedOn w:val="Normal"/>
    <w:next w:val="Normal"/>
    <w:rsid w:val="00884484"/>
    <w:pPr>
      <w:keepNext/>
      <w:keepLines/>
      <w:spacing w:before="240" w:after="240" w:line="420" w:lineRule="exact"/>
      <w:ind w:left="1134" w:right="1134"/>
    </w:pPr>
    <w:rPr>
      <w:b/>
      <w:sz w:val="40"/>
    </w:rPr>
  </w:style>
  <w:style w:type="paragraph" w:customStyle="1" w:styleId="Bullet1G">
    <w:name w:val="_Bullet 1_G"/>
    <w:basedOn w:val="Normal"/>
    <w:qFormat/>
    <w:rsid w:val="00884484"/>
    <w:pPr>
      <w:numPr>
        <w:numId w:val="1"/>
      </w:numPr>
      <w:spacing w:after="120"/>
      <w:ind w:right="1134"/>
      <w:jc w:val="both"/>
    </w:pPr>
  </w:style>
  <w:style w:type="paragraph" w:customStyle="1" w:styleId="Bullet2G">
    <w:name w:val="_Bullet 2_G"/>
    <w:basedOn w:val="Normal"/>
    <w:qFormat/>
    <w:rsid w:val="00884484"/>
    <w:pPr>
      <w:numPr>
        <w:numId w:val="2"/>
      </w:numPr>
      <w:spacing w:after="120"/>
      <w:ind w:right="1134"/>
      <w:jc w:val="both"/>
    </w:pPr>
  </w:style>
  <w:style w:type="paragraph" w:customStyle="1" w:styleId="ParNoG">
    <w:name w:val="_ParNo_G"/>
    <w:basedOn w:val="Normal"/>
    <w:qFormat/>
    <w:rsid w:val="00884484"/>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884484"/>
    <w:rPr>
      <w:rFonts w:ascii="Times New Roman" w:hAnsi="Times New Roman"/>
      <w:sz w:val="18"/>
      <w:vertAlign w:val="superscript"/>
      <w:lang w:val="fr-CH"/>
    </w:rPr>
  </w:style>
  <w:style w:type="character" w:styleId="EndnoteReference">
    <w:name w:val="endnote reference"/>
    <w:aliases w:val="1_G"/>
    <w:basedOn w:val="FootnoteReference"/>
    <w:qFormat/>
    <w:rsid w:val="00884484"/>
    <w:rPr>
      <w:rFonts w:ascii="Times New Roman" w:hAnsi="Times New Roman"/>
      <w:sz w:val="18"/>
      <w:vertAlign w:val="superscript"/>
      <w:lang w:val="fr-CH"/>
    </w:rPr>
  </w:style>
  <w:style w:type="table" w:styleId="TableGrid">
    <w:name w:val="Table Grid"/>
    <w:basedOn w:val="TableNormal"/>
    <w:rsid w:val="0088448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884484"/>
    <w:rPr>
      <w:color w:val="0000FF"/>
      <w:u w:val="none"/>
    </w:rPr>
  </w:style>
  <w:style w:type="character" w:styleId="FollowedHyperlink">
    <w:name w:val="FollowedHyperlink"/>
    <w:basedOn w:val="DefaultParagraphFont"/>
    <w:unhideWhenUsed/>
    <w:rsid w:val="00884484"/>
    <w:rPr>
      <w:color w:val="0000FF"/>
      <w:u w:val="none"/>
    </w:rPr>
  </w:style>
  <w:style w:type="paragraph" w:styleId="FootnoteText">
    <w:name w:val="footnote text"/>
    <w:aliases w:val="5_G"/>
    <w:basedOn w:val="Normal"/>
    <w:link w:val="FootnoteTextChar"/>
    <w:qFormat/>
    <w:rsid w:val="0088448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84484"/>
    <w:rPr>
      <w:rFonts w:ascii="Times New Roman" w:hAnsi="Times New Roman" w:cs="Times New Roman"/>
      <w:sz w:val="18"/>
      <w:szCs w:val="20"/>
      <w:lang w:eastAsia="en-US"/>
    </w:rPr>
  </w:style>
  <w:style w:type="paragraph" w:styleId="EndnoteText">
    <w:name w:val="endnote text"/>
    <w:aliases w:val="2_G"/>
    <w:basedOn w:val="FootnoteText"/>
    <w:link w:val="EndnoteTextChar"/>
    <w:qFormat/>
    <w:rsid w:val="00884484"/>
  </w:style>
  <w:style w:type="character" w:customStyle="1" w:styleId="EndnoteTextChar">
    <w:name w:val="Endnote Text Char"/>
    <w:aliases w:val="2_G Char"/>
    <w:basedOn w:val="DefaultParagraphFont"/>
    <w:link w:val="EndnoteText"/>
    <w:rsid w:val="00884484"/>
    <w:rPr>
      <w:rFonts w:ascii="Times New Roman" w:hAnsi="Times New Roman" w:cs="Times New Roman"/>
      <w:sz w:val="18"/>
      <w:szCs w:val="20"/>
      <w:lang w:eastAsia="en-US"/>
    </w:rPr>
  </w:style>
  <w:style w:type="character" w:styleId="PageNumber">
    <w:name w:val="page number"/>
    <w:aliases w:val="7_G"/>
    <w:basedOn w:val="DefaultParagraphFont"/>
    <w:qFormat/>
    <w:rsid w:val="00884484"/>
    <w:rPr>
      <w:rFonts w:ascii="Times New Roman" w:hAnsi="Times New Roman"/>
      <w:b/>
      <w:sz w:val="18"/>
      <w:lang w:val="fr-CH"/>
    </w:rPr>
  </w:style>
  <w:style w:type="character" w:customStyle="1" w:styleId="Heading1Char">
    <w:name w:val="Heading 1 Char"/>
    <w:aliases w:val="Table_G Char"/>
    <w:basedOn w:val="DefaultParagraphFont"/>
    <w:link w:val="Heading1"/>
    <w:rsid w:val="00884484"/>
    <w:rPr>
      <w:rFonts w:ascii="Times New Roman" w:hAnsi="Times New Roman" w:cs="Times New Roman"/>
      <w:sz w:val="20"/>
      <w:szCs w:val="20"/>
      <w:lang w:eastAsia="en-US"/>
    </w:rPr>
  </w:style>
  <w:style w:type="character" w:customStyle="1" w:styleId="Heading2Char">
    <w:name w:val="Heading 2 Char"/>
    <w:basedOn w:val="DefaultParagraphFont"/>
    <w:link w:val="Heading2"/>
    <w:semiHidden/>
    <w:rsid w:val="00884484"/>
    <w:rPr>
      <w:rFonts w:ascii="Times New Roman" w:hAnsi="Times New Roman" w:cs="Times New Roman"/>
      <w:sz w:val="20"/>
      <w:szCs w:val="20"/>
      <w:lang w:eastAsia="en-US"/>
    </w:rPr>
  </w:style>
  <w:style w:type="character" w:customStyle="1" w:styleId="Heading3Char">
    <w:name w:val="Heading 3 Char"/>
    <w:basedOn w:val="DefaultParagraphFont"/>
    <w:link w:val="Heading3"/>
    <w:semiHidden/>
    <w:rsid w:val="00884484"/>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884484"/>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884484"/>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884484"/>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884484"/>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884484"/>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884484"/>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844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484"/>
    <w:rPr>
      <w:rFonts w:ascii="Tahoma" w:hAnsi="Tahoma" w:cs="Tahoma"/>
      <w:sz w:val="16"/>
      <w:szCs w:val="16"/>
      <w:lang w:eastAsia="en-US"/>
    </w:rPr>
  </w:style>
  <w:style w:type="character" w:customStyle="1" w:styleId="HChGChar">
    <w:name w:val="_ H _Ch_G Char"/>
    <w:link w:val="HChG"/>
    <w:rsid w:val="00E0458B"/>
    <w:rPr>
      <w:rFonts w:ascii="Times New Roman" w:hAnsi="Times New Roman" w:cs="Times New Roman"/>
      <w:b/>
      <w:sz w:val="28"/>
      <w:szCs w:val="20"/>
      <w:lang w:eastAsia="en-US"/>
    </w:rPr>
  </w:style>
  <w:style w:type="character" w:customStyle="1" w:styleId="SingleTxtGChar">
    <w:name w:val="_ Single Txt_G Char"/>
    <w:link w:val="SingleTxtG"/>
    <w:rsid w:val="00E0458B"/>
    <w:rPr>
      <w:rFonts w:ascii="Times New Roman" w:hAnsi="Times New Roman" w:cs="Times New Roman"/>
      <w:sz w:val="20"/>
      <w:szCs w:val="20"/>
      <w:lang w:eastAsia="en-US"/>
    </w:rPr>
  </w:style>
  <w:style w:type="character" w:customStyle="1" w:styleId="H1GChar">
    <w:name w:val="_ H_1_G Char"/>
    <w:link w:val="H1G"/>
    <w:rsid w:val="00E0458B"/>
    <w:rPr>
      <w:rFonts w:ascii="Times New Roman" w:hAnsi="Times New Roman" w:cs="Times New Roman"/>
      <w:b/>
      <w:sz w:val="24"/>
      <w:szCs w:val="20"/>
      <w:lang w:eastAsia="en-US"/>
    </w:rPr>
  </w:style>
  <w:style w:type="character" w:customStyle="1" w:styleId="apple-converted-space">
    <w:name w:val="apple-converted-space"/>
    <w:basedOn w:val="DefaultParagraphFont"/>
    <w:uiPriority w:val="99"/>
    <w:rsid w:val="00E045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8448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84484"/>
    <w:pPr>
      <w:keepNext/>
      <w:keepLines/>
      <w:spacing w:after="0" w:line="240" w:lineRule="auto"/>
      <w:ind w:right="0"/>
      <w:jc w:val="left"/>
      <w:outlineLvl w:val="0"/>
    </w:pPr>
  </w:style>
  <w:style w:type="paragraph" w:styleId="Heading2">
    <w:name w:val="heading 2"/>
    <w:basedOn w:val="Normal"/>
    <w:next w:val="Normal"/>
    <w:link w:val="Heading2Char"/>
    <w:semiHidden/>
    <w:qFormat/>
    <w:rsid w:val="00884484"/>
    <w:pPr>
      <w:outlineLvl w:val="1"/>
    </w:pPr>
  </w:style>
  <w:style w:type="paragraph" w:styleId="Heading3">
    <w:name w:val="heading 3"/>
    <w:basedOn w:val="Normal"/>
    <w:next w:val="Normal"/>
    <w:link w:val="Heading3Char"/>
    <w:semiHidden/>
    <w:qFormat/>
    <w:rsid w:val="00884484"/>
    <w:pPr>
      <w:outlineLvl w:val="2"/>
    </w:pPr>
  </w:style>
  <w:style w:type="paragraph" w:styleId="Heading4">
    <w:name w:val="heading 4"/>
    <w:basedOn w:val="Normal"/>
    <w:next w:val="Normal"/>
    <w:link w:val="Heading4Char"/>
    <w:semiHidden/>
    <w:qFormat/>
    <w:rsid w:val="00884484"/>
    <w:pPr>
      <w:outlineLvl w:val="3"/>
    </w:pPr>
  </w:style>
  <w:style w:type="paragraph" w:styleId="Heading5">
    <w:name w:val="heading 5"/>
    <w:basedOn w:val="Normal"/>
    <w:next w:val="Normal"/>
    <w:link w:val="Heading5Char"/>
    <w:semiHidden/>
    <w:qFormat/>
    <w:rsid w:val="00884484"/>
    <w:pPr>
      <w:outlineLvl w:val="4"/>
    </w:pPr>
  </w:style>
  <w:style w:type="paragraph" w:styleId="Heading6">
    <w:name w:val="heading 6"/>
    <w:basedOn w:val="Normal"/>
    <w:next w:val="Normal"/>
    <w:link w:val="Heading6Char"/>
    <w:semiHidden/>
    <w:qFormat/>
    <w:rsid w:val="00884484"/>
    <w:pPr>
      <w:outlineLvl w:val="5"/>
    </w:pPr>
  </w:style>
  <w:style w:type="paragraph" w:styleId="Heading7">
    <w:name w:val="heading 7"/>
    <w:basedOn w:val="Normal"/>
    <w:next w:val="Normal"/>
    <w:link w:val="Heading7Char"/>
    <w:semiHidden/>
    <w:qFormat/>
    <w:rsid w:val="00884484"/>
    <w:pPr>
      <w:outlineLvl w:val="6"/>
    </w:pPr>
  </w:style>
  <w:style w:type="paragraph" w:styleId="Heading8">
    <w:name w:val="heading 8"/>
    <w:basedOn w:val="Normal"/>
    <w:next w:val="Normal"/>
    <w:link w:val="Heading8Char"/>
    <w:semiHidden/>
    <w:qFormat/>
    <w:rsid w:val="00884484"/>
    <w:pPr>
      <w:outlineLvl w:val="7"/>
    </w:pPr>
  </w:style>
  <w:style w:type="paragraph" w:styleId="Heading9">
    <w:name w:val="heading 9"/>
    <w:basedOn w:val="Normal"/>
    <w:next w:val="Normal"/>
    <w:link w:val="Heading9Char"/>
    <w:semiHidden/>
    <w:qFormat/>
    <w:rsid w:val="008844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8448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84484"/>
    <w:rPr>
      <w:rFonts w:ascii="Times New Roman" w:hAnsi="Times New Roman" w:cs="Times New Roman"/>
      <w:b/>
      <w:sz w:val="18"/>
      <w:szCs w:val="20"/>
      <w:lang w:eastAsia="en-US"/>
    </w:rPr>
  </w:style>
  <w:style w:type="paragraph" w:styleId="Footer">
    <w:name w:val="footer"/>
    <w:aliases w:val="3_G"/>
    <w:basedOn w:val="Normal"/>
    <w:next w:val="Normal"/>
    <w:link w:val="FooterChar"/>
    <w:qFormat/>
    <w:rsid w:val="00884484"/>
    <w:pPr>
      <w:spacing w:line="240" w:lineRule="auto"/>
    </w:pPr>
    <w:rPr>
      <w:sz w:val="16"/>
    </w:rPr>
  </w:style>
  <w:style w:type="character" w:customStyle="1" w:styleId="FooterChar">
    <w:name w:val="Footer Char"/>
    <w:aliases w:val="3_G Char"/>
    <w:basedOn w:val="DefaultParagraphFont"/>
    <w:link w:val="Footer"/>
    <w:rsid w:val="00884484"/>
    <w:rPr>
      <w:rFonts w:ascii="Times New Roman" w:hAnsi="Times New Roman" w:cs="Times New Roman"/>
      <w:sz w:val="16"/>
      <w:szCs w:val="20"/>
      <w:lang w:eastAsia="en-US"/>
    </w:rPr>
  </w:style>
  <w:style w:type="paragraph" w:customStyle="1" w:styleId="HMG">
    <w:name w:val="_ H __M_G"/>
    <w:basedOn w:val="Normal"/>
    <w:next w:val="Normal"/>
    <w:qFormat/>
    <w:rsid w:val="0088448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8448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8448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8448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8448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8448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84484"/>
    <w:pPr>
      <w:spacing w:after="120"/>
      <w:ind w:left="1134" w:right="1134"/>
      <w:jc w:val="both"/>
    </w:pPr>
  </w:style>
  <w:style w:type="paragraph" w:customStyle="1" w:styleId="SLG">
    <w:name w:val="__S_L_G"/>
    <w:basedOn w:val="Normal"/>
    <w:next w:val="Normal"/>
    <w:rsid w:val="00884484"/>
    <w:pPr>
      <w:keepNext/>
      <w:keepLines/>
      <w:spacing w:before="240" w:after="240" w:line="580" w:lineRule="exact"/>
      <w:ind w:left="1134" w:right="1134"/>
    </w:pPr>
    <w:rPr>
      <w:b/>
      <w:sz w:val="56"/>
    </w:rPr>
  </w:style>
  <w:style w:type="paragraph" w:customStyle="1" w:styleId="SMG">
    <w:name w:val="__S_M_G"/>
    <w:basedOn w:val="Normal"/>
    <w:next w:val="Normal"/>
    <w:rsid w:val="00884484"/>
    <w:pPr>
      <w:keepNext/>
      <w:keepLines/>
      <w:spacing w:before="240" w:after="240" w:line="420" w:lineRule="exact"/>
      <w:ind w:left="1134" w:right="1134"/>
    </w:pPr>
    <w:rPr>
      <w:b/>
      <w:sz w:val="40"/>
    </w:rPr>
  </w:style>
  <w:style w:type="paragraph" w:customStyle="1" w:styleId="SSG">
    <w:name w:val="__S_S_G"/>
    <w:basedOn w:val="Normal"/>
    <w:next w:val="Normal"/>
    <w:rsid w:val="00884484"/>
    <w:pPr>
      <w:keepNext/>
      <w:keepLines/>
      <w:spacing w:before="240" w:after="240" w:line="300" w:lineRule="exact"/>
      <w:ind w:left="1134" w:right="1134"/>
    </w:pPr>
    <w:rPr>
      <w:b/>
      <w:sz w:val="28"/>
    </w:rPr>
  </w:style>
  <w:style w:type="paragraph" w:customStyle="1" w:styleId="XLargeG">
    <w:name w:val="__XLarge_G"/>
    <w:basedOn w:val="Normal"/>
    <w:next w:val="Normal"/>
    <w:rsid w:val="00884484"/>
    <w:pPr>
      <w:keepNext/>
      <w:keepLines/>
      <w:spacing w:before="240" w:after="240" w:line="420" w:lineRule="exact"/>
      <w:ind w:left="1134" w:right="1134"/>
    </w:pPr>
    <w:rPr>
      <w:b/>
      <w:sz w:val="40"/>
    </w:rPr>
  </w:style>
  <w:style w:type="paragraph" w:customStyle="1" w:styleId="Bullet1G">
    <w:name w:val="_Bullet 1_G"/>
    <w:basedOn w:val="Normal"/>
    <w:qFormat/>
    <w:rsid w:val="00884484"/>
    <w:pPr>
      <w:numPr>
        <w:numId w:val="1"/>
      </w:numPr>
      <w:spacing w:after="120"/>
      <w:ind w:right="1134"/>
      <w:jc w:val="both"/>
    </w:pPr>
  </w:style>
  <w:style w:type="paragraph" w:customStyle="1" w:styleId="Bullet2G">
    <w:name w:val="_Bullet 2_G"/>
    <w:basedOn w:val="Normal"/>
    <w:qFormat/>
    <w:rsid w:val="00884484"/>
    <w:pPr>
      <w:numPr>
        <w:numId w:val="2"/>
      </w:numPr>
      <w:spacing w:after="120"/>
      <w:ind w:right="1134"/>
      <w:jc w:val="both"/>
    </w:pPr>
  </w:style>
  <w:style w:type="paragraph" w:customStyle="1" w:styleId="ParNoG">
    <w:name w:val="_ParNo_G"/>
    <w:basedOn w:val="Normal"/>
    <w:qFormat/>
    <w:rsid w:val="00884484"/>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884484"/>
    <w:rPr>
      <w:rFonts w:ascii="Times New Roman" w:hAnsi="Times New Roman"/>
      <w:sz w:val="18"/>
      <w:vertAlign w:val="superscript"/>
      <w:lang w:val="fr-CH"/>
    </w:rPr>
  </w:style>
  <w:style w:type="character" w:styleId="EndnoteReference">
    <w:name w:val="endnote reference"/>
    <w:aliases w:val="1_G"/>
    <w:basedOn w:val="FootnoteReference"/>
    <w:qFormat/>
    <w:rsid w:val="00884484"/>
    <w:rPr>
      <w:rFonts w:ascii="Times New Roman" w:hAnsi="Times New Roman"/>
      <w:sz w:val="18"/>
      <w:vertAlign w:val="superscript"/>
      <w:lang w:val="fr-CH"/>
    </w:rPr>
  </w:style>
  <w:style w:type="table" w:styleId="TableGrid">
    <w:name w:val="Table Grid"/>
    <w:basedOn w:val="TableNormal"/>
    <w:rsid w:val="0088448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884484"/>
    <w:rPr>
      <w:color w:val="0000FF"/>
      <w:u w:val="none"/>
    </w:rPr>
  </w:style>
  <w:style w:type="character" w:styleId="FollowedHyperlink">
    <w:name w:val="FollowedHyperlink"/>
    <w:basedOn w:val="DefaultParagraphFont"/>
    <w:unhideWhenUsed/>
    <w:rsid w:val="00884484"/>
    <w:rPr>
      <w:color w:val="0000FF"/>
      <w:u w:val="none"/>
    </w:rPr>
  </w:style>
  <w:style w:type="paragraph" w:styleId="FootnoteText">
    <w:name w:val="footnote text"/>
    <w:aliases w:val="5_G"/>
    <w:basedOn w:val="Normal"/>
    <w:link w:val="FootnoteTextChar"/>
    <w:qFormat/>
    <w:rsid w:val="0088448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84484"/>
    <w:rPr>
      <w:rFonts w:ascii="Times New Roman" w:hAnsi="Times New Roman" w:cs="Times New Roman"/>
      <w:sz w:val="18"/>
      <w:szCs w:val="20"/>
      <w:lang w:eastAsia="en-US"/>
    </w:rPr>
  </w:style>
  <w:style w:type="paragraph" w:styleId="EndnoteText">
    <w:name w:val="endnote text"/>
    <w:aliases w:val="2_G"/>
    <w:basedOn w:val="FootnoteText"/>
    <w:link w:val="EndnoteTextChar"/>
    <w:qFormat/>
    <w:rsid w:val="00884484"/>
  </w:style>
  <w:style w:type="character" w:customStyle="1" w:styleId="EndnoteTextChar">
    <w:name w:val="Endnote Text Char"/>
    <w:aliases w:val="2_G Char"/>
    <w:basedOn w:val="DefaultParagraphFont"/>
    <w:link w:val="EndnoteText"/>
    <w:rsid w:val="00884484"/>
    <w:rPr>
      <w:rFonts w:ascii="Times New Roman" w:hAnsi="Times New Roman" w:cs="Times New Roman"/>
      <w:sz w:val="18"/>
      <w:szCs w:val="20"/>
      <w:lang w:eastAsia="en-US"/>
    </w:rPr>
  </w:style>
  <w:style w:type="character" w:styleId="PageNumber">
    <w:name w:val="page number"/>
    <w:aliases w:val="7_G"/>
    <w:basedOn w:val="DefaultParagraphFont"/>
    <w:qFormat/>
    <w:rsid w:val="00884484"/>
    <w:rPr>
      <w:rFonts w:ascii="Times New Roman" w:hAnsi="Times New Roman"/>
      <w:b/>
      <w:sz w:val="18"/>
      <w:lang w:val="fr-CH"/>
    </w:rPr>
  </w:style>
  <w:style w:type="character" w:customStyle="1" w:styleId="Heading1Char">
    <w:name w:val="Heading 1 Char"/>
    <w:aliases w:val="Table_G Char"/>
    <w:basedOn w:val="DefaultParagraphFont"/>
    <w:link w:val="Heading1"/>
    <w:rsid w:val="00884484"/>
    <w:rPr>
      <w:rFonts w:ascii="Times New Roman" w:hAnsi="Times New Roman" w:cs="Times New Roman"/>
      <w:sz w:val="20"/>
      <w:szCs w:val="20"/>
      <w:lang w:eastAsia="en-US"/>
    </w:rPr>
  </w:style>
  <w:style w:type="character" w:customStyle="1" w:styleId="Heading2Char">
    <w:name w:val="Heading 2 Char"/>
    <w:basedOn w:val="DefaultParagraphFont"/>
    <w:link w:val="Heading2"/>
    <w:semiHidden/>
    <w:rsid w:val="00884484"/>
    <w:rPr>
      <w:rFonts w:ascii="Times New Roman" w:hAnsi="Times New Roman" w:cs="Times New Roman"/>
      <w:sz w:val="20"/>
      <w:szCs w:val="20"/>
      <w:lang w:eastAsia="en-US"/>
    </w:rPr>
  </w:style>
  <w:style w:type="character" w:customStyle="1" w:styleId="Heading3Char">
    <w:name w:val="Heading 3 Char"/>
    <w:basedOn w:val="DefaultParagraphFont"/>
    <w:link w:val="Heading3"/>
    <w:semiHidden/>
    <w:rsid w:val="00884484"/>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884484"/>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884484"/>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884484"/>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884484"/>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884484"/>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884484"/>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844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484"/>
    <w:rPr>
      <w:rFonts w:ascii="Tahoma" w:hAnsi="Tahoma" w:cs="Tahoma"/>
      <w:sz w:val="16"/>
      <w:szCs w:val="16"/>
      <w:lang w:eastAsia="en-US"/>
    </w:rPr>
  </w:style>
  <w:style w:type="character" w:customStyle="1" w:styleId="HChGChar">
    <w:name w:val="_ H _Ch_G Char"/>
    <w:link w:val="HChG"/>
    <w:rsid w:val="00E0458B"/>
    <w:rPr>
      <w:rFonts w:ascii="Times New Roman" w:hAnsi="Times New Roman" w:cs="Times New Roman"/>
      <w:b/>
      <w:sz w:val="28"/>
      <w:szCs w:val="20"/>
      <w:lang w:eastAsia="en-US"/>
    </w:rPr>
  </w:style>
  <w:style w:type="character" w:customStyle="1" w:styleId="SingleTxtGChar">
    <w:name w:val="_ Single Txt_G Char"/>
    <w:link w:val="SingleTxtG"/>
    <w:rsid w:val="00E0458B"/>
    <w:rPr>
      <w:rFonts w:ascii="Times New Roman" w:hAnsi="Times New Roman" w:cs="Times New Roman"/>
      <w:sz w:val="20"/>
      <w:szCs w:val="20"/>
      <w:lang w:eastAsia="en-US"/>
    </w:rPr>
  </w:style>
  <w:style w:type="character" w:customStyle="1" w:styleId="H1GChar">
    <w:name w:val="_ H_1_G Char"/>
    <w:link w:val="H1G"/>
    <w:rsid w:val="00E0458B"/>
    <w:rPr>
      <w:rFonts w:ascii="Times New Roman" w:hAnsi="Times New Roman" w:cs="Times New Roman"/>
      <w:b/>
      <w:sz w:val="24"/>
      <w:szCs w:val="20"/>
      <w:lang w:eastAsia="en-US"/>
    </w:rPr>
  </w:style>
  <w:style w:type="character" w:customStyle="1" w:styleId="apple-converted-space">
    <w:name w:val="apple-converted-space"/>
    <w:basedOn w:val="DefaultParagraphFont"/>
    <w:uiPriority w:val="99"/>
    <w:rsid w:val="00E045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9429</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ST/SG/AC.10/C.3/2016/8</vt:lpstr>
      <vt:lpstr>ST/SG/AC.10/C.3/2016/8</vt:lpstr>
    </vt:vector>
  </TitlesOfParts>
  <Company>DCM</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ST/SG/AC.10/C.3/2016/8</dc:title>
  <dc:creator>Beysard Pascale</dc:creator>
  <cp:lastModifiedBy>Laurence Berthet</cp:lastModifiedBy>
  <cp:revision>2</cp:revision>
  <cp:lastPrinted>2016-05-23T14:12:00Z</cp:lastPrinted>
  <dcterms:created xsi:type="dcterms:W3CDTF">2016-05-23T14:12:00Z</dcterms:created>
  <dcterms:modified xsi:type="dcterms:W3CDTF">2016-05-23T14:12:00Z</dcterms:modified>
</cp:coreProperties>
</file>