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2C4A98" w:rsidRPr="006500BA" w14:paraId="74B2B75A" w14:textId="77777777" w:rsidTr="00D040D0">
        <w:trPr>
          <w:trHeight w:val="851"/>
        </w:trPr>
        <w:tc>
          <w:tcPr>
            <w:tcW w:w="1259" w:type="dxa"/>
            <w:tcBorders>
              <w:top w:val="nil"/>
              <w:left w:val="nil"/>
              <w:bottom w:val="single" w:sz="4" w:space="0" w:color="auto"/>
              <w:right w:val="nil"/>
            </w:tcBorders>
            <w:shd w:val="clear" w:color="auto" w:fill="auto"/>
          </w:tcPr>
          <w:p w14:paraId="7070AE1E" w14:textId="77777777" w:rsidR="002C4A98" w:rsidRPr="006500BA" w:rsidRDefault="002C4A98" w:rsidP="002C4A98">
            <w:pPr>
              <w:spacing w:after="80" w:line="340" w:lineRule="exact"/>
            </w:pPr>
          </w:p>
        </w:tc>
        <w:tc>
          <w:tcPr>
            <w:tcW w:w="2236" w:type="dxa"/>
            <w:tcBorders>
              <w:top w:val="nil"/>
              <w:left w:val="nil"/>
              <w:bottom w:val="single" w:sz="4" w:space="0" w:color="auto"/>
              <w:right w:val="nil"/>
            </w:tcBorders>
            <w:shd w:val="clear" w:color="auto" w:fill="auto"/>
            <w:vAlign w:val="bottom"/>
          </w:tcPr>
          <w:p w14:paraId="2DD49BB4" w14:textId="77777777" w:rsidR="002C4A98" w:rsidRPr="006D12B1" w:rsidRDefault="002C4A98" w:rsidP="002C4A98">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506603F5" w14:textId="499A2E9E" w:rsidR="002C4A98" w:rsidRPr="006500BA" w:rsidRDefault="002C4A98" w:rsidP="007A165C">
            <w:pPr>
              <w:jc w:val="right"/>
            </w:pPr>
            <w:r w:rsidRPr="006D12B1">
              <w:rPr>
                <w:sz w:val="40"/>
              </w:rPr>
              <w:t>ST</w:t>
            </w:r>
            <w:r>
              <w:t>/SG/AC.10/C.3/2016/</w:t>
            </w:r>
            <w:r w:rsidR="007A165C">
              <w:t>78</w:t>
            </w:r>
          </w:p>
        </w:tc>
      </w:tr>
      <w:tr w:rsidR="002C4A98" w:rsidRPr="006500BA" w14:paraId="0C76B01E" w14:textId="77777777" w:rsidTr="00D040D0">
        <w:trPr>
          <w:trHeight w:val="2835"/>
        </w:trPr>
        <w:tc>
          <w:tcPr>
            <w:tcW w:w="1259" w:type="dxa"/>
            <w:tcBorders>
              <w:top w:val="single" w:sz="4" w:space="0" w:color="auto"/>
              <w:left w:val="nil"/>
              <w:bottom w:val="single" w:sz="12" w:space="0" w:color="auto"/>
              <w:right w:val="nil"/>
            </w:tcBorders>
            <w:shd w:val="clear" w:color="auto" w:fill="auto"/>
          </w:tcPr>
          <w:p w14:paraId="0730E060" w14:textId="77777777" w:rsidR="002C4A98" w:rsidRPr="006500BA" w:rsidRDefault="002C4A98" w:rsidP="002C4A98">
            <w:pPr>
              <w:spacing w:before="120"/>
              <w:jc w:val="center"/>
            </w:pPr>
            <w:r w:rsidRPr="00B70F63">
              <w:rPr>
                <w:noProof/>
                <w:lang w:eastAsia="en-GB"/>
              </w:rPr>
              <w:drawing>
                <wp:inline distT="0" distB="0" distL="0" distR="0" wp14:anchorId="24D12AED" wp14:editId="0768833E">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791C6CE8" w14:textId="77777777" w:rsidR="002C4A98" w:rsidRPr="006D12B1" w:rsidRDefault="002C4A98" w:rsidP="002C4A98">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528AFCA9" w14:textId="77777777" w:rsidR="002C4A98" w:rsidRDefault="002C4A98" w:rsidP="002C4A98">
            <w:pPr>
              <w:spacing w:before="240" w:line="240" w:lineRule="exact"/>
            </w:pPr>
            <w:r>
              <w:t>Distr.: General</w:t>
            </w:r>
          </w:p>
          <w:p w14:paraId="390BCD51" w14:textId="012C3FAF" w:rsidR="002C4A98" w:rsidRPr="00DB63BF" w:rsidRDefault="00076DF0" w:rsidP="00340968">
            <w:pPr>
              <w:spacing w:line="240" w:lineRule="exact"/>
            </w:pPr>
            <w:r>
              <w:t>9</w:t>
            </w:r>
            <w:r w:rsidR="00340968">
              <w:t xml:space="preserve"> September </w:t>
            </w:r>
            <w:r w:rsidR="002C4A98" w:rsidRPr="00DB63BF">
              <w:t>2016</w:t>
            </w:r>
          </w:p>
          <w:p w14:paraId="14D061D0" w14:textId="77777777" w:rsidR="002C4A98" w:rsidRDefault="002C4A98" w:rsidP="002C4A98">
            <w:pPr>
              <w:spacing w:line="240" w:lineRule="exact"/>
            </w:pPr>
          </w:p>
          <w:p w14:paraId="194523AF" w14:textId="77777777" w:rsidR="002C4A98" w:rsidRPr="006500BA" w:rsidRDefault="002C4A98" w:rsidP="002C4A98">
            <w:pPr>
              <w:spacing w:line="240" w:lineRule="exact"/>
            </w:pPr>
            <w:r>
              <w:t>Original: English</w:t>
            </w:r>
          </w:p>
        </w:tc>
      </w:tr>
    </w:tbl>
    <w:p w14:paraId="404F2393" w14:textId="77777777" w:rsidR="002C4A98" w:rsidRPr="006500BA" w:rsidRDefault="002C4A98" w:rsidP="002C4A98">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7148C7A" w14:textId="77777777" w:rsidR="002C4A98" w:rsidRPr="00B51A46" w:rsidRDefault="002C4A98" w:rsidP="002C4A98">
      <w:pPr>
        <w:pStyle w:val="HChG"/>
        <w:spacing w:before="120" w:after="0"/>
        <w:ind w:left="0" w:firstLine="0"/>
        <w:rPr>
          <w:sz w:val="20"/>
        </w:rPr>
      </w:pPr>
      <w:r w:rsidRPr="00B51A46">
        <w:rPr>
          <w:sz w:val="20"/>
        </w:rPr>
        <w:t>Sub-Committee of Experts on the Transport of Dangerous Goods</w:t>
      </w:r>
    </w:p>
    <w:p w14:paraId="2A5E0880" w14:textId="77777777" w:rsidR="002C4A98" w:rsidRPr="00432930" w:rsidRDefault="002C4A98" w:rsidP="002C4A98">
      <w:pPr>
        <w:spacing w:before="120"/>
        <w:rPr>
          <w:b/>
        </w:rPr>
      </w:pPr>
      <w:r>
        <w:rPr>
          <w:b/>
        </w:rPr>
        <w:t>Fiftieth Session</w:t>
      </w:r>
    </w:p>
    <w:p w14:paraId="7478EAB7" w14:textId="1386DA85" w:rsidR="002C4A98" w:rsidRDefault="002C4A98" w:rsidP="002C4A98">
      <w:pPr>
        <w:pStyle w:val="NormalWeb"/>
        <w:rPr>
          <w:b/>
          <w:sz w:val="20"/>
          <w:szCs w:val="20"/>
        </w:rPr>
      </w:pPr>
      <w:r w:rsidRPr="00432930">
        <w:rPr>
          <w:sz w:val="20"/>
          <w:szCs w:val="20"/>
        </w:rPr>
        <w:t xml:space="preserve">Geneva, </w:t>
      </w:r>
      <w:r w:rsidR="00D6718A">
        <w:rPr>
          <w:sz w:val="20"/>
          <w:szCs w:val="20"/>
        </w:rPr>
        <w:t>28 November-</w:t>
      </w:r>
      <w:r w:rsidRPr="00F078E1">
        <w:rPr>
          <w:sz w:val="20"/>
          <w:szCs w:val="20"/>
        </w:rPr>
        <w:t>6 December 2016</w:t>
      </w:r>
      <w:r w:rsidRPr="00432930">
        <w:rPr>
          <w:color w:val="333333"/>
          <w:sz w:val="20"/>
          <w:szCs w:val="20"/>
          <w:lang w:eastAsia="it-IT"/>
        </w:rPr>
        <w:br/>
      </w:r>
      <w:r w:rsidRPr="00DB63BF">
        <w:rPr>
          <w:sz w:val="20"/>
          <w:szCs w:val="20"/>
        </w:rPr>
        <w:t xml:space="preserve">Item </w:t>
      </w:r>
      <w:r w:rsidR="007A165C">
        <w:rPr>
          <w:sz w:val="20"/>
          <w:szCs w:val="20"/>
        </w:rPr>
        <w:t>4</w:t>
      </w:r>
      <w:r>
        <w:rPr>
          <w:sz w:val="20"/>
          <w:szCs w:val="20"/>
        </w:rPr>
        <w:t xml:space="preserve"> </w:t>
      </w:r>
      <w:r w:rsidRPr="00DB63BF">
        <w:rPr>
          <w:sz w:val="20"/>
          <w:szCs w:val="20"/>
        </w:rPr>
        <w:t>of the provisional agenda</w:t>
      </w:r>
      <w:r w:rsidRPr="00DB63BF">
        <w:rPr>
          <w:sz w:val="20"/>
          <w:szCs w:val="20"/>
        </w:rPr>
        <w:br/>
      </w:r>
      <w:proofErr w:type="gramStart"/>
      <w:r w:rsidR="007A165C" w:rsidRPr="007A165C">
        <w:rPr>
          <w:b/>
          <w:sz w:val="20"/>
          <w:szCs w:val="20"/>
        </w:rPr>
        <w:t>Guiding</w:t>
      </w:r>
      <w:proofErr w:type="gramEnd"/>
      <w:r w:rsidR="007A165C" w:rsidRPr="007A165C">
        <w:rPr>
          <w:b/>
          <w:sz w:val="20"/>
          <w:szCs w:val="20"/>
        </w:rPr>
        <w:t xml:space="preserve"> principles for the Model Regulations</w:t>
      </w:r>
    </w:p>
    <w:p w14:paraId="4BDE43C4" w14:textId="0DB9FB51" w:rsidR="007A165C" w:rsidRDefault="007A165C" w:rsidP="007A165C">
      <w:pPr>
        <w:pStyle w:val="HChG"/>
      </w:pPr>
      <w:r>
        <w:tab/>
      </w:r>
      <w:r>
        <w:tab/>
        <w:t>Assignment of E-codes</w:t>
      </w:r>
    </w:p>
    <w:p w14:paraId="28DA8960" w14:textId="2BAE3EF4" w:rsidR="007A165C" w:rsidRPr="003403D0" w:rsidRDefault="007A165C" w:rsidP="007A165C">
      <w:pPr>
        <w:pStyle w:val="H1G"/>
        <w:rPr>
          <w:lang w:val="en-US"/>
        </w:rPr>
      </w:pPr>
      <w:r>
        <w:tab/>
      </w:r>
      <w:r>
        <w:tab/>
      </w:r>
      <w:r w:rsidRPr="0005111B">
        <w:t xml:space="preserve">Transmitted by the </w:t>
      </w:r>
      <w:r>
        <w:t xml:space="preserve">expert from </w:t>
      </w:r>
      <w:r w:rsidRPr="003403D0">
        <w:rPr>
          <w:bCs/>
          <w:lang w:val="en-US"/>
        </w:rPr>
        <w:t>the United States of America</w:t>
      </w:r>
      <w:r>
        <w:rPr>
          <w:rStyle w:val="FootnoteReference"/>
          <w:bCs/>
          <w:lang w:val="en-US"/>
        </w:rPr>
        <w:footnoteReference w:id="2"/>
      </w:r>
    </w:p>
    <w:p w14:paraId="62D4F32D" w14:textId="77777777" w:rsidR="007A165C" w:rsidRPr="00CD3BAB" w:rsidRDefault="007A165C" w:rsidP="007A165C">
      <w:pPr>
        <w:pStyle w:val="HChG"/>
      </w:pPr>
      <w:r>
        <w:tab/>
      </w:r>
      <w:r>
        <w:tab/>
      </w:r>
      <w:r w:rsidRPr="007A165C">
        <w:t>Introduction</w:t>
      </w:r>
    </w:p>
    <w:p w14:paraId="2E88900A" w14:textId="268CDEE2" w:rsidR="00A5786A" w:rsidRPr="00A5786A" w:rsidDel="00320A76" w:rsidRDefault="00A5786A" w:rsidP="00A5786A">
      <w:pPr>
        <w:pStyle w:val="SingleTxtG"/>
      </w:pPr>
      <w:r>
        <w:t>1.</w:t>
      </w:r>
      <w:r>
        <w:tab/>
      </w:r>
      <w:r w:rsidRPr="00A5786A">
        <w:t xml:space="preserve">The Guiding Principles for use with the </w:t>
      </w:r>
      <w:r w:rsidR="00BD6027">
        <w:t>nineteenth revised e</w:t>
      </w:r>
      <w:r w:rsidRPr="00A5786A">
        <w:t>dition (see http://www.unece.org/trans/danger/publi/unrec/guidingprinciples/guidingprinciplesrev15_e.html) identify the appropriate E-Code assignments for dangerous goods listed in Chapter 3.2 but do not identify specific rationale for their assignment. This proposal would include the applicable quantity limits corresponding to the current E-codes on the basis of their Hazard Class and Packing Group and consistent with the risk-based approach in the 2005-2006 ICAO Technical Instructions</w:t>
      </w:r>
      <w:r w:rsidR="00076DF0">
        <w:rPr>
          <w:rStyle w:val="FootnoteReference"/>
        </w:rPr>
        <w:footnoteReference w:id="3"/>
      </w:r>
      <w:r w:rsidRPr="00A5786A">
        <w:t xml:space="preserve"> which formed the basis for the current E-Code system.  This proposal would introduce no amendment to existing E-Code assignments, but rather identifies the quantities associated with each Hazard Class and Packing Group to provide a rationale for the assigned Code.</w:t>
      </w:r>
    </w:p>
    <w:p w14:paraId="532F49A5" w14:textId="77777777" w:rsidR="00BD6027" w:rsidRDefault="00BD6027" w:rsidP="00BD6027">
      <w:pPr>
        <w:pStyle w:val="HChG"/>
      </w:pPr>
      <w:r>
        <w:lastRenderedPageBreak/>
        <w:tab/>
      </w:r>
      <w:r>
        <w:tab/>
        <w:t>Discussion</w:t>
      </w:r>
    </w:p>
    <w:p w14:paraId="7A7B47B5" w14:textId="66F5B3EE" w:rsidR="00BD6027" w:rsidRPr="00BD6027" w:rsidRDefault="00BD6027" w:rsidP="00BD6027">
      <w:pPr>
        <w:pStyle w:val="SingleTxtG"/>
      </w:pPr>
      <w:r>
        <w:t>2.</w:t>
      </w:r>
      <w:r>
        <w:tab/>
      </w:r>
      <w:r w:rsidRPr="00BD6027">
        <w:t xml:space="preserve">The guiding principles in Chapter 3.5 explain the safety basis for excepted quantity provisions and assign E-codes based on the hazard Class or Division and Packing Group.  Excepted quantity provisions are based on a rationale that selected dangerous goods packed in very small quantities, with limitations on the quantity per inner packaging and outer packaging and in very robust, tested packaging pose a lesser hazard in transport than do the same goods packed in larger volumes. Substances permitted in excepted quantities are based on those that may be transported by passenger aircraft by the 2005-2006 </w:t>
      </w:r>
      <w:proofErr w:type="gramStart"/>
      <w:r w:rsidRPr="00BD6027">
        <w:t>edition</w:t>
      </w:r>
      <w:proofErr w:type="gramEnd"/>
      <w:r w:rsidRPr="00BD6027">
        <w:t xml:space="preserve"> of the ICAO Technical Instructions. Articles are excluded from excepted quantities.</w:t>
      </w:r>
    </w:p>
    <w:p w14:paraId="667AD959" w14:textId="7B049ABB" w:rsidR="00BD6027" w:rsidRPr="00BD6027" w:rsidRDefault="00BD6027" w:rsidP="00BD6027">
      <w:pPr>
        <w:pStyle w:val="SingleTxtG"/>
      </w:pPr>
      <w:r>
        <w:t>3.</w:t>
      </w:r>
      <w:r>
        <w:tab/>
      </w:r>
      <w:r w:rsidRPr="00BD6027">
        <w:t xml:space="preserve">The Model Regulations in Chapter 3.5 establish packing requirements including inner packaging limits and outer packaging limits based on the code assigned to a specific substance in column 7b of the Dangerous Goods List. </w:t>
      </w:r>
    </w:p>
    <w:p w14:paraId="11F10912" w14:textId="7AB10000" w:rsidR="00BD6027" w:rsidRPr="00BD6027" w:rsidRDefault="00BD6027" w:rsidP="00BD6027">
      <w:pPr>
        <w:pStyle w:val="SingleTxtG"/>
      </w:pPr>
      <w:r>
        <w:t>4.</w:t>
      </w:r>
      <w:r>
        <w:tab/>
      </w:r>
      <w:r w:rsidRPr="00BD6027">
        <w:t>While the current Guiding Principles appropriately assign E-Codes to dangerous goods based on their Hazard Class and Packing Group, the Table included chapter 3.5 in the Guiding Principles does not identify the quantities – only the correct E-Code.  This proposal would ensure the Table also clearly communicates the authorized inner and outer packaging limits based on the Hazard Class and Packing Group, consistent with the 2005-2006 ICAO Technical Instructions.  By including the relevant inner and outer packaging quantities in the Table as proposed, a more immediate visual identification of the risk-based approach adopted in the Model Regulations consistent with the 2005-2006 ICAO Technical Instructions is achieved.</w:t>
      </w:r>
    </w:p>
    <w:p w14:paraId="5DF7A5F3" w14:textId="02C697C8" w:rsidR="00BD6027" w:rsidRPr="00826775" w:rsidRDefault="00BD6027" w:rsidP="00BD6027">
      <w:pPr>
        <w:pStyle w:val="HChG"/>
      </w:pPr>
      <w:r>
        <w:tab/>
      </w:r>
      <w:r>
        <w:tab/>
        <w:t>Proposal</w:t>
      </w:r>
    </w:p>
    <w:p w14:paraId="4456B6F4" w14:textId="4DB581A0" w:rsidR="00BD6027" w:rsidRDefault="00BD6027" w:rsidP="00BD6027">
      <w:pPr>
        <w:pStyle w:val="SingleTxtG"/>
      </w:pPr>
      <w:r>
        <w:t>5.</w:t>
      </w:r>
      <w:r>
        <w:tab/>
        <w:t>Replace the existing table in Chapter 3.5 of the Guiding Principles with the following:</w:t>
      </w:r>
    </w:p>
    <w:p w14:paraId="2FB83B85" w14:textId="77777777" w:rsidR="00BD6027" w:rsidRDefault="00BD6027" w:rsidP="00BD6027">
      <w:pPr>
        <w:spacing w:after="120"/>
        <w:jc w:val="center"/>
        <w:rPr>
          <w:b/>
        </w:rPr>
      </w:pPr>
      <w:r w:rsidRPr="00EF58FF">
        <w:rPr>
          <w:b/>
        </w:rPr>
        <w:t xml:space="preserve">Methodology for determining </w:t>
      </w:r>
      <w:proofErr w:type="gramStart"/>
      <w:r w:rsidRPr="00EF58FF">
        <w:rPr>
          <w:b/>
        </w:rPr>
        <w:t>excepted</w:t>
      </w:r>
      <w:proofErr w:type="gramEnd"/>
      <w:r w:rsidRPr="00EF58FF">
        <w:rPr>
          <w:b/>
        </w:rPr>
        <w:t xml:space="preserve"> quantities</w:t>
      </w:r>
    </w:p>
    <w:tbl>
      <w:tblPr>
        <w:tblStyle w:val="TableGrid"/>
        <w:tblW w:w="0" w:type="auto"/>
        <w:tblInd w:w="392" w:type="dxa"/>
        <w:tblLook w:val="04A0" w:firstRow="1" w:lastRow="0" w:firstColumn="1" w:lastColumn="0" w:noHBand="0" w:noVBand="1"/>
      </w:tblPr>
      <w:tblGrid>
        <w:gridCol w:w="1428"/>
        <w:gridCol w:w="990"/>
        <w:gridCol w:w="3150"/>
        <w:gridCol w:w="2617"/>
        <w:gridCol w:w="887"/>
      </w:tblGrid>
      <w:tr w:rsidR="00BD6027" w:rsidRPr="00EF58FF" w14:paraId="10C01940" w14:textId="77777777" w:rsidTr="00942D68">
        <w:trPr>
          <w:trHeight w:val="1275"/>
        </w:trPr>
        <w:tc>
          <w:tcPr>
            <w:tcW w:w="1428" w:type="dxa"/>
            <w:noWrap/>
            <w:hideMark/>
          </w:tcPr>
          <w:p w14:paraId="711F9A9F" w14:textId="77777777" w:rsidR="00BD6027" w:rsidRPr="00EF58FF" w:rsidRDefault="00BD6027" w:rsidP="00FE5A0B">
            <w:pPr>
              <w:rPr>
                <w:b/>
                <w:bCs/>
              </w:rPr>
            </w:pPr>
            <w:r w:rsidRPr="00EF58FF">
              <w:rPr>
                <w:b/>
                <w:bCs/>
              </w:rPr>
              <w:t>Class/Division</w:t>
            </w:r>
          </w:p>
        </w:tc>
        <w:tc>
          <w:tcPr>
            <w:tcW w:w="990" w:type="dxa"/>
            <w:hideMark/>
          </w:tcPr>
          <w:p w14:paraId="647BC690" w14:textId="77777777" w:rsidR="00BD6027" w:rsidRPr="00EF58FF" w:rsidRDefault="00BD6027" w:rsidP="00FE5A0B">
            <w:pPr>
              <w:rPr>
                <w:b/>
                <w:bCs/>
              </w:rPr>
            </w:pPr>
            <w:r w:rsidRPr="00EF58FF">
              <w:rPr>
                <w:b/>
                <w:bCs/>
              </w:rPr>
              <w:t>Packing Group</w:t>
            </w:r>
          </w:p>
        </w:tc>
        <w:tc>
          <w:tcPr>
            <w:tcW w:w="3150" w:type="dxa"/>
            <w:hideMark/>
          </w:tcPr>
          <w:p w14:paraId="7B7D6570" w14:textId="77777777" w:rsidR="00BD6027" w:rsidRPr="00EF58FF" w:rsidRDefault="00BD6027" w:rsidP="00FE5A0B">
            <w:r w:rsidRPr="00EF58FF">
              <w:rPr>
                <w:b/>
                <w:bCs/>
              </w:rPr>
              <w:t>Maximum net quantity per inner packaging</w:t>
            </w:r>
            <w:r w:rsidRPr="00EF58FF">
              <w:t xml:space="preserve"> (in grams for solids and ml for liquids and gases)</w:t>
            </w:r>
          </w:p>
        </w:tc>
        <w:tc>
          <w:tcPr>
            <w:tcW w:w="2617" w:type="dxa"/>
            <w:hideMark/>
          </w:tcPr>
          <w:p w14:paraId="14A985CE" w14:textId="77777777" w:rsidR="00BD6027" w:rsidRPr="00EF58FF" w:rsidRDefault="00BD6027" w:rsidP="00FE5A0B">
            <w:r w:rsidRPr="00EF58FF">
              <w:rPr>
                <w:b/>
                <w:bCs/>
              </w:rPr>
              <w:t>Maximum net quantity per outer packaging</w:t>
            </w:r>
            <w:r w:rsidRPr="00EF58FF">
              <w:t xml:space="preserve"> (in grams for solids and ml for liquids and gases, or sum of grams and ml in the case of mixed packing)</w:t>
            </w:r>
          </w:p>
        </w:tc>
        <w:tc>
          <w:tcPr>
            <w:tcW w:w="887" w:type="dxa"/>
            <w:noWrap/>
            <w:hideMark/>
          </w:tcPr>
          <w:p w14:paraId="467EFD16" w14:textId="77777777" w:rsidR="00BD6027" w:rsidRPr="00EF58FF" w:rsidRDefault="00BD6027" w:rsidP="00FE5A0B">
            <w:pPr>
              <w:rPr>
                <w:b/>
                <w:bCs/>
              </w:rPr>
            </w:pPr>
            <w:r w:rsidRPr="00EF58FF">
              <w:rPr>
                <w:b/>
                <w:bCs/>
              </w:rPr>
              <w:t>E-Code</w:t>
            </w:r>
          </w:p>
        </w:tc>
      </w:tr>
      <w:tr w:rsidR="00BD6027" w:rsidRPr="00EF58FF" w14:paraId="635A7031" w14:textId="77777777" w:rsidTr="00942D68">
        <w:trPr>
          <w:trHeight w:val="300"/>
        </w:trPr>
        <w:tc>
          <w:tcPr>
            <w:tcW w:w="1428" w:type="dxa"/>
            <w:hideMark/>
          </w:tcPr>
          <w:p w14:paraId="34956113" w14:textId="77777777" w:rsidR="00BD6027" w:rsidRPr="00EF58FF" w:rsidRDefault="00BD6027" w:rsidP="00FE5A0B">
            <w:r w:rsidRPr="00EF58FF">
              <w:t>1</w:t>
            </w:r>
          </w:p>
        </w:tc>
        <w:tc>
          <w:tcPr>
            <w:tcW w:w="990" w:type="dxa"/>
            <w:noWrap/>
            <w:hideMark/>
          </w:tcPr>
          <w:p w14:paraId="61B9F1EA" w14:textId="77777777" w:rsidR="00BD6027" w:rsidRPr="00EF58FF" w:rsidRDefault="00BD6027" w:rsidP="00FE5A0B">
            <w:r w:rsidRPr="00EF58FF">
              <w:t> </w:t>
            </w:r>
          </w:p>
        </w:tc>
        <w:tc>
          <w:tcPr>
            <w:tcW w:w="5767" w:type="dxa"/>
            <w:gridSpan w:val="2"/>
            <w:noWrap/>
            <w:hideMark/>
          </w:tcPr>
          <w:p w14:paraId="358279F2" w14:textId="77777777" w:rsidR="00BD6027" w:rsidRPr="00EF58FF" w:rsidRDefault="00BD6027" w:rsidP="00FE5A0B">
            <w:pPr>
              <w:jc w:val="center"/>
            </w:pPr>
            <w:r w:rsidRPr="00EF58FF">
              <w:t>Not permitted</w:t>
            </w:r>
          </w:p>
        </w:tc>
        <w:tc>
          <w:tcPr>
            <w:tcW w:w="887" w:type="dxa"/>
            <w:noWrap/>
            <w:hideMark/>
          </w:tcPr>
          <w:p w14:paraId="698D0DE1" w14:textId="77777777" w:rsidR="00BD6027" w:rsidRPr="00EF58FF" w:rsidRDefault="00BD6027" w:rsidP="00FE5A0B">
            <w:r w:rsidRPr="00EF58FF">
              <w:t>E0</w:t>
            </w:r>
          </w:p>
        </w:tc>
      </w:tr>
      <w:tr w:rsidR="00BD6027" w:rsidRPr="00EF58FF" w14:paraId="63D6E30D" w14:textId="77777777" w:rsidTr="00942D68">
        <w:trPr>
          <w:trHeight w:val="300"/>
        </w:trPr>
        <w:tc>
          <w:tcPr>
            <w:tcW w:w="1428" w:type="dxa"/>
            <w:hideMark/>
          </w:tcPr>
          <w:p w14:paraId="1F8EE085" w14:textId="77777777" w:rsidR="00BD6027" w:rsidRPr="00EF58FF" w:rsidRDefault="00BD6027" w:rsidP="00FE5A0B">
            <w:r w:rsidRPr="00EF58FF">
              <w:t>2.1</w:t>
            </w:r>
          </w:p>
        </w:tc>
        <w:tc>
          <w:tcPr>
            <w:tcW w:w="990" w:type="dxa"/>
            <w:noWrap/>
            <w:hideMark/>
          </w:tcPr>
          <w:p w14:paraId="47480431" w14:textId="77777777" w:rsidR="00BD6027" w:rsidRPr="00EF58FF" w:rsidRDefault="00BD6027" w:rsidP="00FE5A0B">
            <w:r w:rsidRPr="00EF58FF">
              <w:t> </w:t>
            </w:r>
          </w:p>
        </w:tc>
        <w:tc>
          <w:tcPr>
            <w:tcW w:w="5767" w:type="dxa"/>
            <w:gridSpan w:val="2"/>
            <w:noWrap/>
            <w:hideMark/>
          </w:tcPr>
          <w:p w14:paraId="30D59648" w14:textId="77777777" w:rsidR="00BD6027" w:rsidRPr="00EF58FF" w:rsidRDefault="00BD6027" w:rsidP="00FE5A0B">
            <w:pPr>
              <w:jc w:val="center"/>
            </w:pPr>
            <w:r w:rsidRPr="00EF58FF">
              <w:t>Not permitted</w:t>
            </w:r>
          </w:p>
        </w:tc>
        <w:tc>
          <w:tcPr>
            <w:tcW w:w="887" w:type="dxa"/>
            <w:noWrap/>
            <w:hideMark/>
          </w:tcPr>
          <w:p w14:paraId="0CF310C4" w14:textId="77777777" w:rsidR="00BD6027" w:rsidRPr="00EF58FF" w:rsidRDefault="00BD6027" w:rsidP="00FE5A0B">
            <w:r w:rsidRPr="00EF58FF">
              <w:t>E0</w:t>
            </w:r>
          </w:p>
        </w:tc>
      </w:tr>
      <w:tr w:rsidR="00BD6027" w:rsidRPr="00EF58FF" w14:paraId="57CA4C02" w14:textId="77777777" w:rsidTr="00942D68">
        <w:trPr>
          <w:trHeight w:val="780"/>
        </w:trPr>
        <w:tc>
          <w:tcPr>
            <w:tcW w:w="1428" w:type="dxa"/>
            <w:hideMark/>
          </w:tcPr>
          <w:p w14:paraId="45D15E3C" w14:textId="77777777" w:rsidR="00BD6027" w:rsidRPr="00EF58FF" w:rsidRDefault="00BD6027" w:rsidP="00FE5A0B">
            <w:pPr>
              <w:rPr>
                <w:vertAlign w:val="superscript"/>
              </w:rPr>
            </w:pPr>
            <w:r w:rsidRPr="00EF58FF">
              <w:t xml:space="preserve">2.2 without subsidiary </w:t>
            </w:r>
            <w:proofErr w:type="spellStart"/>
            <w:r>
              <w:t>hazard</w:t>
            </w:r>
            <w:r>
              <w:rPr>
                <w:vertAlign w:val="superscript"/>
              </w:rPr>
              <w:t>a</w:t>
            </w:r>
            <w:proofErr w:type="spellEnd"/>
          </w:p>
        </w:tc>
        <w:tc>
          <w:tcPr>
            <w:tcW w:w="990" w:type="dxa"/>
            <w:noWrap/>
            <w:hideMark/>
          </w:tcPr>
          <w:p w14:paraId="0C190EF3" w14:textId="77777777" w:rsidR="00BD6027" w:rsidRPr="00EF58FF" w:rsidRDefault="00BD6027" w:rsidP="00FE5A0B">
            <w:r w:rsidRPr="00EF58FF">
              <w:t> </w:t>
            </w:r>
          </w:p>
        </w:tc>
        <w:tc>
          <w:tcPr>
            <w:tcW w:w="3150" w:type="dxa"/>
            <w:noWrap/>
            <w:hideMark/>
          </w:tcPr>
          <w:p w14:paraId="385F2A03" w14:textId="77777777" w:rsidR="00BD6027" w:rsidRPr="00EF58FF" w:rsidRDefault="00BD6027" w:rsidP="00FE5A0B">
            <w:r w:rsidRPr="00EF58FF">
              <w:t>30 g / 30 ml</w:t>
            </w:r>
          </w:p>
        </w:tc>
        <w:tc>
          <w:tcPr>
            <w:tcW w:w="2617" w:type="dxa"/>
            <w:noWrap/>
            <w:hideMark/>
          </w:tcPr>
          <w:p w14:paraId="35DB9599" w14:textId="77777777" w:rsidR="00BD6027" w:rsidRPr="00EF58FF" w:rsidRDefault="00BD6027" w:rsidP="00FE5A0B">
            <w:r w:rsidRPr="00EF58FF">
              <w:t>1000 g / 100</w:t>
            </w:r>
            <w:r>
              <w:t>0</w:t>
            </w:r>
            <w:r w:rsidRPr="00EF58FF">
              <w:t xml:space="preserve"> ml</w:t>
            </w:r>
          </w:p>
        </w:tc>
        <w:tc>
          <w:tcPr>
            <w:tcW w:w="887" w:type="dxa"/>
            <w:noWrap/>
            <w:hideMark/>
          </w:tcPr>
          <w:p w14:paraId="4406E69F" w14:textId="77777777" w:rsidR="00BD6027" w:rsidRPr="00EF58FF" w:rsidRDefault="00BD6027" w:rsidP="00FE5A0B">
            <w:r w:rsidRPr="00EF58FF">
              <w:t>E1</w:t>
            </w:r>
          </w:p>
        </w:tc>
      </w:tr>
      <w:tr w:rsidR="00BD6027" w:rsidRPr="00EF58FF" w14:paraId="33817716" w14:textId="77777777" w:rsidTr="00942D68">
        <w:trPr>
          <w:trHeight w:val="600"/>
        </w:trPr>
        <w:tc>
          <w:tcPr>
            <w:tcW w:w="1428" w:type="dxa"/>
            <w:hideMark/>
          </w:tcPr>
          <w:p w14:paraId="06D2D84C" w14:textId="77777777" w:rsidR="00BD6027" w:rsidRPr="00EF58FF" w:rsidRDefault="00BD6027" w:rsidP="00FE5A0B">
            <w:r w:rsidRPr="00EF58FF">
              <w:t xml:space="preserve">2.2 with a subsidiary </w:t>
            </w:r>
            <w:r>
              <w:t>hazard</w:t>
            </w:r>
          </w:p>
        </w:tc>
        <w:tc>
          <w:tcPr>
            <w:tcW w:w="990" w:type="dxa"/>
            <w:noWrap/>
            <w:hideMark/>
          </w:tcPr>
          <w:p w14:paraId="61C0A0D7" w14:textId="77777777" w:rsidR="00BD6027" w:rsidRPr="00EF58FF" w:rsidRDefault="00BD6027" w:rsidP="00FE5A0B">
            <w:r w:rsidRPr="00EF58FF">
              <w:t> </w:t>
            </w:r>
          </w:p>
        </w:tc>
        <w:tc>
          <w:tcPr>
            <w:tcW w:w="5767" w:type="dxa"/>
            <w:gridSpan w:val="2"/>
            <w:noWrap/>
            <w:hideMark/>
          </w:tcPr>
          <w:p w14:paraId="35E75204" w14:textId="77777777" w:rsidR="00BD6027" w:rsidRPr="00EF58FF" w:rsidRDefault="00BD6027" w:rsidP="00FE5A0B">
            <w:pPr>
              <w:jc w:val="center"/>
            </w:pPr>
            <w:r w:rsidRPr="00EF58FF">
              <w:t>Not permitted</w:t>
            </w:r>
          </w:p>
        </w:tc>
        <w:tc>
          <w:tcPr>
            <w:tcW w:w="887" w:type="dxa"/>
            <w:noWrap/>
            <w:hideMark/>
          </w:tcPr>
          <w:p w14:paraId="06422B3D" w14:textId="77777777" w:rsidR="00BD6027" w:rsidRPr="00EF58FF" w:rsidRDefault="00BD6027" w:rsidP="00FE5A0B">
            <w:r w:rsidRPr="00EF58FF">
              <w:t>E0</w:t>
            </w:r>
          </w:p>
        </w:tc>
      </w:tr>
      <w:tr w:rsidR="00BD6027" w:rsidRPr="00EF58FF" w14:paraId="57860F6B" w14:textId="77777777" w:rsidTr="00942D68">
        <w:trPr>
          <w:trHeight w:val="300"/>
        </w:trPr>
        <w:tc>
          <w:tcPr>
            <w:tcW w:w="1428" w:type="dxa"/>
            <w:hideMark/>
          </w:tcPr>
          <w:p w14:paraId="08C25C1D" w14:textId="77777777" w:rsidR="00BD6027" w:rsidRPr="00EF58FF" w:rsidRDefault="00BD6027" w:rsidP="00FE5A0B">
            <w:r w:rsidRPr="00EF58FF">
              <w:t>2.3</w:t>
            </w:r>
          </w:p>
        </w:tc>
        <w:tc>
          <w:tcPr>
            <w:tcW w:w="990" w:type="dxa"/>
            <w:noWrap/>
            <w:hideMark/>
          </w:tcPr>
          <w:p w14:paraId="23548533" w14:textId="77777777" w:rsidR="00BD6027" w:rsidRPr="00EF58FF" w:rsidRDefault="00BD6027" w:rsidP="00FE5A0B">
            <w:r w:rsidRPr="00EF58FF">
              <w:t> </w:t>
            </w:r>
          </w:p>
        </w:tc>
        <w:tc>
          <w:tcPr>
            <w:tcW w:w="5767" w:type="dxa"/>
            <w:gridSpan w:val="2"/>
            <w:noWrap/>
            <w:hideMark/>
          </w:tcPr>
          <w:p w14:paraId="7C86C5FF" w14:textId="77777777" w:rsidR="00BD6027" w:rsidRPr="00EF58FF" w:rsidRDefault="00BD6027" w:rsidP="00FE5A0B">
            <w:pPr>
              <w:jc w:val="center"/>
            </w:pPr>
            <w:r w:rsidRPr="00EF58FF">
              <w:t>Not permitted</w:t>
            </w:r>
          </w:p>
        </w:tc>
        <w:tc>
          <w:tcPr>
            <w:tcW w:w="887" w:type="dxa"/>
            <w:noWrap/>
            <w:hideMark/>
          </w:tcPr>
          <w:p w14:paraId="5966CAFC" w14:textId="77777777" w:rsidR="00BD6027" w:rsidRPr="00EF58FF" w:rsidRDefault="00BD6027" w:rsidP="00FE5A0B">
            <w:r w:rsidRPr="00EF58FF">
              <w:t>E0</w:t>
            </w:r>
          </w:p>
        </w:tc>
      </w:tr>
      <w:tr w:rsidR="00BD6027" w:rsidRPr="00EF58FF" w14:paraId="0D3109F9" w14:textId="77777777" w:rsidTr="00942D68">
        <w:trPr>
          <w:trHeight w:val="615"/>
        </w:trPr>
        <w:tc>
          <w:tcPr>
            <w:tcW w:w="1428" w:type="dxa"/>
            <w:hideMark/>
          </w:tcPr>
          <w:p w14:paraId="4D0A6EF6" w14:textId="77777777" w:rsidR="00BD6027" w:rsidRPr="00EF58FF" w:rsidRDefault="00BD6027" w:rsidP="00FE5A0B">
            <w:pPr>
              <w:rPr>
                <w:vertAlign w:val="superscript"/>
              </w:rPr>
            </w:pPr>
            <w:r w:rsidRPr="00EF58FF">
              <w:t>3 without a subsid</w:t>
            </w:r>
            <w:r>
              <w:t>i</w:t>
            </w:r>
            <w:r w:rsidRPr="00EF58FF">
              <w:t xml:space="preserve">ary </w:t>
            </w:r>
            <w:proofErr w:type="spellStart"/>
            <w:r>
              <w:t>hazard</w:t>
            </w:r>
            <w:r>
              <w:rPr>
                <w:vertAlign w:val="superscript"/>
              </w:rPr>
              <w:t>b</w:t>
            </w:r>
            <w:proofErr w:type="spellEnd"/>
          </w:p>
        </w:tc>
        <w:tc>
          <w:tcPr>
            <w:tcW w:w="990" w:type="dxa"/>
            <w:noWrap/>
            <w:hideMark/>
          </w:tcPr>
          <w:p w14:paraId="244FAD35" w14:textId="77777777" w:rsidR="00BD6027" w:rsidRPr="00EF58FF" w:rsidRDefault="00BD6027" w:rsidP="00FE5A0B">
            <w:r w:rsidRPr="00EF58FF">
              <w:t>I</w:t>
            </w:r>
          </w:p>
        </w:tc>
        <w:tc>
          <w:tcPr>
            <w:tcW w:w="3150" w:type="dxa"/>
            <w:noWrap/>
            <w:hideMark/>
          </w:tcPr>
          <w:p w14:paraId="1FB49BEE" w14:textId="77777777" w:rsidR="00BD6027" w:rsidRPr="00EF58FF" w:rsidRDefault="00BD6027" w:rsidP="00FE5A0B">
            <w:r w:rsidRPr="00EF58FF">
              <w:t>30 g / 30 ml</w:t>
            </w:r>
          </w:p>
        </w:tc>
        <w:tc>
          <w:tcPr>
            <w:tcW w:w="2617" w:type="dxa"/>
            <w:noWrap/>
            <w:hideMark/>
          </w:tcPr>
          <w:p w14:paraId="6ECEAC7C" w14:textId="77777777" w:rsidR="00BD6027" w:rsidRPr="00EF58FF" w:rsidRDefault="00BD6027" w:rsidP="00FE5A0B">
            <w:r w:rsidRPr="00EF58FF">
              <w:t xml:space="preserve">300 g / 300 ml </w:t>
            </w:r>
          </w:p>
        </w:tc>
        <w:tc>
          <w:tcPr>
            <w:tcW w:w="887" w:type="dxa"/>
            <w:noWrap/>
            <w:hideMark/>
          </w:tcPr>
          <w:p w14:paraId="09BC05A4" w14:textId="77777777" w:rsidR="00BD6027" w:rsidRPr="00EF58FF" w:rsidRDefault="00BD6027" w:rsidP="00FE5A0B">
            <w:r w:rsidRPr="00EF58FF">
              <w:t>E3</w:t>
            </w:r>
          </w:p>
        </w:tc>
      </w:tr>
      <w:tr w:rsidR="00BD6027" w:rsidRPr="00EF58FF" w14:paraId="1D32BB95" w14:textId="77777777" w:rsidTr="00942D68">
        <w:trPr>
          <w:trHeight w:val="300"/>
        </w:trPr>
        <w:tc>
          <w:tcPr>
            <w:tcW w:w="1428" w:type="dxa"/>
            <w:hideMark/>
          </w:tcPr>
          <w:p w14:paraId="2D583B13" w14:textId="77777777" w:rsidR="00BD6027" w:rsidRPr="00EF58FF" w:rsidRDefault="00BD6027" w:rsidP="00FE5A0B">
            <w:r w:rsidRPr="00EF58FF">
              <w:t> </w:t>
            </w:r>
          </w:p>
        </w:tc>
        <w:tc>
          <w:tcPr>
            <w:tcW w:w="990" w:type="dxa"/>
            <w:noWrap/>
            <w:hideMark/>
          </w:tcPr>
          <w:p w14:paraId="2CDF026C" w14:textId="77777777" w:rsidR="00BD6027" w:rsidRPr="00EF58FF" w:rsidRDefault="00BD6027" w:rsidP="00FE5A0B">
            <w:r w:rsidRPr="00EF58FF">
              <w:t>II</w:t>
            </w:r>
          </w:p>
        </w:tc>
        <w:tc>
          <w:tcPr>
            <w:tcW w:w="3150" w:type="dxa"/>
            <w:noWrap/>
            <w:hideMark/>
          </w:tcPr>
          <w:p w14:paraId="026CBDC2" w14:textId="77777777" w:rsidR="00BD6027" w:rsidRPr="00EF58FF" w:rsidRDefault="00BD6027" w:rsidP="00FE5A0B">
            <w:r w:rsidRPr="00EF58FF">
              <w:t>30 g / 30 ml</w:t>
            </w:r>
          </w:p>
        </w:tc>
        <w:tc>
          <w:tcPr>
            <w:tcW w:w="2617" w:type="dxa"/>
            <w:noWrap/>
            <w:hideMark/>
          </w:tcPr>
          <w:p w14:paraId="20B86AC2" w14:textId="77777777" w:rsidR="00BD6027" w:rsidRPr="00EF58FF" w:rsidRDefault="00BD6027" w:rsidP="00FE5A0B">
            <w:r w:rsidRPr="00EF58FF">
              <w:t>500 g / 500 ml</w:t>
            </w:r>
          </w:p>
        </w:tc>
        <w:tc>
          <w:tcPr>
            <w:tcW w:w="887" w:type="dxa"/>
            <w:noWrap/>
            <w:hideMark/>
          </w:tcPr>
          <w:p w14:paraId="5DE45F8E" w14:textId="77777777" w:rsidR="00BD6027" w:rsidRPr="00EF58FF" w:rsidRDefault="00BD6027" w:rsidP="00FE5A0B">
            <w:r w:rsidRPr="00EF58FF">
              <w:t>E2</w:t>
            </w:r>
          </w:p>
        </w:tc>
      </w:tr>
      <w:tr w:rsidR="00BD6027" w:rsidRPr="00EF58FF" w14:paraId="040A969F" w14:textId="77777777" w:rsidTr="00942D68">
        <w:trPr>
          <w:trHeight w:val="300"/>
        </w:trPr>
        <w:tc>
          <w:tcPr>
            <w:tcW w:w="1428" w:type="dxa"/>
            <w:hideMark/>
          </w:tcPr>
          <w:p w14:paraId="3E52F34F" w14:textId="77777777" w:rsidR="00BD6027" w:rsidRPr="00EF58FF" w:rsidRDefault="00BD6027" w:rsidP="00FE5A0B">
            <w:r w:rsidRPr="00EF58FF">
              <w:t> </w:t>
            </w:r>
          </w:p>
        </w:tc>
        <w:tc>
          <w:tcPr>
            <w:tcW w:w="990" w:type="dxa"/>
            <w:noWrap/>
            <w:hideMark/>
          </w:tcPr>
          <w:p w14:paraId="0F4CEFAD" w14:textId="77777777" w:rsidR="00BD6027" w:rsidRPr="00EF58FF" w:rsidRDefault="00BD6027" w:rsidP="00FE5A0B">
            <w:r w:rsidRPr="00EF58FF">
              <w:t>II</w:t>
            </w:r>
            <w:r>
              <w:t>I</w:t>
            </w:r>
          </w:p>
        </w:tc>
        <w:tc>
          <w:tcPr>
            <w:tcW w:w="3150" w:type="dxa"/>
            <w:noWrap/>
            <w:hideMark/>
          </w:tcPr>
          <w:p w14:paraId="15936863" w14:textId="77777777" w:rsidR="00BD6027" w:rsidRPr="00EF58FF" w:rsidRDefault="00BD6027" w:rsidP="00FE5A0B">
            <w:r w:rsidRPr="00EF58FF">
              <w:t>30 g / 30 ml</w:t>
            </w:r>
          </w:p>
        </w:tc>
        <w:tc>
          <w:tcPr>
            <w:tcW w:w="2617" w:type="dxa"/>
            <w:noWrap/>
            <w:hideMark/>
          </w:tcPr>
          <w:p w14:paraId="53185BB4" w14:textId="77777777" w:rsidR="00BD6027" w:rsidRPr="00EF58FF" w:rsidRDefault="00BD6027" w:rsidP="00FE5A0B">
            <w:r w:rsidRPr="00EF58FF">
              <w:t>1000 g / 1000 ml</w:t>
            </w:r>
          </w:p>
        </w:tc>
        <w:tc>
          <w:tcPr>
            <w:tcW w:w="887" w:type="dxa"/>
            <w:noWrap/>
            <w:hideMark/>
          </w:tcPr>
          <w:p w14:paraId="6882FC01" w14:textId="77777777" w:rsidR="00BD6027" w:rsidRPr="00EF58FF" w:rsidRDefault="00BD6027" w:rsidP="00FE5A0B">
            <w:r w:rsidRPr="00EF58FF">
              <w:t>E1</w:t>
            </w:r>
          </w:p>
        </w:tc>
      </w:tr>
      <w:tr w:rsidR="00BD6027" w:rsidRPr="00EF58FF" w14:paraId="28F4454B" w14:textId="77777777" w:rsidTr="00942D68">
        <w:trPr>
          <w:trHeight w:val="600"/>
        </w:trPr>
        <w:tc>
          <w:tcPr>
            <w:tcW w:w="1428" w:type="dxa"/>
            <w:hideMark/>
          </w:tcPr>
          <w:p w14:paraId="25410697" w14:textId="77777777" w:rsidR="00BD6027" w:rsidRPr="00EF58FF" w:rsidRDefault="00BD6027" w:rsidP="00FE5A0B">
            <w:r w:rsidRPr="00EF58FF">
              <w:lastRenderedPageBreak/>
              <w:t xml:space="preserve">3 with a subsidiary </w:t>
            </w:r>
            <w:proofErr w:type="spellStart"/>
            <w:r>
              <w:t>hazard</w:t>
            </w:r>
            <w:r w:rsidRPr="00EF58FF">
              <w:rPr>
                <w:vertAlign w:val="superscript"/>
              </w:rPr>
              <w:t>c</w:t>
            </w:r>
            <w:proofErr w:type="spellEnd"/>
          </w:p>
        </w:tc>
        <w:tc>
          <w:tcPr>
            <w:tcW w:w="990" w:type="dxa"/>
            <w:noWrap/>
            <w:hideMark/>
          </w:tcPr>
          <w:p w14:paraId="4AA68481" w14:textId="77777777" w:rsidR="00BD6027" w:rsidRPr="00EF58FF" w:rsidRDefault="00BD6027" w:rsidP="00FE5A0B">
            <w:r w:rsidRPr="00EF58FF">
              <w:t>I</w:t>
            </w:r>
          </w:p>
        </w:tc>
        <w:tc>
          <w:tcPr>
            <w:tcW w:w="5767" w:type="dxa"/>
            <w:gridSpan w:val="2"/>
            <w:noWrap/>
            <w:hideMark/>
          </w:tcPr>
          <w:p w14:paraId="713624CC" w14:textId="77777777" w:rsidR="00BD6027" w:rsidRPr="00EF58FF" w:rsidRDefault="00BD6027" w:rsidP="00FE5A0B">
            <w:pPr>
              <w:jc w:val="center"/>
            </w:pPr>
            <w:r w:rsidRPr="00EF58FF">
              <w:t>Not permitted</w:t>
            </w:r>
          </w:p>
        </w:tc>
        <w:tc>
          <w:tcPr>
            <w:tcW w:w="887" w:type="dxa"/>
            <w:noWrap/>
            <w:hideMark/>
          </w:tcPr>
          <w:p w14:paraId="452EA171" w14:textId="77777777" w:rsidR="00BD6027" w:rsidRPr="00EF58FF" w:rsidRDefault="00BD6027" w:rsidP="00FE5A0B">
            <w:r w:rsidRPr="00EF58FF">
              <w:t>E0</w:t>
            </w:r>
          </w:p>
        </w:tc>
      </w:tr>
      <w:tr w:rsidR="00BD6027" w:rsidRPr="00EF58FF" w14:paraId="4B451A46" w14:textId="77777777" w:rsidTr="00942D68">
        <w:trPr>
          <w:trHeight w:val="300"/>
        </w:trPr>
        <w:tc>
          <w:tcPr>
            <w:tcW w:w="1428" w:type="dxa"/>
            <w:hideMark/>
          </w:tcPr>
          <w:p w14:paraId="3E130E89" w14:textId="77777777" w:rsidR="00BD6027" w:rsidRPr="00EF58FF" w:rsidRDefault="00BD6027" w:rsidP="00FE5A0B">
            <w:r w:rsidRPr="00EF58FF">
              <w:t> </w:t>
            </w:r>
          </w:p>
        </w:tc>
        <w:tc>
          <w:tcPr>
            <w:tcW w:w="990" w:type="dxa"/>
            <w:noWrap/>
            <w:hideMark/>
          </w:tcPr>
          <w:p w14:paraId="7C2171C3" w14:textId="77777777" w:rsidR="00BD6027" w:rsidRPr="00EF58FF" w:rsidRDefault="00BD6027" w:rsidP="00FE5A0B">
            <w:r w:rsidRPr="00EF58FF">
              <w:t>II</w:t>
            </w:r>
          </w:p>
        </w:tc>
        <w:tc>
          <w:tcPr>
            <w:tcW w:w="3150" w:type="dxa"/>
            <w:noWrap/>
            <w:hideMark/>
          </w:tcPr>
          <w:p w14:paraId="2A16376F" w14:textId="77777777" w:rsidR="00BD6027" w:rsidRPr="00EF58FF" w:rsidRDefault="00BD6027" w:rsidP="00FE5A0B">
            <w:r w:rsidRPr="00EF58FF">
              <w:t>30 g / 30 ml</w:t>
            </w:r>
          </w:p>
        </w:tc>
        <w:tc>
          <w:tcPr>
            <w:tcW w:w="2617" w:type="dxa"/>
            <w:noWrap/>
            <w:hideMark/>
          </w:tcPr>
          <w:p w14:paraId="31595EE3" w14:textId="77777777" w:rsidR="00BD6027" w:rsidRPr="00EF58FF" w:rsidRDefault="00BD6027" w:rsidP="00FE5A0B">
            <w:r w:rsidRPr="00EF58FF">
              <w:t>500 g / 500 ml</w:t>
            </w:r>
          </w:p>
        </w:tc>
        <w:tc>
          <w:tcPr>
            <w:tcW w:w="887" w:type="dxa"/>
            <w:noWrap/>
            <w:hideMark/>
          </w:tcPr>
          <w:p w14:paraId="4C9A01D5" w14:textId="77777777" w:rsidR="00BD6027" w:rsidRPr="00EF58FF" w:rsidRDefault="00BD6027" w:rsidP="00FE5A0B">
            <w:r w:rsidRPr="00EF58FF">
              <w:t>E2</w:t>
            </w:r>
          </w:p>
        </w:tc>
      </w:tr>
      <w:tr w:rsidR="00BD6027" w:rsidRPr="00EF58FF" w14:paraId="7E6E231F" w14:textId="77777777" w:rsidTr="00942D68">
        <w:trPr>
          <w:trHeight w:val="300"/>
        </w:trPr>
        <w:tc>
          <w:tcPr>
            <w:tcW w:w="1428" w:type="dxa"/>
            <w:hideMark/>
          </w:tcPr>
          <w:p w14:paraId="350DDDBA" w14:textId="77777777" w:rsidR="00BD6027" w:rsidRPr="00EF58FF" w:rsidRDefault="00BD6027" w:rsidP="00FE5A0B">
            <w:r w:rsidRPr="00EF58FF">
              <w:t> </w:t>
            </w:r>
          </w:p>
        </w:tc>
        <w:tc>
          <w:tcPr>
            <w:tcW w:w="990" w:type="dxa"/>
            <w:noWrap/>
            <w:hideMark/>
          </w:tcPr>
          <w:p w14:paraId="6FFFEA6E" w14:textId="77777777" w:rsidR="00BD6027" w:rsidRPr="00EF58FF" w:rsidRDefault="00BD6027" w:rsidP="00FE5A0B">
            <w:r w:rsidRPr="00EF58FF">
              <w:t>III</w:t>
            </w:r>
          </w:p>
        </w:tc>
        <w:tc>
          <w:tcPr>
            <w:tcW w:w="3150" w:type="dxa"/>
            <w:noWrap/>
            <w:hideMark/>
          </w:tcPr>
          <w:p w14:paraId="47D17133" w14:textId="77777777" w:rsidR="00BD6027" w:rsidRPr="00EF58FF" w:rsidRDefault="00BD6027" w:rsidP="00FE5A0B">
            <w:r w:rsidRPr="00EF58FF">
              <w:t>30 g / 30 ml</w:t>
            </w:r>
          </w:p>
        </w:tc>
        <w:tc>
          <w:tcPr>
            <w:tcW w:w="2617" w:type="dxa"/>
            <w:noWrap/>
            <w:hideMark/>
          </w:tcPr>
          <w:p w14:paraId="48F09974" w14:textId="77777777" w:rsidR="00BD6027" w:rsidRPr="00EF58FF" w:rsidRDefault="00BD6027" w:rsidP="00FE5A0B">
            <w:r w:rsidRPr="00EF58FF">
              <w:t>1000 g / 1000 ml</w:t>
            </w:r>
          </w:p>
        </w:tc>
        <w:tc>
          <w:tcPr>
            <w:tcW w:w="887" w:type="dxa"/>
            <w:noWrap/>
            <w:hideMark/>
          </w:tcPr>
          <w:p w14:paraId="513BCE82" w14:textId="77777777" w:rsidR="00BD6027" w:rsidRPr="00EF58FF" w:rsidRDefault="00BD6027" w:rsidP="00FE5A0B">
            <w:r w:rsidRPr="00EF58FF">
              <w:t>E1</w:t>
            </w:r>
          </w:p>
        </w:tc>
      </w:tr>
      <w:tr w:rsidR="00BD6027" w:rsidRPr="00EF58FF" w14:paraId="6D309BA8" w14:textId="77777777" w:rsidTr="00942D68">
        <w:trPr>
          <w:trHeight w:val="300"/>
        </w:trPr>
        <w:tc>
          <w:tcPr>
            <w:tcW w:w="1428" w:type="dxa"/>
            <w:hideMark/>
          </w:tcPr>
          <w:p w14:paraId="62464A8E" w14:textId="77777777" w:rsidR="00BD6027" w:rsidRPr="00EF58FF" w:rsidRDefault="00BD6027" w:rsidP="00FE5A0B">
            <w:pPr>
              <w:rPr>
                <w:vertAlign w:val="superscript"/>
              </w:rPr>
            </w:pPr>
            <w:r w:rsidRPr="00EF58FF">
              <w:t>4.1</w:t>
            </w:r>
            <w:r>
              <w:rPr>
                <w:vertAlign w:val="superscript"/>
              </w:rPr>
              <w:t>d</w:t>
            </w:r>
          </w:p>
        </w:tc>
        <w:tc>
          <w:tcPr>
            <w:tcW w:w="990" w:type="dxa"/>
            <w:noWrap/>
            <w:hideMark/>
          </w:tcPr>
          <w:p w14:paraId="3DA711D0" w14:textId="77777777" w:rsidR="00BD6027" w:rsidRPr="00EF58FF" w:rsidRDefault="00BD6027" w:rsidP="00FE5A0B">
            <w:r w:rsidRPr="00EF58FF">
              <w:t>I</w:t>
            </w:r>
          </w:p>
        </w:tc>
        <w:tc>
          <w:tcPr>
            <w:tcW w:w="5767" w:type="dxa"/>
            <w:gridSpan w:val="2"/>
            <w:noWrap/>
            <w:hideMark/>
          </w:tcPr>
          <w:p w14:paraId="4D632570" w14:textId="77777777" w:rsidR="00BD6027" w:rsidRPr="00EF58FF" w:rsidRDefault="00BD6027" w:rsidP="00FE5A0B">
            <w:pPr>
              <w:jc w:val="center"/>
            </w:pPr>
            <w:r w:rsidRPr="00EF58FF">
              <w:t>Not permitted</w:t>
            </w:r>
          </w:p>
        </w:tc>
        <w:tc>
          <w:tcPr>
            <w:tcW w:w="887" w:type="dxa"/>
            <w:noWrap/>
            <w:hideMark/>
          </w:tcPr>
          <w:p w14:paraId="6FA02176" w14:textId="77777777" w:rsidR="00BD6027" w:rsidRPr="00EF58FF" w:rsidRDefault="00BD6027" w:rsidP="00FE5A0B">
            <w:r w:rsidRPr="00EF58FF">
              <w:t>E0</w:t>
            </w:r>
          </w:p>
        </w:tc>
      </w:tr>
      <w:tr w:rsidR="00BD6027" w:rsidRPr="00EF58FF" w14:paraId="5DE93BBF" w14:textId="77777777" w:rsidTr="00942D68">
        <w:trPr>
          <w:trHeight w:val="300"/>
        </w:trPr>
        <w:tc>
          <w:tcPr>
            <w:tcW w:w="1428" w:type="dxa"/>
            <w:hideMark/>
          </w:tcPr>
          <w:p w14:paraId="7CD07C88" w14:textId="77777777" w:rsidR="00BD6027" w:rsidRPr="00EF58FF" w:rsidRDefault="00BD6027" w:rsidP="00FE5A0B">
            <w:r w:rsidRPr="00EF58FF">
              <w:t> </w:t>
            </w:r>
          </w:p>
        </w:tc>
        <w:tc>
          <w:tcPr>
            <w:tcW w:w="990" w:type="dxa"/>
            <w:noWrap/>
            <w:hideMark/>
          </w:tcPr>
          <w:p w14:paraId="65465B06" w14:textId="77777777" w:rsidR="00BD6027" w:rsidRPr="00EF58FF" w:rsidRDefault="00BD6027" w:rsidP="00FE5A0B">
            <w:r w:rsidRPr="00EF58FF">
              <w:t>II</w:t>
            </w:r>
          </w:p>
        </w:tc>
        <w:tc>
          <w:tcPr>
            <w:tcW w:w="3150" w:type="dxa"/>
            <w:noWrap/>
            <w:hideMark/>
          </w:tcPr>
          <w:p w14:paraId="571EEB7E" w14:textId="77777777" w:rsidR="00BD6027" w:rsidRPr="00EF58FF" w:rsidRDefault="00BD6027" w:rsidP="00FE5A0B">
            <w:r w:rsidRPr="00EF58FF">
              <w:t>30 g / 30 ml</w:t>
            </w:r>
          </w:p>
        </w:tc>
        <w:tc>
          <w:tcPr>
            <w:tcW w:w="2617" w:type="dxa"/>
            <w:noWrap/>
            <w:hideMark/>
          </w:tcPr>
          <w:p w14:paraId="583D1358" w14:textId="77777777" w:rsidR="00BD6027" w:rsidRPr="00EF58FF" w:rsidRDefault="00BD6027" w:rsidP="00FE5A0B">
            <w:r w:rsidRPr="00EF58FF">
              <w:t>500 g / 500 ml</w:t>
            </w:r>
          </w:p>
        </w:tc>
        <w:tc>
          <w:tcPr>
            <w:tcW w:w="887" w:type="dxa"/>
            <w:noWrap/>
            <w:hideMark/>
          </w:tcPr>
          <w:p w14:paraId="3A1BF741" w14:textId="77777777" w:rsidR="00BD6027" w:rsidRPr="00EF58FF" w:rsidRDefault="00BD6027" w:rsidP="00FE5A0B">
            <w:r w:rsidRPr="00EF58FF">
              <w:t>E2</w:t>
            </w:r>
          </w:p>
        </w:tc>
      </w:tr>
      <w:tr w:rsidR="00BD6027" w:rsidRPr="00EF58FF" w14:paraId="034EE6C7" w14:textId="77777777" w:rsidTr="00942D68">
        <w:trPr>
          <w:trHeight w:val="300"/>
        </w:trPr>
        <w:tc>
          <w:tcPr>
            <w:tcW w:w="1428" w:type="dxa"/>
            <w:hideMark/>
          </w:tcPr>
          <w:p w14:paraId="57A604FF" w14:textId="77777777" w:rsidR="00BD6027" w:rsidRPr="00EF58FF" w:rsidRDefault="00BD6027" w:rsidP="00FE5A0B">
            <w:r w:rsidRPr="00EF58FF">
              <w:t> </w:t>
            </w:r>
          </w:p>
        </w:tc>
        <w:tc>
          <w:tcPr>
            <w:tcW w:w="990" w:type="dxa"/>
            <w:noWrap/>
            <w:hideMark/>
          </w:tcPr>
          <w:p w14:paraId="171A9915" w14:textId="77777777" w:rsidR="00BD6027" w:rsidRPr="00EF58FF" w:rsidRDefault="00BD6027" w:rsidP="00FE5A0B">
            <w:r w:rsidRPr="00EF58FF">
              <w:t>III</w:t>
            </w:r>
          </w:p>
        </w:tc>
        <w:tc>
          <w:tcPr>
            <w:tcW w:w="3150" w:type="dxa"/>
            <w:noWrap/>
            <w:hideMark/>
          </w:tcPr>
          <w:p w14:paraId="726F8A6D" w14:textId="77777777" w:rsidR="00BD6027" w:rsidRPr="00EF58FF" w:rsidRDefault="00BD6027" w:rsidP="00FE5A0B">
            <w:r w:rsidRPr="00EF58FF">
              <w:t>30 g / 30 ml</w:t>
            </w:r>
          </w:p>
        </w:tc>
        <w:tc>
          <w:tcPr>
            <w:tcW w:w="2617" w:type="dxa"/>
            <w:noWrap/>
            <w:hideMark/>
          </w:tcPr>
          <w:p w14:paraId="3C1E6299" w14:textId="77777777" w:rsidR="00BD6027" w:rsidRPr="00EF58FF" w:rsidRDefault="00BD6027" w:rsidP="00FE5A0B">
            <w:r w:rsidRPr="00EF58FF">
              <w:t>1000 g / 1000 ml</w:t>
            </w:r>
          </w:p>
        </w:tc>
        <w:tc>
          <w:tcPr>
            <w:tcW w:w="887" w:type="dxa"/>
            <w:noWrap/>
            <w:hideMark/>
          </w:tcPr>
          <w:p w14:paraId="74B949BE" w14:textId="77777777" w:rsidR="00BD6027" w:rsidRPr="00EF58FF" w:rsidRDefault="00BD6027" w:rsidP="00FE5A0B">
            <w:r w:rsidRPr="00EF58FF">
              <w:t>E1</w:t>
            </w:r>
          </w:p>
        </w:tc>
      </w:tr>
      <w:tr w:rsidR="00BD6027" w:rsidRPr="00EF58FF" w14:paraId="2E7CE4F8" w14:textId="77777777" w:rsidTr="00942D68">
        <w:trPr>
          <w:trHeight w:val="300"/>
        </w:trPr>
        <w:tc>
          <w:tcPr>
            <w:tcW w:w="1428" w:type="dxa"/>
            <w:hideMark/>
          </w:tcPr>
          <w:p w14:paraId="04F81160" w14:textId="77777777" w:rsidR="00BD6027" w:rsidRPr="00EF58FF" w:rsidRDefault="00BD6027" w:rsidP="00FE5A0B">
            <w:r w:rsidRPr="00EF58FF">
              <w:t>4.2</w:t>
            </w:r>
          </w:p>
        </w:tc>
        <w:tc>
          <w:tcPr>
            <w:tcW w:w="990" w:type="dxa"/>
            <w:noWrap/>
            <w:hideMark/>
          </w:tcPr>
          <w:p w14:paraId="3BBF4261" w14:textId="77777777" w:rsidR="00BD6027" w:rsidRPr="00EF58FF" w:rsidRDefault="00BD6027" w:rsidP="00FE5A0B">
            <w:r w:rsidRPr="00EF58FF">
              <w:t>I</w:t>
            </w:r>
          </w:p>
        </w:tc>
        <w:tc>
          <w:tcPr>
            <w:tcW w:w="5767" w:type="dxa"/>
            <w:gridSpan w:val="2"/>
            <w:noWrap/>
            <w:hideMark/>
          </w:tcPr>
          <w:p w14:paraId="33625E0B" w14:textId="77777777" w:rsidR="00BD6027" w:rsidRPr="00EF58FF" w:rsidRDefault="00BD6027" w:rsidP="00FE5A0B">
            <w:pPr>
              <w:jc w:val="center"/>
            </w:pPr>
            <w:r w:rsidRPr="00EF58FF">
              <w:t>Not permitted</w:t>
            </w:r>
          </w:p>
        </w:tc>
        <w:tc>
          <w:tcPr>
            <w:tcW w:w="887" w:type="dxa"/>
            <w:noWrap/>
            <w:hideMark/>
          </w:tcPr>
          <w:p w14:paraId="5FBE9C3E" w14:textId="77777777" w:rsidR="00BD6027" w:rsidRPr="00EF58FF" w:rsidRDefault="00BD6027" w:rsidP="00FE5A0B">
            <w:r w:rsidRPr="00EF58FF">
              <w:t>E0</w:t>
            </w:r>
          </w:p>
        </w:tc>
      </w:tr>
      <w:tr w:rsidR="00BD6027" w:rsidRPr="00EF58FF" w14:paraId="32EA5BCE" w14:textId="77777777" w:rsidTr="00942D68">
        <w:trPr>
          <w:trHeight w:val="300"/>
        </w:trPr>
        <w:tc>
          <w:tcPr>
            <w:tcW w:w="1428" w:type="dxa"/>
            <w:hideMark/>
          </w:tcPr>
          <w:p w14:paraId="0868CDE5" w14:textId="77777777" w:rsidR="00BD6027" w:rsidRPr="00EF58FF" w:rsidRDefault="00BD6027" w:rsidP="00FE5A0B">
            <w:r w:rsidRPr="00EF58FF">
              <w:t> </w:t>
            </w:r>
          </w:p>
        </w:tc>
        <w:tc>
          <w:tcPr>
            <w:tcW w:w="990" w:type="dxa"/>
            <w:noWrap/>
            <w:hideMark/>
          </w:tcPr>
          <w:p w14:paraId="37AF8ED4" w14:textId="77777777" w:rsidR="00BD6027" w:rsidRPr="00EF58FF" w:rsidRDefault="00BD6027" w:rsidP="00FE5A0B">
            <w:r w:rsidRPr="00EF58FF">
              <w:t>II</w:t>
            </w:r>
          </w:p>
        </w:tc>
        <w:tc>
          <w:tcPr>
            <w:tcW w:w="3150" w:type="dxa"/>
            <w:noWrap/>
            <w:hideMark/>
          </w:tcPr>
          <w:p w14:paraId="65071D2D" w14:textId="77777777" w:rsidR="00BD6027" w:rsidRPr="00EF58FF" w:rsidRDefault="00BD6027" w:rsidP="00FE5A0B">
            <w:r w:rsidRPr="00EF58FF">
              <w:t>30 g / 30 ml</w:t>
            </w:r>
          </w:p>
        </w:tc>
        <w:tc>
          <w:tcPr>
            <w:tcW w:w="2617" w:type="dxa"/>
            <w:noWrap/>
            <w:hideMark/>
          </w:tcPr>
          <w:p w14:paraId="5CF73019" w14:textId="77777777" w:rsidR="00BD6027" w:rsidRPr="00EF58FF" w:rsidRDefault="00BD6027" w:rsidP="00FE5A0B">
            <w:r w:rsidRPr="00EF58FF">
              <w:t>500 g / 500 ml</w:t>
            </w:r>
          </w:p>
        </w:tc>
        <w:tc>
          <w:tcPr>
            <w:tcW w:w="887" w:type="dxa"/>
            <w:noWrap/>
            <w:hideMark/>
          </w:tcPr>
          <w:p w14:paraId="11FD0660" w14:textId="77777777" w:rsidR="00BD6027" w:rsidRPr="00EF58FF" w:rsidRDefault="00BD6027" w:rsidP="00FE5A0B">
            <w:r w:rsidRPr="00EF58FF">
              <w:t>E2</w:t>
            </w:r>
          </w:p>
        </w:tc>
      </w:tr>
      <w:tr w:rsidR="00BD6027" w:rsidRPr="00EF58FF" w14:paraId="335DC561" w14:textId="77777777" w:rsidTr="00942D68">
        <w:trPr>
          <w:trHeight w:val="300"/>
        </w:trPr>
        <w:tc>
          <w:tcPr>
            <w:tcW w:w="1428" w:type="dxa"/>
            <w:hideMark/>
          </w:tcPr>
          <w:p w14:paraId="63D0B9E3" w14:textId="77777777" w:rsidR="00BD6027" w:rsidRPr="00EF58FF" w:rsidRDefault="00BD6027" w:rsidP="00FE5A0B">
            <w:r w:rsidRPr="00EF58FF">
              <w:t> </w:t>
            </w:r>
          </w:p>
        </w:tc>
        <w:tc>
          <w:tcPr>
            <w:tcW w:w="990" w:type="dxa"/>
            <w:noWrap/>
            <w:hideMark/>
          </w:tcPr>
          <w:p w14:paraId="59782150" w14:textId="77777777" w:rsidR="00BD6027" w:rsidRPr="00EF58FF" w:rsidRDefault="00BD6027" w:rsidP="00FE5A0B">
            <w:r w:rsidRPr="00EF58FF">
              <w:t>III</w:t>
            </w:r>
          </w:p>
        </w:tc>
        <w:tc>
          <w:tcPr>
            <w:tcW w:w="3150" w:type="dxa"/>
            <w:noWrap/>
            <w:hideMark/>
          </w:tcPr>
          <w:p w14:paraId="70A2F0D2" w14:textId="77777777" w:rsidR="00BD6027" w:rsidRPr="00EF58FF" w:rsidRDefault="00BD6027" w:rsidP="00FE5A0B">
            <w:r w:rsidRPr="00EF58FF">
              <w:t>30 g / 30 ml</w:t>
            </w:r>
          </w:p>
        </w:tc>
        <w:tc>
          <w:tcPr>
            <w:tcW w:w="2617" w:type="dxa"/>
            <w:noWrap/>
            <w:hideMark/>
          </w:tcPr>
          <w:p w14:paraId="35FDA4AC" w14:textId="77777777" w:rsidR="00BD6027" w:rsidRPr="00EF58FF" w:rsidRDefault="00BD6027" w:rsidP="00FE5A0B">
            <w:r w:rsidRPr="00EF58FF">
              <w:t>1000 g / 1000 ml</w:t>
            </w:r>
          </w:p>
        </w:tc>
        <w:tc>
          <w:tcPr>
            <w:tcW w:w="887" w:type="dxa"/>
            <w:noWrap/>
            <w:hideMark/>
          </w:tcPr>
          <w:p w14:paraId="5EA3220A" w14:textId="77777777" w:rsidR="00BD6027" w:rsidRPr="00EF58FF" w:rsidRDefault="00BD6027" w:rsidP="00FE5A0B">
            <w:r w:rsidRPr="00EF58FF">
              <w:t>E1</w:t>
            </w:r>
          </w:p>
        </w:tc>
      </w:tr>
      <w:tr w:rsidR="00BD6027" w:rsidRPr="00EF58FF" w14:paraId="079E6EAB" w14:textId="77777777" w:rsidTr="00942D68">
        <w:trPr>
          <w:trHeight w:val="300"/>
        </w:trPr>
        <w:tc>
          <w:tcPr>
            <w:tcW w:w="1428" w:type="dxa"/>
            <w:hideMark/>
          </w:tcPr>
          <w:p w14:paraId="2F69FBB9" w14:textId="77777777" w:rsidR="00BD6027" w:rsidRPr="00EF58FF" w:rsidRDefault="00BD6027" w:rsidP="00FE5A0B">
            <w:r w:rsidRPr="00EF58FF">
              <w:t>4.3</w:t>
            </w:r>
          </w:p>
        </w:tc>
        <w:tc>
          <w:tcPr>
            <w:tcW w:w="990" w:type="dxa"/>
            <w:noWrap/>
            <w:hideMark/>
          </w:tcPr>
          <w:p w14:paraId="0FEAA7C0" w14:textId="77777777" w:rsidR="00BD6027" w:rsidRPr="00EF58FF" w:rsidRDefault="00BD6027" w:rsidP="00FE5A0B">
            <w:r w:rsidRPr="00EF58FF">
              <w:t>I</w:t>
            </w:r>
          </w:p>
        </w:tc>
        <w:tc>
          <w:tcPr>
            <w:tcW w:w="5767" w:type="dxa"/>
            <w:gridSpan w:val="2"/>
            <w:noWrap/>
            <w:hideMark/>
          </w:tcPr>
          <w:p w14:paraId="3832256D" w14:textId="77777777" w:rsidR="00BD6027" w:rsidRPr="00EF58FF" w:rsidRDefault="00BD6027" w:rsidP="00FE5A0B">
            <w:pPr>
              <w:jc w:val="center"/>
            </w:pPr>
            <w:r w:rsidRPr="00EF58FF">
              <w:t>Not permitted</w:t>
            </w:r>
          </w:p>
        </w:tc>
        <w:tc>
          <w:tcPr>
            <w:tcW w:w="887" w:type="dxa"/>
            <w:noWrap/>
            <w:hideMark/>
          </w:tcPr>
          <w:p w14:paraId="76D294AB" w14:textId="77777777" w:rsidR="00BD6027" w:rsidRPr="00EF58FF" w:rsidRDefault="00BD6027" w:rsidP="00FE5A0B">
            <w:r w:rsidRPr="00EF58FF">
              <w:t>E0</w:t>
            </w:r>
          </w:p>
        </w:tc>
      </w:tr>
      <w:tr w:rsidR="00BD6027" w:rsidRPr="00EF58FF" w14:paraId="00831C94" w14:textId="77777777" w:rsidTr="00942D68">
        <w:trPr>
          <w:trHeight w:val="300"/>
        </w:trPr>
        <w:tc>
          <w:tcPr>
            <w:tcW w:w="1428" w:type="dxa"/>
            <w:hideMark/>
          </w:tcPr>
          <w:p w14:paraId="6408440D" w14:textId="77777777" w:rsidR="00BD6027" w:rsidRPr="00EF58FF" w:rsidRDefault="00BD6027" w:rsidP="00FE5A0B">
            <w:r w:rsidRPr="00EF58FF">
              <w:t> </w:t>
            </w:r>
          </w:p>
        </w:tc>
        <w:tc>
          <w:tcPr>
            <w:tcW w:w="990" w:type="dxa"/>
            <w:noWrap/>
            <w:hideMark/>
          </w:tcPr>
          <w:p w14:paraId="2C278DD3" w14:textId="77777777" w:rsidR="00BD6027" w:rsidRPr="00EF58FF" w:rsidRDefault="00BD6027" w:rsidP="00FE5A0B">
            <w:r w:rsidRPr="00EF58FF">
              <w:t>II</w:t>
            </w:r>
          </w:p>
        </w:tc>
        <w:tc>
          <w:tcPr>
            <w:tcW w:w="3150" w:type="dxa"/>
            <w:noWrap/>
            <w:hideMark/>
          </w:tcPr>
          <w:p w14:paraId="0478AF19" w14:textId="77777777" w:rsidR="00BD6027" w:rsidRPr="00EF58FF" w:rsidRDefault="00BD6027" w:rsidP="00FE5A0B">
            <w:r w:rsidRPr="00EF58FF">
              <w:t>30 g / 30 ml</w:t>
            </w:r>
          </w:p>
        </w:tc>
        <w:tc>
          <w:tcPr>
            <w:tcW w:w="2617" w:type="dxa"/>
            <w:noWrap/>
            <w:hideMark/>
          </w:tcPr>
          <w:p w14:paraId="24E20496" w14:textId="77777777" w:rsidR="00BD6027" w:rsidRPr="00EF58FF" w:rsidRDefault="00BD6027" w:rsidP="00FE5A0B">
            <w:r w:rsidRPr="00EF58FF">
              <w:t>500 g / 500 ml</w:t>
            </w:r>
          </w:p>
        </w:tc>
        <w:tc>
          <w:tcPr>
            <w:tcW w:w="887" w:type="dxa"/>
            <w:noWrap/>
            <w:hideMark/>
          </w:tcPr>
          <w:p w14:paraId="0DD6B24E" w14:textId="77777777" w:rsidR="00BD6027" w:rsidRPr="00EF58FF" w:rsidRDefault="00BD6027" w:rsidP="00FE5A0B">
            <w:r w:rsidRPr="00EF58FF">
              <w:t>E2</w:t>
            </w:r>
          </w:p>
        </w:tc>
      </w:tr>
      <w:tr w:rsidR="00BD6027" w:rsidRPr="00EF58FF" w14:paraId="507C2F02" w14:textId="77777777" w:rsidTr="00942D68">
        <w:trPr>
          <w:trHeight w:val="300"/>
        </w:trPr>
        <w:tc>
          <w:tcPr>
            <w:tcW w:w="1428" w:type="dxa"/>
            <w:hideMark/>
          </w:tcPr>
          <w:p w14:paraId="40EBFCC2" w14:textId="77777777" w:rsidR="00BD6027" w:rsidRPr="00EF58FF" w:rsidRDefault="00BD6027" w:rsidP="00FE5A0B">
            <w:r w:rsidRPr="00EF58FF">
              <w:t> </w:t>
            </w:r>
          </w:p>
        </w:tc>
        <w:tc>
          <w:tcPr>
            <w:tcW w:w="990" w:type="dxa"/>
            <w:noWrap/>
            <w:hideMark/>
          </w:tcPr>
          <w:p w14:paraId="384C71A6" w14:textId="77777777" w:rsidR="00BD6027" w:rsidRPr="00EF58FF" w:rsidRDefault="00BD6027" w:rsidP="00FE5A0B">
            <w:r w:rsidRPr="00EF58FF">
              <w:t>III</w:t>
            </w:r>
          </w:p>
        </w:tc>
        <w:tc>
          <w:tcPr>
            <w:tcW w:w="3150" w:type="dxa"/>
            <w:noWrap/>
            <w:hideMark/>
          </w:tcPr>
          <w:p w14:paraId="67B0C412" w14:textId="77777777" w:rsidR="00BD6027" w:rsidRPr="00EF58FF" w:rsidRDefault="00BD6027" w:rsidP="00FE5A0B">
            <w:r w:rsidRPr="00EF58FF">
              <w:t>30 g / 30 ml</w:t>
            </w:r>
          </w:p>
        </w:tc>
        <w:tc>
          <w:tcPr>
            <w:tcW w:w="2617" w:type="dxa"/>
            <w:noWrap/>
            <w:hideMark/>
          </w:tcPr>
          <w:p w14:paraId="035ECD6B" w14:textId="77777777" w:rsidR="00BD6027" w:rsidRPr="00EF58FF" w:rsidRDefault="00BD6027" w:rsidP="00FE5A0B">
            <w:r w:rsidRPr="00EF58FF">
              <w:t>1000 g / 1000 ml</w:t>
            </w:r>
          </w:p>
        </w:tc>
        <w:tc>
          <w:tcPr>
            <w:tcW w:w="887" w:type="dxa"/>
            <w:noWrap/>
            <w:hideMark/>
          </w:tcPr>
          <w:p w14:paraId="66FB4468" w14:textId="77777777" w:rsidR="00BD6027" w:rsidRPr="00EF58FF" w:rsidRDefault="00BD6027" w:rsidP="00FE5A0B">
            <w:r w:rsidRPr="00EF58FF">
              <w:t>E1</w:t>
            </w:r>
          </w:p>
        </w:tc>
      </w:tr>
      <w:tr w:rsidR="00BD6027" w:rsidRPr="00EF58FF" w14:paraId="1C3B6CFC" w14:textId="77777777" w:rsidTr="00942D68">
        <w:trPr>
          <w:trHeight w:val="300"/>
        </w:trPr>
        <w:tc>
          <w:tcPr>
            <w:tcW w:w="1428" w:type="dxa"/>
            <w:hideMark/>
          </w:tcPr>
          <w:p w14:paraId="472448C7" w14:textId="77777777" w:rsidR="00BD6027" w:rsidRPr="00EF58FF" w:rsidRDefault="00BD6027" w:rsidP="00FE5A0B">
            <w:r w:rsidRPr="00EF58FF">
              <w:t>5.1</w:t>
            </w:r>
          </w:p>
        </w:tc>
        <w:tc>
          <w:tcPr>
            <w:tcW w:w="990" w:type="dxa"/>
            <w:noWrap/>
            <w:hideMark/>
          </w:tcPr>
          <w:p w14:paraId="5608C718" w14:textId="77777777" w:rsidR="00BD6027" w:rsidRPr="00EF58FF" w:rsidRDefault="00BD6027" w:rsidP="00FE5A0B">
            <w:r w:rsidRPr="00EF58FF">
              <w:t>I</w:t>
            </w:r>
          </w:p>
        </w:tc>
        <w:tc>
          <w:tcPr>
            <w:tcW w:w="5767" w:type="dxa"/>
            <w:gridSpan w:val="2"/>
            <w:noWrap/>
            <w:hideMark/>
          </w:tcPr>
          <w:p w14:paraId="29CAC487" w14:textId="77777777" w:rsidR="00BD6027" w:rsidRPr="00EF58FF" w:rsidRDefault="00BD6027" w:rsidP="00FE5A0B">
            <w:pPr>
              <w:jc w:val="center"/>
            </w:pPr>
            <w:r w:rsidRPr="00EF58FF">
              <w:t>Not permitted</w:t>
            </w:r>
          </w:p>
        </w:tc>
        <w:tc>
          <w:tcPr>
            <w:tcW w:w="887" w:type="dxa"/>
            <w:noWrap/>
            <w:hideMark/>
          </w:tcPr>
          <w:p w14:paraId="62E23C98" w14:textId="77777777" w:rsidR="00BD6027" w:rsidRPr="00EF58FF" w:rsidRDefault="00BD6027" w:rsidP="00FE5A0B">
            <w:r w:rsidRPr="00EF58FF">
              <w:t>E0</w:t>
            </w:r>
          </w:p>
        </w:tc>
      </w:tr>
      <w:tr w:rsidR="00BD6027" w:rsidRPr="00EF58FF" w14:paraId="57F31E8E" w14:textId="77777777" w:rsidTr="00942D68">
        <w:trPr>
          <w:trHeight w:val="300"/>
        </w:trPr>
        <w:tc>
          <w:tcPr>
            <w:tcW w:w="1428" w:type="dxa"/>
            <w:hideMark/>
          </w:tcPr>
          <w:p w14:paraId="2ED0CA40" w14:textId="77777777" w:rsidR="00BD6027" w:rsidRPr="00EF58FF" w:rsidRDefault="00BD6027" w:rsidP="00FE5A0B">
            <w:r w:rsidRPr="00EF58FF">
              <w:t> </w:t>
            </w:r>
          </w:p>
        </w:tc>
        <w:tc>
          <w:tcPr>
            <w:tcW w:w="990" w:type="dxa"/>
            <w:noWrap/>
            <w:hideMark/>
          </w:tcPr>
          <w:p w14:paraId="1AEBD6C3" w14:textId="77777777" w:rsidR="00BD6027" w:rsidRPr="00EF58FF" w:rsidRDefault="00BD6027" w:rsidP="00FE5A0B">
            <w:r w:rsidRPr="00EF58FF">
              <w:t>II</w:t>
            </w:r>
          </w:p>
        </w:tc>
        <w:tc>
          <w:tcPr>
            <w:tcW w:w="3150" w:type="dxa"/>
            <w:noWrap/>
            <w:hideMark/>
          </w:tcPr>
          <w:p w14:paraId="649AC4B0" w14:textId="77777777" w:rsidR="00BD6027" w:rsidRPr="00EF58FF" w:rsidRDefault="00BD6027" w:rsidP="00FE5A0B">
            <w:r w:rsidRPr="00EF58FF">
              <w:t>30 g / 30 ml</w:t>
            </w:r>
          </w:p>
        </w:tc>
        <w:tc>
          <w:tcPr>
            <w:tcW w:w="2617" w:type="dxa"/>
            <w:noWrap/>
            <w:hideMark/>
          </w:tcPr>
          <w:p w14:paraId="20788994" w14:textId="77777777" w:rsidR="00BD6027" w:rsidRPr="00EF58FF" w:rsidRDefault="00BD6027" w:rsidP="00FE5A0B">
            <w:r w:rsidRPr="00EF58FF">
              <w:t>500 g / 500 ml</w:t>
            </w:r>
          </w:p>
        </w:tc>
        <w:tc>
          <w:tcPr>
            <w:tcW w:w="887" w:type="dxa"/>
            <w:noWrap/>
            <w:hideMark/>
          </w:tcPr>
          <w:p w14:paraId="4B42ACFC" w14:textId="77777777" w:rsidR="00BD6027" w:rsidRPr="00EF58FF" w:rsidRDefault="00BD6027" w:rsidP="00FE5A0B">
            <w:r w:rsidRPr="00EF58FF">
              <w:t>E2</w:t>
            </w:r>
          </w:p>
        </w:tc>
      </w:tr>
      <w:tr w:rsidR="00BD6027" w:rsidRPr="00EF58FF" w14:paraId="76810754" w14:textId="77777777" w:rsidTr="00942D68">
        <w:trPr>
          <w:trHeight w:val="300"/>
        </w:trPr>
        <w:tc>
          <w:tcPr>
            <w:tcW w:w="1428" w:type="dxa"/>
            <w:hideMark/>
          </w:tcPr>
          <w:p w14:paraId="24E813B7" w14:textId="77777777" w:rsidR="00BD6027" w:rsidRPr="00EF58FF" w:rsidRDefault="00BD6027" w:rsidP="00FE5A0B">
            <w:r w:rsidRPr="00EF58FF">
              <w:t> </w:t>
            </w:r>
          </w:p>
        </w:tc>
        <w:tc>
          <w:tcPr>
            <w:tcW w:w="990" w:type="dxa"/>
            <w:noWrap/>
            <w:hideMark/>
          </w:tcPr>
          <w:p w14:paraId="76491D0F" w14:textId="77777777" w:rsidR="00BD6027" w:rsidRPr="00EF58FF" w:rsidRDefault="00BD6027" w:rsidP="00FE5A0B">
            <w:r w:rsidRPr="00EF58FF">
              <w:t>III</w:t>
            </w:r>
          </w:p>
        </w:tc>
        <w:tc>
          <w:tcPr>
            <w:tcW w:w="3150" w:type="dxa"/>
            <w:noWrap/>
            <w:hideMark/>
          </w:tcPr>
          <w:p w14:paraId="6DECB086" w14:textId="77777777" w:rsidR="00BD6027" w:rsidRPr="00EF58FF" w:rsidRDefault="00BD6027" w:rsidP="00FE5A0B">
            <w:r w:rsidRPr="00EF58FF">
              <w:t>30 g / 30 ml</w:t>
            </w:r>
          </w:p>
        </w:tc>
        <w:tc>
          <w:tcPr>
            <w:tcW w:w="2617" w:type="dxa"/>
            <w:noWrap/>
            <w:hideMark/>
          </w:tcPr>
          <w:p w14:paraId="2C3CEA0F" w14:textId="77777777" w:rsidR="00BD6027" w:rsidRPr="00EF58FF" w:rsidRDefault="00BD6027" w:rsidP="00FE5A0B">
            <w:r w:rsidRPr="00EF58FF">
              <w:t>1000 g / 1000 ml</w:t>
            </w:r>
          </w:p>
        </w:tc>
        <w:tc>
          <w:tcPr>
            <w:tcW w:w="887" w:type="dxa"/>
            <w:noWrap/>
            <w:hideMark/>
          </w:tcPr>
          <w:p w14:paraId="37EC1226" w14:textId="77777777" w:rsidR="00BD6027" w:rsidRPr="00EF58FF" w:rsidRDefault="00BD6027" w:rsidP="00FE5A0B">
            <w:r w:rsidRPr="00EF58FF">
              <w:t>E1</w:t>
            </w:r>
          </w:p>
        </w:tc>
      </w:tr>
      <w:tr w:rsidR="00BD6027" w:rsidRPr="00EF58FF" w14:paraId="78E88FD4" w14:textId="77777777" w:rsidTr="00942D68">
        <w:trPr>
          <w:trHeight w:val="300"/>
        </w:trPr>
        <w:tc>
          <w:tcPr>
            <w:tcW w:w="1428" w:type="dxa"/>
            <w:hideMark/>
          </w:tcPr>
          <w:p w14:paraId="4F032550" w14:textId="77777777" w:rsidR="00BD6027" w:rsidRPr="00EF58FF" w:rsidRDefault="00BD6027" w:rsidP="00FE5A0B">
            <w:pPr>
              <w:rPr>
                <w:vertAlign w:val="superscript"/>
              </w:rPr>
            </w:pPr>
            <w:r w:rsidRPr="00EF58FF">
              <w:t>5.2</w:t>
            </w:r>
            <w:r>
              <w:rPr>
                <w:vertAlign w:val="superscript"/>
              </w:rPr>
              <w:t>e</w:t>
            </w:r>
          </w:p>
        </w:tc>
        <w:tc>
          <w:tcPr>
            <w:tcW w:w="990" w:type="dxa"/>
            <w:noWrap/>
            <w:hideMark/>
          </w:tcPr>
          <w:p w14:paraId="46BB5B62" w14:textId="77777777" w:rsidR="00BD6027" w:rsidRPr="00EF58FF" w:rsidRDefault="00BD6027" w:rsidP="00FE5A0B">
            <w:r w:rsidRPr="00EF58FF">
              <w:t> </w:t>
            </w:r>
          </w:p>
        </w:tc>
        <w:tc>
          <w:tcPr>
            <w:tcW w:w="5767" w:type="dxa"/>
            <w:gridSpan w:val="2"/>
            <w:noWrap/>
            <w:hideMark/>
          </w:tcPr>
          <w:p w14:paraId="1CAD98F8" w14:textId="77777777" w:rsidR="00BD6027" w:rsidRPr="00EF58FF" w:rsidRDefault="00BD6027" w:rsidP="00FE5A0B">
            <w:pPr>
              <w:jc w:val="center"/>
            </w:pPr>
            <w:r w:rsidRPr="00EF58FF">
              <w:t>Not permitted</w:t>
            </w:r>
          </w:p>
        </w:tc>
        <w:tc>
          <w:tcPr>
            <w:tcW w:w="887" w:type="dxa"/>
            <w:noWrap/>
            <w:hideMark/>
          </w:tcPr>
          <w:p w14:paraId="4AD217D1" w14:textId="77777777" w:rsidR="00BD6027" w:rsidRPr="00EF58FF" w:rsidRDefault="00BD6027" w:rsidP="00FE5A0B">
            <w:r w:rsidRPr="00EF58FF">
              <w:t>E0</w:t>
            </w:r>
          </w:p>
        </w:tc>
      </w:tr>
      <w:tr w:rsidR="00BD6027" w:rsidRPr="00EF58FF" w14:paraId="28785815" w14:textId="77777777" w:rsidTr="00942D68">
        <w:trPr>
          <w:trHeight w:val="855"/>
        </w:trPr>
        <w:tc>
          <w:tcPr>
            <w:tcW w:w="1428" w:type="dxa"/>
            <w:hideMark/>
          </w:tcPr>
          <w:p w14:paraId="0CE2AF3B" w14:textId="77777777" w:rsidR="00BD6027" w:rsidRPr="00EF58FF" w:rsidRDefault="00BD6027" w:rsidP="00FE5A0B">
            <w:r w:rsidRPr="00EF58FF">
              <w:t xml:space="preserve">6.1 Substances which are toxic by </w:t>
            </w:r>
            <w:proofErr w:type="spellStart"/>
            <w:r w:rsidRPr="00EF58FF">
              <w:t>inhalation</w:t>
            </w:r>
            <w:r>
              <w:rPr>
                <w:vertAlign w:val="superscript"/>
              </w:rPr>
              <w:t>k</w:t>
            </w:r>
            <w:proofErr w:type="spellEnd"/>
            <w:r w:rsidRPr="00EF58FF">
              <w:t xml:space="preserve"> </w:t>
            </w:r>
          </w:p>
        </w:tc>
        <w:tc>
          <w:tcPr>
            <w:tcW w:w="990" w:type="dxa"/>
            <w:noWrap/>
            <w:hideMark/>
          </w:tcPr>
          <w:p w14:paraId="6F691D9B" w14:textId="77777777" w:rsidR="00BD6027" w:rsidRPr="00EF58FF" w:rsidRDefault="00BD6027" w:rsidP="00FE5A0B">
            <w:r w:rsidRPr="00EF58FF">
              <w:t>I</w:t>
            </w:r>
          </w:p>
        </w:tc>
        <w:tc>
          <w:tcPr>
            <w:tcW w:w="5767" w:type="dxa"/>
            <w:gridSpan w:val="2"/>
            <w:noWrap/>
            <w:hideMark/>
          </w:tcPr>
          <w:p w14:paraId="2EA1C5D6" w14:textId="77777777" w:rsidR="00BD6027" w:rsidRPr="00EF58FF" w:rsidRDefault="00BD6027" w:rsidP="00FE5A0B">
            <w:pPr>
              <w:jc w:val="center"/>
            </w:pPr>
            <w:r w:rsidRPr="00EF58FF">
              <w:t>Not permitted</w:t>
            </w:r>
          </w:p>
        </w:tc>
        <w:tc>
          <w:tcPr>
            <w:tcW w:w="887" w:type="dxa"/>
            <w:noWrap/>
            <w:hideMark/>
          </w:tcPr>
          <w:p w14:paraId="0F2F6668" w14:textId="77777777" w:rsidR="00BD6027" w:rsidRPr="00EF58FF" w:rsidRDefault="00BD6027" w:rsidP="00FE5A0B">
            <w:r w:rsidRPr="00EF58FF">
              <w:t>E0</w:t>
            </w:r>
          </w:p>
        </w:tc>
      </w:tr>
      <w:tr w:rsidR="00BD6027" w:rsidRPr="00EF58FF" w14:paraId="1DA76F64" w14:textId="77777777" w:rsidTr="00942D68">
        <w:trPr>
          <w:trHeight w:val="300"/>
        </w:trPr>
        <w:tc>
          <w:tcPr>
            <w:tcW w:w="1428" w:type="dxa"/>
            <w:hideMark/>
          </w:tcPr>
          <w:p w14:paraId="2BD7EF3A" w14:textId="77777777" w:rsidR="00BD6027" w:rsidRPr="00EF58FF" w:rsidRDefault="00BD6027" w:rsidP="00FE5A0B">
            <w:r w:rsidRPr="00EF58FF">
              <w:t>6.1</w:t>
            </w:r>
            <w:r w:rsidRPr="00EF58FF">
              <w:rPr>
                <w:vertAlign w:val="superscript"/>
              </w:rPr>
              <w:t>f,g</w:t>
            </w:r>
          </w:p>
        </w:tc>
        <w:tc>
          <w:tcPr>
            <w:tcW w:w="990" w:type="dxa"/>
            <w:noWrap/>
            <w:hideMark/>
          </w:tcPr>
          <w:p w14:paraId="1601567F" w14:textId="77777777" w:rsidR="00BD6027" w:rsidRPr="00EF58FF" w:rsidRDefault="00BD6027" w:rsidP="00FE5A0B">
            <w:r w:rsidRPr="00EF58FF">
              <w:t>I</w:t>
            </w:r>
          </w:p>
        </w:tc>
        <w:tc>
          <w:tcPr>
            <w:tcW w:w="3150" w:type="dxa"/>
            <w:noWrap/>
            <w:hideMark/>
          </w:tcPr>
          <w:p w14:paraId="4C5FF21F" w14:textId="77777777" w:rsidR="00BD6027" w:rsidRPr="00EF58FF" w:rsidRDefault="00BD6027" w:rsidP="00FE5A0B">
            <w:r w:rsidRPr="00EF58FF">
              <w:t>1</w:t>
            </w:r>
            <w:r>
              <w:t xml:space="preserve"> g / 1 ml</w:t>
            </w:r>
          </w:p>
        </w:tc>
        <w:tc>
          <w:tcPr>
            <w:tcW w:w="2617" w:type="dxa"/>
            <w:noWrap/>
            <w:hideMark/>
          </w:tcPr>
          <w:p w14:paraId="17D85AA4" w14:textId="77777777" w:rsidR="00BD6027" w:rsidRPr="00EF58FF" w:rsidRDefault="00BD6027" w:rsidP="00FE5A0B">
            <w:r w:rsidRPr="00EF58FF">
              <w:t>300</w:t>
            </w:r>
            <w:r>
              <w:t xml:space="preserve"> g / 300 ml</w:t>
            </w:r>
          </w:p>
        </w:tc>
        <w:tc>
          <w:tcPr>
            <w:tcW w:w="887" w:type="dxa"/>
            <w:noWrap/>
            <w:hideMark/>
          </w:tcPr>
          <w:p w14:paraId="621A1513" w14:textId="77777777" w:rsidR="00BD6027" w:rsidRPr="00EF58FF" w:rsidRDefault="00BD6027" w:rsidP="00FE5A0B">
            <w:r w:rsidRPr="00EF58FF">
              <w:t>E5</w:t>
            </w:r>
          </w:p>
        </w:tc>
      </w:tr>
      <w:tr w:rsidR="00BD6027" w:rsidRPr="00EF58FF" w14:paraId="57D38ECB" w14:textId="77777777" w:rsidTr="00942D68">
        <w:trPr>
          <w:trHeight w:val="300"/>
        </w:trPr>
        <w:tc>
          <w:tcPr>
            <w:tcW w:w="1428" w:type="dxa"/>
            <w:hideMark/>
          </w:tcPr>
          <w:p w14:paraId="3B6921FA" w14:textId="77777777" w:rsidR="00BD6027" w:rsidRPr="00EF58FF" w:rsidRDefault="00BD6027" w:rsidP="00FE5A0B">
            <w:r w:rsidRPr="00EF58FF">
              <w:t> </w:t>
            </w:r>
          </w:p>
        </w:tc>
        <w:tc>
          <w:tcPr>
            <w:tcW w:w="990" w:type="dxa"/>
            <w:noWrap/>
            <w:hideMark/>
          </w:tcPr>
          <w:p w14:paraId="4B4934B5" w14:textId="77777777" w:rsidR="00BD6027" w:rsidRPr="00EF58FF" w:rsidRDefault="00BD6027" w:rsidP="00FE5A0B">
            <w:r w:rsidRPr="00EF58FF">
              <w:t>II</w:t>
            </w:r>
          </w:p>
        </w:tc>
        <w:tc>
          <w:tcPr>
            <w:tcW w:w="3150" w:type="dxa"/>
            <w:noWrap/>
            <w:hideMark/>
          </w:tcPr>
          <w:p w14:paraId="5277E922" w14:textId="77777777" w:rsidR="00BD6027" w:rsidRPr="00EF58FF" w:rsidRDefault="00BD6027" w:rsidP="00FE5A0B">
            <w:r w:rsidRPr="00EF58FF">
              <w:t>1</w:t>
            </w:r>
            <w:r>
              <w:t xml:space="preserve"> g / 1 ml</w:t>
            </w:r>
          </w:p>
        </w:tc>
        <w:tc>
          <w:tcPr>
            <w:tcW w:w="2617" w:type="dxa"/>
            <w:noWrap/>
            <w:hideMark/>
          </w:tcPr>
          <w:p w14:paraId="5D378DF9" w14:textId="77777777" w:rsidR="00BD6027" w:rsidRPr="00EF58FF" w:rsidRDefault="00BD6027" w:rsidP="00FE5A0B">
            <w:r w:rsidRPr="00EF58FF">
              <w:t>500</w:t>
            </w:r>
            <w:r>
              <w:t xml:space="preserve"> g / 500 ml</w:t>
            </w:r>
          </w:p>
        </w:tc>
        <w:tc>
          <w:tcPr>
            <w:tcW w:w="887" w:type="dxa"/>
            <w:noWrap/>
            <w:hideMark/>
          </w:tcPr>
          <w:p w14:paraId="374E7461" w14:textId="77777777" w:rsidR="00BD6027" w:rsidRPr="00EF58FF" w:rsidRDefault="00BD6027" w:rsidP="00FE5A0B">
            <w:r w:rsidRPr="00EF58FF">
              <w:t>E4</w:t>
            </w:r>
          </w:p>
        </w:tc>
      </w:tr>
      <w:tr w:rsidR="00BD6027" w:rsidRPr="00EF58FF" w14:paraId="2E3F3300" w14:textId="77777777" w:rsidTr="00942D68">
        <w:trPr>
          <w:trHeight w:val="300"/>
        </w:trPr>
        <w:tc>
          <w:tcPr>
            <w:tcW w:w="1428" w:type="dxa"/>
            <w:hideMark/>
          </w:tcPr>
          <w:p w14:paraId="6A19EE9D" w14:textId="77777777" w:rsidR="00BD6027" w:rsidRPr="00EF58FF" w:rsidRDefault="00BD6027" w:rsidP="00FE5A0B">
            <w:r w:rsidRPr="00EF58FF">
              <w:t> </w:t>
            </w:r>
          </w:p>
        </w:tc>
        <w:tc>
          <w:tcPr>
            <w:tcW w:w="990" w:type="dxa"/>
            <w:noWrap/>
            <w:hideMark/>
          </w:tcPr>
          <w:p w14:paraId="7FE3FA50" w14:textId="77777777" w:rsidR="00BD6027" w:rsidRPr="00EF58FF" w:rsidRDefault="00BD6027" w:rsidP="00FE5A0B">
            <w:r w:rsidRPr="00EF58FF">
              <w:t>III</w:t>
            </w:r>
          </w:p>
        </w:tc>
        <w:tc>
          <w:tcPr>
            <w:tcW w:w="3150" w:type="dxa"/>
            <w:noWrap/>
            <w:hideMark/>
          </w:tcPr>
          <w:p w14:paraId="6806C3E0" w14:textId="77777777" w:rsidR="00BD6027" w:rsidRPr="00EF58FF" w:rsidRDefault="00BD6027" w:rsidP="00FE5A0B">
            <w:r w:rsidRPr="00EF58FF">
              <w:t>30</w:t>
            </w:r>
            <w:r>
              <w:t xml:space="preserve"> g / 30 ml</w:t>
            </w:r>
          </w:p>
        </w:tc>
        <w:tc>
          <w:tcPr>
            <w:tcW w:w="2617" w:type="dxa"/>
            <w:noWrap/>
            <w:hideMark/>
          </w:tcPr>
          <w:p w14:paraId="6695491B" w14:textId="77777777" w:rsidR="00BD6027" w:rsidRPr="00EF58FF" w:rsidRDefault="00BD6027" w:rsidP="00FE5A0B">
            <w:r w:rsidRPr="00EF58FF">
              <w:t>1000</w:t>
            </w:r>
            <w:r>
              <w:t xml:space="preserve"> g / 1000 ml</w:t>
            </w:r>
          </w:p>
        </w:tc>
        <w:tc>
          <w:tcPr>
            <w:tcW w:w="887" w:type="dxa"/>
            <w:noWrap/>
            <w:hideMark/>
          </w:tcPr>
          <w:p w14:paraId="08227DC2" w14:textId="77777777" w:rsidR="00BD6027" w:rsidRPr="00EF58FF" w:rsidRDefault="00BD6027" w:rsidP="00FE5A0B">
            <w:r w:rsidRPr="00EF58FF">
              <w:t>E1</w:t>
            </w:r>
          </w:p>
        </w:tc>
      </w:tr>
      <w:tr w:rsidR="00BD6027" w:rsidRPr="00EF58FF" w14:paraId="37BFB9EB" w14:textId="77777777" w:rsidTr="00942D68">
        <w:trPr>
          <w:trHeight w:val="300"/>
        </w:trPr>
        <w:tc>
          <w:tcPr>
            <w:tcW w:w="1428" w:type="dxa"/>
            <w:hideMark/>
          </w:tcPr>
          <w:p w14:paraId="49945154" w14:textId="77777777" w:rsidR="00BD6027" w:rsidRPr="00EF58FF" w:rsidRDefault="00BD6027" w:rsidP="00FE5A0B">
            <w:r w:rsidRPr="00EF58FF">
              <w:t>6.2</w:t>
            </w:r>
          </w:p>
        </w:tc>
        <w:tc>
          <w:tcPr>
            <w:tcW w:w="990" w:type="dxa"/>
            <w:noWrap/>
            <w:hideMark/>
          </w:tcPr>
          <w:p w14:paraId="5A00E48C" w14:textId="77777777" w:rsidR="00BD6027" w:rsidRPr="00EF58FF" w:rsidRDefault="00BD6027" w:rsidP="00FE5A0B">
            <w:r w:rsidRPr="00EF58FF">
              <w:t> </w:t>
            </w:r>
          </w:p>
        </w:tc>
        <w:tc>
          <w:tcPr>
            <w:tcW w:w="5767" w:type="dxa"/>
            <w:gridSpan w:val="2"/>
            <w:noWrap/>
            <w:hideMark/>
          </w:tcPr>
          <w:p w14:paraId="6F4CB150" w14:textId="77777777" w:rsidR="00BD6027" w:rsidRPr="00EF58FF" w:rsidRDefault="00BD6027" w:rsidP="00FE5A0B">
            <w:pPr>
              <w:jc w:val="center"/>
            </w:pPr>
            <w:r w:rsidRPr="00EF58FF">
              <w:t>Not permitted</w:t>
            </w:r>
          </w:p>
        </w:tc>
        <w:tc>
          <w:tcPr>
            <w:tcW w:w="887" w:type="dxa"/>
            <w:noWrap/>
            <w:hideMark/>
          </w:tcPr>
          <w:p w14:paraId="6C3B3DD3" w14:textId="77777777" w:rsidR="00BD6027" w:rsidRPr="00EF58FF" w:rsidRDefault="00BD6027" w:rsidP="00FE5A0B">
            <w:r w:rsidRPr="00EF58FF">
              <w:t>E0</w:t>
            </w:r>
          </w:p>
        </w:tc>
      </w:tr>
      <w:tr w:rsidR="00BD6027" w:rsidRPr="00EF58FF" w14:paraId="2EDDE965" w14:textId="77777777" w:rsidTr="00942D68">
        <w:trPr>
          <w:trHeight w:val="300"/>
        </w:trPr>
        <w:tc>
          <w:tcPr>
            <w:tcW w:w="1428" w:type="dxa"/>
            <w:hideMark/>
          </w:tcPr>
          <w:p w14:paraId="514C465C" w14:textId="77777777" w:rsidR="00BD6027" w:rsidRPr="00EF58FF" w:rsidRDefault="00BD6027" w:rsidP="00FE5A0B">
            <w:r w:rsidRPr="00EF58FF">
              <w:t>7</w:t>
            </w:r>
          </w:p>
        </w:tc>
        <w:tc>
          <w:tcPr>
            <w:tcW w:w="990" w:type="dxa"/>
            <w:noWrap/>
            <w:hideMark/>
          </w:tcPr>
          <w:p w14:paraId="76341707" w14:textId="77777777" w:rsidR="00BD6027" w:rsidRPr="00EF58FF" w:rsidRDefault="00BD6027" w:rsidP="00FE5A0B">
            <w:r w:rsidRPr="00EF58FF">
              <w:t> </w:t>
            </w:r>
          </w:p>
        </w:tc>
        <w:tc>
          <w:tcPr>
            <w:tcW w:w="5767" w:type="dxa"/>
            <w:gridSpan w:val="2"/>
            <w:noWrap/>
            <w:hideMark/>
          </w:tcPr>
          <w:p w14:paraId="47645F0E" w14:textId="77777777" w:rsidR="00BD6027" w:rsidRPr="00EF58FF" w:rsidRDefault="00BD6027" w:rsidP="00FE5A0B">
            <w:pPr>
              <w:jc w:val="center"/>
            </w:pPr>
            <w:r w:rsidRPr="00EF58FF">
              <w:t>Not permitted</w:t>
            </w:r>
          </w:p>
        </w:tc>
        <w:tc>
          <w:tcPr>
            <w:tcW w:w="887" w:type="dxa"/>
            <w:noWrap/>
            <w:hideMark/>
          </w:tcPr>
          <w:p w14:paraId="709F6B22" w14:textId="77777777" w:rsidR="00BD6027" w:rsidRPr="00EF58FF" w:rsidRDefault="00BD6027" w:rsidP="00FE5A0B">
            <w:r w:rsidRPr="00EF58FF">
              <w:t>E0</w:t>
            </w:r>
          </w:p>
        </w:tc>
      </w:tr>
      <w:tr w:rsidR="00BD6027" w:rsidRPr="00EF58FF" w14:paraId="2CECB4E3" w14:textId="77777777" w:rsidTr="00942D68">
        <w:trPr>
          <w:trHeight w:val="300"/>
        </w:trPr>
        <w:tc>
          <w:tcPr>
            <w:tcW w:w="1428" w:type="dxa"/>
            <w:hideMark/>
          </w:tcPr>
          <w:p w14:paraId="124F8CDA" w14:textId="77777777" w:rsidR="00BD6027" w:rsidRPr="00EF58FF" w:rsidRDefault="00BD6027" w:rsidP="00FE5A0B">
            <w:pPr>
              <w:rPr>
                <w:vertAlign w:val="superscript"/>
              </w:rPr>
            </w:pPr>
            <w:r w:rsidRPr="00EF58FF">
              <w:t>8</w:t>
            </w:r>
            <w:r>
              <w:rPr>
                <w:vertAlign w:val="superscript"/>
              </w:rPr>
              <w:t xml:space="preserve">h, </w:t>
            </w:r>
            <w:proofErr w:type="spellStart"/>
            <w:r>
              <w:rPr>
                <w:vertAlign w:val="superscript"/>
              </w:rPr>
              <w:t>i</w:t>
            </w:r>
            <w:proofErr w:type="spellEnd"/>
          </w:p>
        </w:tc>
        <w:tc>
          <w:tcPr>
            <w:tcW w:w="990" w:type="dxa"/>
            <w:noWrap/>
            <w:hideMark/>
          </w:tcPr>
          <w:p w14:paraId="10DB53C6" w14:textId="77777777" w:rsidR="00BD6027" w:rsidRPr="00EF58FF" w:rsidRDefault="00BD6027" w:rsidP="00FE5A0B">
            <w:r w:rsidRPr="00EF58FF">
              <w:t>I</w:t>
            </w:r>
          </w:p>
        </w:tc>
        <w:tc>
          <w:tcPr>
            <w:tcW w:w="5767" w:type="dxa"/>
            <w:gridSpan w:val="2"/>
            <w:noWrap/>
            <w:hideMark/>
          </w:tcPr>
          <w:p w14:paraId="49299ED5" w14:textId="77777777" w:rsidR="00BD6027" w:rsidRPr="00EF58FF" w:rsidRDefault="00BD6027" w:rsidP="00FE5A0B">
            <w:pPr>
              <w:jc w:val="center"/>
            </w:pPr>
            <w:r w:rsidRPr="00EF58FF">
              <w:t>Not permitted</w:t>
            </w:r>
          </w:p>
        </w:tc>
        <w:tc>
          <w:tcPr>
            <w:tcW w:w="887" w:type="dxa"/>
            <w:noWrap/>
            <w:hideMark/>
          </w:tcPr>
          <w:p w14:paraId="5CBF2B4B" w14:textId="77777777" w:rsidR="00BD6027" w:rsidRPr="00EF58FF" w:rsidRDefault="00BD6027" w:rsidP="00FE5A0B">
            <w:r w:rsidRPr="00EF58FF">
              <w:t>E0</w:t>
            </w:r>
          </w:p>
        </w:tc>
      </w:tr>
      <w:tr w:rsidR="00BD6027" w:rsidRPr="00EF58FF" w14:paraId="5304AE12" w14:textId="77777777" w:rsidTr="00942D68">
        <w:trPr>
          <w:trHeight w:val="300"/>
        </w:trPr>
        <w:tc>
          <w:tcPr>
            <w:tcW w:w="1428" w:type="dxa"/>
            <w:hideMark/>
          </w:tcPr>
          <w:p w14:paraId="0FE43DBD" w14:textId="77777777" w:rsidR="00BD6027" w:rsidRPr="00EF58FF" w:rsidRDefault="00BD6027" w:rsidP="00FE5A0B">
            <w:r w:rsidRPr="00EF58FF">
              <w:t> </w:t>
            </w:r>
          </w:p>
        </w:tc>
        <w:tc>
          <w:tcPr>
            <w:tcW w:w="990" w:type="dxa"/>
            <w:noWrap/>
            <w:hideMark/>
          </w:tcPr>
          <w:p w14:paraId="422123E6" w14:textId="77777777" w:rsidR="00BD6027" w:rsidRPr="00EF58FF" w:rsidRDefault="00BD6027" w:rsidP="00FE5A0B">
            <w:r w:rsidRPr="00EF58FF">
              <w:t>II</w:t>
            </w:r>
          </w:p>
        </w:tc>
        <w:tc>
          <w:tcPr>
            <w:tcW w:w="3150" w:type="dxa"/>
            <w:noWrap/>
            <w:hideMark/>
          </w:tcPr>
          <w:p w14:paraId="0C6AF6CA" w14:textId="77777777" w:rsidR="00BD6027" w:rsidRPr="00EF58FF" w:rsidRDefault="00BD6027" w:rsidP="00FE5A0B">
            <w:r w:rsidRPr="00EF58FF">
              <w:t>30</w:t>
            </w:r>
            <w:r>
              <w:t xml:space="preserve"> g / 30 ml</w:t>
            </w:r>
          </w:p>
        </w:tc>
        <w:tc>
          <w:tcPr>
            <w:tcW w:w="2617" w:type="dxa"/>
            <w:noWrap/>
            <w:hideMark/>
          </w:tcPr>
          <w:p w14:paraId="7E8A5AC0" w14:textId="77777777" w:rsidR="00BD6027" w:rsidRPr="00EF58FF" w:rsidRDefault="00BD6027" w:rsidP="00FE5A0B">
            <w:r w:rsidRPr="00EF58FF">
              <w:t>500</w:t>
            </w:r>
            <w:r>
              <w:t xml:space="preserve"> g / 500 ml</w:t>
            </w:r>
          </w:p>
        </w:tc>
        <w:tc>
          <w:tcPr>
            <w:tcW w:w="887" w:type="dxa"/>
            <w:noWrap/>
            <w:hideMark/>
          </w:tcPr>
          <w:p w14:paraId="1CC880DF" w14:textId="77777777" w:rsidR="00BD6027" w:rsidRPr="00EF58FF" w:rsidRDefault="00BD6027" w:rsidP="00FE5A0B">
            <w:r w:rsidRPr="00EF58FF">
              <w:t>E2</w:t>
            </w:r>
          </w:p>
        </w:tc>
      </w:tr>
      <w:tr w:rsidR="00BD6027" w:rsidRPr="00EF58FF" w14:paraId="7F2582DB" w14:textId="77777777" w:rsidTr="00942D68">
        <w:trPr>
          <w:trHeight w:val="300"/>
        </w:trPr>
        <w:tc>
          <w:tcPr>
            <w:tcW w:w="1428" w:type="dxa"/>
            <w:hideMark/>
          </w:tcPr>
          <w:p w14:paraId="7596D82E" w14:textId="77777777" w:rsidR="00BD6027" w:rsidRPr="00EF58FF" w:rsidRDefault="00BD6027" w:rsidP="00FE5A0B">
            <w:r w:rsidRPr="00EF58FF">
              <w:t> </w:t>
            </w:r>
          </w:p>
        </w:tc>
        <w:tc>
          <w:tcPr>
            <w:tcW w:w="990" w:type="dxa"/>
            <w:noWrap/>
            <w:hideMark/>
          </w:tcPr>
          <w:p w14:paraId="36F04F47" w14:textId="77777777" w:rsidR="00BD6027" w:rsidRPr="00EF58FF" w:rsidRDefault="00BD6027" w:rsidP="00FE5A0B">
            <w:r w:rsidRPr="00EF58FF">
              <w:t>III</w:t>
            </w:r>
          </w:p>
        </w:tc>
        <w:tc>
          <w:tcPr>
            <w:tcW w:w="3150" w:type="dxa"/>
            <w:noWrap/>
            <w:hideMark/>
          </w:tcPr>
          <w:p w14:paraId="3C1E264B" w14:textId="77777777" w:rsidR="00BD6027" w:rsidRPr="00EF58FF" w:rsidRDefault="00BD6027" w:rsidP="00FE5A0B">
            <w:r w:rsidRPr="00EF58FF">
              <w:t>30</w:t>
            </w:r>
            <w:r>
              <w:t xml:space="preserve"> g / 30 ml</w:t>
            </w:r>
          </w:p>
        </w:tc>
        <w:tc>
          <w:tcPr>
            <w:tcW w:w="2617" w:type="dxa"/>
            <w:noWrap/>
            <w:hideMark/>
          </w:tcPr>
          <w:p w14:paraId="6BAFDA5E" w14:textId="77777777" w:rsidR="00BD6027" w:rsidRPr="00EF58FF" w:rsidRDefault="00BD6027" w:rsidP="00FE5A0B">
            <w:r w:rsidRPr="00EF58FF">
              <w:t>1000</w:t>
            </w:r>
            <w:r>
              <w:t xml:space="preserve"> g / 1000 ml</w:t>
            </w:r>
          </w:p>
        </w:tc>
        <w:tc>
          <w:tcPr>
            <w:tcW w:w="887" w:type="dxa"/>
            <w:noWrap/>
            <w:hideMark/>
          </w:tcPr>
          <w:p w14:paraId="54594128" w14:textId="77777777" w:rsidR="00BD6027" w:rsidRPr="00EF58FF" w:rsidRDefault="00BD6027" w:rsidP="00FE5A0B">
            <w:r w:rsidRPr="00EF58FF">
              <w:t>E1</w:t>
            </w:r>
          </w:p>
        </w:tc>
      </w:tr>
      <w:tr w:rsidR="00BD6027" w:rsidRPr="00EF58FF" w14:paraId="4C0C7910" w14:textId="77777777" w:rsidTr="00942D68">
        <w:trPr>
          <w:trHeight w:val="300"/>
        </w:trPr>
        <w:tc>
          <w:tcPr>
            <w:tcW w:w="1428" w:type="dxa"/>
            <w:hideMark/>
          </w:tcPr>
          <w:p w14:paraId="5D19F7E7" w14:textId="77777777" w:rsidR="00BD6027" w:rsidRPr="00EF58FF" w:rsidRDefault="00BD6027" w:rsidP="00FE5A0B">
            <w:pPr>
              <w:rPr>
                <w:vertAlign w:val="superscript"/>
              </w:rPr>
            </w:pPr>
            <w:r w:rsidRPr="00EF58FF">
              <w:t>9</w:t>
            </w:r>
            <w:r>
              <w:rPr>
                <w:vertAlign w:val="superscript"/>
              </w:rPr>
              <w:t>j</w:t>
            </w:r>
          </w:p>
        </w:tc>
        <w:tc>
          <w:tcPr>
            <w:tcW w:w="990" w:type="dxa"/>
            <w:noWrap/>
            <w:hideMark/>
          </w:tcPr>
          <w:p w14:paraId="48484BEF" w14:textId="77777777" w:rsidR="00BD6027" w:rsidRPr="00EF58FF" w:rsidRDefault="00BD6027" w:rsidP="00FE5A0B">
            <w:r w:rsidRPr="00EF58FF">
              <w:t>II</w:t>
            </w:r>
          </w:p>
        </w:tc>
        <w:tc>
          <w:tcPr>
            <w:tcW w:w="3150" w:type="dxa"/>
            <w:noWrap/>
            <w:hideMark/>
          </w:tcPr>
          <w:p w14:paraId="1895E2B3" w14:textId="77777777" w:rsidR="00BD6027" w:rsidRPr="00EF58FF" w:rsidRDefault="00BD6027" w:rsidP="00FE5A0B">
            <w:r w:rsidRPr="00EF58FF">
              <w:t>30</w:t>
            </w:r>
            <w:r>
              <w:t xml:space="preserve"> g / 30 ml</w:t>
            </w:r>
          </w:p>
        </w:tc>
        <w:tc>
          <w:tcPr>
            <w:tcW w:w="2617" w:type="dxa"/>
            <w:noWrap/>
            <w:hideMark/>
          </w:tcPr>
          <w:p w14:paraId="49269C75" w14:textId="77777777" w:rsidR="00BD6027" w:rsidRPr="00EF58FF" w:rsidRDefault="00BD6027" w:rsidP="00FE5A0B">
            <w:r w:rsidRPr="00EF58FF">
              <w:t>500</w:t>
            </w:r>
            <w:r>
              <w:t xml:space="preserve"> g / 500 ml</w:t>
            </w:r>
          </w:p>
        </w:tc>
        <w:tc>
          <w:tcPr>
            <w:tcW w:w="887" w:type="dxa"/>
            <w:noWrap/>
            <w:hideMark/>
          </w:tcPr>
          <w:p w14:paraId="694D0D84" w14:textId="77777777" w:rsidR="00BD6027" w:rsidRPr="00EF58FF" w:rsidRDefault="00BD6027" w:rsidP="00FE5A0B">
            <w:r w:rsidRPr="00EF58FF">
              <w:t>E2</w:t>
            </w:r>
          </w:p>
        </w:tc>
      </w:tr>
      <w:tr w:rsidR="00BD6027" w:rsidRPr="00EF58FF" w14:paraId="4F03149F" w14:textId="77777777" w:rsidTr="00942D68">
        <w:trPr>
          <w:trHeight w:val="300"/>
        </w:trPr>
        <w:tc>
          <w:tcPr>
            <w:tcW w:w="1428" w:type="dxa"/>
            <w:hideMark/>
          </w:tcPr>
          <w:p w14:paraId="158D3B2C" w14:textId="77777777" w:rsidR="00BD6027" w:rsidRPr="00EF58FF" w:rsidRDefault="00BD6027" w:rsidP="00FE5A0B">
            <w:r w:rsidRPr="00EF58FF">
              <w:t> </w:t>
            </w:r>
          </w:p>
        </w:tc>
        <w:tc>
          <w:tcPr>
            <w:tcW w:w="990" w:type="dxa"/>
            <w:noWrap/>
            <w:hideMark/>
          </w:tcPr>
          <w:p w14:paraId="6623D116" w14:textId="77777777" w:rsidR="00BD6027" w:rsidRPr="00EF58FF" w:rsidRDefault="00BD6027" w:rsidP="00FE5A0B">
            <w:r w:rsidRPr="00EF58FF">
              <w:t>III</w:t>
            </w:r>
          </w:p>
        </w:tc>
        <w:tc>
          <w:tcPr>
            <w:tcW w:w="3150" w:type="dxa"/>
            <w:noWrap/>
            <w:hideMark/>
          </w:tcPr>
          <w:p w14:paraId="07192B7D" w14:textId="77777777" w:rsidR="00BD6027" w:rsidRPr="00EF58FF" w:rsidRDefault="00BD6027" w:rsidP="00FE5A0B">
            <w:r w:rsidRPr="00EF58FF">
              <w:t>30</w:t>
            </w:r>
            <w:r>
              <w:t xml:space="preserve"> g / 30 ml</w:t>
            </w:r>
          </w:p>
        </w:tc>
        <w:tc>
          <w:tcPr>
            <w:tcW w:w="2617" w:type="dxa"/>
            <w:noWrap/>
            <w:hideMark/>
          </w:tcPr>
          <w:p w14:paraId="6BA5FC80" w14:textId="77777777" w:rsidR="00BD6027" w:rsidRPr="00EF58FF" w:rsidRDefault="00BD6027" w:rsidP="00FE5A0B">
            <w:r w:rsidRPr="00EF58FF">
              <w:t>1000</w:t>
            </w:r>
            <w:r>
              <w:t xml:space="preserve"> g / 1000 ml</w:t>
            </w:r>
          </w:p>
        </w:tc>
        <w:tc>
          <w:tcPr>
            <w:tcW w:w="887" w:type="dxa"/>
            <w:noWrap/>
            <w:hideMark/>
          </w:tcPr>
          <w:p w14:paraId="59D4AD24" w14:textId="77777777" w:rsidR="00BD6027" w:rsidRPr="00EF58FF" w:rsidRDefault="00BD6027" w:rsidP="00FE5A0B">
            <w:r w:rsidRPr="00EF58FF">
              <w:t>E1</w:t>
            </w:r>
          </w:p>
        </w:tc>
      </w:tr>
    </w:tbl>
    <w:p w14:paraId="3B4116D4" w14:textId="42DB733A" w:rsidR="00E620B8" w:rsidRPr="00E620B8" w:rsidRDefault="00E620B8" w:rsidP="00E620B8">
      <w:pPr>
        <w:pStyle w:val="SingleTxtG"/>
        <w:tabs>
          <w:tab w:val="left" w:pos="1418"/>
        </w:tabs>
        <w:spacing w:before="120"/>
        <w:rPr>
          <w:i/>
          <w:sz w:val="18"/>
          <w:szCs w:val="18"/>
          <w:lang w:val="en-US"/>
        </w:rPr>
      </w:pPr>
      <w:r w:rsidRPr="00E620B8">
        <w:rPr>
          <w:i/>
          <w:sz w:val="18"/>
          <w:szCs w:val="18"/>
        </w:rPr>
        <w:t>a</w:t>
      </w:r>
      <w:r w:rsidR="00EF425C">
        <w:rPr>
          <w:i/>
          <w:sz w:val="18"/>
          <w:szCs w:val="18"/>
        </w:rPr>
        <w:t>.</w:t>
      </w:r>
      <w:r w:rsidRPr="00E620B8">
        <w:rPr>
          <w:i/>
          <w:sz w:val="18"/>
          <w:szCs w:val="18"/>
        </w:rPr>
        <w:t xml:space="preserve"> </w:t>
      </w:r>
      <w:r>
        <w:rPr>
          <w:i/>
          <w:sz w:val="18"/>
          <w:szCs w:val="18"/>
        </w:rPr>
        <w:tab/>
      </w:r>
      <w:r w:rsidRPr="00E620B8">
        <w:rPr>
          <w:i/>
          <w:sz w:val="18"/>
          <w:szCs w:val="18"/>
        </w:rPr>
        <w:t xml:space="preserve">For gases, the volume indicated for inner </w:t>
      </w:r>
      <w:proofErr w:type="spellStart"/>
      <w:r w:rsidRPr="00E620B8">
        <w:rPr>
          <w:i/>
          <w:sz w:val="18"/>
          <w:szCs w:val="18"/>
        </w:rPr>
        <w:t>packagings</w:t>
      </w:r>
      <w:proofErr w:type="spellEnd"/>
      <w:r w:rsidRPr="00E620B8">
        <w:rPr>
          <w:i/>
          <w:sz w:val="18"/>
          <w:szCs w:val="18"/>
        </w:rPr>
        <w:t xml:space="preserve"> refers to the water capacity of the inner receptacle and the volume indicated for outer </w:t>
      </w:r>
      <w:proofErr w:type="spellStart"/>
      <w:r w:rsidRPr="00E620B8">
        <w:rPr>
          <w:i/>
          <w:sz w:val="18"/>
          <w:szCs w:val="18"/>
        </w:rPr>
        <w:t>packagings</w:t>
      </w:r>
      <w:proofErr w:type="spellEnd"/>
      <w:r w:rsidRPr="00E620B8">
        <w:rPr>
          <w:i/>
          <w:sz w:val="18"/>
          <w:szCs w:val="18"/>
        </w:rPr>
        <w:t xml:space="preserve"> refers to the combined water capacity of all inner </w:t>
      </w:r>
      <w:proofErr w:type="spellStart"/>
      <w:r w:rsidRPr="00E620B8">
        <w:rPr>
          <w:i/>
          <w:sz w:val="18"/>
          <w:szCs w:val="18"/>
        </w:rPr>
        <w:t>packagings</w:t>
      </w:r>
      <w:proofErr w:type="spellEnd"/>
      <w:r w:rsidRPr="00E620B8">
        <w:rPr>
          <w:i/>
          <w:sz w:val="18"/>
          <w:szCs w:val="18"/>
        </w:rPr>
        <w:t xml:space="preserve"> within a single outer package; </w:t>
      </w:r>
    </w:p>
    <w:p w14:paraId="4B15869A" w14:textId="77E0544E" w:rsidR="00E620B8" w:rsidRPr="00E620B8" w:rsidRDefault="00E620B8" w:rsidP="0038248E">
      <w:pPr>
        <w:pStyle w:val="SingleTxtG"/>
        <w:tabs>
          <w:tab w:val="left" w:pos="1418"/>
        </w:tabs>
        <w:spacing w:before="120"/>
        <w:rPr>
          <w:i/>
          <w:sz w:val="18"/>
          <w:szCs w:val="18"/>
          <w:lang w:val="en-US"/>
        </w:rPr>
      </w:pPr>
      <w:r w:rsidRPr="00E620B8">
        <w:rPr>
          <w:i/>
          <w:sz w:val="18"/>
          <w:szCs w:val="18"/>
        </w:rPr>
        <w:t>b</w:t>
      </w:r>
      <w:r w:rsidR="00EF425C">
        <w:rPr>
          <w:i/>
          <w:sz w:val="18"/>
          <w:szCs w:val="18"/>
        </w:rPr>
        <w:t>.</w:t>
      </w:r>
      <w:r w:rsidRPr="00E620B8">
        <w:rPr>
          <w:i/>
          <w:sz w:val="18"/>
          <w:szCs w:val="18"/>
        </w:rPr>
        <w:t xml:space="preserve"> </w:t>
      </w:r>
      <w:r w:rsidR="00863F15">
        <w:rPr>
          <w:i/>
          <w:sz w:val="18"/>
          <w:szCs w:val="18"/>
        </w:rPr>
        <w:tab/>
      </w:r>
      <w:r w:rsidRPr="00E620B8">
        <w:rPr>
          <w:i/>
          <w:sz w:val="18"/>
          <w:szCs w:val="18"/>
        </w:rPr>
        <w:t xml:space="preserve">Desensitized explosives and UN 3256 shall not be transported as excepted quantities; </w:t>
      </w:r>
    </w:p>
    <w:p w14:paraId="13D995A5" w14:textId="740F252D" w:rsidR="00E620B8" w:rsidRPr="00E620B8" w:rsidRDefault="00E620B8" w:rsidP="00863F15">
      <w:pPr>
        <w:pStyle w:val="SingleTxtG"/>
        <w:tabs>
          <w:tab w:val="left" w:pos="1418"/>
        </w:tabs>
        <w:rPr>
          <w:i/>
          <w:sz w:val="18"/>
          <w:szCs w:val="18"/>
          <w:lang w:val="en-US"/>
        </w:rPr>
      </w:pPr>
      <w:r w:rsidRPr="00E620B8">
        <w:rPr>
          <w:i/>
          <w:sz w:val="18"/>
          <w:szCs w:val="18"/>
        </w:rPr>
        <w:t>c</w:t>
      </w:r>
      <w:r w:rsidR="00EF425C">
        <w:rPr>
          <w:i/>
          <w:sz w:val="18"/>
          <w:szCs w:val="18"/>
        </w:rPr>
        <w:t>.</w:t>
      </w:r>
      <w:r w:rsidRPr="00E620B8">
        <w:rPr>
          <w:i/>
          <w:sz w:val="18"/>
          <w:szCs w:val="18"/>
        </w:rPr>
        <w:t xml:space="preserve"> </w:t>
      </w:r>
      <w:r w:rsidR="00863F15">
        <w:rPr>
          <w:i/>
          <w:sz w:val="18"/>
          <w:szCs w:val="18"/>
        </w:rPr>
        <w:tab/>
      </w:r>
      <w:proofErr w:type="spellStart"/>
      <w:r w:rsidRPr="00E620B8">
        <w:rPr>
          <w:i/>
          <w:sz w:val="18"/>
          <w:szCs w:val="18"/>
        </w:rPr>
        <w:t>Chlorosilanes</w:t>
      </w:r>
      <w:proofErr w:type="spellEnd"/>
      <w:r w:rsidRPr="00E620B8">
        <w:rPr>
          <w:i/>
          <w:sz w:val="18"/>
          <w:szCs w:val="18"/>
        </w:rPr>
        <w:t xml:space="preserve"> (UN Nos. 1162, 1196, 1250, 1298, 1305, 2985) shall not be transported as excepted </w:t>
      </w:r>
      <w:proofErr w:type="spellStart"/>
      <w:r w:rsidRPr="00E620B8">
        <w:rPr>
          <w:i/>
          <w:sz w:val="18"/>
          <w:szCs w:val="18"/>
        </w:rPr>
        <w:t>quantiti</w:t>
      </w:r>
      <w:r w:rsidRPr="00E620B8">
        <w:rPr>
          <w:i/>
          <w:sz w:val="18"/>
          <w:szCs w:val="18"/>
          <w:lang w:val="en-US"/>
        </w:rPr>
        <w:t>es</w:t>
      </w:r>
      <w:proofErr w:type="spellEnd"/>
      <w:r w:rsidRPr="00E620B8">
        <w:rPr>
          <w:i/>
          <w:sz w:val="18"/>
          <w:szCs w:val="18"/>
        </w:rPr>
        <w:t xml:space="preserve">. </w:t>
      </w:r>
    </w:p>
    <w:p w14:paraId="1D4E8A4C" w14:textId="04121E78" w:rsidR="00E620B8" w:rsidRPr="00E620B8" w:rsidRDefault="00E620B8" w:rsidP="00863F15">
      <w:pPr>
        <w:pStyle w:val="SingleTxtG"/>
        <w:tabs>
          <w:tab w:val="left" w:pos="1418"/>
        </w:tabs>
        <w:rPr>
          <w:i/>
          <w:sz w:val="18"/>
          <w:szCs w:val="18"/>
        </w:rPr>
      </w:pPr>
      <w:r w:rsidRPr="00E620B8">
        <w:rPr>
          <w:i/>
          <w:sz w:val="18"/>
          <w:szCs w:val="18"/>
        </w:rPr>
        <w:t>d</w:t>
      </w:r>
      <w:r w:rsidR="00EF425C">
        <w:rPr>
          <w:i/>
          <w:sz w:val="18"/>
          <w:szCs w:val="18"/>
        </w:rPr>
        <w:t>.</w:t>
      </w:r>
      <w:r w:rsidRPr="00E620B8">
        <w:rPr>
          <w:i/>
          <w:sz w:val="18"/>
          <w:szCs w:val="18"/>
        </w:rPr>
        <w:t xml:space="preserve"> </w:t>
      </w:r>
      <w:r w:rsidR="00863F15">
        <w:rPr>
          <w:i/>
          <w:sz w:val="18"/>
          <w:szCs w:val="18"/>
        </w:rPr>
        <w:tab/>
      </w:r>
      <w:r w:rsidRPr="00E620B8">
        <w:rPr>
          <w:i/>
          <w:sz w:val="18"/>
          <w:szCs w:val="18"/>
        </w:rPr>
        <w:t xml:space="preserve">Self-reactive substances, polymerizing substances, desensitized explosives, UN Nos. 2304, 2448, 3176 (molten substances), 3360 and 3527 shall not be transported as excepted quantities; </w:t>
      </w:r>
    </w:p>
    <w:p w14:paraId="691C57A7" w14:textId="4627A375" w:rsidR="00E620B8" w:rsidRPr="00E620B8" w:rsidRDefault="00E620B8" w:rsidP="00863F15">
      <w:pPr>
        <w:pStyle w:val="SingleTxtG"/>
        <w:tabs>
          <w:tab w:val="left" w:pos="1418"/>
        </w:tabs>
        <w:rPr>
          <w:i/>
          <w:sz w:val="18"/>
          <w:szCs w:val="18"/>
          <w:lang w:val="en-US"/>
        </w:rPr>
      </w:pPr>
      <w:proofErr w:type="gramStart"/>
      <w:r w:rsidRPr="00E620B8">
        <w:rPr>
          <w:i/>
          <w:sz w:val="18"/>
          <w:szCs w:val="18"/>
        </w:rPr>
        <w:t>e</w:t>
      </w:r>
      <w:proofErr w:type="gramEnd"/>
      <w:r w:rsidR="00EF425C">
        <w:rPr>
          <w:i/>
          <w:sz w:val="18"/>
          <w:szCs w:val="18"/>
        </w:rPr>
        <w:t>.</w:t>
      </w:r>
      <w:r w:rsidRPr="00E620B8">
        <w:rPr>
          <w:i/>
          <w:sz w:val="18"/>
          <w:szCs w:val="18"/>
        </w:rPr>
        <w:t xml:space="preserve"> </w:t>
      </w:r>
      <w:r w:rsidR="00863F15">
        <w:rPr>
          <w:i/>
          <w:sz w:val="18"/>
          <w:szCs w:val="18"/>
        </w:rPr>
        <w:tab/>
      </w:r>
      <w:r w:rsidRPr="00E620B8">
        <w:rPr>
          <w:i/>
          <w:sz w:val="18"/>
          <w:szCs w:val="18"/>
        </w:rPr>
        <w:t xml:space="preserve">Division 5.2 dangerous goods shall ONLY be transported as excepted quantities if in UN 3316, Chemical Kit or First Aid Kit; </w:t>
      </w:r>
    </w:p>
    <w:p w14:paraId="7F5B9DE5" w14:textId="79B68C61" w:rsidR="00E620B8" w:rsidRPr="00E620B8" w:rsidRDefault="00E620B8" w:rsidP="00863F15">
      <w:pPr>
        <w:pStyle w:val="SingleTxtG"/>
        <w:tabs>
          <w:tab w:val="left" w:pos="1418"/>
        </w:tabs>
        <w:rPr>
          <w:i/>
          <w:sz w:val="18"/>
          <w:szCs w:val="18"/>
        </w:rPr>
      </w:pPr>
      <w:proofErr w:type="gramStart"/>
      <w:r w:rsidRPr="00E620B8">
        <w:rPr>
          <w:i/>
          <w:sz w:val="18"/>
          <w:szCs w:val="18"/>
        </w:rPr>
        <w:lastRenderedPageBreak/>
        <w:t>f</w:t>
      </w:r>
      <w:r w:rsidR="00EF425C">
        <w:rPr>
          <w:i/>
          <w:sz w:val="18"/>
          <w:szCs w:val="18"/>
        </w:rPr>
        <w:t>.</w:t>
      </w:r>
      <w:r w:rsidRPr="00E620B8">
        <w:rPr>
          <w:i/>
          <w:sz w:val="18"/>
          <w:szCs w:val="18"/>
        </w:rPr>
        <w:t xml:space="preserve"> </w:t>
      </w:r>
      <w:r w:rsidR="00863F15">
        <w:rPr>
          <w:i/>
          <w:sz w:val="18"/>
          <w:szCs w:val="18"/>
        </w:rPr>
        <w:tab/>
      </w:r>
      <w:r w:rsidRPr="00E620B8">
        <w:rPr>
          <w:i/>
          <w:sz w:val="18"/>
          <w:szCs w:val="18"/>
        </w:rPr>
        <w:t>UN</w:t>
      </w:r>
      <w:proofErr w:type="gramEnd"/>
      <w:r w:rsidRPr="00E620B8">
        <w:rPr>
          <w:i/>
          <w:sz w:val="18"/>
          <w:szCs w:val="18"/>
        </w:rPr>
        <w:t xml:space="preserve"> Nos. 1600, 2312 and 3250 (molten substances) shall not be transported as excepted quantities; </w:t>
      </w:r>
    </w:p>
    <w:p w14:paraId="78C56089" w14:textId="6B344D03" w:rsidR="00E620B8" w:rsidRPr="00E620B8" w:rsidRDefault="00E620B8" w:rsidP="00863F15">
      <w:pPr>
        <w:pStyle w:val="SingleTxtG"/>
        <w:tabs>
          <w:tab w:val="left" w:pos="1418"/>
        </w:tabs>
        <w:rPr>
          <w:i/>
          <w:sz w:val="18"/>
          <w:szCs w:val="18"/>
        </w:rPr>
      </w:pPr>
      <w:r w:rsidRPr="00E620B8">
        <w:rPr>
          <w:i/>
          <w:sz w:val="18"/>
          <w:szCs w:val="18"/>
        </w:rPr>
        <w:t>g</w:t>
      </w:r>
      <w:r w:rsidR="00EF425C">
        <w:rPr>
          <w:i/>
          <w:sz w:val="18"/>
          <w:szCs w:val="18"/>
        </w:rPr>
        <w:t>.</w:t>
      </w:r>
      <w:r w:rsidRPr="00E620B8">
        <w:rPr>
          <w:i/>
          <w:sz w:val="18"/>
          <w:szCs w:val="18"/>
        </w:rPr>
        <w:t xml:space="preserve"> </w:t>
      </w:r>
      <w:r w:rsidR="00863F15">
        <w:rPr>
          <w:i/>
          <w:sz w:val="18"/>
          <w:szCs w:val="18"/>
        </w:rPr>
        <w:tab/>
      </w:r>
      <w:proofErr w:type="spellStart"/>
      <w:r w:rsidRPr="00E620B8">
        <w:rPr>
          <w:i/>
          <w:sz w:val="18"/>
          <w:szCs w:val="18"/>
        </w:rPr>
        <w:t>Chlorosilanes</w:t>
      </w:r>
      <w:proofErr w:type="spellEnd"/>
      <w:r w:rsidRPr="00E620B8">
        <w:rPr>
          <w:i/>
          <w:sz w:val="18"/>
          <w:szCs w:val="18"/>
        </w:rPr>
        <w:t xml:space="preserve"> (UN Nos. 3361, 3362) shall not be transported as excepted quantities</w:t>
      </w:r>
      <w:r w:rsidRPr="00E620B8">
        <w:rPr>
          <w:i/>
          <w:sz w:val="18"/>
          <w:szCs w:val="18"/>
          <w:lang w:val="en-US"/>
        </w:rPr>
        <w:t>;</w:t>
      </w:r>
      <w:r w:rsidRPr="00E620B8">
        <w:rPr>
          <w:i/>
          <w:sz w:val="18"/>
          <w:szCs w:val="18"/>
        </w:rPr>
        <w:t xml:space="preserve"> </w:t>
      </w:r>
    </w:p>
    <w:p w14:paraId="47155BD5" w14:textId="507B5BF5" w:rsidR="00E620B8" w:rsidRPr="00E620B8" w:rsidRDefault="00E620B8" w:rsidP="00863F15">
      <w:pPr>
        <w:pStyle w:val="SingleTxtG"/>
        <w:tabs>
          <w:tab w:val="left" w:pos="1418"/>
        </w:tabs>
        <w:rPr>
          <w:i/>
          <w:sz w:val="18"/>
          <w:szCs w:val="18"/>
        </w:rPr>
      </w:pPr>
      <w:proofErr w:type="gramStart"/>
      <w:r w:rsidRPr="00E620B8">
        <w:rPr>
          <w:i/>
          <w:sz w:val="18"/>
          <w:szCs w:val="18"/>
        </w:rPr>
        <w:t>h</w:t>
      </w:r>
      <w:r w:rsidR="00EF425C">
        <w:rPr>
          <w:i/>
          <w:sz w:val="18"/>
          <w:szCs w:val="18"/>
        </w:rPr>
        <w:t>.</w:t>
      </w:r>
      <w:r w:rsidRPr="00E620B8">
        <w:rPr>
          <w:i/>
          <w:sz w:val="18"/>
          <w:szCs w:val="18"/>
        </w:rPr>
        <w:t xml:space="preserve"> </w:t>
      </w:r>
      <w:r w:rsidR="00863F15">
        <w:rPr>
          <w:i/>
          <w:sz w:val="18"/>
          <w:szCs w:val="18"/>
        </w:rPr>
        <w:tab/>
      </w:r>
      <w:r w:rsidRPr="00E620B8">
        <w:rPr>
          <w:i/>
          <w:sz w:val="18"/>
          <w:szCs w:val="18"/>
        </w:rPr>
        <w:t>UN</w:t>
      </w:r>
      <w:proofErr w:type="gramEnd"/>
      <w:r w:rsidRPr="00E620B8">
        <w:rPr>
          <w:i/>
          <w:sz w:val="18"/>
          <w:szCs w:val="18"/>
        </w:rPr>
        <w:t xml:space="preserve"> Nos. 2215 (molten), 2576, 2803 and 2809 shall not be transported as excepted quantities; </w:t>
      </w:r>
    </w:p>
    <w:p w14:paraId="1970E228" w14:textId="2783A730" w:rsidR="00E620B8" w:rsidRPr="00E620B8" w:rsidRDefault="00E620B8" w:rsidP="00863F15">
      <w:pPr>
        <w:pStyle w:val="SingleTxtG"/>
        <w:tabs>
          <w:tab w:val="left" w:pos="1418"/>
        </w:tabs>
        <w:rPr>
          <w:i/>
          <w:sz w:val="18"/>
          <w:szCs w:val="18"/>
        </w:rPr>
      </w:pPr>
      <w:proofErr w:type="spellStart"/>
      <w:r w:rsidRPr="00E620B8">
        <w:rPr>
          <w:i/>
          <w:sz w:val="18"/>
          <w:szCs w:val="18"/>
        </w:rPr>
        <w:t>i</w:t>
      </w:r>
      <w:proofErr w:type="spellEnd"/>
      <w:r w:rsidR="00EF425C">
        <w:rPr>
          <w:i/>
          <w:sz w:val="18"/>
          <w:szCs w:val="18"/>
        </w:rPr>
        <w:t>.</w:t>
      </w:r>
      <w:r w:rsidRPr="00E620B8">
        <w:rPr>
          <w:i/>
          <w:sz w:val="18"/>
          <w:szCs w:val="18"/>
        </w:rPr>
        <w:t xml:space="preserve"> </w:t>
      </w:r>
      <w:r w:rsidR="00863F15">
        <w:rPr>
          <w:i/>
          <w:sz w:val="18"/>
          <w:szCs w:val="18"/>
        </w:rPr>
        <w:tab/>
      </w:r>
      <w:proofErr w:type="spellStart"/>
      <w:r w:rsidRPr="00E620B8">
        <w:rPr>
          <w:i/>
          <w:sz w:val="18"/>
          <w:szCs w:val="18"/>
        </w:rPr>
        <w:t>Chlorosilanes</w:t>
      </w:r>
      <w:proofErr w:type="spellEnd"/>
      <w:r w:rsidRPr="00E620B8">
        <w:rPr>
          <w:i/>
          <w:sz w:val="18"/>
          <w:szCs w:val="18"/>
        </w:rPr>
        <w:t xml:space="preserve"> (UN Nos. 1724, 1728, 1747, 1753, 1762, 1763, 1766, 1767, 1769, 1771, 1781, 1784, 1799, 1800, 1801, 1804, 1816, 1818, 2434, 2435, 2437, 2986, 2987) shall not be transported as excepted quantities.</w:t>
      </w:r>
    </w:p>
    <w:p w14:paraId="1AA0E1F7" w14:textId="00B1A679" w:rsidR="00E620B8" w:rsidRPr="00E620B8" w:rsidRDefault="00E620B8" w:rsidP="00863F15">
      <w:pPr>
        <w:pStyle w:val="SingleTxtG"/>
        <w:tabs>
          <w:tab w:val="left" w:pos="1418"/>
        </w:tabs>
        <w:rPr>
          <w:i/>
          <w:sz w:val="18"/>
          <w:szCs w:val="18"/>
          <w:lang w:val="en-US"/>
        </w:rPr>
      </w:pPr>
      <w:r w:rsidRPr="00E620B8">
        <w:rPr>
          <w:i/>
          <w:sz w:val="18"/>
          <w:szCs w:val="18"/>
        </w:rPr>
        <w:t>j</w:t>
      </w:r>
      <w:r w:rsidR="00EF425C">
        <w:rPr>
          <w:i/>
          <w:sz w:val="18"/>
          <w:szCs w:val="18"/>
        </w:rPr>
        <w:t>.</w:t>
      </w:r>
      <w:r w:rsidRPr="00E620B8">
        <w:rPr>
          <w:i/>
          <w:sz w:val="18"/>
          <w:szCs w:val="18"/>
        </w:rPr>
        <w:t xml:space="preserve"> </w:t>
      </w:r>
      <w:r w:rsidR="00863F15">
        <w:rPr>
          <w:i/>
          <w:sz w:val="18"/>
          <w:szCs w:val="18"/>
        </w:rPr>
        <w:tab/>
      </w:r>
      <w:r w:rsidRPr="00E620B8">
        <w:rPr>
          <w:i/>
          <w:sz w:val="18"/>
          <w:szCs w:val="18"/>
        </w:rPr>
        <w:t xml:space="preserve">Code E1 applies for UN Nos. 3334 and 3335. UN Nos. 1845, 2807, 3245, 3257 and 3258 shall not be transported as excepted quantities; </w:t>
      </w:r>
    </w:p>
    <w:p w14:paraId="29097482" w14:textId="3A4C0EC1" w:rsidR="00E620B8" w:rsidRPr="00E620B8" w:rsidRDefault="00E620B8" w:rsidP="00863F15">
      <w:pPr>
        <w:pStyle w:val="SingleTxtG"/>
        <w:tabs>
          <w:tab w:val="left" w:pos="1418"/>
        </w:tabs>
        <w:rPr>
          <w:i/>
          <w:sz w:val="18"/>
          <w:szCs w:val="18"/>
        </w:rPr>
      </w:pPr>
      <w:r w:rsidRPr="00E620B8">
        <w:rPr>
          <w:i/>
          <w:sz w:val="18"/>
          <w:szCs w:val="18"/>
        </w:rPr>
        <w:t>k</w:t>
      </w:r>
      <w:r w:rsidR="00EF425C">
        <w:rPr>
          <w:i/>
          <w:sz w:val="18"/>
          <w:szCs w:val="18"/>
        </w:rPr>
        <w:t>.</w:t>
      </w:r>
      <w:bookmarkStart w:id="0" w:name="_GoBack"/>
      <w:bookmarkEnd w:id="0"/>
      <w:r w:rsidRPr="00E620B8">
        <w:rPr>
          <w:i/>
          <w:sz w:val="18"/>
          <w:szCs w:val="18"/>
        </w:rPr>
        <w:t xml:space="preserve"> </w:t>
      </w:r>
      <w:r w:rsidR="00863F15">
        <w:rPr>
          <w:i/>
          <w:sz w:val="18"/>
          <w:szCs w:val="18"/>
        </w:rPr>
        <w:tab/>
      </w:r>
      <w:r w:rsidRPr="00E620B8">
        <w:rPr>
          <w:i/>
          <w:sz w:val="18"/>
          <w:szCs w:val="18"/>
        </w:rPr>
        <w:t>These are substances which are assigned Special Provision 354 in column (6) of the Dangerous Goods List and “TOXIC BY INHALATION” N.O.S entries.</w:t>
      </w:r>
    </w:p>
    <w:p w14:paraId="6AC76668" w14:textId="77777777" w:rsidR="00E620B8" w:rsidRPr="00863F15" w:rsidRDefault="00E620B8" w:rsidP="00863F15">
      <w:pPr>
        <w:pStyle w:val="SingleTxtG"/>
      </w:pPr>
      <w:r w:rsidRPr="00863F15">
        <w:t>The meaning of the Codes in the Table above is explained in 3.5.1 of the Model Regulations.</w:t>
      </w:r>
    </w:p>
    <w:p w14:paraId="52B29FF2" w14:textId="5123945C" w:rsidR="007A165C" w:rsidRPr="00863F15" w:rsidRDefault="00863F15" w:rsidP="00863F15">
      <w:pPr>
        <w:pStyle w:val="SingleTxtG"/>
        <w:spacing w:before="240" w:after="0"/>
        <w:jc w:val="center"/>
        <w:rPr>
          <w:i/>
          <w:sz w:val="18"/>
          <w:szCs w:val="18"/>
          <w:u w:val="single"/>
        </w:rPr>
      </w:pPr>
      <w:r w:rsidRPr="00863F15">
        <w:rPr>
          <w:i/>
          <w:sz w:val="18"/>
          <w:szCs w:val="18"/>
          <w:u w:val="single"/>
        </w:rPr>
        <w:tab/>
      </w:r>
      <w:r w:rsidRPr="00863F15">
        <w:rPr>
          <w:i/>
          <w:sz w:val="18"/>
          <w:szCs w:val="18"/>
          <w:u w:val="single"/>
        </w:rPr>
        <w:tab/>
      </w:r>
      <w:r w:rsidRPr="00863F15">
        <w:rPr>
          <w:i/>
          <w:sz w:val="18"/>
          <w:szCs w:val="18"/>
          <w:u w:val="single"/>
        </w:rPr>
        <w:tab/>
      </w:r>
    </w:p>
    <w:p w14:paraId="29AEF9DB" w14:textId="77777777" w:rsidR="007A165C" w:rsidRPr="00E620B8" w:rsidRDefault="007A165C" w:rsidP="00E620B8">
      <w:pPr>
        <w:pStyle w:val="SingleTxtG"/>
        <w:rPr>
          <w:b/>
          <w:i/>
          <w:sz w:val="18"/>
          <w:szCs w:val="18"/>
        </w:rPr>
      </w:pPr>
    </w:p>
    <w:p w14:paraId="38B41276" w14:textId="77777777" w:rsidR="007A165C" w:rsidRPr="00E620B8" w:rsidRDefault="007A165C" w:rsidP="00E620B8">
      <w:pPr>
        <w:pStyle w:val="SingleTxtG"/>
        <w:rPr>
          <w:b/>
          <w:i/>
          <w:sz w:val="18"/>
          <w:szCs w:val="18"/>
        </w:rPr>
      </w:pPr>
    </w:p>
    <w:p w14:paraId="6F3512C7" w14:textId="77777777" w:rsidR="007A165C" w:rsidRPr="00E620B8" w:rsidRDefault="007A165C" w:rsidP="00E620B8">
      <w:pPr>
        <w:pStyle w:val="SingleTxtG"/>
        <w:rPr>
          <w:b/>
          <w:i/>
          <w:sz w:val="18"/>
          <w:szCs w:val="18"/>
        </w:rPr>
      </w:pPr>
    </w:p>
    <w:p w14:paraId="621E5B4B" w14:textId="77777777" w:rsidR="007A165C" w:rsidRPr="00E620B8" w:rsidRDefault="007A165C" w:rsidP="00E620B8">
      <w:pPr>
        <w:pStyle w:val="SingleTxtG"/>
        <w:rPr>
          <w:b/>
          <w:i/>
          <w:sz w:val="18"/>
          <w:szCs w:val="18"/>
        </w:rPr>
      </w:pPr>
    </w:p>
    <w:p w14:paraId="41A147F4" w14:textId="77777777" w:rsidR="007A165C" w:rsidRPr="00E620B8" w:rsidRDefault="007A165C" w:rsidP="00E620B8">
      <w:pPr>
        <w:pStyle w:val="SingleTxtG"/>
        <w:rPr>
          <w:b/>
          <w:i/>
          <w:sz w:val="18"/>
          <w:szCs w:val="18"/>
        </w:rPr>
      </w:pPr>
    </w:p>
    <w:p w14:paraId="63523135" w14:textId="77777777" w:rsidR="007A165C" w:rsidRPr="00E620B8" w:rsidRDefault="007A165C" w:rsidP="00E620B8">
      <w:pPr>
        <w:pStyle w:val="SingleTxtG"/>
        <w:rPr>
          <w:b/>
          <w:i/>
          <w:sz w:val="18"/>
          <w:szCs w:val="18"/>
        </w:rPr>
      </w:pPr>
    </w:p>
    <w:p w14:paraId="6336A8BA" w14:textId="77777777" w:rsidR="007A165C" w:rsidRPr="00E620B8" w:rsidRDefault="007A165C" w:rsidP="00E620B8">
      <w:pPr>
        <w:pStyle w:val="SingleTxtG"/>
        <w:rPr>
          <w:b/>
          <w:i/>
          <w:sz w:val="18"/>
          <w:szCs w:val="18"/>
        </w:rPr>
      </w:pPr>
    </w:p>
    <w:p w14:paraId="42F3C5AE" w14:textId="77777777" w:rsidR="007A165C" w:rsidRDefault="007A165C" w:rsidP="002C4A98">
      <w:pPr>
        <w:pStyle w:val="NormalWeb"/>
        <w:rPr>
          <w:b/>
          <w:sz w:val="20"/>
          <w:szCs w:val="20"/>
        </w:rPr>
      </w:pPr>
    </w:p>
    <w:p w14:paraId="1CF38372" w14:textId="77777777" w:rsidR="007A165C" w:rsidRDefault="007A165C" w:rsidP="002C4A98">
      <w:pPr>
        <w:pStyle w:val="NormalWeb"/>
        <w:rPr>
          <w:b/>
          <w:sz w:val="20"/>
          <w:szCs w:val="20"/>
        </w:rPr>
      </w:pPr>
    </w:p>
    <w:p w14:paraId="45068115" w14:textId="77777777" w:rsidR="007A165C" w:rsidRPr="007A165C" w:rsidRDefault="007A165C" w:rsidP="002C4A98">
      <w:pPr>
        <w:pStyle w:val="NormalWeb"/>
        <w:rPr>
          <w:b/>
          <w:sz w:val="20"/>
          <w:szCs w:val="20"/>
        </w:rPr>
      </w:pPr>
    </w:p>
    <w:sectPr w:rsidR="007A165C" w:rsidRPr="007A165C" w:rsidSect="0005570C">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FF73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833D6" w14:textId="77777777" w:rsidR="000A3BAC" w:rsidRDefault="000A3BAC"/>
  </w:endnote>
  <w:endnote w:type="continuationSeparator" w:id="0">
    <w:p w14:paraId="24724015" w14:textId="77777777" w:rsidR="000A3BAC" w:rsidRDefault="000A3BAC"/>
  </w:endnote>
  <w:endnote w:type="continuationNotice" w:id="1">
    <w:p w14:paraId="02FF7B56" w14:textId="77777777" w:rsidR="000A3BAC" w:rsidRDefault="000A3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2E072" w14:textId="77777777" w:rsidR="000E2C66" w:rsidRPr="00796B95" w:rsidRDefault="000E2C66"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EF425C">
      <w:rPr>
        <w:b/>
        <w:noProof/>
        <w:sz w:val="18"/>
      </w:rPr>
      <w:t>4</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E2D97" w14:textId="77777777" w:rsidR="000E2C66" w:rsidRPr="0005570C" w:rsidRDefault="000E2C66"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EF425C">
      <w:rPr>
        <w:b/>
        <w:noProof/>
        <w:sz w:val="18"/>
      </w:rPr>
      <w:t>3</w:t>
    </w:r>
    <w:r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DB0C" w14:textId="77777777" w:rsidR="008E43EE" w:rsidRDefault="008E4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706B2" w14:textId="77777777" w:rsidR="000A3BAC" w:rsidRPr="000B175B" w:rsidRDefault="000A3BAC" w:rsidP="000B175B">
      <w:pPr>
        <w:tabs>
          <w:tab w:val="right" w:pos="2155"/>
        </w:tabs>
        <w:spacing w:after="80"/>
        <w:ind w:left="680"/>
        <w:rPr>
          <w:u w:val="single"/>
        </w:rPr>
      </w:pPr>
      <w:r>
        <w:rPr>
          <w:u w:val="single"/>
        </w:rPr>
        <w:tab/>
      </w:r>
    </w:p>
  </w:footnote>
  <w:footnote w:type="continuationSeparator" w:id="0">
    <w:p w14:paraId="4250858D" w14:textId="77777777" w:rsidR="000A3BAC" w:rsidRPr="00FC68B7" w:rsidRDefault="000A3BAC" w:rsidP="00FC68B7">
      <w:pPr>
        <w:tabs>
          <w:tab w:val="left" w:pos="2155"/>
        </w:tabs>
        <w:spacing w:after="80"/>
        <w:ind w:left="680"/>
        <w:rPr>
          <w:u w:val="single"/>
        </w:rPr>
      </w:pPr>
      <w:r>
        <w:rPr>
          <w:u w:val="single"/>
        </w:rPr>
        <w:tab/>
      </w:r>
    </w:p>
  </w:footnote>
  <w:footnote w:type="continuationNotice" w:id="1">
    <w:p w14:paraId="3EF6404A" w14:textId="77777777" w:rsidR="000A3BAC" w:rsidRDefault="000A3BAC"/>
  </w:footnote>
  <w:footnote w:id="2">
    <w:p w14:paraId="56B1DB59" w14:textId="29EBC036" w:rsidR="007A165C" w:rsidRPr="007A165C" w:rsidRDefault="007A165C" w:rsidP="007A165C">
      <w:pPr>
        <w:pStyle w:val="FootnoteText"/>
        <w:tabs>
          <w:tab w:val="left" w:pos="1418"/>
        </w:tabs>
        <w:ind w:firstLine="0"/>
        <w:rPr>
          <w:lang w:val="fr-CH"/>
        </w:rPr>
      </w:pPr>
      <w:r>
        <w:rPr>
          <w:rStyle w:val="FootnoteReference"/>
        </w:rPr>
        <w:footnoteRef/>
      </w:r>
      <w:r>
        <w:t xml:space="preserve"> </w:t>
      </w:r>
      <w:r>
        <w:tab/>
      </w:r>
      <w:r w:rsidRPr="00DB63BF">
        <w:t>In accordance with the programme of work of the Sub-Committee for 2015–2016 approved by the Committee at its seventh session (see ST/SG/AC.10/C.3/92, paragraph 95 and ST/SG/AC.10/42, para. 15).</w:t>
      </w:r>
    </w:p>
  </w:footnote>
  <w:footnote w:id="3">
    <w:p w14:paraId="054F533B" w14:textId="6FF5BDAE" w:rsidR="00076DF0" w:rsidRPr="00076DF0" w:rsidRDefault="00076DF0" w:rsidP="00076DF0">
      <w:pPr>
        <w:pStyle w:val="FootnoteText"/>
        <w:tabs>
          <w:tab w:val="left" w:pos="1418"/>
        </w:tabs>
        <w:ind w:firstLine="0"/>
        <w:rPr>
          <w:lang w:val="fr-CH"/>
        </w:rPr>
      </w:pPr>
      <w:r>
        <w:rPr>
          <w:rStyle w:val="FootnoteReference"/>
        </w:rPr>
        <w:footnoteRef/>
      </w:r>
      <w:r>
        <w:rPr>
          <w:lang w:val="en-US"/>
        </w:rPr>
        <w:tab/>
        <w:t>Prior to the adoption of the E-Code system by the Sub-Committee, the ICAO Technical Instructions contained a Chapter specific to excepted quantities that identified the materials authorized for transport as excepted quantities and the appropriate inner and outer packaging limits based on their hazard class and Packing Group.  See Part 1</w:t>
      </w:r>
      <w:proofErr w:type="gramStart"/>
      <w:r>
        <w:rPr>
          <w:lang w:val="en-US"/>
        </w:rPr>
        <w:t>;2.4</w:t>
      </w:r>
      <w:proofErr w:type="gramEnd"/>
      <w:r>
        <w:rPr>
          <w:lang w:val="en-US"/>
        </w:rPr>
        <w:t xml:space="preserve"> of the 2005-2006 ICAO TI (reproduced in informal document  INF.6).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7222E" w14:textId="3C8EFAE8" w:rsidR="000E2C66" w:rsidRPr="00144AAA" w:rsidRDefault="008E43EE" w:rsidP="00943FE0">
    <w:pPr>
      <w:pStyle w:val="Header"/>
      <w:rPr>
        <w:lang w:val="fr-CH"/>
      </w:rPr>
    </w:pPr>
    <w:r>
      <w:rPr>
        <w:lang w:val="fr-CH"/>
      </w:rPr>
      <w:t>ST/SG/AC.10/C.3/2016/78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3287E" w14:textId="5887CE5D" w:rsidR="000E2C66" w:rsidRPr="0005570C" w:rsidRDefault="008E43EE" w:rsidP="0005570C">
    <w:pPr>
      <w:pStyle w:val="Header"/>
      <w:jc w:val="right"/>
    </w:pPr>
    <w:r>
      <w:t>ST/SG/AC.10/C.3/2016/78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3F98B" w14:textId="77777777" w:rsidR="008E43EE" w:rsidRDefault="008E4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36228E"/>
    <w:multiLevelType w:val="multilevel"/>
    <w:tmpl w:val="A8C89ADC"/>
    <w:styleLink w:val="WWNum33"/>
    <w:lvl w:ilvl="0">
      <w:start w:val="3"/>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605E62"/>
    <w:multiLevelType w:val="hybridMultilevel"/>
    <w:tmpl w:val="2D461DBE"/>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7"/>
  </w:num>
  <w:num w:numId="15">
    <w:abstractNumId w:val="12"/>
  </w:num>
  <w:num w:numId="16">
    <w:abstractNumId w:val="11"/>
  </w:num>
  <w:num w:numId="17">
    <w:abstractNumId w:val="14"/>
  </w:num>
  <w:num w:numId="18">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mata, Akiko (AGAH)">
    <w15:presenceInfo w15:providerId="AD" w15:userId="S-1-5-21-2107199734-1002509562-578033828-27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0DDE"/>
    <w:rsid w:val="00004B0B"/>
    <w:rsid w:val="00006600"/>
    <w:rsid w:val="000105B7"/>
    <w:rsid w:val="00010DB3"/>
    <w:rsid w:val="00015A1E"/>
    <w:rsid w:val="00016B1F"/>
    <w:rsid w:val="00017803"/>
    <w:rsid w:val="00017BA6"/>
    <w:rsid w:val="0002650A"/>
    <w:rsid w:val="00027F2A"/>
    <w:rsid w:val="0003260B"/>
    <w:rsid w:val="000405CD"/>
    <w:rsid w:val="00044167"/>
    <w:rsid w:val="000458D9"/>
    <w:rsid w:val="0005011F"/>
    <w:rsid w:val="00050F6B"/>
    <w:rsid w:val="0005111B"/>
    <w:rsid w:val="0005570C"/>
    <w:rsid w:val="00055F9B"/>
    <w:rsid w:val="000637F6"/>
    <w:rsid w:val="00064F24"/>
    <w:rsid w:val="00067357"/>
    <w:rsid w:val="00067C1A"/>
    <w:rsid w:val="000719CE"/>
    <w:rsid w:val="00071BC5"/>
    <w:rsid w:val="000726F2"/>
    <w:rsid w:val="00072C8C"/>
    <w:rsid w:val="000732CC"/>
    <w:rsid w:val="00073E97"/>
    <w:rsid w:val="00075FC1"/>
    <w:rsid w:val="00076DF0"/>
    <w:rsid w:val="0007718E"/>
    <w:rsid w:val="000814A8"/>
    <w:rsid w:val="00084E4E"/>
    <w:rsid w:val="000856F2"/>
    <w:rsid w:val="00085EF6"/>
    <w:rsid w:val="000869B4"/>
    <w:rsid w:val="00086BA4"/>
    <w:rsid w:val="00091419"/>
    <w:rsid w:val="00092DE4"/>
    <w:rsid w:val="000931C0"/>
    <w:rsid w:val="000950E9"/>
    <w:rsid w:val="00097A34"/>
    <w:rsid w:val="000A0405"/>
    <w:rsid w:val="000A2E07"/>
    <w:rsid w:val="000A3ADF"/>
    <w:rsid w:val="000A3BAC"/>
    <w:rsid w:val="000A4318"/>
    <w:rsid w:val="000A4D30"/>
    <w:rsid w:val="000A607C"/>
    <w:rsid w:val="000A71A2"/>
    <w:rsid w:val="000B175B"/>
    <w:rsid w:val="000B2276"/>
    <w:rsid w:val="000B265A"/>
    <w:rsid w:val="000B3A0F"/>
    <w:rsid w:val="000B3B18"/>
    <w:rsid w:val="000B4BFA"/>
    <w:rsid w:val="000B4E5A"/>
    <w:rsid w:val="000B5ECB"/>
    <w:rsid w:val="000B7325"/>
    <w:rsid w:val="000C1E69"/>
    <w:rsid w:val="000D0BAD"/>
    <w:rsid w:val="000D29F2"/>
    <w:rsid w:val="000D43C8"/>
    <w:rsid w:val="000E0415"/>
    <w:rsid w:val="000E049A"/>
    <w:rsid w:val="000E27B4"/>
    <w:rsid w:val="000E2C66"/>
    <w:rsid w:val="000E572A"/>
    <w:rsid w:val="000F0909"/>
    <w:rsid w:val="000F143A"/>
    <w:rsid w:val="000F1D1F"/>
    <w:rsid w:val="000F5FF7"/>
    <w:rsid w:val="000F6429"/>
    <w:rsid w:val="00101C9D"/>
    <w:rsid w:val="00103C0E"/>
    <w:rsid w:val="00114E72"/>
    <w:rsid w:val="00117787"/>
    <w:rsid w:val="0011790C"/>
    <w:rsid w:val="00120F5D"/>
    <w:rsid w:val="00121A56"/>
    <w:rsid w:val="0012297A"/>
    <w:rsid w:val="00125758"/>
    <w:rsid w:val="00125775"/>
    <w:rsid w:val="001266BA"/>
    <w:rsid w:val="00131D42"/>
    <w:rsid w:val="0013618E"/>
    <w:rsid w:val="0014496C"/>
    <w:rsid w:val="00144AAA"/>
    <w:rsid w:val="00144FC4"/>
    <w:rsid w:val="00155B06"/>
    <w:rsid w:val="0015653A"/>
    <w:rsid w:val="0015736D"/>
    <w:rsid w:val="00157BBD"/>
    <w:rsid w:val="0016063F"/>
    <w:rsid w:val="00160BC1"/>
    <w:rsid w:val="001633FB"/>
    <w:rsid w:val="00166B07"/>
    <w:rsid w:val="00177434"/>
    <w:rsid w:val="00187869"/>
    <w:rsid w:val="00190361"/>
    <w:rsid w:val="0019061B"/>
    <w:rsid w:val="00190691"/>
    <w:rsid w:val="00191BE2"/>
    <w:rsid w:val="00193093"/>
    <w:rsid w:val="001967AB"/>
    <w:rsid w:val="001A6691"/>
    <w:rsid w:val="001B0DDE"/>
    <w:rsid w:val="001B10FC"/>
    <w:rsid w:val="001B4B04"/>
    <w:rsid w:val="001B574E"/>
    <w:rsid w:val="001C6663"/>
    <w:rsid w:val="001C7895"/>
    <w:rsid w:val="001D0C12"/>
    <w:rsid w:val="001D0E77"/>
    <w:rsid w:val="001D26DF"/>
    <w:rsid w:val="001D2FDC"/>
    <w:rsid w:val="001D2FE8"/>
    <w:rsid w:val="001E3023"/>
    <w:rsid w:val="001F1227"/>
    <w:rsid w:val="001F15BF"/>
    <w:rsid w:val="001F57B4"/>
    <w:rsid w:val="002059C0"/>
    <w:rsid w:val="00211CD6"/>
    <w:rsid w:val="00211E0B"/>
    <w:rsid w:val="00215690"/>
    <w:rsid w:val="00217BF5"/>
    <w:rsid w:val="00225D08"/>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3E87"/>
    <w:rsid w:val="002A7532"/>
    <w:rsid w:val="002B082F"/>
    <w:rsid w:val="002B1CDA"/>
    <w:rsid w:val="002B2EA7"/>
    <w:rsid w:val="002B521D"/>
    <w:rsid w:val="002B5778"/>
    <w:rsid w:val="002B79CF"/>
    <w:rsid w:val="002B7D6F"/>
    <w:rsid w:val="002C23D1"/>
    <w:rsid w:val="002C4A98"/>
    <w:rsid w:val="002C54A4"/>
    <w:rsid w:val="002C7649"/>
    <w:rsid w:val="002D7530"/>
    <w:rsid w:val="002E040D"/>
    <w:rsid w:val="002E4E12"/>
    <w:rsid w:val="002E793F"/>
    <w:rsid w:val="002E7C35"/>
    <w:rsid w:val="002F0918"/>
    <w:rsid w:val="002F1234"/>
    <w:rsid w:val="002F4DB3"/>
    <w:rsid w:val="00302963"/>
    <w:rsid w:val="0030327D"/>
    <w:rsid w:val="00303816"/>
    <w:rsid w:val="003107FA"/>
    <w:rsid w:val="00310B32"/>
    <w:rsid w:val="0031369C"/>
    <w:rsid w:val="00315226"/>
    <w:rsid w:val="00316C13"/>
    <w:rsid w:val="00317539"/>
    <w:rsid w:val="00320A76"/>
    <w:rsid w:val="003229D8"/>
    <w:rsid w:val="00322F52"/>
    <w:rsid w:val="00323BE7"/>
    <w:rsid w:val="00324173"/>
    <w:rsid w:val="003262BE"/>
    <w:rsid w:val="003311AD"/>
    <w:rsid w:val="003323B3"/>
    <w:rsid w:val="00333732"/>
    <w:rsid w:val="00340968"/>
    <w:rsid w:val="0034522A"/>
    <w:rsid w:val="00345F03"/>
    <w:rsid w:val="00347184"/>
    <w:rsid w:val="00355E98"/>
    <w:rsid w:val="003570B2"/>
    <w:rsid w:val="003611C0"/>
    <w:rsid w:val="00367D1F"/>
    <w:rsid w:val="003718CD"/>
    <w:rsid w:val="00372BDC"/>
    <w:rsid w:val="00373815"/>
    <w:rsid w:val="00374763"/>
    <w:rsid w:val="003778B2"/>
    <w:rsid w:val="00381262"/>
    <w:rsid w:val="0038248E"/>
    <w:rsid w:val="00390C04"/>
    <w:rsid w:val="0039277A"/>
    <w:rsid w:val="00396781"/>
    <w:rsid w:val="00396C00"/>
    <w:rsid w:val="003972E0"/>
    <w:rsid w:val="003A176E"/>
    <w:rsid w:val="003A27A4"/>
    <w:rsid w:val="003A358E"/>
    <w:rsid w:val="003B4359"/>
    <w:rsid w:val="003B47CC"/>
    <w:rsid w:val="003C2CC4"/>
    <w:rsid w:val="003C474C"/>
    <w:rsid w:val="003C47A5"/>
    <w:rsid w:val="003C6BA6"/>
    <w:rsid w:val="003D24BC"/>
    <w:rsid w:val="003D4B23"/>
    <w:rsid w:val="003E1C5A"/>
    <w:rsid w:val="003E2795"/>
    <w:rsid w:val="003E5413"/>
    <w:rsid w:val="003F0697"/>
    <w:rsid w:val="003F3F40"/>
    <w:rsid w:val="003F40C8"/>
    <w:rsid w:val="0040291E"/>
    <w:rsid w:val="0040320D"/>
    <w:rsid w:val="00404FD4"/>
    <w:rsid w:val="0041006A"/>
    <w:rsid w:val="0041741B"/>
    <w:rsid w:val="004179D7"/>
    <w:rsid w:val="004325CB"/>
    <w:rsid w:val="00437959"/>
    <w:rsid w:val="00437F3F"/>
    <w:rsid w:val="0044017E"/>
    <w:rsid w:val="00442147"/>
    <w:rsid w:val="00442686"/>
    <w:rsid w:val="0044679E"/>
    <w:rsid w:val="00446C28"/>
    <w:rsid w:val="00446DE4"/>
    <w:rsid w:val="004479B5"/>
    <w:rsid w:val="00447D6C"/>
    <w:rsid w:val="00450B3A"/>
    <w:rsid w:val="00451CCB"/>
    <w:rsid w:val="004522E0"/>
    <w:rsid w:val="004530E6"/>
    <w:rsid w:val="00455BFB"/>
    <w:rsid w:val="00456108"/>
    <w:rsid w:val="00456FFE"/>
    <w:rsid w:val="00460158"/>
    <w:rsid w:val="004624AF"/>
    <w:rsid w:val="00464C2B"/>
    <w:rsid w:val="00465AAD"/>
    <w:rsid w:val="0047319B"/>
    <w:rsid w:val="004735FB"/>
    <w:rsid w:val="00473AE9"/>
    <w:rsid w:val="00475444"/>
    <w:rsid w:val="004767B9"/>
    <w:rsid w:val="0049223B"/>
    <w:rsid w:val="0049309D"/>
    <w:rsid w:val="00494D24"/>
    <w:rsid w:val="004969ED"/>
    <w:rsid w:val="00497FF3"/>
    <w:rsid w:val="004A2BD1"/>
    <w:rsid w:val="004B163A"/>
    <w:rsid w:val="004B2C9D"/>
    <w:rsid w:val="004B49FD"/>
    <w:rsid w:val="004B6475"/>
    <w:rsid w:val="004C147B"/>
    <w:rsid w:val="004C6E3D"/>
    <w:rsid w:val="004E1150"/>
    <w:rsid w:val="004E4DCE"/>
    <w:rsid w:val="004F6676"/>
    <w:rsid w:val="00500DCD"/>
    <w:rsid w:val="00512574"/>
    <w:rsid w:val="005149A9"/>
    <w:rsid w:val="00515763"/>
    <w:rsid w:val="0051609A"/>
    <w:rsid w:val="005206A2"/>
    <w:rsid w:val="005248FF"/>
    <w:rsid w:val="00526BEB"/>
    <w:rsid w:val="0052704D"/>
    <w:rsid w:val="00527910"/>
    <w:rsid w:val="00532A62"/>
    <w:rsid w:val="005335B1"/>
    <w:rsid w:val="0053786F"/>
    <w:rsid w:val="005414F5"/>
    <w:rsid w:val="005420F2"/>
    <w:rsid w:val="00543B03"/>
    <w:rsid w:val="00552C5F"/>
    <w:rsid w:val="005553A2"/>
    <w:rsid w:val="005557E8"/>
    <w:rsid w:val="005627FA"/>
    <w:rsid w:val="00565826"/>
    <w:rsid w:val="00566392"/>
    <w:rsid w:val="00566B77"/>
    <w:rsid w:val="005676D5"/>
    <w:rsid w:val="0057509F"/>
    <w:rsid w:val="00581B62"/>
    <w:rsid w:val="00581C11"/>
    <w:rsid w:val="005877AA"/>
    <w:rsid w:val="00590144"/>
    <w:rsid w:val="00592C65"/>
    <w:rsid w:val="005A035B"/>
    <w:rsid w:val="005A1EE9"/>
    <w:rsid w:val="005A1FEB"/>
    <w:rsid w:val="005A37A2"/>
    <w:rsid w:val="005A77C6"/>
    <w:rsid w:val="005A78F9"/>
    <w:rsid w:val="005B2C26"/>
    <w:rsid w:val="005B3614"/>
    <w:rsid w:val="005B3DB3"/>
    <w:rsid w:val="005B547E"/>
    <w:rsid w:val="005B6EC0"/>
    <w:rsid w:val="005B6FA9"/>
    <w:rsid w:val="005D1C0C"/>
    <w:rsid w:val="005D407C"/>
    <w:rsid w:val="005D464E"/>
    <w:rsid w:val="005D7F7D"/>
    <w:rsid w:val="005E29AE"/>
    <w:rsid w:val="005E6C20"/>
    <w:rsid w:val="005F1AAD"/>
    <w:rsid w:val="005F3D61"/>
    <w:rsid w:val="005F5224"/>
    <w:rsid w:val="00611C3B"/>
    <w:rsid w:val="00611FC4"/>
    <w:rsid w:val="0061401C"/>
    <w:rsid w:val="00614EAC"/>
    <w:rsid w:val="006176FB"/>
    <w:rsid w:val="00626D38"/>
    <w:rsid w:val="0063330C"/>
    <w:rsid w:val="00633C10"/>
    <w:rsid w:val="0063419C"/>
    <w:rsid w:val="00634398"/>
    <w:rsid w:val="00635282"/>
    <w:rsid w:val="00640B26"/>
    <w:rsid w:val="00641787"/>
    <w:rsid w:val="00641876"/>
    <w:rsid w:val="00642DE5"/>
    <w:rsid w:val="00647621"/>
    <w:rsid w:val="00650267"/>
    <w:rsid w:val="006571DF"/>
    <w:rsid w:val="00657AC6"/>
    <w:rsid w:val="00664F8E"/>
    <w:rsid w:val="00672D80"/>
    <w:rsid w:val="00673154"/>
    <w:rsid w:val="00676D4B"/>
    <w:rsid w:val="00677B40"/>
    <w:rsid w:val="00682466"/>
    <w:rsid w:val="0068393D"/>
    <w:rsid w:val="00692C66"/>
    <w:rsid w:val="006A0AE9"/>
    <w:rsid w:val="006A6EF9"/>
    <w:rsid w:val="006A7392"/>
    <w:rsid w:val="006B3590"/>
    <w:rsid w:val="006B7406"/>
    <w:rsid w:val="006B79A2"/>
    <w:rsid w:val="006C0D34"/>
    <w:rsid w:val="006C129C"/>
    <w:rsid w:val="006C1C4A"/>
    <w:rsid w:val="006C51B3"/>
    <w:rsid w:val="006D0870"/>
    <w:rsid w:val="006D17CA"/>
    <w:rsid w:val="006D1BA6"/>
    <w:rsid w:val="006D2DC3"/>
    <w:rsid w:val="006D7899"/>
    <w:rsid w:val="006D7D5F"/>
    <w:rsid w:val="006E564B"/>
    <w:rsid w:val="006E7B3F"/>
    <w:rsid w:val="00707A67"/>
    <w:rsid w:val="0071233A"/>
    <w:rsid w:val="00716D0F"/>
    <w:rsid w:val="00723B8F"/>
    <w:rsid w:val="00723BCE"/>
    <w:rsid w:val="00725764"/>
    <w:rsid w:val="00725EE5"/>
    <w:rsid w:val="0072632A"/>
    <w:rsid w:val="00734975"/>
    <w:rsid w:val="007405D2"/>
    <w:rsid w:val="007428A0"/>
    <w:rsid w:val="0075177E"/>
    <w:rsid w:val="007524FD"/>
    <w:rsid w:val="00757A17"/>
    <w:rsid w:val="0076099B"/>
    <w:rsid w:val="007641DA"/>
    <w:rsid w:val="00770A57"/>
    <w:rsid w:val="0077383A"/>
    <w:rsid w:val="007768EE"/>
    <w:rsid w:val="00790791"/>
    <w:rsid w:val="007909EA"/>
    <w:rsid w:val="007920A5"/>
    <w:rsid w:val="00795779"/>
    <w:rsid w:val="007965B5"/>
    <w:rsid w:val="00796B95"/>
    <w:rsid w:val="007A165C"/>
    <w:rsid w:val="007A5CC3"/>
    <w:rsid w:val="007B3D26"/>
    <w:rsid w:val="007B6BA5"/>
    <w:rsid w:val="007B6BE5"/>
    <w:rsid w:val="007C3390"/>
    <w:rsid w:val="007C3416"/>
    <w:rsid w:val="007C3658"/>
    <w:rsid w:val="007C423F"/>
    <w:rsid w:val="007C455E"/>
    <w:rsid w:val="007C4F4B"/>
    <w:rsid w:val="007D3266"/>
    <w:rsid w:val="007D7EDA"/>
    <w:rsid w:val="007E3F55"/>
    <w:rsid w:val="007E423F"/>
    <w:rsid w:val="007F1636"/>
    <w:rsid w:val="007F3C74"/>
    <w:rsid w:val="007F42B1"/>
    <w:rsid w:val="007F52A6"/>
    <w:rsid w:val="007F6611"/>
    <w:rsid w:val="007F6AA7"/>
    <w:rsid w:val="007F6C67"/>
    <w:rsid w:val="00803636"/>
    <w:rsid w:val="0081216B"/>
    <w:rsid w:val="008138E4"/>
    <w:rsid w:val="008175E9"/>
    <w:rsid w:val="00820DBE"/>
    <w:rsid w:val="008242D7"/>
    <w:rsid w:val="008274C8"/>
    <w:rsid w:val="00832905"/>
    <w:rsid w:val="00833022"/>
    <w:rsid w:val="008417D1"/>
    <w:rsid w:val="00842FAF"/>
    <w:rsid w:val="00844A23"/>
    <w:rsid w:val="00851A77"/>
    <w:rsid w:val="008553AE"/>
    <w:rsid w:val="008566E6"/>
    <w:rsid w:val="008568B2"/>
    <w:rsid w:val="00857C5C"/>
    <w:rsid w:val="008616E6"/>
    <w:rsid w:val="00863F15"/>
    <w:rsid w:val="00866817"/>
    <w:rsid w:val="0086798F"/>
    <w:rsid w:val="00867BD4"/>
    <w:rsid w:val="00871FD5"/>
    <w:rsid w:val="0087202A"/>
    <w:rsid w:val="008749E1"/>
    <w:rsid w:val="008900F3"/>
    <w:rsid w:val="008900F9"/>
    <w:rsid w:val="00891033"/>
    <w:rsid w:val="0089467C"/>
    <w:rsid w:val="00894AA2"/>
    <w:rsid w:val="008979B1"/>
    <w:rsid w:val="008A2299"/>
    <w:rsid w:val="008A6B25"/>
    <w:rsid w:val="008A6C4F"/>
    <w:rsid w:val="008A7362"/>
    <w:rsid w:val="008B0C07"/>
    <w:rsid w:val="008B1D74"/>
    <w:rsid w:val="008B2E94"/>
    <w:rsid w:val="008C1535"/>
    <w:rsid w:val="008C7A1A"/>
    <w:rsid w:val="008D44E2"/>
    <w:rsid w:val="008E0E46"/>
    <w:rsid w:val="008E1D4C"/>
    <w:rsid w:val="008E43EE"/>
    <w:rsid w:val="008F140D"/>
    <w:rsid w:val="008F36A7"/>
    <w:rsid w:val="008F4078"/>
    <w:rsid w:val="008F42F2"/>
    <w:rsid w:val="008F6958"/>
    <w:rsid w:val="00902B27"/>
    <w:rsid w:val="00905737"/>
    <w:rsid w:val="00905AEA"/>
    <w:rsid w:val="00906582"/>
    <w:rsid w:val="00910229"/>
    <w:rsid w:val="00910E37"/>
    <w:rsid w:val="009145E5"/>
    <w:rsid w:val="00915E24"/>
    <w:rsid w:val="009174F9"/>
    <w:rsid w:val="009178F6"/>
    <w:rsid w:val="00920726"/>
    <w:rsid w:val="00923C7B"/>
    <w:rsid w:val="00924330"/>
    <w:rsid w:val="009267AB"/>
    <w:rsid w:val="0093457E"/>
    <w:rsid w:val="0094147D"/>
    <w:rsid w:val="00942D68"/>
    <w:rsid w:val="00943FE0"/>
    <w:rsid w:val="009451B4"/>
    <w:rsid w:val="00945A5D"/>
    <w:rsid w:val="0094761C"/>
    <w:rsid w:val="00963879"/>
    <w:rsid w:val="00963CBA"/>
    <w:rsid w:val="00965ACC"/>
    <w:rsid w:val="00970D90"/>
    <w:rsid w:val="0097150D"/>
    <w:rsid w:val="00971B0B"/>
    <w:rsid w:val="00972064"/>
    <w:rsid w:val="00972131"/>
    <w:rsid w:val="00974E1D"/>
    <w:rsid w:val="009759DC"/>
    <w:rsid w:val="00977212"/>
    <w:rsid w:val="00977813"/>
    <w:rsid w:val="009863A7"/>
    <w:rsid w:val="00986BF1"/>
    <w:rsid w:val="0099124E"/>
    <w:rsid w:val="00991261"/>
    <w:rsid w:val="00994010"/>
    <w:rsid w:val="00994014"/>
    <w:rsid w:val="00994411"/>
    <w:rsid w:val="009A2BA6"/>
    <w:rsid w:val="009A37C7"/>
    <w:rsid w:val="009B1829"/>
    <w:rsid w:val="009B191A"/>
    <w:rsid w:val="009B2FB7"/>
    <w:rsid w:val="009B3CC1"/>
    <w:rsid w:val="009B6F46"/>
    <w:rsid w:val="009C1267"/>
    <w:rsid w:val="009D02A2"/>
    <w:rsid w:val="009D7741"/>
    <w:rsid w:val="009E2874"/>
    <w:rsid w:val="009E2CBC"/>
    <w:rsid w:val="009E35FF"/>
    <w:rsid w:val="009E587B"/>
    <w:rsid w:val="00A04F66"/>
    <w:rsid w:val="00A061C1"/>
    <w:rsid w:val="00A12267"/>
    <w:rsid w:val="00A1427D"/>
    <w:rsid w:val="00A14539"/>
    <w:rsid w:val="00A16255"/>
    <w:rsid w:val="00A21CEA"/>
    <w:rsid w:val="00A22441"/>
    <w:rsid w:val="00A2493F"/>
    <w:rsid w:val="00A24E0D"/>
    <w:rsid w:val="00A25434"/>
    <w:rsid w:val="00A260BA"/>
    <w:rsid w:val="00A27584"/>
    <w:rsid w:val="00A30F15"/>
    <w:rsid w:val="00A3317D"/>
    <w:rsid w:val="00A3734E"/>
    <w:rsid w:val="00A40281"/>
    <w:rsid w:val="00A4449F"/>
    <w:rsid w:val="00A475B8"/>
    <w:rsid w:val="00A50010"/>
    <w:rsid w:val="00A52017"/>
    <w:rsid w:val="00A549AB"/>
    <w:rsid w:val="00A5786A"/>
    <w:rsid w:val="00A6043B"/>
    <w:rsid w:val="00A64ED3"/>
    <w:rsid w:val="00A66610"/>
    <w:rsid w:val="00A679F9"/>
    <w:rsid w:val="00A7045F"/>
    <w:rsid w:val="00A7181F"/>
    <w:rsid w:val="00A727C9"/>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231E"/>
    <w:rsid w:val="00AD4C3F"/>
    <w:rsid w:val="00AD511B"/>
    <w:rsid w:val="00AD6284"/>
    <w:rsid w:val="00AD645C"/>
    <w:rsid w:val="00AD6CAC"/>
    <w:rsid w:val="00AE0A9D"/>
    <w:rsid w:val="00AE2BC1"/>
    <w:rsid w:val="00AE313E"/>
    <w:rsid w:val="00AE3359"/>
    <w:rsid w:val="00AE3791"/>
    <w:rsid w:val="00AE51AD"/>
    <w:rsid w:val="00AF1489"/>
    <w:rsid w:val="00AF248C"/>
    <w:rsid w:val="00AF3FBA"/>
    <w:rsid w:val="00B0125E"/>
    <w:rsid w:val="00B02079"/>
    <w:rsid w:val="00B051B4"/>
    <w:rsid w:val="00B05614"/>
    <w:rsid w:val="00B2292E"/>
    <w:rsid w:val="00B26960"/>
    <w:rsid w:val="00B30179"/>
    <w:rsid w:val="00B32399"/>
    <w:rsid w:val="00B3317B"/>
    <w:rsid w:val="00B34A94"/>
    <w:rsid w:val="00B3569E"/>
    <w:rsid w:val="00B35770"/>
    <w:rsid w:val="00B44289"/>
    <w:rsid w:val="00B45118"/>
    <w:rsid w:val="00B45379"/>
    <w:rsid w:val="00B52B75"/>
    <w:rsid w:val="00B57B8C"/>
    <w:rsid w:val="00B62799"/>
    <w:rsid w:val="00B65BD4"/>
    <w:rsid w:val="00B742AE"/>
    <w:rsid w:val="00B7575E"/>
    <w:rsid w:val="00B76D98"/>
    <w:rsid w:val="00B80816"/>
    <w:rsid w:val="00B80DD3"/>
    <w:rsid w:val="00B81E12"/>
    <w:rsid w:val="00B8308C"/>
    <w:rsid w:val="00B84410"/>
    <w:rsid w:val="00B87A6B"/>
    <w:rsid w:val="00B90984"/>
    <w:rsid w:val="00B910C6"/>
    <w:rsid w:val="00B93068"/>
    <w:rsid w:val="00B96106"/>
    <w:rsid w:val="00BA0705"/>
    <w:rsid w:val="00BA1134"/>
    <w:rsid w:val="00BA4AAC"/>
    <w:rsid w:val="00BA611E"/>
    <w:rsid w:val="00BA7130"/>
    <w:rsid w:val="00BB3979"/>
    <w:rsid w:val="00BB6685"/>
    <w:rsid w:val="00BC4804"/>
    <w:rsid w:val="00BC553A"/>
    <w:rsid w:val="00BC5CF4"/>
    <w:rsid w:val="00BC74E9"/>
    <w:rsid w:val="00BD0929"/>
    <w:rsid w:val="00BD197C"/>
    <w:rsid w:val="00BD4242"/>
    <w:rsid w:val="00BD42B2"/>
    <w:rsid w:val="00BD6027"/>
    <w:rsid w:val="00BD73A9"/>
    <w:rsid w:val="00BE618E"/>
    <w:rsid w:val="00BF4829"/>
    <w:rsid w:val="00C01730"/>
    <w:rsid w:val="00C12FE8"/>
    <w:rsid w:val="00C17582"/>
    <w:rsid w:val="00C20E3D"/>
    <w:rsid w:val="00C23226"/>
    <w:rsid w:val="00C3036B"/>
    <w:rsid w:val="00C31F0F"/>
    <w:rsid w:val="00C3461F"/>
    <w:rsid w:val="00C4186E"/>
    <w:rsid w:val="00C41C15"/>
    <w:rsid w:val="00C4415E"/>
    <w:rsid w:val="00C463DD"/>
    <w:rsid w:val="00C46E2A"/>
    <w:rsid w:val="00C51517"/>
    <w:rsid w:val="00C60D9F"/>
    <w:rsid w:val="00C60DCD"/>
    <w:rsid w:val="00C626EA"/>
    <w:rsid w:val="00C62F76"/>
    <w:rsid w:val="00C64CF9"/>
    <w:rsid w:val="00C67F22"/>
    <w:rsid w:val="00C72209"/>
    <w:rsid w:val="00C745C3"/>
    <w:rsid w:val="00C835F0"/>
    <w:rsid w:val="00C85F9B"/>
    <w:rsid w:val="00CA054E"/>
    <w:rsid w:val="00CA1406"/>
    <w:rsid w:val="00CA1CBE"/>
    <w:rsid w:val="00CA5C02"/>
    <w:rsid w:val="00CB2653"/>
    <w:rsid w:val="00CB4C9D"/>
    <w:rsid w:val="00CC18B3"/>
    <w:rsid w:val="00CC23F0"/>
    <w:rsid w:val="00CD42C3"/>
    <w:rsid w:val="00CD4B47"/>
    <w:rsid w:val="00CD540C"/>
    <w:rsid w:val="00CD68B3"/>
    <w:rsid w:val="00CE4A8F"/>
    <w:rsid w:val="00CE58B6"/>
    <w:rsid w:val="00CE5C4D"/>
    <w:rsid w:val="00CE7E5D"/>
    <w:rsid w:val="00CF4639"/>
    <w:rsid w:val="00CF6553"/>
    <w:rsid w:val="00CF7C69"/>
    <w:rsid w:val="00CF7FCE"/>
    <w:rsid w:val="00D00E69"/>
    <w:rsid w:val="00D01ACC"/>
    <w:rsid w:val="00D02094"/>
    <w:rsid w:val="00D02365"/>
    <w:rsid w:val="00D04934"/>
    <w:rsid w:val="00D0609D"/>
    <w:rsid w:val="00D11828"/>
    <w:rsid w:val="00D13382"/>
    <w:rsid w:val="00D2031B"/>
    <w:rsid w:val="00D2387E"/>
    <w:rsid w:val="00D25FE2"/>
    <w:rsid w:val="00D267FA"/>
    <w:rsid w:val="00D34C57"/>
    <w:rsid w:val="00D37949"/>
    <w:rsid w:val="00D42146"/>
    <w:rsid w:val="00D42545"/>
    <w:rsid w:val="00D43252"/>
    <w:rsid w:val="00D44AE0"/>
    <w:rsid w:val="00D44EFC"/>
    <w:rsid w:val="00D46A62"/>
    <w:rsid w:val="00D5171D"/>
    <w:rsid w:val="00D606BB"/>
    <w:rsid w:val="00D625F5"/>
    <w:rsid w:val="00D668CA"/>
    <w:rsid w:val="00D6718A"/>
    <w:rsid w:val="00D72869"/>
    <w:rsid w:val="00D753D8"/>
    <w:rsid w:val="00D7572D"/>
    <w:rsid w:val="00D80C02"/>
    <w:rsid w:val="00D84DB1"/>
    <w:rsid w:val="00D9208C"/>
    <w:rsid w:val="00D95849"/>
    <w:rsid w:val="00D96CC5"/>
    <w:rsid w:val="00D978C6"/>
    <w:rsid w:val="00DA02D7"/>
    <w:rsid w:val="00DA67AD"/>
    <w:rsid w:val="00DA71EC"/>
    <w:rsid w:val="00DB0284"/>
    <w:rsid w:val="00DB0442"/>
    <w:rsid w:val="00DB281B"/>
    <w:rsid w:val="00DB4C88"/>
    <w:rsid w:val="00DC0380"/>
    <w:rsid w:val="00DC106A"/>
    <w:rsid w:val="00DC16B9"/>
    <w:rsid w:val="00DC1797"/>
    <w:rsid w:val="00DD41E5"/>
    <w:rsid w:val="00DD70B8"/>
    <w:rsid w:val="00DE19A0"/>
    <w:rsid w:val="00DE22CF"/>
    <w:rsid w:val="00DE4184"/>
    <w:rsid w:val="00DF0081"/>
    <w:rsid w:val="00DF33BA"/>
    <w:rsid w:val="00DF7129"/>
    <w:rsid w:val="00E002F0"/>
    <w:rsid w:val="00E011D0"/>
    <w:rsid w:val="00E049CA"/>
    <w:rsid w:val="00E130AB"/>
    <w:rsid w:val="00E154D5"/>
    <w:rsid w:val="00E15862"/>
    <w:rsid w:val="00E21A5F"/>
    <w:rsid w:val="00E23CEE"/>
    <w:rsid w:val="00E24107"/>
    <w:rsid w:val="00E254C8"/>
    <w:rsid w:val="00E26204"/>
    <w:rsid w:val="00E26B83"/>
    <w:rsid w:val="00E274C0"/>
    <w:rsid w:val="00E305E0"/>
    <w:rsid w:val="00E35BAA"/>
    <w:rsid w:val="00E40163"/>
    <w:rsid w:val="00E4194D"/>
    <w:rsid w:val="00E44228"/>
    <w:rsid w:val="00E443AD"/>
    <w:rsid w:val="00E44882"/>
    <w:rsid w:val="00E450F1"/>
    <w:rsid w:val="00E45DE2"/>
    <w:rsid w:val="00E5126A"/>
    <w:rsid w:val="00E5317F"/>
    <w:rsid w:val="00E5644E"/>
    <w:rsid w:val="00E620B8"/>
    <w:rsid w:val="00E62EE3"/>
    <w:rsid w:val="00E646F5"/>
    <w:rsid w:val="00E66AF1"/>
    <w:rsid w:val="00E67D93"/>
    <w:rsid w:val="00E67FEC"/>
    <w:rsid w:val="00E7260F"/>
    <w:rsid w:val="00E8535A"/>
    <w:rsid w:val="00E92301"/>
    <w:rsid w:val="00E93ACB"/>
    <w:rsid w:val="00E96630"/>
    <w:rsid w:val="00EA5271"/>
    <w:rsid w:val="00EB6541"/>
    <w:rsid w:val="00EB6832"/>
    <w:rsid w:val="00EC42EA"/>
    <w:rsid w:val="00EC5D78"/>
    <w:rsid w:val="00EC7379"/>
    <w:rsid w:val="00ED4EB3"/>
    <w:rsid w:val="00ED67DB"/>
    <w:rsid w:val="00ED7A2A"/>
    <w:rsid w:val="00EE18BF"/>
    <w:rsid w:val="00EE32E6"/>
    <w:rsid w:val="00EE3C05"/>
    <w:rsid w:val="00EE585C"/>
    <w:rsid w:val="00EE6D6E"/>
    <w:rsid w:val="00EE7FF7"/>
    <w:rsid w:val="00EF051D"/>
    <w:rsid w:val="00EF1393"/>
    <w:rsid w:val="00EF1D7F"/>
    <w:rsid w:val="00EF3923"/>
    <w:rsid w:val="00EF425C"/>
    <w:rsid w:val="00F01117"/>
    <w:rsid w:val="00F01716"/>
    <w:rsid w:val="00F0351B"/>
    <w:rsid w:val="00F054AD"/>
    <w:rsid w:val="00F11A87"/>
    <w:rsid w:val="00F14001"/>
    <w:rsid w:val="00F14936"/>
    <w:rsid w:val="00F22433"/>
    <w:rsid w:val="00F23940"/>
    <w:rsid w:val="00F40E75"/>
    <w:rsid w:val="00F416AA"/>
    <w:rsid w:val="00F41B55"/>
    <w:rsid w:val="00F4218B"/>
    <w:rsid w:val="00F45C14"/>
    <w:rsid w:val="00F45D1A"/>
    <w:rsid w:val="00F475EB"/>
    <w:rsid w:val="00F51910"/>
    <w:rsid w:val="00F5272A"/>
    <w:rsid w:val="00F54674"/>
    <w:rsid w:val="00F54DDA"/>
    <w:rsid w:val="00F57710"/>
    <w:rsid w:val="00F5773C"/>
    <w:rsid w:val="00F57790"/>
    <w:rsid w:val="00F6331D"/>
    <w:rsid w:val="00F660F2"/>
    <w:rsid w:val="00F72912"/>
    <w:rsid w:val="00F73E3B"/>
    <w:rsid w:val="00F74124"/>
    <w:rsid w:val="00F77FEB"/>
    <w:rsid w:val="00F8482D"/>
    <w:rsid w:val="00F85D7A"/>
    <w:rsid w:val="00F873E7"/>
    <w:rsid w:val="00F93B34"/>
    <w:rsid w:val="00F93E0C"/>
    <w:rsid w:val="00F957FD"/>
    <w:rsid w:val="00F96F02"/>
    <w:rsid w:val="00FA54B1"/>
    <w:rsid w:val="00FB1AF2"/>
    <w:rsid w:val="00FB6488"/>
    <w:rsid w:val="00FB6DCF"/>
    <w:rsid w:val="00FB7905"/>
    <w:rsid w:val="00FC0AAF"/>
    <w:rsid w:val="00FC3415"/>
    <w:rsid w:val="00FC55FA"/>
    <w:rsid w:val="00FC68B7"/>
    <w:rsid w:val="00FD2AAF"/>
    <w:rsid w:val="00FD6B2B"/>
    <w:rsid w:val="00FE0B49"/>
    <w:rsid w:val="00FE4A81"/>
    <w:rsid w:val="00FE752E"/>
    <w:rsid w:val="00FF03BB"/>
    <w:rsid w:val="00FF79E6"/>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1EB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qFormat/>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17"/>
      </w:numPr>
    </w:pPr>
  </w:style>
  <w:style w:type="paragraph" w:customStyle="1" w:styleId="Default">
    <w:name w:val="Default"/>
    <w:rsid w:val="00725EE5"/>
    <w:pPr>
      <w:autoSpaceDE w:val="0"/>
      <w:autoSpaceDN w:val="0"/>
      <w:adjustRightInd w:val="0"/>
    </w:pPr>
    <w:rPr>
      <w:color w:val="000000"/>
      <w:sz w:val="24"/>
      <w:szCs w:val="24"/>
      <w:lang w:val="sv-SE" w:eastAsia="sv-SE"/>
    </w:rPr>
  </w:style>
  <w:style w:type="table" w:customStyle="1" w:styleId="TableGrid20">
    <w:name w:val="Table Grid2"/>
    <w:basedOn w:val="TableNormal"/>
    <w:next w:val="TableGrid"/>
    <w:uiPriority w:val="59"/>
    <w:rsid w:val="00A06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061C1"/>
    <w:rPr>
      <w:b/>
      <w:bCs/>
      <w:i/>
      <w:iCs/>
      <w:color w:val="4F81BD" w:themeColor="accent1"/>
    </w:rPr>
  </w:style>
  <w:style w:type="paragraph" w:styleId="IntenseQuote">
    <w:name w:val="Intense Quote"/>
    <w:basedOn w:val="Normal"/>
    <w:next w:val="Normal"/>
    <w:link w:val="IntenseQuoteChar"/>
    <w:uiPriority w:val="30"/>
    <w:qFormat/>
    <w:rsid w:val="00A061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61C1"/>
    <w:rPr>
      <w:b/>
      <w:bCs/>
      <w:i/>
      <w:iCs/>
      <w:color w:val="4F81BD" w:themeColor="accent1"/>
      <w:lang w:eastAsia="en-US"/>
    </w:rPr>
  </w:style>
  <w:style w:type="character" w:customStyle="1" w:styleId="PageNumber1">
    <w:name w:val="Page Number1"/>
    <w:rsid w:val="00A30F15"/>
    <w:rPr>
      <w:rFonts w:ascii="Times New Roman" w:hAnsi="Times New Roman"/>
      <w:b/>
      <w:sz w:val="18"/>
    </w:rPr>
  </w:style>
  <w:style w:type="paragraph" w:styleId="Revision">
    <w:name w:val="Revision"/>
    <w:hidden/>
    <w:uiPriority w:val="99"/>
    <w:semiHidden/>
    <w:rsid w:val="00A1625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qFormat/>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numbering" w:customStyle="1" w:styleId="WWNum33">
    <w:name w:val="WWNum33"/>
    <w:basedOn w:val="NoList"/>
    <w:rsid w:val="00D42545"/>
    <w:pPr>
      <w:numPr>
        <w:numId w:val="17"/>
      </w:numPr>
    </w:pPr>
  </w:style>
  <w:style w:type="paragraph" w:customStyle="1" w:styleId="Default">
    <w:name w:val="Default"/>
    <w:rsid w:val="00725EE5"/>
    <w:pPr>
      <w:autoSpaceDE w:val="0"/>
      <w:autoSpaceDN w:val="0"/>
      <w:adjustRightInd w:val="0"/>
    </w:pPr>
    <w:rPr>
      <w:color w:val="000000"/>
      <w:sz w:val="24"/>
      <w:szCs w:val="24"/>
      <w:lang w:val="sv-SE" w:eastAsia="sv-SE"/>
    </w:rPr>
  </w:style>
  <w:style w:type="table" w:customStyle="1" w:styleId="TableGrid20">
    <w:name w:val="Table Grid2"/>
    <w:basedOn w:val="TableNormal"/>
    <w:next w:val="TableGrid"/>
    <w:uiPriority w:val="59"/>
    <w:rsid w:val="00A06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A061C1"/>
    <w:rPr>
      <w:b/>
      <w:bCs/>
      <w:i/>
      <w:iCs/>
      <w:color w:val="4F81BD" w:themeColor="accent1"/>
    </w:rPr>
  </w:style>
  <w:style w:type="paragraph" w:styleId="IntenseQuote">
    <w:name w:val="Intense Quote"/>
    <w:basedOn w:val="Normal"/>
    <w:next w:val="Normal"/>
    <w:link w:val="IntenseQuoteChar"/>
    <w:uiPriority w:val="30"/>
    <w:qFormat/>
    <w:rsid w:val="00A061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61C1"/>
    <w:rPr>
      <w:b/>
      <w:bCs/>
      <w:i/>
      <w:iCs/>
      <w:color w:val="4F81BD" w:themeColor="accent1"/>
      <w:lang w:eastAsia="en-US"/>
    </w:rPr>
  </w:style>
  <w:style w:type="character" w:customStyle="1" w:styleId="PageNumber1">
    <w:name w:val="Page Number1"/>
    <w:rsid w:val="00A30F15"/>
    <w:rPr>
      <w:rFonts w:ascii="Times New Roman" w:hAnsi="Times New Roman"/>
      <w:b/>
      <w:sz w:val="18"/>
    </w:rPr>
  </w:style>
  <w:style w:type="paragraph" w:styleId="Revision">
    <w:name w:val="Revision"/>
    <w:hidden/>
    <w:uiPriority w:val="99"/>
    <w:semiHidden/>
    <w:rsid w:val="00A162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363361158">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30D98-0E5C-48E2-A8A7-37D737CD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957</Words>
  <Characters>5458</Characters>
  <Application>Microsoft Office Word</Application>
  <DocSecurity>0</DocSecurity>
  <Lines>45</Lines>
  <Paragraphs>12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1321580</vt:lpstr>
      <vt:lpstr>1321580</vt:lpstr>
      <vt:lpstr>1321580</vt:lpstr>
    </vt:vector>
  </TitlesOfParts>
  <Company>CSD</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13</cp:revision>
  <cp:lastPrinted>2016-09-09T10:03:00Z</cp:lastPrinted>
  <dcterms:created xsi:type="dcterms:W3CDTF">2016-09-05T13:35:00Z</dcterms:created>
  <dcterms:modified xsi:type="dcterms:W3CDTF">2016-09-09T13:12:00Z</dcterms:modified>
</cp:coreProperties>
</file>