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48539B" w:rsidRPr="006500BA" w:rsidTr="00FE646C">
        <w:trPr>
          <w:trHeight w:val="851"/>
        </w:trPr>
        <w:tc>
          <w:tcPr>
            <w:tcW w:w="1259" w:type="dxa"/>
            <w:tcBorders>
              <w:top w:val="nil"/>
              <w:left w:val="nil"/>
              <w:bottom w:val="single" w:sz="4" w:space="0" w:color="auto"/>
              <w:right w:val="nil"/>
            </w:tcBorders>
          </w:tcPr>
          <w:p w:rsidR="0048539B" w:rsidRPr="006500BA" w:rsidRDefault="0048539B" w:rsidP="00FE646C">
            <w:pPr>
              <w:spacing w:after="80" w:line="340" w:lineRule="exact"/>
            </w:pPr>
          </w:p>
        </w:tc>
        <w:tc>
          <w:tcPr>
            <w:tcW w:w="2236" w:type="dxa"/>
            <w:tcBorders>
              <w:top w:val="nil"/>
              <w:left w:val="nil"/>
              <w:bottom w:val="single" w:sz="4" w:space="0" w:color="auto"/>
              <w:right w:val="nil"/>
            </w:tcBorders>
            <w:vAlign w:val="bottom"/>
          </w:tcPr>
          <w:p w:rsidR="0048539B" w:rsidRPr="00FE646C" w:rsidRDefault="0048539B" w:rsidP="00FE646C">
            <w:pPr>
              <w:spacing w:after="80" w:line="340" w:lineRule="exact"/>
              <w:rPr>
                <w:sz w:val="28"/>
                <w:szCs w:val="28"/>
              </w:rPr>
            </w:pPr>
            <w:r w:rsidRPr="00FE646C">
              <w:rPr>
                <w:sz w:val="28"/>
                <w:szCs w:val="28"/>
              </w:rPr>
              <w:t>United Nations</w:t>
            </w:r>
          </w:p>
        </w:tc>
        <w:tc>
          <w:tcPr>
            <w:tcW w:w="6144" w:type="dxa"/>
            <w:gridSpan w:val="2"/>
            <w:tcBorders>
              <w:top w:val="nil"/>
              <w:left w:val="nil"/>
              <w:bottom w:val="single" w:sz="4" w:space="0" w:color="auto"/>
              <w:right w:val="nil"/>
            </w:tcBorders>
            <w:vAlign w:val="bottom"/>
          </w:tcPr>
          <w:p w:rsidR="0048539B" w:rsidRPr="006500BA" w:rsidRDefault="0048539B" w:rsidP="00EA7E23">
            <w:pPr>
              <w:jc w:val="right"/>
            </w:pPr>
            <w:r w:rsidRPr="00FE646C">
              <w:rPr>
                <w:sz w:val="40"/>
              </w:rPr>
              <w:t>ST</w:t>
            </w:r>
            <w:r>
              <w:t>/SG/AC.10/C.3/201</w:t>
            </w:r>
            <w:r w:rsidR="001C75FB">
              <w:t>6</w:t>
            </w:r>
            <w:r>
              <w:t>/</w:t>
            </w:r>
            <w:r w:rsidR="004E40D3">
              <w:t>6</w:t>
            </w:r>
            <w:r w:rsidR="00EA7E23">
              <w:t>6</w:t>
            </w:r>
          </w:p>
        </w:tc>
      </w:tr>
      <w:tr w:rsidR="0048539B" w:rsidRPr="006500BA" w:rsidTr="00FE646C">
        <w:trPr>
          <w:trHeight w:val="2835"/>
        </w:trPr>
        <w:tc>
          <w:tcPr>
            <w:tcW w:w="1259" w:type="dxa"/>
            <w:tcBorders>
              <w:top w:val="single" w:sz="4" w:space="0" w:color="auto"/>
              <w:left w:val="nil"/>
              <w:bottom w:val="single" w:sz="12" w:space="0" w:color="auto"/>
              <w:right w:val="nil"/>
            </w:tcBorders>
          </w:tcPr>
          <w:p w:rsidR="0048539B" w:rsidRPr="006500BA" w:rsidRDefault="00F17D83" w:rsidP="00FE646C">
            <w:pPr>
              <w:spacing w:before="120"/>
              <w:jc w:val="center"/>
            </w:pPr>
            <w:r>
              <w:rPr>
                <w:noProof/>
                <w:lang w:eastAsia="en-GB"/>
              </w:rPr>
              <w:drawing>
                <wp:inline distT="0" distB="0" distL="0" distR="0" wp14:anchorId="0374A022" wp14:editId="2C2FEBFB">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48539B" w:rsidRPr="00FE646C" w:rsidRDefault="0048539B" w:rsidP="00FE646C">
            <w:pPr>
              <w:spacing w:before="120" w:line="420" w:lineRule="exact"/>
              <w:rPr>
                <w:b/>
                <w:sz w:val="40"/>
                <w:szCs w:val="40"/>
              </w:rPr>
            </w:pPr>
            <w:r w:rsidRPr="00FE646C">
              <w:rPr>
                <w:b/>
                <w:sz w:val="40"/>
                <w:szCs w:val="40"/>
              </w:rPr>
              <w:t>Secretariat</w:t>
            </w:r>
          </w:p>
        </w:tc>
        <w:tc>
          <w:tcPr>
            <w:tcW w:w="2930" w:type="dxa"/>
            <w:tcBorders>
              <w:top w:val="single" w:sz="4" w:space="0" w:color="auto"/>
              <w:left w:val="nil"/>
              <w:bottom w:val="single" w:sz="12" w:space="0" w:color="auto"/>
              <w:right w:val="nil"/>
            </w:tcBorders>
          </w:tcPr>
          <w:p w:rsidR="0048539B" w:rsidRDefault="00E4094C" w:rsidP="00E4094C">
            <w:pPr>
              <w:spacing w:before="240" w:line="240" w:lineRule="exact"/>
            </w:pPr>
            <w:r>
              <w:t>Distr.: General</w:t>
            </w:r>
            <w:r w:rsidR="00934214">
              <w:br/>
            </w:r>
            <w:r w:rsidR="00503028">
              <w:t>6</w:t>
            </w:r>
            <w:r w:rsidR="004E40D3">
              <w:t xml:space="preserve"> September 2016</w:t>
            </w:r>
          </w:p>
          <w:p w:rsidR="0048539B" w:rsidRDefault="0048539B" w:rsidP="00FE646C">
            <w:pPr>
              <w:spacing w:line="240" w:lineRule="exact"/>
            </w:pPr>
          </w:p>
          <w:p w:rsidR="0048539B" w:rsidRPr="006500BA" w:rsidRDefault="0048539B" w:rsidP="00FE646C">
            <w:pPr>
              <w:spacing w:line="240" w:lineRule="exact"/>
            </w:pPr>
            <w:r>
              <w:t>Original: English</w:t>
            </w:r>
          </w:p>
        </w:tc>
      </w:tr>
    </w:tbl>
    <w:p w:rsidR="0048539B" w:rsidRPr="006500BA" w:rsidRDefault="0048539B" w:rsidP="0048539B">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48539B" w:rsidRPr="006500BA" w:rsidRDefault="0048539B" w:rsidP="0048539B">
      <w:pPr>
        <w:spacing w:before="100"/>
        <w:rPr>
          <w:rFonts w:ascii="Helv" w:hAnsi="Helv" w:cs="Helv"/>
          <w:b/>
          <w:color w:val="000000"/>
        </w:rPr>
      </w:pPr>
      <w:r w:rsidRPr="006500BA">
        <w:rPr>
          <w:b/>
        </w:rPr>
        <w:t xml:space="preserve">Sub-Committee of Experts on the </w:t>
      </w:r>
      <w:r>
        <w:rPr>
          <w:b/>
        </w:rPr>
        <w:t>Transport of Dangerous Goods</w:t>
      </w:r>
    </w:p>
    <w:p w:rsidR="0048539B" w:rsidRPr="006500BA" w:rsidRDefault="00F708A8" w:rsidP="0048539B">
      <w:pPr>
        <w:spacing w:before="100"/>
        <w:rPr>
          <w:b/>
        </w:rPr>
      </w:pPr>
      <w:r>
        <w:rPr>
          <w:b/>
        </w:rPr>
        <w:t>F</w:t>
      </w:r>
      <w:r w:rsidR="00F32802">
        <w:rPr>
          <w:b/>
        </w:rPr>
        <w:t>iftieth</w:t>
      </w:r>
      <w:r w:rsidR="0048539B">
        <w:rPr>
          <w:b/>
        </w:rPr>
        <w:t xml:space="preserve"> </w:t>
      </w:r>
      <w:r w:rsidR="0048539B" w:rsidRPr="006500BA">
        <w:rPr>
          <w:b/>
        </w:rPr>
        <w:t>session</w:t>
      </w:r>
    </w:p>
    <w:p w:rsidR="0048539B" w:rsidRPr="006500BA" w:rsidRDefault="0048539B" w:rsidP="0048539B">
      <w:r w:rsidRPr="006500BA">
        <w:t xml:space="preserve">Geneva, </w:t>
      </w:r>
      <w:r w:rsidR="00CB3CD9">
        <w:t>28</w:t>
      </w:r>
      <w:r w:rsidR="001C75FB">
        <w:t xml:space="preserve"> </w:t>
      </w:r>
      <w:r w:rsidR="00CB3CD9">
        <w:t>November</w:t>
      </w:r>
      <w:r w:rsidR="0094753F">
        <w:t>-</w:t>
      </w:r>
      <w:r w:rsidR="001C75FB">
        <w:t>6</w:t>
      </w:r>
      <w:r w:rsidR="00AE3D03">
        <w:t xml:space="preserve"> </w:t>
      </w:r>
      <w:r w:rsidR="00CB3CD9">
        <w:t>December</w:t>
      </w:r>
      <w:r w:rsidR="00AE3D03">
        <w:t xml:space="preserve"> 201</w:t>
      </w:r>
      <w:r w:rsidR="001C75FB">
        <w:t>6</w:t>
      </w:r>
    </w:p>
    <w:p w:rsidR="00C84FF4" w:rsidRPr="00FD2414" w:rsidRDefault="00C84FF4" w:rsidP="00083A13">
      <w:pPr>
        <w:rPr>
          <w:b/>
          <w:lang w:val="en-US"/>
        </w:rPr>
      </w:pPr>
      <w:r w:rsidRPr="00FD2414">
        <w:t xml:space="preserve">Item </w:t>
      </w:r>
      <w:r w:rsidR="004E40D3" w:rsidRPr="00FD2414">
        <w:t>2</w:t>
      </w:r>
      <w:r w:rsidRPr="00FD2414">
        <w:t xml:space="preserve"> </w:t>
      </w:r>
      <w:r w:rsidR="009541CB" w:rsidRPr="00FD2414">
        <w:t>(</w:t>
      </w:r>
      <w:r w:rsidR="00EA7E23">
        <w:t>b</w:t>
      </w:r>
      <w:r w:rsidR="009541CB" w:rsidRPr="00FD2414">
        <w:t xml:space="preserve">) </w:t>
      </w:r>
      <w:r w:rsidRPr="00FD2414">
        <w:t>of the provisional agenda</w:t>
      </w:r>
      <w:r w:rsidRPr="00FD2414">
        <w:rPr>
          <w:b/>
          <w:lang w:val="en-US"/>
        </w:rPr>
        <w:t xml:space="preserve"> </w:t>
      </w:r>
    </w:p>
    <w:p w:rsidR="00083A13" w:rsidRPr="00EA7E23" w:rsidRDefault="004E40D3" w:rsidP="00083A13">
      <w:pPr>
        <w:rPr>
          <w:b/>
        </w:rPr>
      </w:pPr>
      <w:r w:rsidRPr="00EA7E23">
        <w:rPr>
          <w:b/>
        </w:rPr>
        <w:t xml:space="preserve">Recommendations made by the Sub-Committee </w:t>
      </w:r>
      <w:r w:rsidR="0094753F">
        <w:rPr>
          <w:b/>
        </w:rPr>
        <w:br/>
      </w:r>
      <w:r w:rsidRPr="00EA7E23">
        <w:rPr>
          <w:b/>
        </w:rPr>
        <w:t xml:space="preserve">on its forty-seventh, forty-eighth </w:t>
      </w:r>
      <w:r w:rsidR="0094753F">
        <w:rPr>
          <w:b/>
        </w:rPr>
        <w:br/>
      </w:r>
      <w:r w:rsidRPr="00EA7E23">
        <w:rPr>
          <w:b/>
        </w:rPr>
        <w:t>and forty-ninth sessions and pending issues:</w:t>
      </w:r>
      <w:r w:rsidR="009541CB" w:rsidRPr="00EA7E23">
        <w:rPr>
          <w:b/>
        </w:rPr>
        <w:t xml:space="preserve"> </w:t>
      </w:r>
      <w:r w:rsidR="0094753F">
        <w:rPr>
          <w:b/>
        </w:rPr>
        <w:br/>
      </w:r>
      <w:r w:rsidR="00EA7E23" w:rsidRPr="00EA7E23">
        <w:rPr>
          <w:b/>
        </w:rPr>
        <w:t>explosives and related matters</w:t>
      </w:r>
    </w:p>
    <w:p w:rsidR="00FE74F3" w:rsidRPr="00966494" w:rsidRDefault="00FE74F3" w:rsidP="00FE74F3">
      <w:pPr>
        <w:pStyle w:val="HChG"/>
      </w:pPr>
      <w:r w:rsidRPr="00966494">
        <w:tab/>
      </w:r>
      <w:r w:rsidRPr="00966494">
        <w:tab/>
        <w:t>Clarification of the classification of ammonium nitrate based fertilizers – proposal for a new Section 39 in the Manual of Tests and Criteria</w:t>
      </w:r>
    </w:p>
    <w:p w:rsidR="00FE74F3" w:rsidRPr="00966494" w:rsidRDefault="00FE74F3" w:rsidP="00FE74F3">
      <w:pPr>
        <w:pStyle w:val="H1G"/>
      </w:pPr>
      <w:r w:rsidRPr="00966494">
        <w:tab/>
      </w:r>
      <w:r w:rsidRPr="00966494">
        <w:tab/>
        <w:t>Transmitted by the expert from Sweden</w:t>
      </w:r>
      <w:r w:rsidRPr="00966494">
        <w:rPr>
          <w:rStyle w:val="FootnoteReference"/>
        </w:rPr>
        <w:footnoteReference w:id="2"/>
      </w:r>
    </w:p>
    <w:p w:rsidR="00FE74F3" w:rsidRPr="00966494" w:rsidRDefault="00FE74F3" w:rsidP="00FE74F3">
      <w:pPr>
        <w:pStyle w:val="HChG"/>
      </w:pPr>
      <w:r w:rsidRPr="00966494">
        <w:tab/>
      </w:r>
      <w:r w:rsidRPr="00966494">
        <w:tab/>
        <w:t>Background</w:t>
      </w:r>
    </w:p>
    <w:p w:rsidR="00FE74F3" w:rsidRPr="00966494" w:rsidRDefault="00FE74F3" w:rsidP="00FE74F3">
      <w:pPr>
        <w:pStyle w:val="SingleTxtG"/>
      </w:pPr>
      <w:r w:rsidRPr="00966494">
        <w:t>1.</w:t>
      </w:r>
      <w:r w:rsidRPr="00966494">
        <w:tab/>
        <w:t xml:space="preserve">At the </w:t>
      </w:r>
      <w:r>
        <w:t>forty-ninth</w:t>
      </w:r>
      <w:r w:rsidRPr="00966494">
        <w:t xml:space="preserve"> session of the Sub-Committee, the expert from Sweden presented working document </w:t>
      </w:r>
      <w:r>
        <w:t>ST/SG/AC.10/C.3/2016/</w:t>
      </w:r>
      <w:r w:rsidRPr="00966494">
        <w:t>29 containing draft amendments to the Manual of Tests and Criteria (the Manual) and the Model Regulations on the Transport of Dangerous Goods (the Model Regulations) for the clarification of the classification criteria for ammonium nitrate (AN) based fertilizers.</w:t>
      </w:r>
      <w:r w:rsidRPr="00966494">
        <w:rPr>
          <w:rStyle w:val="FootnoteReference"/>
        </w:rPr>
        <w:footnoteReference w:id="3"/>
      </w:r>
      <w:r w:rsidRPr="00966494">
        <w:t xml:space="preserve"> The document was supplemented by informal documents INF.5, containing a detailed explanation of the proposed amendments, and </w:t>
      </w:r>
      <w:r>
        <w:t xml:space="preserve">informal document </w:t>
      </w:r>
      <w:r w:rsidRPr="00966494">
        <w:t>INF.23 with some additional proposals and points for discussion.</w:t>
      </w:r>
      <w:r w:rsidRPr="00966494">
        <w:rPr>
          <w:rStyle w:val="FootnoteReference"/>
        </w:rPr>
        <w:footnoteReference w:id="4"/>
      </w:r>
      <w:r w:rsidRPr="00966494">
        <w:t xml:space="preserve"> The issue was discussed in detail during the meeting of the Working Group on Explosives (EWG), </w:t>
      </w:r>
      <w:r>
        <w:t>which met in parallel</w:t>
      </w:r>
      <w:r w:rsidR="00771907">
        <w:t>.</w:t>
      </w:r>
    </w:p>
    <w:p w:rsidR="00FE74F3" w:rsidRPr="00966494" w:rsidRDefault="00FE74F3" w:rsidP="00FE74F3">
      <w:pPr>
        <w:pStyle w:val="SingleTxtG"/>
      </w:pPr>
      <w:r w:rsidRPr="00966494">
        <w:t>2.</w:t>
      </w:r>
      <w:r w:rsidRPr="00966494">
        <w:tab/>
        <w:t xml:space="preserve">As also explained in the initial paragraphs </w:t>
      </w:r>
      <w:r>
        <w:t>ST/SG/AC.10/C.3/2016/</w:t>
      </w:r>
      <w:r w:rsidR="00771907">
        <w:t>29</w:t>
      </w:r>
      <w:r w:rsidRPr="00966494">
        <w:t xml:space="preserve">, the reason for clarifying the classification of AN-based fertilizers is that they are not sufficiently clear as </w:t>
      </w:r>
      <w:r w:rsidRPr="00966494">
        <w:lastRenderedPageBreak/>
        <w:t xml:space="preserve">currently formulated, which leads to misinterpretations (unintended or deliberate). These misinterpretations can lead to potentially unsafe AN-based fertilizers being transported as non-dangerous goods. </w:t>
      </w:r>
      <w:proofErr w:type="gramStart"/>
      <w:r w:rsidRPr="00966494">
        <w:t>As many downstream regulations use the transport classification as a basis for other safety measures, e.g. when storing AN-based fertilizers, the risks associated with these products can transfer further along the supply chain.</w:t>
      </w:r>
      <w:proofErr w:type="gramEnd"/>
      <w:r w:rsidRPr="00966494">
        <w:t xml:space="preserve"> Apart from the risk this poses to transporters, other workers, rescue personnel and the general public, this also leads to unfair competition amongst suppliers, since the transport and handling of supposedly “non-hazardous material” is cheaper and subject to less regulatory restrictions.</w:t>
      </w:r>
    </w:p>
    <w:p w:rsidR="00FE74F3" w:rsidRDefault="00FE74F3" w:rsidP="00FE74F3">
      <w:pPr>
        <w:pStyle w:val="SingleTxtG"/>
      </w:pPr>
      <w:r w:rsidRPr="00966494">
        <w:t>3.</w:t>
      </w:r>
      <w:r w:rsidRPr="00966494">
        <w:tab/>
        <w:t xml:space="preserve">In order to improve the situation, an </w:t>
      </w:r>
      <w:r w:rsidRPr="00F5144D">
        <w:rPr>
          <w:i/>
        </w:rPr>
        <w:t>ad hoc</w:t>
      </w:r>
      <w:r w:rsidRPr="00966494">
        <w:t xml:space="preserve"> working group under IGUS</w:t>
      </w:r>
      <w:r w:rsidRPr="00966494">
        <w:rPr>
          <w:rStyle w:val="FootnoteReference"/>
        </w:rPr>
        <w:footnoteReference w:id="5"/>
      </w:r>
      <w:r w:rsidRPr="00966494">
        <w:t xml:space="preserve"> took it upon themselves to try to clarify the current provisions for classification of AN-based fertilizers. The group consist of government experts from Sweden, Netherlands, United Kingdom, France and Germany, who act solely on the basis of their knowledge of and experience with AN-based fertilizers. Although not formally part of the group, experts from the European fertilizer industry also have contributed substantially to the work. What is presented in this document is the outcome of the work of these experts over the past two years.</w:t>
      </w:r>
      <w:r>
        <w:t xml:space="preserve"> </w:t>
      </w:r>
      <w:r w:rsidRPr="00BD318D">
        <w:t>Since IGUS has no formal status in</w:t>
      </w:r>
      <w:r>
        <w:t xml:space="preserve"> the Sub-Committee, this paper </w:t>
      </w:r>
      <w:r w:rsidRPr="00BD318D">
        <w:t xml:space="preserve">is submitted by the expert from Sweden on behalf of the IGUS </w:t>
      </w:r>
      <w:r w:rsidRPr="00BD318D">
        <w:rPr>
          <w:i/>
        </w:rPr>
        <w:t>ad hoc</w:t>
      </w:r>
      <w:r w:rsidRPr="00BD318D">
        <w:t xml:space="preserve"> working group.</w:t>
      </w:r>
    </w:p>
    <w:p w:rsidR="00EA7E23" w:rsidRDefault="00832D66" w:rsidP="00832D66">
      <w:pPr>
        <w:pStyle w:val="HChG"/>
      </w:pPr>
      <w:r>
        <w:tab/>
      </w:r>
      <w:r>
        <w:tab/>
      </w:r>
      <w:r w:rsidRPr="00966494">
        <w:t>Introduction</w:t>
      </w:r>
    </w:p>
    <w:p w:rsidR="00832D66" w:rsidRPr="00832D66" w:rsidRDefault="00832D66" w:rsidP="00832D66">
      <w:pPr>
        <w:pStyle w:val="SingleTxtG"/>
      </w:pPr>
      <w:r w:rsidRPr="00832D66">
        <w:t>4.</w:t>
      </w:r>
      <w:r w:rsidRPr="00832D66">
        <w:tab/>
        <w:t xml:space="preserve">AN-based fertilizers that are considered to be dangerous goods have two dedicated </w:t>
      </w:r>
      <w:r w:rsidR="00771907" w:rsidRPr="00771907">
        <w:t xml:space="preserve">UN </w:t>
      </w:r>
      <w:r w:rsidRPr="00771907">
        <w:t>numbers</w:t>
      </w:r>
      <w:r w:rsidR="00771907" w:rsidRPr="00771907">
        <w:t>:</w:t>
      </w:r>
      <w:r w:rsidRPr="00771907">
        <w:t xml:space="preserve"> 2067 and 2071.</w:t>
      </w:r>
      <w:r w:rsidRPr="00832D66">
        <w:t xml:space="preserve"> In addition, AN in itself has a dedicated </w:t>
      </w:r>
      <w:r w:rsidR="00771907" w:rsidRPr="00771907">
        <w:t xml:space="preserve">UN number: </w:t>
      </w:r>
      <w:r w:rsidRPr="00771907">
        <w:t>1942</w:t>
      </w:r>
      <w:r w:rsidRPr="00832D66">
        <w:t>. Classification as UN</w:t>
      </w:r>
      <w:r>
        <w:t xml:space="preserve"> </w:t>
      </w:r>
      <w:r w:rsidRPr="00832D66">
        <w:t>2067 is subject to Special Provisions (SP) 186, 306 and 307, while classification in UN</w:t>
      </w:r>
      <w:r>
        <w:t xml:space="preserve"> </w:t>
      </w:r>
      <w:r w:rsidRPr="00832D66">
        <w:t>2071 is subject to SP 186 and 193. SP 306 is also applicable to UN</w:t>
      </w:r>
      <w:r>
        <w:t xml:space="preserve"> </w:t>
      </w:r>
      <w:r w:rsidRPr="00832D66">
        <w:t xml:space="preserve">1942. This paper concerns </w:t>
      </w:r>
      <w:r w:rsidR="00771907" w:rsidRPr="00771907">
        <w:t xml:space="preserve">UN </w:t>
      </w:r>
      <w:r w:rsidRPr="00771907">
        <w:t>numbers</w:t>
      </w:r>
      <w:r w:rsidR="00771907" w:rsidRPr="00771907">
        <w:t>:</w:t>
      </w:r>
      <w:r w:rsidRPr="00771907">
        <w:t xml:space="preserve"> 2067 and 2071</w:t>
      </w:r>
      <w:r w:rsidRPr="00832D66">
        <w:t xml:space="preserve"> </w:t>
      </w:r>
      <w:proofErr w:type="gramStart"/>
      <w:r w:rsidRPr="00832D66">
        <w:t>only,</w:t>
      </w:r>
      <w:proofErr w:type="gramEnd"/>
      <w:r w:rsidRPr="00832D66">
        <w:t xml:space="preserve"> and no changes are proposed for UN1942.</w:t>
      </w:r>
    </w:p>
    <w:p w:rsidR="00832D66" w:rsidRPr="00832D66" w:rsidRDefault="00832D66" w:rsidP="00832D66">
      <w:pPr>
        <w:pStyle w:val="SingleTxtG"/>
      </w:pPr>
      <w:r w:rsidRPr="00832D66">
        <w:t>5.</w:t>
      </w:r>
      <w:r w:rsidRPr="00832D66">
        <w:tab/>
        <w:t>SP307 and 193 contain the composition limits for AN-fertilizers that can be classified in UN</w:t>
      </w:r>
      <w:r>
        <w:t xml:space="preserve"> </w:t>
      </w:r>
      <w:r w:rsidRPr="00832D66">
        <w:t>2067 and UN</w:t>
      </w:r>
      <w:r>
        <w:t xml:space="preserve"> </w:t>
      </w:r>
      <w:r w:rsidRPr="00832D66">
        <w:t xml:space="preserve">2071, respectively. Their written text, which appears to rely on a few implicit understandings and fertilizer-specific terms that are not spelled out, is not very clear, and even to experts may provide quite a challenge. In all, this renders the classification provisions for these </w:t>
      </w:r>
      <w:r w:rsidR="00771907" w:rsidRPr="00771907">
        <w:t xml:space="preserve">UN </w:t>
      </w:r>
      <w:r w:rsidRPr="00771907">
        <w:t>numbers</w:t>
      </w:r>
      <w:r w:rsidRPr="00832D66">
        <w:t xml:space="preserve"> somewhat unclear, which, as explained above, may lead to potentially unsafe situations. It is overcoming this problem that has been the focus of the work of the </w:t>
      </w:r>
      <w:r w:rsidR="00771907">
        <w:t>ad hoc working group under IGUS</w:t>
      </w:r>
      <w:r w:rsidRPr="00832D66">
        <w:t xml:space="preserve"> and a solution to it is proposed in this </w:t>
      </w:r>
      <w:r w:rsidR="00771907">
        <w:t>document</w:t>
      </w:r>
      <w:r w:rsidRPr="00832D66">
        <w:t>.</w:t>
      </w:r>
    </w:p>
    <w:p w:rsidR="00832D66" w:rsidRPr="00966494" w:rsidRDefault="00832D66" w:rsidP="00832D66">
      <w:pPr>
        <w:pStyle w:val="HChG"/>
      </w:pPr>
      <w:r>
        <w:tab/>
      </w:r>
      <w:r>
        <w:tab/>
        <w:t>Proposal</w:t>
      </w:r>
    </w:p>
    <w:p w:rsidR="00832D66" w:rsidRPr="00966494" w:rsidRDefault="00832D66" w:rsidP="00832D66">
      <w:pPr>
        <w:pStyle w:val="SingleTxtG"/>
      </w:pPr>
      <w:r w:rsidRPr="00966494">
        <w:t>6.</w:t>
      </w:r>
      <w:r w:rsidRPr="00966494">
        <w:tab/>
        <w:t>It is proposed to introduce in the Manual a new Section 39 containing all the provisions for classification of AN-based fertilizers. The proposed new Section 39 is presented in Annex 1 to this document. After the introduction and a few definitions, it presents the criteria for classification mainly in the form of a flow chart</w:t>
      </w:r>
      <w:r>
        <w:rPr>
          <w:rStyle w:val="FootnoteReference"/>
        </w:rPr>
        <w:footnoteReference w:id="6"/>
      </w:r>
      <w:r w:rsidRPr="00966494">
        <w:t xml:space="preserve">. A flow chart, correctly constructed, has the advantage of reducing the possibilities for misunderstanding and “falling between the lines” as compared to wording only. As a consequence of the </w:t>
      </w:r>
      <w:r w:rsidRPr="00966494">
        <w:lastRenderedPageBreak/>
        <w:t>proposed new Section, current text in both the Manual and the Model Regulations needs to be amended or removed. These consequential changes are contained in Annex 2 to this document. In Annex 3 to this document the changes to the Dangerous Goods List and the affected Special Provisions 186, 193 and 307 are reproduced for clarity.</w:t>
      </w:r>
    </w:p>
    <w:p w:rsidR="00832D66" w:rsidRPr="00966494" w:rsidRDefault="00832D66" w:rsidP="00832D66">
      <w:pPr>
        <w:pStyle w:val="SingleTxtG"/>
      </w:pPr>
      <w:r w:rsidRPr="00966494">
        <w:t>7.</w:t>
      </w:r>
      <w:r w:rsidRPr="00966494">
        <w:tab/>
        <w:t>How the proposed flow chart corresponds to the current provisions for AN-fertilizers has been explained in detail in in</w:t>
      </w:r>
      <w:r>
        <w:t xml:space="preserve">formal document INF.5 to the </w:t>
      </w:r>
      <w:r w:rsidR="004520A0">
        <w:t>forty-ninth</w:t>
      </w:r>
      <w:r>
        <w:t xml:space="preserve"> session of the </w:t>
      </w:r>
      <w:r w:rsidR="004520A0">
        <w:t>Sub-Committee</w:t>
      </w:r>
      <w:r w:rsidRPr="00966494">
        <w:t>. Since no major changes to the flow chart have been made as compared to the one that was presented to that session (</w:t>
      </w:r>
      <w:r>
        <w:t>ST/SG/AC.10/C.3/2016/</w:t>
      </w:r>
      <w:r w:rsidRPr="00966494">
        <w:t>29), the interested reader is referred to that document.</w:t>
      </w:r>
    </w:p>
    <w:p w:rsidR="00832D66" w:rsidRPr="00966494" w:rsidRDefault="00832D66" w:rsidP="00832D66">
      <w:pPr>
        <w:pStyle w:val="SingleTxtG"/>
      </w:pPr>
      <w:r w:rsidRPr="00966494">
        <w:t>8.</w:t>
      </w:r>
      <w:r w:rsidRPr="00966494">
        <w:tab/>
        <w:t>It needs to be emphasized that the proposals contained in this document are not intended to introduce changes to the current classification provisions for AN-based fertilizers. What is proposed herein is a clarification of the provisions in order to avoid, or at least minimize, the possibilities for misinterpretations. However, as the current provisions are not always clear it was necessary to make some clarifications. Furthermore, a somewhat hidden provision for compound fertilizers was found to be obsolete and likely unintended, and is proposed to be deleted. Both the clarifications and the obsolete provision are explained below.</w:t>
      </w:r>
    </w:p>
    <w:p w:rsidR="00832D66" w:rsidRPr="00324FCF" w:rsidRDefault="00832D66" w:rsidP="00832D66">
      <w:pPr>
        <w:pStyle w:val="HChG"/>
      </w:pPr>
      <w:r>
        <w:tab/>
      </w:r>
      <w:r>
        <w:tab/>
      </w:r>
      <w:r w:rsidRPr="00966494">
        <w:t>Clarifications made</w:t>
      </w:r>
    </w:p>
    <w:p w:rsidR="00832D66" w:rsidRPr="00966494" w:rsidRDefault="00832D66" w:rsidP="00832D66">
      <w:pPr>
        <w:pStyle w:val="SingleTxtG"/>
      </w:pPr>
      <w:r w:rsidRPr="00966494">
        <w:t>9.</w:t>
      </w:r>
      <w:r w:rsidRPr="00966494">
        <w:tab/>
        <w:t>The following clarifications have been made:</w:t>
      </w:r>
    </w:p>
    <w:p w:rsidR="00832D66" w:rsidRPr="00966494" w:rsidRDefault="004520A0" w:rsidP="00832D66">
      <w:pPr>
        <w:pStyle w:val="SingleTxtG"/>
        <w:ind w:left="2268" w:hanging="567"/>
        <w:rPr>
          <w:b/>
        </w:rPr>
      </w:pPr>
      <w:r>
        <w:t>(a</w:t>
      </w:r>
      <w:r w:rsidR="00832D66" w:rsidRPr="00966494">
        <w:t>)</w:t>
      </w:r>
      <w:r w:rsidR="00832D66" w:rsidRPr="00966494">
        <w:rPr>
          <w:b/>
        </w:rPr>
        <w:tab/>
        <w:t>Rewording the condition of added material being inert</w:t>
      </w:r>
    </w:p>
    <w:p w:rsidR="00832D66" w:rsidRPr="00966494" w:rsidRDefault="00832D66" w:rsidP="00832D66">
      <w:pPr>
        <w:pStyle w:val="SingleTxtG"/>
        <w:ind w:left="2268"/>
      </w:pPr>
      <w:r w:rsidRPr="00966494">
        <w:t>SP</w:t>
      </w:r>
      <w:r>
        <w:t xml:space="preserve"> </w:t>
      </w:r>
      <w:r w:rsidRPr="00966494">
        <w:t>307</w:t>
      </w:r>
      <w:r>
        <w:t xml:space="preserve"> </w:t>
      </w:r>
      <w:r w:rsidRPr="00966494">
        <w:t>(a), which is applicable to fertilizers with ≥90% AN, contains the condition that added matter must be “inorganic and inert towards ammonium nitrate”. In practice, this condition is difficult to fulfil, since added matter may contain contaminants that are in fact not inert. Therefore this condition has been rephrased to “Does it contain any incompatible materials in amounts that could potentially negatively affect the stability of AN?</w:t>
      </w:r>
      <w:proofErr w:type="gramStart"/>
      <w:r w:rsidRPr="00966494">
        <w:t>”,</w:t>
      </w:r>
      <w:proofErr w:type="gramEnd"/>
      <w:r w:rsidRPr="00966494">
        <w:t xml:space="preserve"> see Box D4 of the flow chart. It is supplemented by examples of incompatible materials in 39.3.5, and the requirement in 39.4.8 that any deliberately added materials must be inorganic and inert towards AN.</w:t>
      </w:r>
    </w:p>
    <w:p w:rsidR="00832D66" w:rsidRPr="00966494" w:rsidRDefault="004520A0" w:rsidP="00832D66">
      <w:pPr>
        <w:pStyle w:val="SingleTxtG"/>
        <w:ind w:firstLine="567"/>
      </w:pPr>
      <w:r>
        <w:t>(b</w:t>
      </w:r>
      <w:r w:rsidR="00832D66" w:rsidRPr="00966494">
        <w:t>)</w:t>
      </w:r>
      <w:r w:rsidR="00832D66" w:rsidRPr="00966494">
        <w:tab/>
      </w:r>
      <w:r w:rsidR="00832D66" w:rsidRPr="00832D66">
        <w:rPr>
          <w:b/>
        </w:rPr>
        <w:t>Placing a limit on the content of ammonium sulphate</w:t>
      </w:r>
    </w:p>
    <w:p w:rsidR="00832D66" w:rsidRPr="00966494" w:rsidRDefault="00832D66" w:rsidP="00832D66">
      <w:pPr>
        <w:pStyle w:val="SingleTxtG"/>
        <w:ind w:left="2268"/>
        <w:rPr>
          <w:b/>
        </w:rPr>
      </w:pPr>
      <w:r w:rsidRPr="00966494">
        <w:t>SP</w:t>
      </w:r>
      <w:r>
        <w:t xml:space="preserve"> </w:t>
      </w:r>
      <w:r w:rsidRPr="00966494">
        <w:t>307</w:t>
      </w:r>
      <w:r>
        <w:t xml:space="preserve"> </w:t>
      </w:r>
      <w:r w:rsidRPr="00966494">
        <w:t xml:space="preserve">(a) and (b) contain no wording directed towards ammonium sulphate (AS), and in principle would allow AS to be added in unrestricted amounts. For instance, a fertilizer with 80% </w:t>
      </w:r>
      <w:proofErr w:type="gramStart"/>
      <w:r w:rsidRPr="00966494">
        <w:t>AN and</w:t>
      </w:r>
      <w:proofErr w:type="gramEnd"/>
      <w:r w:rsidRPr="00966494">
        <w:t xml:space="preserve"> 20% AS would seem to fit in SP</w:t>
      </w:r>
      <w:r>
        <w:t> </w:t>
      </w:r>
      <w:r w:rsidRPr="00966494">
        <w:t>307</w:t>
      </w:r>
      <w:r>
        <w:t xml:space="preserve"> </w:t>
      </w:r>
      <w:r w:rsidRPr="00966494">
        <w:t xml:space="preserve">(b). </w:t>
      </w:r>
      <w:r w:rsidRPr="00832D66">
        <w:t>However</w:t>
      </w:r>
      <w:r w:rsidRPr="00966494">
        <w:t xml:space="preserve">, when reading SP307(c) it becomes clear that mixtures of </w:t>
      </w:r>
      <w:proofErr w:type="gramStart"/>
      <w:r w:rsidRPr="00966494">
        <w:t>AN and</w:t>
      </w:r>
      <w:proofErr w:type="gramEnd"/>
      <w:r w:rsidRPr="00966494">
        <w:t xml:space="preserve"> AS have special requirements, which is due to AS being capable of enhancing the explosive power of AN</w:t>
      </w:r>
      <w:r w:rsidRPr="00966494">
        <w:rPr>
          <w:rStyle w:val="FootnoteReference"/>
        </w:rPr>
        <w:footnoteReference w:id="7"/>
      </w:r>
      <w:r w:rsidRPr="00966494">
        <w:t xml:space="preserve">. The above example fertilizer is not allowed to be classified under UN2067 according to SP307(c), since the amount of </w:t>
      </w:r>
      <w:proofErr w:type="gramStart"/>
      <w:r w:rsidRPr="00966494">
        <w:t>AN is</w:t>
      </w:r>
      <w:proofErr w:type="gramEnd"/>
      <w:r w:rsidRPr="00966494">
        <w:t xml:space="preserve"> &gt;70%, but this is not sufficiently clear.</w:t>
      </w:r>
    </w:p>
    <w:p w:rsidR="00832D66" w:rsidRPr="00966494" w:rsidRDefault="00832D66" w:rsidP="00832D66">
      <w:pPr>
        <w:pStyle w:val="SingleTxtG"/>
        <w:ind w:left="2268"/>
      </w:pPr>
      <w:r w:rsidRPr="00966494">
        <w:t>There is thus currently no concentration limit on AS in SP</w:t>
      </w:r>
      <w:r>
        <w:t xml:space="preserve"> </w:t>
      </w:r>
      <w:r w:rsidRPr="00966494">
        <w:t>307</w:t>
      </w:r>
      <w:r>
        <w:t xml:space="preserve"> </w:t>
      </w:r>
      <w:r w:rsidRPr="00966494">
        <w:t>(a) or (b), and the proposal is to introduce one. During t</w:t>
      </w:r>
      <w:r>
        <w:t xml:space="preserve">he meeting of the </w:t>
      </w:r>
      <w:r w:rsidR="004520A0">
        <w:t>Working Group on Explosives</w:t>
      </w:r>
      <w:r>
        <w:t xml:space="preserve"> at the </w:t>
      </w:r>
      <w:r w:rsidR="004520A0">
        <w:t>forty-ninth</w:t>
      </w:r>
      <w:r>
        <w:t xml:space="preserve"> session of the </w:t>
      </w:r>
      <w:r w:rsidR="004520A0">
        <w:t>Sub-Committee</w:t>
      </w:r>
      <w:r w:rsidRPr="00966494">
        <w:t xml:space="preserve">, this seemingly new requirement was noted and discussed, and it was concluded </w:t>
      </w:r>
      <w:r w:rsidRPr="00966494">
        <w:lastRenderedPageBreak/>
        <w:t xml:space="preserve">that introducing such a concentration limit on AS is indeed justified. Because the industry practice is to frequently add up to 5% AS to fertilizers in general, for reasons of product quality, some AS needs to, and from a safety-perspective can, </w:t>
      </w:r>
      <w:proofErr w:type="gramStart"/>
      <w:r w:rsidRPr="00966494">
        <w:t>be</w:t>
      </w:r>
      <w:proofErr w:type="gramEnd"/>
      <w:r w:rsidRPr="00966494">
        <w:t xml:space="preserve"> allowed in all AN-based fertilizers. In the flow chart, therefore, this limit of 5% AS has been set throughout for non-compound fertilizers (see Box D8 and D36 of the flow chart), and it is emphasized by paragraph 39.4.6. </w:t>
      </w:r>
      <w:proofErr w:type="gramStart"/>
      <w:r w:rsidRPr="00966494">
        <w:t>If more AS is added the fertilizer is subject to the requirement corresponding to SP307(c) (</w:t>
      </w:r>
      <w:r>
        <w:t>see</w:t>
      </w:r>
      <w:r w:rsidRPr="00966494">
        <w:t xml:space="preserve"> Box </w:t>
      </w:r>
      <w:r>
        <w:t>F</w:t>
      </w:r>
      <w:r w:rsidRPr="00966494">
        <w:t>44 of the flow chart)</w:t>
      </w:r>
      <w:r>
        <w:t>,</w:t>
      </w:r>
      <w:r w:rsidRPr="00966494">
        <w:t xml:space="preserve"> unless it is a compound fertilizer.</w:t>
      </w:r>
      <w:proofErr w:type="gramEnd"/>
    </w:p>
    <w:p w:rsidR="00832D66" w:rsidRPr="00966494" w:rsidRDefault="00832D66" w:rsidP="00832D66">
      <w:pPr>
        <w:pStyle w:val="SingleTxtG"/>
        <w:ind w:left="2268"/>
      </w:pPr>
      <w:r w:rsidRPr="00966494">
        <w:t xml:space="preserve">Compound fertilizers may contain AS </w:t>
      </w:r>
      <w:proofErr w:type="spellStart"/>
      <w:r w:rsidRPr="00966494">
        <w:t>as</w:t>
      </w:r>
      <w:proofErr w:type="spellEnd"/>
      <w:r w:rsidRPr="00966494">
        <w:t xml:space="preserve"> a nutrient and are allowed any amount of AS </w:t>
      </w:r>
      <w:r>
        <w:t xml:space="preserve">in the proposed scheme </w:t>
      </w:r>
      <w:r w:rsidRPr="00966494">
        <w:t xml:space="preserve">as long as they contain at least 10% inorganic materials excluding </w:t>
      </w:r>
      <w:proofErr w:type="gramStart"/>
      <w:r w:rsidRPr="00966494">
        <w:t>AN and</w:t>
      </w:r>
      <w:proofErr w:type="gramEnd"/>
      <w:r w:rsidRPr="00966494">
        <w:t xml:space="preserve"> AS if the AN-content is &gt;70% (see Box F14 and H14 of the flow chart). This has the effect of restricting the combined amount of AN and AS (the higher the amount of </w:t>
      </w:r>
      <w:proofErr w:type="gramStart"/>
      <w:r w:rsidRPr="00966494">
        <w:t>AN the</w:t>
      </w:r>
      <w:proofErr w:type="gramEnd"/>
      <w:r w:rsidRPr="00966494">
        <w:t xml:space="preserve"> lower the allowed amount of AS, and </w:t>
      </w:r>
      <w:r w:rsidRPr="00966494">
        <w:rPr>
          <w:i/>
        </w:rPr>
        <w:t>vice versa</w:t>
      </w:r>
      <w:r w:rsidRPr="00966494">
        <w:t>). Usually, but not necessarily, these inorganic materials provide the primary nutrients phosphorus (P) and/or potassium (K). The requirement of 10% other inorganic materials prevents fertilizers with high contents of AN and AS to escape the conditions of SP</w:t>
      </w:r>
      <w:r w:rsidR="0024721C">
        <w:t> </w:t>
      </w:r>
      <w:r w:rsidRPr="00966494">
        <w:t>307</w:t>
      </w:r>
      <w:r w:rsidR="0024721C">
        <w:t xml:space="preserve"> </w:t>
      </w:r>
      <w:r w:rsidRPr="00966494">
        <w:t>(c) by addition of small amounts of materials providing P and/or K, which could qualify them as being compound fertilizers. For compound fertilizers with ≤70% AN there is no restriction on the AS-content.</w:t>
      </w:r>
    </w:p>
    <w:p w:rsidR="0024721C" w:rsidRPr="00966494" w:rsidRDefault="004520A0" w:rsidP="0024721C">
      <w:pPr>
        <w:pStyle w:val="SingleTxtG"/>
        <w:ind w:left="1701"/>
      </w:pPr>
      <w:r>
        <w:t>(c</w:t>
      </w:r>
      <w:r w:rsidR="0024721C" w:rsidRPr="00966494">
        <w:t xml:space="preserve">) </w:t>
      </w:r>
      <w:r w:rsidR="0024721C" w:rsidRPr="00966494">
        <w:tab/>
      </w:r>
      <w:r w:rsidR="0024721C" w:rsidRPr="0024721C">
        <w:rPr>
          <w:b/>
        </w:rPr>
        <w:t xml:space="preserve">Not allowing escape from classification via testing for oxidizing </w:t>
      </w:r>
      <w:r w:rsidR="0024721C">
        <w:rPr>
          <w:b/>
        </w:rPr>
        <w:tab/>
      </w:r>
      <w:r w:rsidR="0024721C" w:rsidRPr="0024721C">
        <w:rPr>
          <w:b/>
        </w:rPr>
        <w:t>properties</w:t>
      </w:r>
    </w:p>
    <w:p w:rsidR="0024721C" w:rsidRPr="00966494" w:rsidRDefault="0024721C" w:rsidP="0024721C">
      <w:pPr>
        <w:pStyle w:val="SingleTxtG"/>
        <w:ind w:left="2268"/>
        <w:rPr>
          <w:b/>
        </w:rPr>
      </w:pPr>
      <w:r w:rsidRPr="00966494">
        <w:t xml:space="preserve">Classification of AN-based fertilizers as oxidizers is done on basis of their composition, as is clear from SP307. The reason for this is that the oxidizing properties of </w:t>
      </w:r>
      <w:proofErr w:type="gramStart"/>
      <w:r w:rsidRPr="00966494">
        <w:t>AN are</w:t>
      </w:r>
      <w:proofErr w:type="gramEnd"/>
      <w:r w:rsidRPr="00966494">
        <w:t xml:space="preserve"> not the most prominent hazard (which is decomposition). In fact AN, like most simple inorganic nitrate salts, is a rather weak oxidizer, and fertilizers with quite high AN contents can escape classification as oxidizers if subjected to testing (tests</w:t>
      </w:r>
      <w:r w:rsidR="004520A0">
        <w:t xml:space="preserve"> O.1 or O.3 according to the </w:t>
      </w:r>
      <w:r w:rsidRPr="00966494">
        <w:t>Manual of Tests and Criteria). Furthermore, it is implicit that this is not intended, since if AN-fertilizers fitting into the descriptions of SP307 were allowed to escape classification as oxidizers via testing there would be no point in specifying the composition in SP307 at all. Therefore it is clarified in 39.4.5 that AN-based fertilizers are not allowed to be exempted from classification as oxidizers based on results from test O.1 or O.3.</w:t>
      </w:r>
    </w:p>
    <w:p w:rsidR="0069322D" w:rsidRPr="00966494" w:rsidRDefault="004520A0" w:rsidP="0069322D">
      <w:pPr>
        <w:pStyle w:val="SingleTxtG"/>
        <w:ind w:left="1985" w:hanging="284"/>
        <w:rPr>
          <w:b/>
        </w:rPr>
      </w:pPr>
      <w:r>
        <w:t>(d</w:t>
      </w:r>
      <w:r w:rsidR="0069322D" w:rsidRPr="00966494">
        <w:t>)</w:t>
      </w:r>
      <w:r w:rsidR="0069322D" w:rsidRPr="00966494">
        <w:tab/>
      </w:r>
      <w:r>
        <w:tab/>
      </w:r>
      <w:r w:rsidR="0069322D" w:rsidRPr="00966494">
        <w:rPr>
          <w:b/>
        </w:rPr>
        <w:t>Directing fertilizers that do not fit the descriptions</w:t>
      </w:r>
    </w:p>
    <w:p w:rsidR="0069322D" w:rsidRPr="00A7386A" w:rsidRDefault="0069322D" w:rsidP="0069322D">
      <w:pPr>
        <w:pStyle w:val="SingleTxtG"/>
        <w:ind w:left="2268"/>
        <w:rPr>
          <w:b/>
        </w:rPr>
      </w:pPr>
      <w:r w:rsidRPr="00966494">
        <w:t xml:space="preserve">Currently there is no prescription on how to handle AN-based fertilizers that do not fit the descriptions in SP307 or SP193. However, it is clear that fertilizers that do not fit the descriptions because of a too high content of AN, combustible materials and/or incompatible materials (including AS) are considered more dangerous than those fertilizers that do fit the description. In the proposed Section 39, such non-conforming fertilizers are generally referred to a competent authority for possible approval </w:t>
      </w:r>
      <w:r w:rsidR="004520A0">
        <w:t xml:space="preserve">for transport under another UN </w:t>
      </w:r>
      <w:r w:rsidRPr="00966494">
        <w:t>number (see Box F4, F6, F8, H12, H16, H18, F34, F36 and F42 of the flow chart as well as paragraph 39.4.3). In the case of fertilizers with a very high AN-content (≥90%) in combination with a high conte</w:t>
      </w:r>
      <w:r>
        <w:t>nt of combustible materials (&gt;0.</w:t>
      </w:r>
      <w:r w:rsidRPr="00966494">
        <w:t>2%), it is clarified that they can only be classified as explosives (Class 1 for transport</w:t>
      </w:r>
      <w:proofErr w:type="gramStart"/>
      <w:r w:rsidRPr="00966494">
        <w:t>)(</w:t>
      </w:r>
      <w:proofErr w:type="gramEnd"/>
      <w:r w:rsidRPr="00966494">
        <w:t>see Box F6 of the flow chart)</w:t>
      </w:r>
      <w:r>
        <w:t xml:space="preserve">. It is also specified that non-compound fertilizers with 70% or more </w:t>
      </w:r>
      <w:proofErr w:type="gramStart"/>
      <w:r>
        <w:t>AN</w:t>
      </w:r>
      <w:proofErr w:type="gramEnd"/>
      <w:r>
        <w:t xml:space="preserve"> may not contain AS </w:t>
      </w:r>
      <w:proofErr w:type="spellStart"/>
      <w:r>
        <w:t>as</w:t>
      </w:r>
      <w:proofErr w:type="spellEnd"/>
      <w:r>
        <w:t xml:space="preserve"> a nutrient and hence are not allowed for transport (see 39.4.6 and Box F8 and F36)</w:t>
      </w:r>
      <w:r w:rsidRPr="00966494">
        <w:t>.</w:t>
      </w:r>
    </w:p>
    <w:p w:rsidR="0069322D" w:rsidRPr="00966494" w:rsidRDefault="004520A0" w:rsidP="0069322D">
      <w:pPr>
        <w:pStyle w:val="SingleTxtG"/>
        <w:ind w:firstLine="567"/>
      </w:pPr>
      <w:r>
        <w:lastRenderedPageBreak/>
        <w:t>(e</w:t>
      </w:r>
      <w:r w:rsidR="0069322D" w:rsidRPr="00966494">
        <w:t>)</w:t>
      </w:r>
      <w:r w:rsidR="0069322D" w:rsidRPr="00966494">
        <w:tab/>
      </w:r>
      <w:r w:rsidR="0069322D" w:rsidRPr="0069322D">
        <w:rPr>
          <w:b/>
        </w:rPr>
        <w:t>Apparent change of applicability for SP307</w:t>
      </w:r>
    </w:p>
    <w:p w:rsidR="0069322D" w:rsidRPr="00966494" w:rsidRDefault="0069322D" w:rsidP="0069322D">
      <w:pPr>
        <w:pStyle w:val="SingleTxtG"/>
        <w:ind w:left="2268"/>
        <w:rPr>
          <w:b/>
        </w:rPr>
      </w:pPr>
      <w:r w:rsidRPr="00966494">
        <w:t>It is proposed to change the initial sentence of SP307 from "This entry may only be used for uniform mixtures containing ammonium nitrate as the main ingredient […]" to "This entry may only be used for ammonium nitrate based fertilizers. […]", as this is in line with the terminology used throughout the proposal. While this could be perceived as a change to the applicability of UN2067, it is in fact bringing SP307 in line with the existing name and description of UN2067 in the Dangerous Goods List (Chapter 3.2 of the Model Regulations), and hence there is no change in practice. The new wording would also not hinder those jurisdictions that currently classify (virtually) pure AN of fertilizer grade as UN1942 (Ammonium nitrate) to continue to do so.</w:t>
      </w:r>
    </w:p>
    <w:p w:rsidR="00FB630E" w:rsidRPr="00966494" w:rsidRDefault="00FB630E" w:rsidP="00FB630E">
      <w:pPr>
        <w:pStyle w:val="HChG"/>
      </w:pPr>
      <w:r>
        <w:tab/>
      </w:r>
      <w:r>
        <w:tab/>
      </w:r>
      <w:r w:rsidRPr="00966494">
        <w:t>Removal of an obsolete condition</w:t>
      </w:r>
    </w:p>
    <w:p w:rsidR="00FB630E" w:rsidRPr="00966494" w:rsidRDefault="00FB630E" w:rsidP="00FB630E">
      <w:pPr>
        <w:pStyle w:val="SingleTxtG"/>
      </w:pPr>
      <w:r w:rsidRPr="00966494">
        <w:t>10.</w:t>
      </w:r>
      <w:r w:rsidRPr="00966494">
        <w:tab/>
        <w:t>Quite late in the work, a provision for compound fertilizers was discovered in Section 38 of the Manual which many experts were unaware of. It is a condition on the content of “excess nitrate” in paragraph 38.2.3.3 of that Section, which is considered to most likely have been forgotten to be removed in connection with the restructuring of the provisions for AN-based fertiliz</w:t>
      </w:r>
      <w:r>
        <w:t>ers that took place when the 12</w:t>
      </w:r>
      <w:r w:rsidRPr="00966494">
        <w:t xml:space="preserve">th revised edition of the </w:t>
      </w:r>
      <w:r w:rsidR="00CC5C0F">
        <w:t>Recommendations on the Transport of Dangerous Goods</w:t>
      </w:r>
      <w:r w:rsidRPr="00966494">
        <w:t xml:space="preserve"> were written. After discussions with industry representatives and within the </w:t>
      </w:r>
      <w:r w:rsidR="00CC5C0F">
        <w:t>Working Group on Explosives</w:t>
      </w:r>
      <w:r w:rsidRPr="00966494">
        <w:t xml:space="preserve">, </w:t>
      </w:r>
      <w:r w:rsidRPr="00FB630E">
        <w:t>it</w:t>
      </w:r>
      <w:r w:rsidRPr="00966494">
        <w:t xml:space="preserve"> was decided that this condition, if even applied in practice, has no function since the fertilizers in question are anyhow subjected to the test for self-sustaining decomposition (the “trough test”, Test S.1). This provision therefore does not exist in the proposed new Section 39, and is proposed to be deleted from Section 38.</w:t>
      </w:r>
    </w:p>
    <w:p w:rsidR="00FB630E" w:rsidRPr="00330F67" w:rsidRDefault="00FB630E" w:rsidP="00FB630E">
      <w:pPr>
        <w:pStyle w:val="HChG"/>
      </w:pPr>
      <w:r>
        <w:tab/>
      </w:r>
      <w:r>
        <w:tab/>
      </w:r>
      <w:r w:rsidRPr="00966494">
        <w:t>Final words</w:t>
      </w:r>
    </w:p>
    <w:p w:rsidR="00FB630E" w:rsidRPr="00966494" w:rsidRDefault="00FB630E" w:rsidP="00FB630E">
      <w:pPr>
        <w:pStyle w:val="SingleTxtG"/>
      </w:pPr>
      <w:r w:rsidRPr="00966494">
        <w:t>11.</w:t>
      </w:r>
      <w:r w:rsidRPr="00966494">
        <w:tab/>
        <w:t>The proposals made through this document have been discussed over the past two years between experts from both government and industry. The work has been prese</w:t>
      </w:r>
      <w:r>
        <w:t xml:space="preserve">nted to the </w:t>
      </w:r>
      <w:r w:rsidR="00CC5C0F">
        <w:t>Sub-Committee</w:t>
      </w:r>
      <w:r>
        <w:t xml:space="preserve"> since its </w:t>
      </w:r>
      <w:r w:rsidR="00CC5C0F">
        <w:t>forty-eighth</w:t>
      </w:r>
      <w:r w:rsidRPr="00966494">
        <w:t xml:space="preserve"> session in December 2015, and discussed within the </w:t>
      </w:r>
      <w:r w:rsidR="00CC5C0F">
        <w:t>Working Group on Explosives</w:t>
      </w:r>
      <w:r w:rsidRPr="00966494">
        <w:t xml:space="preserve"> since then. The expert from Sweden, </w:t>
      </w:r>
      <w:r>
        <w:t>on behalf of</w:t>
      </w:r>
      <w:r w:rsidRPr="00966494">
        <w:t xml:space="preserve"> the entire working group under IGUS, wishes to thank all the experts </w:t>
      </w:r>
      <w:r>
        <w:t>who</w:t>
      </w:r>
      <w:r w:rsidRPr="00966494">
        <w:t xml:space="preserve"> have been involved for their valuable </w:t>
      </w:r>
      <w:r>
        <w:t xml:space="preserve">contributions </w:t>
      </w:r>
      <w:r w:rsidRPr="00966494">
        <w:t>to the work.</w:t>
      </w:r>
    </w:p>
    <w:p w:rsidR="00513B41" w:rsidRDefault="00513B41">
      <w:pPr>
        <w:suppressAutoHyphens w:val="0"/>
        <w:spacing w:line="240" w:lineRule="auto"/>
      </w:pPr>
      <w:r>
        <w:br w:type="page"/>
      </w:r>
    </w:p>
    <w:p w:rsidR="00513B41" w:rsidRDefault="00CC5C0F" w:rsidP="00513B41">
      <w:pPr>
        <w:pStyle w:val="HChG"/>
      </w:pPr>
      <w:r>
        <w:lastRenderedPageBreak/>
        <w:t>Annex I</w:t>
      </w:r>
    </w:p>
    <w:p w:rsidR="00513B41" w:rsidRPr="00966494" w:rsidRDefault="00513B41" w:rsidP="00513B41">
      <w:pPr>
        <w:pStyle w:val="HChG"/>
      </w:pPr>
      <w:r>
        <w:tab/>
      </w:r>
      <w:r>
        <w:tab/>
      </w:r>
      <w:r w:rsidRPr="00966494">
        <w:rPr>
          <w:szCs w:val="28"/>
        </w:rPr>
        <w:t>New Section 39 to be inserted in the Manual of Tests and Criteria</w:t>
      </w:r>
      <w:r w:rsidRPr="00966494">
        <w:rPr>
          <w:rStyle w:val="FootnoteReference"/>
          <w:b w:val="0"/>
          <w:szCs w:val="28"/>
        </w:rPr>
        <w:footnoteReference w:id="8"/>
      </w:r>
    </w:p>
    <w:p w:rsidR="00513B41" w:rsidRPr="00966494" w:rsidRDefault="00513B41" w:rsidP="00513B41">
      <w:pPr>
        <w:pStyle w:val="HChG"/>
      </w:pPr>
      <w:r>
        <w:tab/>
      </w:r>
      <w:r>
        <w:tab/>
      </w:r>
      <w:r w:rsidRPr="00966494">
        <w:t>Section 39</w:t>
      </w:r>
    </w:p>
    <w:p w:rsidR="00513B41" w:rsidRPr="00966494" w:rsidRDefault="00513B41" w:rsidP="00513B41">
      <w:pPr>
        <w:pStyle w:val="H1G"/>
      </w:pPr>
      <w:r>
        <w:tab/>
      </w:r>
      <w:r>
        <w:tab/>
      </w:r>
      <w:r w:rsidRPr="00966494">
        <w:t xml:space="preserve">Classification procedure </w:t>
      </w:r>
      <w:r w:rsidRPr="00513B41">
        <w:t>and</w:t>
      </w:r>
      <w:r w:rsidRPr="00966494">
        <w:t xml:space="preserve"> criteria relating to solid ammonium </w:t>
      </w:r>
      <w:r w:rsidRPr="00966494">
        <w:br/>
        <w:t>nitrate based fertilizers</w:t>
      </w:r>
    </w:p>
    <w:p w:rsidR="00513B41" w:rsidRPr="00966494" w:rsidRDefault="00513B41" w:rsidP="00513B41">
      <w:pPr>
        <w:pStyle w:val="H1G"/>
      </w:pPr>
      <w:r>
        <w:tab/>
      </w:r>
      <w:r>
        <w:tab/>
      </w:r>
      <w:r w:rsidRPr="00966494">
        <w:t xml:space="preserve">39.1 </w:t>
      </w:r>
      <w:r w:rsidRPr="00966494">
        <w:tab/>
        <w:t>Purpose</w:t>
      </w:r>
    </w:p>
    <w:p w:rsidR="00513B41" w:rsidRPr="00966494" w:rsidRDefault="00513B41" w:rsidP="00513B41">
      <w:pPr>
        <w:pStyle w:val="SingleTxtG"/>
      </w:pPr>
      <w:r w:rsidRPr="00513B41">
        <w:t>This</w:t>
      </w:r>
      <w:r w:rsidRPr="00966494">
        <w:t xml:space="preserve"> section presents the United Nations scheme for the classification of solid ammonium nitrate based fertilizers as referred to in the Model Regulations, Chapter 3.3, special provisions 307 and 193.</w:t>
      </w:r>
    </w:p>
    <w:p w:rsidR="00513B41" w:rsidRPr="00966494" w:rsidRDefault="00513B41" w:rsidP="00513B41">
      <w:pPr>
        <w:pStyle w:val="H1G"/>
        <w:ind w:left="0" w:firstLine="0"/>
      </w:pPr>
      <w:r>
        <w:tab/>
      </w:r>
      <w:r>
        <w:tab/>
      </w:r>
      <w:r w:rsidRPr="00966494">
        <w:t>39.2</w:t>
      </w:r>
      <w:r w:rsidRPr="00966494">
        <w:tab/>
        <w:t xml:space="preserve"> Scope</w:t>
      </w:r>
    </w:p>
    <w:p w:rsidR="00513B41" w:rsidRPr="00966494" w:rsidRDefault="00513B41" w:rsidP="00513B41">
      <w:pPr>
        <w:pStyle w:val="SingleTxtG"/>
      </w:pPr>
      <w:r w:rsidRPr="00966494">
        <w:t>Any new solid fertilizer composition containing ammonium nitrate shall be subjected to the classification procedure as set out in 39.4.</w:t>
      </w:r>
    </w:p>
    <w:p w:rsidR="00513B41" w:rsidRPr="00966494" w:rsidRDefault="00513B41" w:rsidP="00513B41">
      <w:pPr>
        <w:pStyle w:val="H1G"/>
        <w:ind w:left="0" w:firstLine="0"/>
      </w:pPr>
      <w:r>
        <w:tab/>
      </w:r>
      <w:r>
        <w:tab/>
      </w:r>
      <w:r w:rsidRPr="00966494">
        <w:t>39.3</w:t>
      </w:r>
      <w:r w:rsidRPr="00966494">
        <w:tab/>
        <w:t xml:space="preserve"> Definitions</w:t>
      </w:r>
    </w:p>
    <w:p w:rsidR="00513B41" w:rsidRPr="00513B41" w:rsidRDefault="00513B41" w:rsidP="00513B41">
      <w:pPr>
        <w:pStyle w:val="SingleTxtG"/>
      </w:pPr>
      <w:r w:rsidRPr="00513B41">
        <w:t>39.3.1</w:t>
      </w:r>
      <w:r w:rsidRPr="00513B41">
        <w:tab/>
        <w:t>An ammonium nitrate based fertilizer is a fertilizer containing ammonium (NH4+) and nitrate (NO3−) ions. See also 39.3.3.</w:t>
      </w:r>
    </w:p>
    <w:p w:rsidR="00513B41" w:rsidRPr="00513B41" w:rsidRDefault="00513B41" w:rsidP="00513B41">
      <w:pPr>
        <w:pStyle w:val="SingleTxtG"/>
      </w:pPr>
      <w:r w:rsidRPr="00513B41">
        <w:t>39.3.2</w:t>
      </w:r>
      <w:r w:rsidRPr="00513B41">
        <w:tab/>
        <w:t>A compound fertilizer is a fertilizer that contains at least two of the three primary nutrients nitrogen (N), phosphorus (P) and potassium (K).</w:t>
      </w:r>
    </w:p>
    <w:p w:rsidR="00513B41" w:rsidRPr="00513B41" w:rsidRDefault="00513B41" w:rsidP="00513B41">
      <w:pPr>
        <w:pStyle w:val="SingleTxtG"/>
      </w:pPr>
      <w:r w:rsidRPr="00513B41">
        <w:t>39.3.3</w:t>
      </w:r>
      <w:r w:rsidRPr="00513B41">
        <w:tab/>
        <w:t>In determining the ammonium nitrate content, all nitrate ions for which a molecular equivalent of ammonium ions is present in the fertilizer shall be calculated as ammonium nitrate.</w:t>
      </w:r>
    </w:p>
    <w:p w:rsidR="00513B41" w:rsidRPr="00513B41" w:rsidRDefault="00513B41" w:rsidP="00513B41">
      <w:pPr>
        <w:pStyle w:val="SingleTxtG"/>
      </w:pPr>
      <w:r w:rsidRPr="00513B41">
        <w:t>39.3.4</w:t>
      </w:r>
      <w:r w:rsidRPr="00513B41">
        <w:tab/>
        <w:t>Combustible substances as referred to in paragraph 39.4 include also non-organic substances that can be oxidized, e.g. elemental sulphur. For organic substances the content of combustibles is calculated as carbon.</w:t>
      </w:r>
    </w:p>
    <w:p w:rsidR="00513B41" w:rsidRPr="00513B41" w:rsidRDefault="00513B41" w:rsidP="00513B41">
      <w:pPr>
        <w:pStyle w:val="SingleTxtG"/>
      </w:pPr>
      <w:r w:rsidRPr="00513B41">
        <w:t>39.3.5</w:t>
      </w:r>
      <w:r w:rsidRPr="00513B41">
        <w:tab/>
        <w:t xml:space="preserve">Materials that are incompatible with ammonium nitrate include e.g. urea, acids, superphosphates with free acid, elemental sulphur, sulphides and most transition metals, including heavy metals (e.g. copper), and chlorides. Note however that this listing is not exhaustive. </w:t>
      </w:r>
    </w:p>
    <w:p w:rsidR="00513B41" w:rsidRPr="00966494" w:rsidRDefault="00513B41" w:rsidP="00CC3115">
      <w:pPr>
        <w:pStyle w:val="H1G"/>
        <w:tabs>
          <w:tab w:val="left" w:pos="1134"/>
          <w:tab w:val="left" w:pos="1985"/>
        </w:tabs>
        <w:ind w:left="0" w:firstLine="0"/>
      </w:pPr>
      <w:r>
        <w:tab/>
      </w:r>
      <w:r>
        <w:tab/>
      </w:r>
      <w:r w:rsidRPr="00966494">
        <w:t xml:space="preserve">39.4 </w:t>
      </w:r>
      <w:r w:rsidRPr="00966494">
        <w:tab/>
        <w:t>Classification procedure</w:t>
      </w:r>
    </w:p>
    <w:p w:rsidR="00513B41" w:rsidRPr="00513B41" w:rsidRDefault="00513B41" w:rsidP="00513B41">
      <w:pPr>
        <w:pStyle w:val="SingleTxtG"/>
      </w:pPr>
      <w:r w:rsidRPr="00513B41">
        <w:t>39.4.1</w:t>
      </w:r>
      <w:r w:rsidRPr="00513B41">
        <w:tab/>
        <w:t xml:space="preserve">Solid ammonium nitrate based fertilizers are classified on the basis of their composition and experience and knowledge of their hazardous behaviour. Occasionally, the </w:t>
      </w:r>
      <w:r w:rsidRPr="00513B41">
        <w:lastRenderedPageBreak/>
        <w:t>classification is complemented by testing for the ability to undergo self-sustaining decomposition or for explosive properties. These principles are condensed in the flowchart in 39.5.</w:t>
      </w:r>
    </w:p>
    <w:p w:rsidR="00513B41" w:rsidRPr="00513B41" w:rsidRDefault="00513B41" w:rsidP="00513B41">
      <w:pPr>
        <w:pStyle w:val="SingleTxtG"/>
      </w:pPr>
      <w:r w:rsidRPr="00513B41">
        <w:t>39.4.2</w:t>
      </w:r>
      <w:r w:rsidRPr="00513B41">
        <w:tab/>
        <w:t xml:space="preserve">UN No. 2067 may only be used for ammonium nitrate based fertilizers that do not show explosive properties when tested in accordance with Test Series 2 of this Manual. </w:t>
      </w:r>
    </w:p>
    <w:p w:rsidR="00513B41" w:rsidRPr="00513B41" w:rsidRDefault="00513B41" w:rsidP="00513B41">
      <w:pPr>
        <w:pStyle w:val="SingleTxtG"/>
      </w:pPr>
      <w:r w:rsidRPr="00513B41">
        <w:t>39.4.3</w:t>
      </w:r>
      <w:r w:rsidRPr="00513B41">
        <w:tab/>
        <w:t>Ammonium nitrate based fertilizers that do not fulfil the requirements for classification as UN No. 2067, can be assigned another suitable UN No. in Class 1 or Class 5, Division 5.1, provided that the suitability for transport is demonstrated and this is approved by the competent authority. This may for instance be when contamination has occurred in e.g. an accident, so that the fertilizer can be transported under a suitable UN No. e.g. in Class 1 as approved by the competent authority.</w:t>
      </w:r>
    </w:p>
    <w:p w:rsidR="00513B41" w:rsidRPr="00513B41" w:rsidRDefault="00513B41" w:rsidP="00513B41">
      <w:pPr>
        <w:pStyle w:val="SingleTxtG"/>
      </w:pPr>
      <w:r w:rsidRPr="00513B41">
        <w:t>39.4.4</w:t>
      </w:r>
      <w:r w:rsidRPr="00513B41">
        <w:tab/>
        <w:t>Ammonium nitrate based fertilizers that meet composition limits relevant for inclusion in the class of Explosives as set out in 39.5 shall be classified in that class regardless of the results when tested in accordance with Test Series 2 of this Manual.</w:t>
      </w:r>
    </w:p>
    <w:p w:rsidR="00513B41" w:rsidRPr="00513B41" w:rsidRDefault="00513B41" w:rsidP="00513B41">
      <w:pPr>
        <w:pStyle w:val="SingleTxtG"/>
      </w:pPr>
      <w:r w:rsidRPr="00513B41">
        <w:t>39.4.5</w:t>
      </w:r>
      <w:r w:rsidRPr="00513B41">
        <w:tab/>
        <w:t xml:space="preserve"> Ammonium nitrate based fertilizers that meet composition limits relevant for classification as oxidizing solids as set out in 39.5, or are otherwise classified as oxidizing solids, shall not be exempted from that classification on the basis of the results from tests O.1 and/or O.3 in Section 34 of this Manual. See also paragraph 34.3.1 in Section 34 of this Manual.</w:t>
      </w:r>
    </w:p>
    <w:p w:rsidR="00513B41" w:rsidRPr="00513B41" w:rsidRDefault="00513B41" w:rsidP="00513B41">
      <w:pPr>
        <w:pStyle w:val="SingleTxtG"/>
      </w:pPr>
      <w:r w:rsidRPr="00513B41">
        <w:t xml:space="preserve">39.4.6 </w:t>
      </w:r>
      <w:r w:rsidRPr="00513B41">
        <w:tab/>
        <w:t xml:space="preserve">Fertilizers that contain 70 % or more ammonium nitrate shall not contain ammonium sulphate as nutrient, unless they are compound fertilizers with less than 90% ammonium nitrate and with at least 10% inorganic materials excluding ammonium nitrate and ammonium sulphate. </w:t>
      </w:r>
    </w:p>
    <w:p w:rsidR="00513B41" w:rsidRPr="00513B41" w:rsidRDefault="00513B41" w:rsidP="00513B41">
      <w:pPr>
        <w:pStyle w:val="SingleTxtG"/>
      </w:pPr>
      <w:r w:rsidRPr="00513B41">
        <w:t>39.4.7</w:t>
      </w:r>
      <w:r w:rsidRPr="00513B41">
        <w:tab/>
        <w:t>Compound fertilizers that meet the composition limits relevant for potential inclusion for transport in Class 9 shall be tested for their capability to undergo self-sustaining decomposition according to the method given in paragraph 38.2.4 of this Manual (test S.1, trough test) and classified according to criteria given there and in 39.5.</w:t>
      </w:r>
    </w:p>
    <w:p w:rsidR="00513B41" w:rsidRPr="00513B41" w:rsidRDefault="00513B41" w:rsidP="00513B41">
      <w:pPr>
        <w:pStyle w:val="SingleTxtG"/>
      </w:pPr>
      <w:r w:rsidRPr="00513B41">
        <w:t>39.4.8</w:t>
      </w:r>
      <w:r w:rsidRPr="00513B41">
        <w:tab/>
        <w:t>For ammonium nitrate based fertilizers containing 90% or more ammonium nitrate, any deliberately added matter shall be inorganic and inert towards ammonium nitrate. See also 39.3.5.</w:t>
      </w:r>
      <w:r w:rsidRPr="00513B41">
        <w:tab/>
      </w:r>
    </w:p>
    <w:p w:rsidR="00513B41" w:rsidRPr="00966494" w:rsidRDefault="00513B41" w:rsidP="00513B41">
      <w:pPr>
        <w:pStyle w:val="H1G"/>
        <w:tabs>
          <w:tab w:val="clear" w:pos="851"/>
        </w:tabs>
        <w:ind w:left="0" w:firstLine="0"/>
      </w:pPr>
      <w:r>
        <w:tab/>
      </w:r>
      <w:r>
        <w:tab/>
      </w:r>
      <w:r w:rsidRPr="00966494">
        <w:t xml:space="preserve">39.5 </w:t>
      </w:r>
      <w:r w:rsidRPr="00966494">
        <w:tab/>
        <w:t>Classification criteria</w:t>
      </w:r>
    </w:p>
    <w:p w:rsidR="00513B41" w:rsidRPr="00966494" w:rsidRDefault="00513B41" w:rsidP="00513B41">
      <w:pPr>
        <w:pStyle w:val="SingleTxtG"/>
        <w:rPr>
          <w:b/>
        </w:rPr>
      </w:pPr>
      <w:r w:rsidRPr="00966494">
        <w:t>39.5.1</w:t>
      </w:r>
      <w:r w:rsidRPr="00966494">
        <w:tab/>
        <w:t>Ammonium nitrate based fertilizers shall be classified in accordance with the flowchart below.</w:t>
      </w:r>
    </w:p>
    <w:p w:rsidR="00513B41" w:rsidRPr="00513B41" w:rsidRDefault="00513B41" w:rsidP="00513B41">
      <w:pPr>
        <w:pStyle w:val="SingleTxtG"/>
        <w:rPr>
          <w:b/>
        </w:rPr>
      </w:pPr>
      <w:r w:rsidRPr="00513B41">
        <w:rPr>
          <w:b/>
        </w:rPr>
        <w:t xml:space="preserve">NOTE to Figure 39.1: </w:t>
      </w:r>
      <w:proofErr w:type="gramStart"/>
      <w:r w:rsidRPr="00513B41">
        <w:rPr>
          <w:b/>
        </w:rPr>
        <w:t>AN</w:t>
      </w:r>
      <w:proofErr w:type="gramEnd"/>
      <w:r w:rsidRPr="00513B41">
        <w:rPr>
          <w:b/>
        </w:rPr>
        <w:t xml:space="preserve"> means ammonium nitrate. AS means ammonium sulphate</w:t>
      </w:r>
    </w:p>
    <w:p w:rsidR="0069322D" w:rsidRPr="00513B41" w:rsidRDefault="0069322D" w:rsidP="00513B41">
      <w:pPr>
        <w:pStyle w:val="SingleTxtG"/>
      </w:pPr>
    </w:p>
    <w:p w:rsidR="00832D66" w:rsidRPr="00513B41" w:rsidRDefault="00832D66" w:rsidP="00513B41">
      <w:pPr>
        <w:pStyle w:val="SingleTxtG"/>
      </w:pPr>
    </w:p>
    <w:p w:rsidR="00EA7E23" w:rsidRDefault="00EA7E23" w:rsidP="00832D66">
      <w:pPr>
        <w:pStyle w:val="SingleTxtG"/>
        <w:ind w:left="2268"/>
      </w:pPr>
    </w:p>
    <w:p w:rsidR="00EA7E23" w:rsidRDefault="00EA7E23" w:rsidP="00832D66">
      <w:pPr>
        <w:pStyle w:val="SingleTxtG"/>
        <w:ind w:left="2268"/>
      </w:pPr>
    </w:p>
    <w:p w:rsidR="00EA7E23" w:rsidRDefault="00EA7E23" w:rsidP="00832D66">
      <w:pPr>
        <w:pStyle w:val="SingleTxtG"/>
      </w:pPr>
    </w:p>
    <w:p w:rsidR="00EA7E23" w:rsidRDefault="00EA7E23" w:rsidP="00832D66">
      <w:pPr>
        <w:pStyle w:val="SingleTxtG"/>
      </w:pPr>
    </w:p>
    <w:p w:rsidR="00EA7E23" w:rsidRDefault="00EA7E23" w:rsidP="00832D66">
      <w:pPr>
        <w:pStyle w:val="SingleTxtG"/>
      </w:pPr>
    </w:p>
    <w:p w:rsidR="00EA7E23" w:rsidRDefault="00EA7E23" w:rsidP="00832D66">
      <w:pPr>
        <w:pStyle w:val="SingleTxtG"/>
      </w:pPr>
    </w:p>
    <w:p w:rsidR="00EA7E23" w:rsidRDefault="00513B41" w:rsidP="00513B41">
      <w:pPr>
        <w:pStyle w:val="SingleTxtG"/>
        <w:jc w:val="center"/>
        <w:rPr>
          <w:b/>
        </w:rPr>
      </w:pPr>
      <w:r w:rsidRPr="00966494">
        <w:rPr>
          <w:b/>
        </w:rPr>
        <w:lastRenderedPageBreak/>
        <w:t>Figure 39.1 (a)</w:t>
      </w:r>
    </w:p>
    <w:p w:rsidR="00513B41" w:rsidRDefault="00513B41" w:rsidP="00205253">
      <w:pPr>
        <w:pStyle w:val="SingleTxtG"/>
        <w:ind w:hanging="1134"/>
        <w:jc w:val="left"/>
        <w:rPr>
          <w:b/>
        </w:rPr>
      </w:pPr>
      <w:r w:rsidRPr="001C6806">
        <w:rPr>
          <w:noProof/>
          <w:lang w:eastAsia="en-GB"/>
        </w:rPr>
        <w:drawing>
          <wp:inline distT="0" distB="0" distL="0" distR="0" wp14:anchorId="2869824C" wp14:editId="72B864DD">
            <wp:extent cx="6057900" cy="7448550"/>
            <wp:effectExtent l="0" t="0" r="0" b="0"/>
            <wp:docPr id="2"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9966" cy="7451090"/>
                    </a:xfrm>
                    <a:prstGeom prst="rect">
                      <a:avLst/>
                    </a:prstGeom>
                    <a:noFill/>
                    <a:ln>
                      <a:noFill/>
                    </a:ln>
                  </pic:spPr>
                </pic:pic>
              </a:graphicData>
            </a:graphic>
          </wp:inline>
        </w:drawing>
      </w:r>
    </w:p>
    <w:p w:rsidR="00513B41" w:rsidRDefault="00513B41" w:rsidP="00832D66">
      <w:pPr>
        <w:pStyle w:val="SingleTxtG"/>
        <w:rPr>
          <w:b/>
        </w:rPr>
      </w:pPr>
    </w:p>
    <w:p w:rsidR="00513B41" w:rsidRDefault="00513B41" w:rsidP="00832D66">
      <w:pPr>
        <w:pStyle w:val="SingleTxtG"/>
        <w:rPr>
          <w:b/>
        </w:rPr>
      </w:pPr>
    </w:p>
    <w:p w:rsidR="00513B41" w:rsidRDefault="00174806" w:rsidP="0094753F">
      <w:pPr>
        <w:pStyle w:val="SingleTxtG"/>
        <w:jc w:val="center"/>
        <w:rPr>
          <w:b/>
        </w:rPr>
      </w:pPr>
      <w:r w:rsidRPr="00966494">
        <w:rPr>
          <w:b/>
        </w:rPr>
        <w:lastRenderedPageBreak/>
        <w:t>Figure 39.1 (b)</w:t>
      </w:r>
    </w:p>
    <w:p w:rsidR="00513B41" w:rsidRDefault="009B551B" w:rsidP="00A06396">
      <w:pPr>
        <w:pStyle w:val="SingleTxtG"/>
        <w:ind w:left="567" w:hanging="567"/>
        <w:rPr>
          <w:b/>
        </w:rPr>
      </w:pPr>
      <w:bookmarkStart w:id="0" w:name="_GoBack"/>
      <w:r w:rsidRPr="001C6806">
        <w:rPr>
          <w:noProof/>
          <w:lang w:eastAsia="en-GB"/>
        </w:rPr>
        <w:drawing>
          <wp:inline distT="0" distB="0" distL="0" distR="0" wp14:anchorId="47109A6E" wp14:editId="6301422E">
            <wp:extent cx="6115050" cy="4659913"/>
            <wp:effectExtent l="0" t="0" r="0" b="7620"/>
            <wp:docPr id="3" name="Bildobjekt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7179" cy="4661535"/>
                    </a:xfrm>
                    <a:prstGeom prst="rect">
                      <a:avLst/>
                    </a:prstGeom>
                    <a:noFill/>
                    <a:ln>
                      <a:noFill/>
                    </a:ln>
                  </pic:spPr>
                </pic:pic>
              </a:graphicData>
            </a:graphic>
          </wp:inline>
        </w:drawing>
      </w:r>
      <w:bookmarkEnd w:id="0"/>
    </w:p>
    <w:p w:rsidR="00513B41" w:rsidRDefault="00513B41" w:rsidP="00832D66">
      <w:pPr>
        <w:pStyle w:val="SingleTxtG"/>
        <w:rPr>
          <w:b/>
        </w:rPr>
      </w:pPr>
    </w:p>
    <w:p w:rsidR="00513B41" w:rsidRDefault="00513B41" w:rsidP="00832D66">
      <w:pPr>
        <w:pStyle w:val="SingleTxtG"/>
        <w:rPr>
          <w:b/>
        </w:rPr>
      </w:pPr>
    </w:p>
    <w:p w:rsidR="00513B41" w:rsidRDefault="00513B41" w:rsidP="00832D66">
      <w:pPr>
        <w:pStyle w:val="SingleTxtG"/>
        <w:rPr>
          <w:b/>
        </w:rPr>
      </w:pPr>
    </w:p>
    <w:p w:rsidR="00513B41" w:rsidRDefault="00513B41" w:rsidP="00832D66">
      <w:pPr>
        <w:pStyle w:val="SingleTxtG"/>
        <w:rPr>
          <w:b/>
        </w:rPr>
      </w:pPr>
    </w:p>
    <w:p w:rsidR="00513B41" w:rsidRDefault="00513B41" w:rsidP="00832D66">
      <w:pPr>
        <w:pStyle w:val="SingleTxtG"/>
        <w:rPr>
          <w:b/>
        </w:rPr>
      </w:pPr>
    </w:p>
    <w:p w:rsidR="00513B41" w:rsidRDefault="00513B41" w:rsidP="00832D66">
      <w:pPr>
        <w:pStyle w:val="SingleTxtG"/>
        <w:rPr>
          <w:b/>
        </w:rPr>
      </w:pPr>
    </w:p>
    <w:p w:rsidR="00513B41" w:rsidRDefault="00513B41" w:rsidP="00832D66">
      <w:pPr>
        <w:pStyle w:val="SingleTxtG"/>
        <w:rPr>
          <w:b/>
        </w:rPr>
      </w:pPr>
    </w:p>
    <w:p w:rsidR="00513B41" w:rsidRDefault="00513B41" w:rsidP="00832D66">
      <w:pPr>
        <w:pStyle w:val="SingleTxtG"/>
        <w:rPr>
          <w:b/>
        </w:rPr>
      </w:pPr>
    </w:p>
    <w:p w:rsidR="00513B41" w:rsidRDefault="00513B41" w:rsidP="00832D66">
      <w:pPr>
        <w:pStyle w:val="SingleTxtG"/>
        <w:rPr>
          <w:b/>
        </w:rPr>
      </w:pPr>
    </w:p>
    <w:p w:rsidR="00513B41" w:rsidRDefault="00513B41" w:rsidP="00832D66">
      <w:pPr>
        <w:pStyle w:val="SingleTxtG"/>
      </w:pPr>
    </w:p>
    <w:p w:rsidR="009B551B" w:rsidRDefault="009B551B" w:rsidP="00832D66">
      <w:pPr>
        <w:pStyle w:val="SingleTxtG"/>
      </w:pPr>
    </w:p>
    <w:p w:rsidR="009B551B" w:rsidRDefault="009B551B" w:rsidP="00832D66">
      <w:pPr>
        <w:pStyle w:val="SingleTxtG"/>
      </w:pPr>
    </w:p>
    <w:p w:rsidR="009B551B" w:rsidRDefault="009B551B" w:rsidP="00832D66">
      <w:pPr>
        <w:pStyle w:val="SingleTxtG"/>
      </w:pPr>
    </w:p>
    <w:p w:rsidR="009B551B" w:rsidRDefault="009B551B" w:rsidP="00832D66">
      <w:pPr>
        <w:pStyle w:val="SingleTxtG"/>
      </w:pPr>
    </w:p>
    <w:p w:rsidR="009B551B" w:rsidRDefault="00CC5C0F" w:rsidP="009B551B">
      <w:pPr>
        <w:pStyle w:val="HChG"/>
      </w:pPr>
      <w:r>
        <w:lastRenderedPageBreak/>
        <w:t>Annex II</w:t>
      </w:r>
    </w:p>
    <w:p w:rsidR="009B551B" w:rsidRPr="00966494" w:rsidRDefault="009B551B" w:rsidP="009B551B">
      <w:pPr>
        <w:pStyle w:val="HChG"/>
      </w:pPr>
      <w:r>
        <w:tab/>
      </w:r>
      <w:r>
        <w:tab/>
      </w:r>
      <w:r w:rsidRPr="00966494">
        <w:t>Amendments to the Model Regulations and the Manual of Tests and Criteria</w:t>
      </w:r>
    </w:p>
    <w:p w:rsidR="009B551B" w:rsidRPr="00966494" w:rsidRDefault="009B551B" w:rsidP="009B551B">
      <w:pPr>
        <w:pStyle w:val="H1G"/>
      </w:pPr>
      <w:r>
        <w:tab/>
      </w:r>
      <w:r>
        <w:tab/>
      </w:r>
      <w:r w:rsidRPr="00966494">
        <w:t>A.</w:t>
      </w:r>
      <w:r w:rsidRPr="00966494">
        <w:tab/>
        <w:t xml:space="preserve">Changes to the </w:t>
      </w:r>
      <w:r w:rsidRPr="009B551B">
        <w:t>Model</w:t>
      </w:r>
      <w:r w:rsidRPr="00966494">
        <w:t xml:space="preserve"> Regulations</w:t>
      </w:r>
    </w:p>
    <w:p w:rsidR="009B551B" w:rsidRPr="00966494" w:rsidRDefault="009B551B" w:rsidP="009B551B">
      <w:pPr>
        <w:pStyle w:val="H23G"/>
        <w:rPr>
          <w:sz w:val="24"/>
        </w:rPr>
      </w:pPr>
      <w:r w:rsidRPr="00966494">
        <w:tab/>
      </w:r>
      <w:r w:rsidRPr="00966494">
        <w:tab/>
      </w:r>
      <w:r>
        <w:tab/>
      </w:r>
      <w:r w:rsidRPr="00966494">
        <w:t>In Chapter 2.5</w:t>
      </w:r>
    </w:p>
    <w:p w:rsidR="009B551B" w:rsidRPr="009B551B" w:rsidRDefault="009B551B" w:rsidP="009B551B">
      <w:pPr>
        <w:pStyle w:val="Bullet1G"/>
      </w:pPr>
      <w:r w:rsidRPr="009B551B">
        <w:t>Renumber current 2.5.2.1.2 into 2.5.2.1.3.</w:t>
      </w:r>
    </w:p>
    <w:p w:rsidR="009B551B" w:rsidRPr="009B551B" w:rsidRDefault="009B551B" w:rsidP="009B551B">
      <w:pPr>
        <w:pStyle w:val="Bullet1G"/>
      </w:pPr>
      <w:r w:rsidRPr="009B551B">
        <w:t>Insert new 2.5.2.1.2, reading:</w:t>
      </w:r>
    </w:p>
    <w:p w:rsidR="009B551B" w:rsidRPr="00966494" w:rsidRDefault="009B551B" w:rsidP="009B551B">
      <w:pPr>
        <w:pStyle w:val="SingleTxtG"/>
        <w:ind w:left="1701"/>
      </w:pPr>
      <w:r w:rsidRPr="00966494">
        <w:t>“By exception, solid ammonium nitrate based fertilizers shall be classified in accordance with the procedure as set out in the Manual of Tests and Criteria, Part III, Section 39.”</w:t>
      </w:r>
    </w:p>
    <w:p w:rsidR="009B551B" w:rsidRPr="00966494" w:rsidRDefault="009B551B" w:rsidP="009B551B">
      <w:pPr>
        <w:pStyle w:val="H23G"/>
        <w:rPr>
          <w:sz w:val="24"/>
        </w:rPr>
      </w:pPr>
      <w:r w:rsidRPr="00966494">
        <w:rPr>
          <w:sz w:val="24"/>
        </w:rPr>
        <w:tab/>
      </w:r>
      <w:r w:rsidRPr="00966494">
        <w:rPr>
          <w:sz w:val="24"/>
        </w:rPr>
        <w:tab/>
      </w:r>
      <w:r>
        <w:rPr>
          <w:sz w:val="24"/>
        </w:rPr>
        <w:tab/>
      </w:r>
      <w:r w:rsidRPr="00966494">
        <w:t>In Chapter 2.9</w:t>
      </w:r>
    </w:p>
    <w:p w:rsidR="009B551B" w:rsidRPr="00966494" w:rsidRDefault="009B551B" w:rsidP="009B551B">
      <w:pPr>
        <w:pStyle w:val="Bullet1G"/>
      </w:pPr>
      <w:r w:rsidRPr="009B551B">
        <w:t>Insert</w:t>
      </w:r>
      <w:r w:rsidRPr="00966494">
        <w:t xml:space="preserve"> a new paragraph in section 2.9.2, reading:</w:t>
      </w:r>
    </w:p>
    <w:p w:rsidR="009B551B" w:rsidRPr="00966494" w:rsidRDefault="009B551B" w:rsidP="009B551B">
      <w:pPr>
        <w:pStyle w:val="SingleTxtG"/>
        <w:ind w:left="1701"/>
        <w:jc w:val="left"/>
      </w:pPr>
      <w:r w:rsidRPr="00966494">
        <w:t>“Ammonium nitrate based fertilizers</w:t>
      </w:r>
    </w:p>
    <w:p w:rsidR="009B551B" w:rsidRPr="00966494" w:rsidRDefault="009B551B" w:rsidP="009B551B">
      <w:pPr>
        <w:pStyle w:val="SingleTxtG"/>
        <w:ind w:left="1701"/>
        <w:jc w:val="left"/>
      </w:pPr>
      <w:r w:rsidRPr="00966494">
        <w:t>2071 AMMONIUM NITRATE BASED FERTILIZERS</w:t>
      </w:r>
    </w:p>
    <w:p w:rsidR="009B551B" w:rsidRPr="00966494" w:rsidRDefault="009B551B" w:rsidP="009B551B">
      <w:pPr>
        <w:pStyle w:val="SingleTxtG"/>
        <w:ind w:left="1701"/>
      </w:pPr>
      <w:r w:rsidRPr="00966494">
        <w:t>Solid ammonium nitrate based fertilizers shall be classified in accordance with the procedure as set out in the Manual of Tests and Criteria, Part III, Section 39.”</w:t>
      </w:r>
    </w:p>
    <w:p w:rsidR="009B551B" w:rsidRPr="00966494" w:rsidRDefault="009B551B" w:rsidP="009B551B">
      <w:pPr>
        <w:pStyle w:val="Bullet1G"/>
        <w:numPr>
          <w:ilvl w:val="0"/>
          <w:numId w:val="48"/>
        </w:numPr>
      </w:pPr>
      <w:r w:rsidRPr="00966494">
        <w:t>Under “Other</w:t>
      </w:r>
      <w:r w:rsidRPr="00966494">
        <w:rPr>
          <w:b/>
          <w:i/>
        </w:rPr>
        <w:t xml:space="preserve"> substances</w:t>
      </w:r>
      <w:r w:rsidRPr="00966494">
        <w:t xml:space="preserve"> …</w:t>
      </w:r>
      <w:proofErr w:type="gramStart"/>
      <w:r w:rsidRPr="00966494">
        <w:t>”,</w:t>
      </w:r>
      <w:proofErr w:type="gramEnd"/>
      <w:r w:rsidRPr="00966494">
        <w:t xml:space="preserve"> delete “2071 AMMONIUM NITRATE BASED FERTILISER”.</w:t>
      </w:r>
    </w:p>
    <w:p w:rsidR="009B551B" w:rsidRPr="00966494" w:rsidRDefault="009B551B" w:rsidP="009B551B">
      <w:pPr>
        <w:pStyle w:val="H23G"/>
      </w:pPr>
      <w:r w:rsidRPr="00966494">
        <w:tab/>
      </w:r>
      <w:r w:rsidRPr="00966494">
        <w:tab/>
      </w:r>
      <w:r>
        <w:tab/>
      </w:r>
      <w:r w:rsidRPr="00966494">
        <w:t>In Chapter 3.2</w:t>
      </w:r>
    </w:p>
    <w:p w:rsidR="009B551B" w:rsidRPr="00966494" w:rsidRDefault="009B551B" w:rsidP="009B551B">
      <w:pPr>
        <w:pStyle w:val="Bullet1G"/>
        <w:numPr>
          <w:ilvl w:val="0"/>
          <w:numId w:val="48"/>
        </w:numPr>
      </w:pPr>
      <w:r w:rsidRPr="00966494">
        <w:t>For UN No. 2067, delete 186 and 306 from column (6) Special provisions;</w:t>
      </w:r>
    </w:p>
    <w:p w:rsidR="009B551B" w:rsidRPr="00966494" w:rsidRDefault="009B551B" w:rsidP="009B551B">
      <w:pPr>
        <w:pStyle w:val="Bullet1G"/>
        <w:numPr>
          <w:ilvl w:val="0"/>
          <w:numId w:val="48"/>
        </w:numPr>
      </w:pPr>
      <w:r w:rsidRPr="00966494">
        <w:t>For UN No. 2071, delete 186 from column (6) Special provisions.</w:t>
      </w:r>
    </w:p>
    <w:p w:rsidR="009B551B" w:rsidRPr="00966494" w:rsidRDefault="009B551B" w:rsidP="009B551B">
      <w:pPr>
        <w:pStyle w:val="H23G"/>
      </w:pPr>
      <w:r w:rsidRPr="00966494">
        <w:tab/>
      </w:r>
      <w:r w:rsidRPr="00966494">
        <w:tab/>
      </w:r>
      <w:r>
        <w:tab/>
      </w:r>
      <w:r w:rsidRPr="00966494">
        <w:t>In Chapter 3.3</w:t>
      </w:r>
    </w:p>
    <w:p w:rsidR="009B551B" w:rsidRPr="009B551B" w:rsidRDefault="009B551B" w:rsidP="009B551B">
      <w:pPr>
        <w:pStyle w:val="Bullet1G"/>
      </w:pPr>
      <w:r w:rsidRPr="009B551B">
        <w:t>Delete Special provision 186;</w:t>
      </w:r>
    </w:p>
    <w:p w:rsidR="009B551B" w:rsidRPr="009B551B" w:rsidRDefault="009B551B" w:rsidP="009B551B">
      <w:pPr>
        <w:pStyle w:val="Bullet1G"/>
      </w:pPr>
      <w:r w:rsidRPr="009B551B">
        <w:t xml:space="preserve">Change Special provision 193 to read: </w:t>
      </w:r>
    </w:p>
    <w:p w:rsidR="009B551B" w:rsidRPr="00966494" w:rsidRDefault="009B551B" w:rsidP="009B551B">
      <w:pPr>
        <w:pStyle w:val="SingleTxtG"/>
        <w:ind w:left="1701"/>
        <w:rPr>
          <w:strike/>
        </w:rPr>
      </w:pPr>
      <w:r w:rsidRPr="00966494">
        <w:t>"This entry may only be used for ammonium nitrate based compound fertilizers. They shall be classified in accordance with the procedure as set out in the Manual of Tests and Criteria, Part III, Section 39. Fertilizers meeting the criteria for this UN No. are only subject to these Regulations when transported by air or sea."</w:t>
      </w:r>
    </w:p>
    <w:p w:rsidR="009B551B" w:rsidRPr="00966494" w:rsidRDefault="009B551B" w:rsidP="009B551B">
      <w:pPr>
        <w:pStyle w:val="Bullet1G"/>
        <w:numPr>
          <w:ilvl w:val="0"/>
          <w:numId w:val="48"/>
        </w:numPr>
      </w:pPr>
      <w:r w:rsidRPr="00966494">
        <w:t>Change Special provision 307 to read:</w:t>
      </w:r>
    </w:p>
    <w:p w:rsidR="009B551B" w:rsidRPr="00966494" w:rsidRDefault="009B551B" w:rsidP="009B551B">
      <w:pPr>
        <w:pStyle w:val="SingleTxtG"/>
        <w:ind w:left="1701"/>
      </w:pPr>
      <w:r w:rsidRPr="00966494">
        <w:t>“This entry may only be used for ammonium nitrate based fertilizers. They shall be classified in accordance with the procedure as set out in the Manual of Tests and Criteria, Part III, Section 39.”</w:t>
      </w:r>
    </w:p>
    <w:p w:rsidR="009B551B" w:rsidRDefault="009B551B">
      <w:pPr>
        <w:suppressAutoHyphens w:val="0"/>
        <w:spacing w:line="240" w:lineRule="auto"/>
        <w:rPr>
          <w:b/>
          <w:sz w:val="24"/>
        </w:rPr>
      </w:pPr>
      <w:r>
        <w:br w:type="page"/>
      </w:r>
    </w:p>
    <w:p w:rsidR="009B551B" w:rsidRPr="00966494" w:rsidRDefault="009B551B" w:rsidP="009B551B">
      <w:pPr>
        <w:pStyle w:val="H1G"/>
        <w:tabs>
          <w:tab w:val="clear" w:pos="851"/>
        </w:tabs>
      </w:pPr>
      <w:r w:rsidRPr="00966494">
        <w:lastRenderedPageBreak/>
        <w:tab/>
        <w:t>B.</w:t>
      </w:r>
      <w:r w:rsidRPr="00966494">
        <w:tab/>
        <w:t>Changes to the Manual of Tests and Criteria</w:t>
      </w:r>
    </w:p>
    <w:p w:rsidR="009B551B" w:rsidRPr="00966494" w:rsidRDefault="009B551B" w:rsidP="009B551B">
      <w:pPr>
        <w:pStyle w:val="H23G"/>
      </w:pPr>
      <w:r w:rsidRPr="00966494">
        <w:tab/>
      </w:r>
      <w:r w:rsidRPr="00966494">
        <w:tab/>
      </w:r>
      <w:r>
        <w:tab/>
      </w:r>
      <w:r w:rsidRPr="00966494">
        <w:t>In Section 34:</w:t>
      </w:r>
    </w:p>
    <w:p w:rsidR="009B551B" w:rsidRPr="00966494" w:rsidRDefault="009B551B" w:rsidP="009B551B">
      <w:pPr>
        <w:pStyle w:val="Bullet1G"/>
        <w:numPr>
          <w:ilvl w:val="0"/>
          <w:numId w:val="48"/>
        </w:numPr>
        <w:rPr>
          <w:b/>
          <w:sz w:val="24"/>
          <w:szCs w:val="24"/>
        </w:rPr>
      </w:pPr>
      <w:r w:rsidRPr="00966494">
        <w:t>Add the following to paragraph 34.3.1:</w:t>
      </w:r>
    </w:p>
    <w:p w:rsidR="009B551B" w:rsidRPr="00966494" w:rsidRDefault="009B551B" w:rsidP="009B551B">
      <w:pPr>
        <w:pStyle w:val="SingleTxtG"/>
        <w:ind w:left="1701"/>
        <w:rPr>
          <w:b/>
          <w:sz w:val="24"/>
          <w:szCs w:val="24"/>
        </w:rPr>
      </w:pPr>
      <w:r w:rsidRPr="00966494">
        <w:rPr>
          <w:b/>
          <w:sz w:val="24"/>
          <w:szCs w:val="24"/>
        </w:rPr>
        <w:t>“</w:t>
      </w:r>
      <w:r w:rsidRPr="00966494">
        <w:t>By exception, solid ammonium nitrate based fertilizers are not classified as oxidizing solids on the basis of results from tests O.1 or O.3, since the hazardous properties are not sufficiently described by the outcome of tests for oxidizing properties. Instead, such fertilizers are classified on the basis of acquired experience and knowledge of their hazardous behaviour. They shall be classified in accordance with the procedure as set out in Section 39.”</w:t>
      </w:r>
    </w:p>
    <w:p w:rsidR="009B551B" w:rsidRPr="00966494" w:rsidRDefault="009B551B" w:rsidP="009B551B">
      <w:pPr>
        <w:pStyle w:val="H23G"/>
      </w:pPr>
      <w:r w:rsidRPr="00966494">
        <w:tab/>
      </w:r>
      <w:r w:rsidRPr="00966494">
        <w:tab/>
      </w:r>
      <w:r>
        <w:tab/>
      </w:r>
      <w:r w:rsidRPr="00966494">
        <w:t>In Section 38:</w:t>
      </w:r>
    </w:p>
    <w:p w:rsidR="009B551B" w:rsidRPr="009B551B" w:rsidRDefault="009B551B" w:rsidP="009B551B">
      <w:pPr>
        <w:pStyle w:val="Bullet1G"/>
      </w:pPr>
      <w:r w:rsidRPr="009B551B">
        <w:t>Throughout the Section, change ‘ammonium nitrate fertilizers’ into ‘ammonium nitrate based fertilizers’ (occurs six times in Section 38).</w:t>
      </w:r>
    </w:p>
    <w:p w:rsidR="009B551B" w:rsidRPr="009B551B" w:rsidRDefault="009B551B" w:rsidP="009B551B">
      <w:pPr>
        <w:pStyle w:val="Bullet1G"/>
      </w:pPr>
      <w:r w:rsidRPr="009B551B">
        <w:t>In paragraph 38.2.3.3, delete the words “and provided they do not contain an excess nitrate greater than 10% by mass (calculated as potassium nitrate)“</w:t>
      </w:r>
    </w:p>
    <w:p w:rsidR="009B551B" w:rsidRPr="009B551B" w:rsidRDefault="009B551B" w:rsidP="009B551B">
      <w:pPr>
        <w:pStyle w:val="Bullet1G"/>
      </w:pPr>
      <w:r w:rsidRPr="009B551B">
        <w:t>Insert a new paragraph 38.2.3.4, reading:</w:t>
      </w:r>
    </w:p>
    <w:p w:rsidR="009B551B" w:rsidRPr="00966494" w:rsidRDefault="009B551B" w:rsidP="009B551B">
      <w:pPr>
        <w:pStyle w:val="SingleTxtG"/>
        <w:ind w:left="1701"/>
        <w:rPr>
          <w:b/>
          <w:sz w:val="24"/>
          <w:szCs w:val="24"/>
        </w:rPr>
      </w:pPr>
      <w:r w:rsidRPr="00966494">
        <w:rPr>
          <w:b/>
          <w:sz w:val="24"/>
          <w:szCs w:val="24"/>
        </w:rPr>
        <w:t>“</w:t>
      </w:r>
      <w:r w:rsidRPr="00966494">
        <w:t>The overall classification procedure for ammonium nitrate based fertilizers is set out in Section 39.”</w:t>
      </w:r>
    </w:p>
    <w:p w:rsidR="009B551B" w:rsidRDefault="009B551B">
      <w:pPr>
        <w:suppressAutoHyphens w:val="0"/>
        <w:spacing w:line="240" w:lineRule="auto"/>
      </w:pPr>
      <w:r>
        <w:br w:type="page"/>
      </w:r>
    </w:p>
    <w:p w:rsidR="009B551B" w:rsidRDefault="00CC5C0F" w:rsidP="009B551B">
      <w:pPr>
        <w:pStyle w:val="HChG"/>
      </w:pPr>
      <w:r>
        <w:lastRenderedPageBreak/>
        <w:t>Annex III</w:t>
      </w:r>
    </w:p>
    <w:p w:rsidR="009B551B" w:rsidRDefault="009B551B" w:rsidP="009B551B">
      <w:pPr>
        <w:pStyle w:val="HChG"/>
      </w:pPr>
      <w:r>
        <w:tab/>
      </w:r>
      <w:r>
        <w:tab/>
        <w:t>Reproduction</w:t>
      </w:r>
      <w:r w:rsidRPr="00966494">
        <w:t xml:space="preserve"> of the changes to the Dangerous Goods List and the Special Provisions</w:t>
      </w:r>
      <w:r>
        <w:t xml:space="preserve"> (Chapters 3.2 and 3.3 of the Model Regulations)</w:t>
      </w:r>
    </w:p>
    <w:p w:rsidR="009B551B" w:rsidRDefault="009B551B" w:rsidP="009B551B">
      <w:pPr>
        <w:pStyle w:val="HChG"/>
      </w:pPr>
      <w:r>
        <w:tab/>
      </w:r>
      <w:r>
        <w:tab/>
        <w:t>Changes to Dangerous Goods List</w:t>
      </w:r>
    </w:p>
    <w:tbl>
      <w:tblPr>
        <w:tblStyle w:val="TableGrid"/>
        <w:tblW w:w="9687" w:type="dxa"/>
        <w:tblInd w:w="5" w:type="dxa"/>
        <w:tblLayout w:type="fixed"/>
        <w:tblLook w:val="04A0" w:firstRow="1" w:lastRow="0" w:firstColumn="1" w:lastColumn="0" w:noHBand="0" w:noVBand="1"/>
      </w:tblPr>
      <w:tblGrid>
        <w:gridCol w:w="709"/>
        <w:gridCol w:w="1097"/>
        <w:gridCol w:w="798"/>
        <w:gridCol w:w="742"/>
        <w:gridCol w:w="798"/>
        <w:gridCol w:w="700"/>
        <w:gridCol w:w="560"/>
        <w:gridCol w:w="531"/>
        <w:gridCol w:w="966"/>
        <w:gridCol w:w="910"/>
        <w:gridCol w:w="952"/>
        <w:gridCol w:w="924"/>
      </w:tblGrid>
      <w:tr w:rsidR="009B551B" w:rsidRPr="00AC39C8" w:rsidTr="008A6CF7">
        <w:tc>
          <w:tcPr>
            <w:tcW w:w="709" w:type="dxa"/>
            <w:vMerge w:val="restart"/>
          </w:tcPr>
          <w:p w:rsidR="009B551B" w:rsidRPr="00966494" w:rsidRDefault="009B551B" w:rsidP="00B41727">
            <w:pPr>
              <w:jc w:val="center"/>
              <w:rPr>
                <w:b/>
                <w:sz w:val="16"/>
                <w:szCs w:val="18"/>
              </w:rPr>
            </w:pPr>
            <w:r w:rsidRPr="00966494">
              <w:rPr>
                <w:b/>
                <w:sz w:val="16"/>
                <w:szCs w:val="18"/>
              </w:rPr>
              <w:t>UN No.</w:t>
            </w:r>
          </w:p>
        </w:tc>
        <w:tc>
          <w:tcPr>
            <w:tcW w:w="1097" w:type="dxa"/>
            <w:vMerge w:val="restart"/>
          </w:tcPr>
          <w:p w:rsidR="009B551B" w:rsidRPr="00966494" w:rsidRDefault="009B551B" w:rsidP="00B41727">
            <w:pPr>
              <w:jc w:val="center"/>
              <w:rPr>
                <w:b/>
                <w:sz w:val="16"/>
                <w:szCs w:val="18"/>
              </w:rPr>
            </w:pPr>
            <w:r w:rsidRPr="00966494">
              <w:rPr>
                <w:b/>
                <w:sz w:val="16"/>
                <w:szCs w:val="18"/>
              </w:rPr>
              <w:t>Name and description</w:t>
            </w:r>
          </w:p>
        </w:tc>
        <w:tc>
          <w:tcPr>
            <w:tcW w:w="798" w:type="dxa"/>
            <w:vMerge w:val="restart"/>
          </w:tcPr>
          <w:p w:rsidR="009B551B" w:rsidRPr="00966494" w:rsidRDefault="009B551B" w:rsidP="00B41727">
            <w:pPr>
              <w:jc w:val="center"/>
              <w:rPr>
                <w:b/>
                <w:sz w:val="16"/>
                <w:szCs w:val="18"/>
              </w:rPr>
            </w:pPr>
            <w:r w:rsidRPr="00966494">
              <w:rPr>
                <w:b/>
                <w:sz w:val="16"/>
                <w:szCs w:val="18"/>
              </w:rPr>
              <w:t>Class or division</w:t>
            </w:r>
          </w:p>
        </w:tc>
        <w:tc>
          <w:tcPr>
            <w:tcW w:w="742" w:type="dxa"/>
            <w:vMerge w:val="restart"/>
          </w:tcPr>
          <w:p w:rsidR="009B551B" w:rsidRPr="00966494" w:rsidRDefault="009B551B" w:rsidP="00B41727">
            <w:pPr>
              <w:jc w:val="center"/>
              <w:rPr>
                <w:b/>
                <w:sz w:val="16"/>
                <w:szCs w:val="18"/>
              </w:rPr>
            </w:pPr>
            <w:proofErr w:type="spellStart"/>
            <w:r w:rsidRPr="00966494">
              <w:rPr>
                <w:b/>
                <w:sz w:val="16"/>
                <w:szCs w:val="18"/>
              </w:rPr>
              <w:t>Subsi</w:t>
            </w:r>
            <w:proofErr w:type="spellEnd"/>
            <w:r w:rsidRPr="00966494">
              <w:rPr>
                <w:b/>
                <w:sz w:val="16"/>
                <w:szCs w:val="18"/>
              </w:rPr>
              <w:t>-diary risk</w:t>
            </w:r>
          </w:p>
        </w:tc>
        <w:tc>
          <w:tcPr>
            <w:tcW w:w="798" w:type="dxa"/>
            <w:vMerge w:val="restart"/>
          </w:tcPr>
          <w:p w:rsidR="009B551B" w:rsidRPr="00966494" w:rsidRDefault="009B551B" w:rsidP="00B41727">
            <w:pPr>
              <w:jc w:val="center"/>
              <w:rPr>
                <w:b/>
                <w:sz w:val="16"/>
                <w:szCs w:val="18"/>
              </w:rPr>
            </w:pPr>
            <w:r w:rsidRPr="00966494">
              <w:rPr>
                <w:b/>
                <w:sz w:val="16"/>
                <w:szCs w:val="18"/>
              </w:rPr>
              <w:t>UN packing group</w:t>
            </w:r>
          </w:p>
        </w:tc>
        <w:tc>
          <w:tcPr>
            <w:tcW w:w="700" w:type="dxa"/>
            <w:vMerge w:val="restart"/>
          </w:tcPr>
          <w:p w:rsidR="009B551B" w:rsidRPr="00966494" w:rsidRDefault="009B551B" w:rsidP="00B41727">
            <w:pPr>
              <w:jc w:val="center"/>
              <w:rPr>
                <w:b/>
                <w:sz w:val="16"/>
                <w:szCs w:val="18"/>
              </w:rPr>
            </w:pPr>
            <w:r w:rsidRPr="00966494">
              <w:rPr>
                <w:b/>
                <w:sz w:val="16"/>
                <w:szCs w:val="18"/>
              </w:rPr>
              <w:t xml:space="preserve">Special </w:t>
            </w:r>
            <w:proofErr w:type="spellStart"/>
            <w:r w:rsidRPr="00966494">
              <w:rPr>
                <w:b/>
                <w:sz w:val="16"/>
                <w:szCs w:val="18"/>
              </w:rPr>
              <w:t>provi-sions</w:t>
            </w:r>
            <w:proofErr w:type="spellEnd"/>
          </w:p>
        </w:tc>
        <w:tc>
          <w:tcPr>
            <w:tcW w:w="1091" w:type="dxa"/>
            <w:gridSpan w:val="2"/>
            <w:vMerge w:val="restart"/>
          </w:tcPr>
          <w:p w:rsidR="009B551B" w:rsidRPr="00966494" w:rsidRDefault="009B551B" w:rsidP="00B41727">
            <w:pPr>
              <w:jc w:val="center"/>
              <w:rPr>
                <w:b/>
                <w:sz w:val="16"/>
                <w:szCs w:val="18"/>
              </w:rPr>
            </w:pPr>
            <w:r w:rsidRPr="00966494">
              <w:rPr>
                <w:b/>
                <w:sz w:val="16"/>
                <w:szCs w:val="18"/>
              </w:rPr>
              <w:t>Limited and excepted quantities</w:t>
            </w:r>
          </w:p>
        </w:tc>
        <w:tc>
          <w:tcPr>
            <w:tcW w:w="1876" w:type="dxa"/>
            <w:gridSpan w:val="2"/>
          </w:tcPr>
          <w:p w:rsidR="009B551B" w:rsidRPr="00966494" w:rsidRDefault="009B551B" w:rsidP="00B41727">
            <w:pPr>
              <w:jc w:val="center"/>
              <w:rPr>
                <w:b/>
                <w:sz w:val="16"/>
                <w:szCs w:val="18"/>
              </w:rPr>
            </w:pPr>
            <w:proofErr w:type="spellStart"/>
            <w:r w:rsidRPr="00966494">
              <w:rPr>
                <w:b/>
                <w:sz w:val="16"/>
                <w:szCs w:val="18"/>
              </w:rPr>
              <w:t>Packagings</w:t>
            </w:r>
            <w:proofErr w:type="spellEnd"/>
            <w:r w:rsidRPr="00966494">
              <w:rPr>
                <w:b/>
                <w:sz w:val="16"/>
                <w:szCs w:val="18"/>
              </w:rPr>
              <w:t xml:space="preserve"> and IBCs</w:t>
            </w:r>
          </w:p>
        </w:tc>
        <w:tc>
          <w:tcPr>
            <w:tcW w:w="1876" w:type="dxa"/>
            <w:gridSpan w:val="2"/>
          </w:tcPr>
          <w:p w:rsidR="009B551B" w:rsidRPr="00966494" w:rsidRDefault="009B551B" w:rsidP="00B41727">
            <w:pPr>
              <w:jc w:val="center"/>
              <w:rPr>
                <w:b/>
                <w:sz w:val="16"/>
                <w:szCs w:val="18"/>
              </w:rPr>
            </w:pPr>
            <w:r w:rsidRPr="00966494">
              <w:rPr>
                <w:b/>
                <w:sz w:val="16"/>
                <w:szCs w:val="18"/>
              </w:rPr>
              <w:t>Portable tanks and bulk containers</w:t>
            </w:r>
          </w:p>
        </w:tc>
      </w:tr>
      <w:tr w:rsidR="009B551B" w:rsidRPr="00966494" w:rsidTr="008A6CF7">
        <w:tc>
          <w:tcPr>
            <w:tcW w:w="709" w:type="dxa"/>
            <w:vMerge/>
          </w:tcPr>
          <w:p w:rsidR="009B551B" w:rsidRPr="00966494" w:rsidRDefault="009B551B" w:rsidP="00B41727">
            <w:pPr>
              <w:jc w:val="center"/>
              <w:rPr>
                <w:sz w:val="16"/>
                <w:szCs w:val="18"/>
              </w:rPr>
            </w:pPr>
          </w:p>
        </w:tc>
        <w:tc>
          <w:tcPr>
            <w:tcW w:w="1097" w:type="dxa"/>
            <w:vMerge/>
          </w:tcPr>
          <w:p w:rsidR="009B551B" w:rsidRPr="00966494" w:rsidRDefault="009B551B" w:rsidP="00B41727">
            <w:pPr>
              <w:jc w:val="center"/>
              <w:rPr>
                <w:sz w:val="16"/>
                <w:szCs w:val="18"/>
              </w:rPr>
            </w:pPr>
          </w:p>
        </w:tc>
        <w:tc>
          <w:tcPr>
            <w:tcW w:w="798" w:type="dxa"/>
            <w:vMerge/>
          </w:tcPr>
          <w:p w:rsidR="009B551B" w:rsidRPr="00966494" w:rsidRDefault="009B551B" w:rsidP="00B41727">
            <w:pPr>
              <w:jc w:val="center"/>
              <w:rPr>
                <w:sz w:val="16"/>
                <w:szCs w:val="18"/>
              </w:rPr>
            </w:pPr>
          </w:p>
        </w:tc>
        <w:tc>
          <w:tcPr>
            <w:tcW w:w="742" w:type="dxa"/>
            <w:vMerge/>
          </w:tcPr>
          <w:p w:rsidR="009B551B" w:rsidRPr="00966494" w:rsidRDefault="009B551B" w:rsidP="00B41727">
            <w:pPr>
              <w:jc w:val="center"/>
              <w:rPr>
                <w:sz w:val="16"/>
                <w:szCs w:val="18"/>
              </w:rPr>
            </w:pPr>
          </w:p>
        </w:tc>
        <w:tc>
          <w:tcPr>
            <w:tcW w:w="798" w:type="dxa"/>
            <w:vMerge/>
          </w:tcPr>
          <w:p w:rsidR="009B551B" w:rsidRPr="00966494" w:rsidRDefault="009B551B" w:rsidP="00B41727">
            <w:pPr>
              <w:jc w:val="center"/>
              <w:rPr>
                <w:sz w:val="16"/>
                <w:szCs w:val="18"/>
              </w:rPr>
            </w:pPr>
          </w:p>
        </w:tc>
        <w:tc>
          <w:tcPr>
            <w:tcW w:w="700" w:type="dxa"/>
            <w:vMerge/>
          </w:tcPr>
          <w:p w:rsidR="009B551B" w:rsidRPr="00966494" w:rsidRDefault="009B551B" w:rsidP="00B41727">
            <w:pPr>
              <w:jc w:val="center"/>
              <w:rPr>
                <w:sz w:val="16"/>
                <w:szCs w:val="18"/>
              </w:rPr>
            </w:pPr>
          </w:p>
        </w:tc>
        <w:tc>
          <w:tcPr>
            <w:tcW w:w="1091" w:type="dxa"/>
            <w:gridSpan w:val="2"/>
            <w:vMerge/>
          </w:tcPr>
          <w:p w:rsidR="009B551B" w:rsidRPr="00966494" w:rsidRDefault="009B551B" w:rsidP="00B41727">
            <w:pPr>
              <w:jc w:val="center"/>
              <w:rPr>
                <w:sz w:val="16"/>
                <w:szCs w:val="18"/>
              </w:rPr>
            </w:pPr>
          </w:p>
        </w:tc>
        <w:tc>
          <w:tcPr>
            <w:tcW w:w="966" w:type="dxa"/>
          </w:tcPr>
          <w:p w:rsidR="009B551B" w:rsidRPr="00966494" w:rsidRDefault="009B551B" w:rsidP="00B41727">
            <w:pPr>
              <w:jc w:val="center"/>
              <w:rPr>
                <w:b/>
                <w:sz w:val="16"/>
                <w:szCs w:val="18"/>
              </w:rPr>
            </w:pPr>
            <w:r w:rsidRPr="00966494">
              <w:rPr>
                <w:b/>
                <w:sz w:val="16"/>
                <w:szCs w:val="18"/>
              </w:rPr>
              <w:t>Packing instruction</w:t>
            </w:r>
          </w:p>
        </w:tc>
        <w:tc>
          <w:tcPr>
            <w:tcW w:w="910" w:type="dxa"/>
          </w:tcPr>
          <w:p w:rsidR="009B551B" w:rsidRPr="00966494" w:rsidRDefault="009B551B" w:rsidP="00B41727">
            <w:pPr>
              <w:jc w:val="center"/>
              <w:rPr>
                <w:b/>
                <w:sz w:val="16"/>
                <w:szCs w:val="18"/>
              </w:rPr>
            </w:pPr>
            <w:r w:rsidRPr="00966494">
              <w:rPr>
                <w:b/>
                <w:sz w:val="16"/>
                <w:szCs w:val="18"/>
              </w:rPr>
              <w:t>Special packing provisions</w:t>
            </w:r>
          </w:p>
        </w:tc>
        <w:tc>
          <w:tcPr>
            <w:tcW w:w="952" w:type="dxa"/>
          </w:tcPr>
          <w:p w:rsidR="009B551B" w:rsidRPr="00966494" w:rsidRDefault="008A6CF7" w:rsidP="00B41727">
            <w:pPr>
              <w:jc w:val="center"/>
              <w:rPr>
                <w:b/>
                <w:sz w:val="16"/>
                <w:szCs w:val="18"/>
              </w:rPr>
            </w:pPr>
            <w:r>
              <w:rPr>
                <w:b/>
                <w:sz w:val="16"/>
                <w:szCs w:val="18"/>
              </w:rPr>
              <w:t>Instruc</w:t>
            </w:r>
            <w:r w:rsidR="009B551B" w:rsidRPr="00966494">
              <w:rPr>
                <w:b/>
                <w:sz w:val="16"/>
                <w:szCs w:val="18"/>
              </w:rPr>
              <w:t>tions</w:t>
            </w:r>
          </w:p>
        </w:tc>
        <w:tc>
          <w:tcPr>
            <w:tcW w:w="924" w:type="dxa"/>
          </w:tcPr>
          <w:p w:rsidR="009B551B" w:rsidRPr="00966494" w:rsidRDefault="009B551B" w:rsidP="00B41727">
            <w:pPr>
              <w:jc w:val="center"/>
              <w:rPr>
                <w:b/>
                <w:sz w:val="16"/>
                <w:szCs w:val="18"/>
              </w:rPr>
            </w:pPr>
            <w:r w:rsidRPr="00966494">
              <w:rPr>
                <w:b/>
                <w:sz w:val="16"/>
                <w:szCs w:val="18"/>
              </w:rPr>
              <w:t>Special provisions</w:t>
            </w:r>
          </w:p>
        </w:tc>
      </w:tr>
      <w:tr w:rsidR="009B551B" w:rsidRPr="00966494" w:rsidTr="008A6CF7">
        <w:tc>
          <w:tcPr>
            <w:tcW w:w="709" w:type="dxa"/>
          </w:tcPr>
          <w:p w:rsidR="009B551B" w:rsidRPr="00966494" w:rsidRDefault="009B551B" w:rsidP="00B41727">
            <w:pPr>
              <w:jc w:val="center"/>
              <w:rPr>
                <w:sz w:val="16"/>
                <w:szCs w:val="18"/>
              </w:rPr>
            </w:pPr>
            <w:r w:rsidRPr="00966494">
              <w:rPr>
                <w:sz w:val="16"/>
                <w:szCs w:val="18"/>
              </w:rPr>
              <w:t>(1)</w:t>
            </w:r>
          </w:p>
        </w:tc>
        <w:tc>
          <w:tcPr>
            <w:tcW w:w="1097" w:type="dxa"/>
          </w:tcPr>
          <w:p w:rsidR="009B551B" w:rsidRPr="00966494" w:rsidRDefault="009B551B" w:rsidP="00B41727">
            <w:pPr>
              <w:jc w:val="center"/>
              <w:rPr>
                <w:sz w:val="16"/>
                <w:szCs w:val="18"/>
              </w:rPr>
            </w:pPr>
            <w:r w:rsidRPr="00966494">
              <w:rPr>
                <w:sz w:val="16"/>
                <w:szCs w:val="18"/>
              </w:rPr>
              <w:t>(2)</w:t>
            </w:r>
          </w:p>
        </w:tc>
        <w:tc>
          <w:tcPr>
            <w:tcW w:w="798" w:type="dxa"/>
          </w:tcPr>
          <w:p w:rsidR="009B551B" w:rsidRPr="00966494" w:rsidRDefault="009B551B" w:rsidP="00B41727">
            <w:pPr>
              <w:jc w:val="center"/>
              <w:rPr>
                <w:sz w:val="16"/>
                <w:szCs w:val="18"/>
              </w:rPr>
            </w:pPr>
            <w:r w:rsidRPr="00966494">
              <w:rPr>
                <w:sz w:val="16"/>
                <w:szCs w:val="18"/>
              </w:rPr>
              <w:t>(3)</w:t>
            </w:r>
          </w:p>
        </w:tc>
        <w:tc>
          <w:tcPr>
            <w:tcW w:w="742" w:type="dxa"/>
          </w:tcPr>
          <w:p w:rsidR="009B551B" w:rsidRPr="00966494" w:rsidRDefault="009B551B" w:rsidP="00B41727">
            <w:pPr>
              <w:jc w:val="center"/>
              <w:rPr>
                <w:sz w:val="16"/>
                <w:szCs w:val="18"/>
              </w:rPr>
            </w:pPr>
            <w:r w:rsidRPr="00966494">
              <w:rPr>
                <w:sz w:val="16"/>
                <w:szCs w:val="18"/>
              </w:rPr>
              <w:t>(4)</w:t>
            </w:r>
          </w:p>
        </w:tc>
        <w:tc>
          <w:tcPr>
            <w:tcW w:w="798" w:type="dxa"/>
          </w:tcPr>
          <w:p w:rsidR="009B551B" w:rsidRPr="00966494" w:rsidRDefault="009B551B" w:rsidP="00B41727">
            <w:pPr>
              <w:jc w:val="center"/>
              <w:rPr>
                <w:sz w:val="16"/>
                <w:szCs w:val="18"/>
              </w:rPr>
            </w:pPr>
            <w:r w:rsidRPr="00966494">
              <w:rPr>
                <w:sz w:val="16"/>
                <w:szCs w:val="18"/>
              </w:rPr>
              <w:t>(5)</w:t>
            </w:r>
          </w:p>
        </w:tc>
        <w:tc>
          <w:tcPr>
            <w:tcW w:w="700" w:type="dxa"/>
          </w:tcPr>
          <w:p w:rsidR="009B551B" w:rsidRPr="00966494" w:rsidRDefault="009B551B" w:rsidP="00B41727">
            <w:pPr>
              <w:jc w:val="center"/>
              <w:rPr>
                <w:sz w:val="16"/>
                <w:szCs w:val="18"/>
              </w:rPr>
            </w:pPr>
            <w:r w:rsidRPr="00966494">
              <w:rPr>
                <w:sz w:val="16"/>
                <w:szCs w:val="18"/>
              </w:rPr>
              <w:t>(6)</w:t>
            </w:r>
          </w:p>
        </w:tc>
        <w:tc>
          <w:tcPr>
            <w:tcW w:w="560" w:type="dxa"/>
          </w:tcPr>
          <w:p w:rsidR="009B551B" w:rsidRPr="00966494" w:rsidRDefault="009B551B" w:rsidP="00B41727">
            <w:pPr>
              <w:jc w:val="center"/>
              <w:rPr>
                <w:sz w:val="16"/>
                <w:szCs w:val="18"/>
              </w:rPr>
            </w:pPr>
            <w:r w:rsidRPr="00966494">
              <w:rPr>
                <w:sz w:val="16"/>
                <w:szCs w:val="18"/>
              </w:rPr>
              <w:t>7(a)</w:t>
            </w:r>
          </w:p>
        </w:tc>
        <w:tc>
          <w:tcPr>
            <w:tcW w:w="531" w:type="dxa"/>
          </w:tcPr>
          <w:p w:rsidR="009B551B" w:rsidRPr="00966494" w:rsidRDefault="009B551B" w:rsidP="00B41727">
            <w:pPr>
              <w:jc w:val="center"/>
              <w:rPr>
                <w:sz w:val="16"/>
                <w:szCs w:val="18"/>
              </w:rPr>
            </w:pPr>
            <w:r w:rsidRPr="00966494">
              <w:rPr>
                <w:sz w:val="16"/>
                <w:szCs w:val="18"/>
              </w:rPr>
              <w:t>7(b)</w:t>
            </w:r>
          </w:p>
        </w:tc>
        <w:tc>
          <w:tcPr>
            <w:tcW w:w="966" w:type="dxa"/>
          </w:tcPr>
          <w:p w:rsidR="009B551B" w:rsidRPr="00966494" w:rsidRDefault="009B551B" w:rsidP="00B41727">
            <w:pPr>
              <w:jc w:val="center"/>
              <w:rPr>
                <w:sz w:val="16"/>
                <w:szCs w:val="18"/>
              </w:rPr>
            </w:pPr>
            <w:r w:rsidRPr="00966494">
              <w:rPr>
                <w:sz w:val="16"/>
                <w:szCs w:val="18"/>
              </w:rPr>
              <w:t>(8)</w:t>
            </w:r>
          </w:p>
        </w:tc>
        <w:tc>
          <w:tcPr>
            <w:tcW w:w="910" w:type="dxa"/>
          </w:tcPr>
          <w:p w:rsidR="009B551B" w:rsidRPr="00966494" w:rsidRDefault="009B551B" w:rsidP="00B41727">
            <w:pPr>
              <w:jc w:val="center"/>
              <w:rPr>
                <w:sz w:val="16"/>
                <w:szCs w:val="18"/>
              </w:rPr>
            </w:pPr>
            <w:r w:rsidRPr="00966494">
              <w:rPr>
                <w:sz w:val="16"/>
                <w:szCs w:val="18"/>
              </w:rPr>
              <w:t>(9)</w:t>
            </w:r>
          </w:p>
        </w:tc>
        <w:tc>
          <w:tcPr>
            <w:tcW w:w="952" w:type="dxa"/>
          </w:tcPr>
          <w:p w:rsidR="009B551B" w:rsidRPr="00966494" w:rsidRDefault="009B551B" w:rsidP="00B41727">
            <w:pPr>
              <w:jc w:val="center"/>
              <w:rPr>
                <w:sz w:val="16"/>
                <w:szCs w:val="18"/>
              </w:rPr>
            </w:pPr>
            <w:r w:rsidRPr="00966494">
              <w:rPr>
                <w:sz w:val="16"/>
                <w:szCs w:val="18"/>
              </w:rPr>
              <w:t>(10)</w:t>
            </w:r>
          </w:p>
        </w:tc>
        <w:tc>
          <w:tcPr>
            <w:tcW w:w="924" w:type="dxa"/>
          </w:tcPr>
          <w:p w:rsidR="009B551B" w:rsidRPr="00966494" w:rsidRDefault="009B551B" w:rsidP="00B41727">
            <w:pPr>
              <w:jc w:val="center"/>
              <w:rPr>
                <w:sz w:val="16"/>
                <w:szCs w:val="18"/>
              </w:rPr>
            </w:pPr>
            <w:r w:rsidRPr="00966494">
              <w:rPr>
                <w:sz w:val="16"/>
                <w:szCs w:val="18"/>
              </w:rPr>
              <w:t>(11)</w:t>
            </w:r>
          </w:p>
        </w:tc>
      </w:tr>
      <w:tr w:rsidR="009B551B" w:rsidRPr="00966494" w:rsidTr="008A6CF7">
        <w:tc>
          <w:tcPr>
            <w:tcW w:w="709" w:type="dxa"/>
          </w:tcPr>
          <w:p w:rsidR="009B551B" w:rsidRPr="00966494" w:rsidRDefault="009B551B" w:rsidP="00B41727">
            <w:pPr>
              <w:jc w:val="center"/>
              <w:rPr>
                <w:sz w:val="16"/>
                <w:szCs w:val="18"/>
              </w:rPr>
            </w:pPr>
            <w:r w:rsidRPr="00966494">
              <w:rPr>
                <w:sz w:val="16"/>
                <w:szCs w:val="18"/>
              </w:rPr>
              <w:t>2067</w:t>
            </w:r>
          </w:p>
        </w:tc>
        <w:tc>
          <w:tcPr>
            <w:tcW w:w="1097" w:type="dxa"/>
          </w:tcPr>
          <w:p w:rsidR="009B551B" w:rsidRPr="00966494" w:rsidRDefault="009B551B" w:rsidP="00B41727">
            <w:pPr>
              <w:rPr>
                <w:sz w:val="16"/>
                <w:szCs w:val="18"/>
              </w:rPr>
            </w:pPr>
            <w:r w:rsidRPr="00966494">
              <w:rPr>
                <w:sz w:val="16"/>
                <w:szCs w:val="18"/>
              </w:rPr>
              <w:t>AMMONIUM NITRATE BASED FERTILIZER</w:t>
            </w:r>
          </w:p>
        </w:tc>
        <w:tc>
          <w:tcPr>
            <w:tcW w:w="798" w:type="dxa"/>
          </w:tcPr>
          <w:p w:rsidR="009B551B" w:rsidRPr="00966494" w:rsidRDefault="009B551B" w:rsidP="00B41727">
            <w:pPr>
              <w:jc w:val="center"/>
              <w:rPr>
                <w:sz w:val="16"/>
                <w:szCs w:val="18"/>
              </w:rPr>
            </w:pPr>
            <w:r w:rsidRPr="00966494">
              <w:rPr>
                <w:sz w:val="16"/>
                <w:szCs w:val="18"/>
              </w:rPr>
              <w:t>5.1</w:t>
            </w:r>
          </w:p>
        </w:tc>
        <w:tc>
          <w:tcPr>
            <w:tcW w:w="742" w:type="dxa"/>
          </w:tcPr>
          <w:p w:rsidR="009B551B" w:rsidRPr="00966494" w:rsidRDefault="009B551B" w:rsidP="00B41727">
            <w:pPr>
              <w:jc w:val="center"/>
              <w:rPr>
                <w:sz w:val="16"/>
                <w:szCs w:val="18"/>
              </w:rPr>
            </w:pPr>
          </w:p>
        </w:tc>
        <w:tc>
          <w:tcPr>
            <w:tcW w:w="798" w:type="dxa"/>
          </w:tcPr>
          <w:p w:rsidR="009B551B" w:rsidRPr="00966494" w:rsidRDefault="009B551B" w:rsidP="00B41727">
            <w:pPr>
              <w:jc w:val="center"/>
              <w:rPr>
                <w:sz w:val="16"/>
                <w:szCs w:val="18"/>
              </w:rPr>
            </w:pPr>
            <w:r w:rsidRPr="00966494">
              <w:rPr>
                <w:sz w:val="16"/>
                <w:szCs w:val="18"/>
              </w:rPr>
              <w:t>III</w:t>
            </w:r>
          </w:p>
        </w:tc>
        <w:tc>
          <w:tcPr>
            <w:tcW w:w="700" w:type="dxa"/>
          </w:tcPr>
          <w:p w:rsidR="009B551B" w:rsidRPr="00966494" w:rsidRDefault="009B551B" w:rsidP="00B41727">
            <w:pPr>
              <w:jc w:val="center"/>
              <w:rPr>
                <w:b/>
                <w:strike/>
                <w:sz w:val="16"/>
                <w:szCs w:val="18"/>
              </w:rPr>
            </w:pPr>
            <w:r w:rsidRPr="00966494">
              <w:rPr>
                <w:b/>
                <w:strike/>
                <w:sz w:val="16"/>
                <w:szCs w:val="18"/>
              </w:rPr>
              <w:t>186</w:t>
            </w:r>
          </w:p>
          <w:p w:rsidR="009B551B" w:rsidRPr="00966494" w:rsidRDefault="009B551B" w:rsidP="00B41727">
            <w:pPr>
              <w:jc w:val="center"/>
              <w:rPr>
                <w:b/>
                <w:strike/>
                <w:sz w:val="16"/>
                <w:szCs w:val="18"/>
              </w:rPr>
            </w:pPr>
            <w:r w:rsidRPr="00966494">
              <w:rPr>
                <w:b/>
                <w:strike/>
                <w:sz w:val="16"/>
                <w:szCs w:val="18"/>
              </w:rPr>
              <w:t>306</w:t>
            </w:r>
          </w:p>
          <w:p w:rsidR="009B551B" w:rsidRPr="00966494" w:rsidRDefault="009B551B" w:rsidP="00B41727">
            <w:pPr>
              <w:jc w:val="center"/>
              <w:rPr>
                <w:sz w:val="16"/>
                <w:szCs w:val="18"/>
              </w:rPr>
            </w:pPr>
            <w:r w:rsidRPr="00966494">
              <w:rPr>
                <w:sz w:val="16"/>
                <w:szCs w:val="18"/>
              </w:rPr>
              <w:t>307</w:t>
            </w:r>
          </w:p>
        </w:tc>
        <w:tc>
          <w:tcPr>
            <w:tcW w:w="560" w:type="dxa"/>
          </w:tcPr>
          <w:p w:rsidR="009B551B" w:rsidRPr="00966494" w:rsidRDefault="009B551B" w:rsidP="00B41727">
            <w:pPr>
              <w:jc w:val="center"/>
              <w:rPr>
                <w:sz w:val="16"/>
                <w:szCs w:val="18"/>
              </w:rPr>
            </w:pPr>
            <w:r w:rsidRPr="00966494">
              <w:rPr>
                <w:sz w:val="16"/>
                <w:szCs w:val="18"/>
              </w:rPr>
              <w:t>5 kg</w:t>
            </w:r>
          </w:p>
        </w:tc>
        <w:tc>
          <w:tcPr>
            <w:tcW w:w="531" w:type="dxa"/>
          </w:tcPr>
          <w:p w:rsidR="009B551B" w:rsidRPr="00966494" w:rsidRDefault="009B551B" w:rsidP="00B41727">
            <w:pPr>
              <w:jc w:val="center"/>
              <w:rPr>
                <w:sz w:val="16"/>
                <w:szCs w:val="18"/>
              </w:rPr>
            </w:pPr>
            <w:r w:rsidRPr="00966494">
              <w:rPr>
                <w:sz w:val="16"/>
                <w:szCs w:val="18"/>
              </w:rPr>
              <w:t>E1</w:t>
            </w:r>
          </w:p>
        </w:tc>
        <w:tc>
          <w:tcPr>
            <w:tcW w:w="966" w:type="dxa"/>
          </w:tcPr>
          <w:p w:rsidR="009B551B" w:rsidRPr="00966494" w:rsidRDefault="009B551B" w:rsidP="00B41727">
            <w:pPr>
              <w:jc w:val="center"/>
              <w:rPr>
                <w:sz w:val="16"/>
                <w:szCs w:val="18"/>
              </w:rPr>
            </w:pPr>
            <w:r w:rsidRPr="00966494">
              <w:rPr>
                <w:sz w:val="16"/>
                <w:szCs w:val="18"/>
              </w:rPr>
              <w:t>P002</w:t>
            </w:r>
            <w:r w:rsidRPr="00966494">
              <w:rPr>
                <w:sz w:val="16"/>
                <w:szCs w:val="18"/>
              </w:rPr>
              <w:br/>
              <w:t>IBC08</w:t>
            </w:r>
            <w:r w:rsidRPr="00966494">
              <w:rPr>
                <w:sz w:val="16"/>
                <w:szCs w:val="18"/>
              </w:rPr>
              <w:br/>
              <w:t>LP02</w:t>
            </w:r>
          </w:p>
        </w:tc>
        <w:tc>
          <w:tcPr>
            <w:tcW w:w="910" w:type="dxa"/>
          </w:tcPr>
          <w:p w:rsidR="009B551B" w:rsidRPr="00966494" w:rsidRDefault="009B551B" w:rsidP="00B41727">
            <w:pPr>
              <w:jc w:val="center"/>
              <w:rPr>
                <w:sz w:val="16"/>
                <w:szCs w:val="18"/>
              </w:rPr>
            </w:pPr>
            <w:r w:rsidRPr="00966494">
              <w:rPr>
                <w:sz w:val="16"/>
                <w:szCs w:val="18"/>
              </w:rPr>
              <w:t>B3</w:t>
            </w:r>
          </w:p>
        </w:tc>
        <w:tc>
          <w:tcPr>
            <w:tcW w:w="952" w:type="dxa"/>
          </w:tcPr>
          <w:p w:rsidR="009B551B" w:rsidRPr="00966494" w:rsidRDefault="009B551B" w:rsidP="00B41727">
            <w:pPr>
              <w:jc w:val="center"/>
              <w:rPr>
                <w:sz w:val="16"/>
                <w:szCs w:val="18"/>
              </w:rPr>
            </w:pPr>
            <w:r w:rsidRPr="00966494">
              <w:rPr>
                <w:sz w:val="16"/>
                <w:szCs w:val="18"/>
              </w:rPr>
              <w:t>T1</w:t>
            </w:r>
          </w:p>
          <w:p w:rsidR="009B551B" w:rsidRPr="00966494" w:rsidRDefault="009B551B" w:rsidP="00B41727">
            <w:pPr>
              <w:jc w:val="center"/>
              <w:rPr>
                <w:sz w:val="16"/>
                <w:szCs w:val="18"/>
              </w:rPr>
            </w:pPr>
            <w:r w:rsidRPr="00966494">
              <w:rPr>
                <w:sz w:val="16"/>
                <w:szCs w:val="18"/>
              </w:rPr>
              <w:t>BK1</w:t>
            </w:r>
          </w:p>
          <w:p w:rsidR="009B551B" w:rsidRPr="00966494" w:rsidRDefault="009B551B" w:rsidP="00B41727">
            <w:pPr>
              <w:jc w:val="center"/>
              <w:rPr>
                <w:sz w:val="16"/>
                <w:szCs w:val="18"/>
              </w:rPr>
            </w:pPr>
            <w:r w:rsidRPr="00966494">
              <w:rPr>
                <w:sz w:val="16"/>
                <w:szCs w:val="18"/>
              </w:rPr>
              <w:t>BK2</w:t>
            </w:r>
          </w:p>
          <w:p w:rsidR="009B551B" w:rsidRPr="00966494" w:rsidRDefault="009B551B" w:rsidP="00B41727">
            <w:pPr>
              <w:jc w:val="center"/>
              <w:rPr>
                <w:sz w:val="16"/>
                <w:szCs w:val="18"/>
              </w:rPr>
            </w:pPr>
            <w:r w:rsidRPr="00966494">
              <w:rPr>
                <w:sz w:val="16"/>
                <w:szCs w:val="18"/>
              </w:rPr>
              <w:t>BK3</w:t>
            </w:r>
          </w:p>
        </w:tc>
        <w:tc>
          <w:tcPr>
            <w:tcW w:w="924" w:type="dxa"/>
          </w:tcPr>
          <w:p w:rsidR="009B551B" w:rsidRPr="00966494" w:rsidRDefault="009B551B" w:rsidP="00B41727">
            <w:pPr>
              <w:jc w:val="center"/>
              <w:rPr>
                <w:sz w:val="16"/>
                <w:szCs w:val="18"/>
              </w:rPr>
            </w:pPr>
            <w:r w:rsidRPr="00966494">
              <w:rPr>
                <w:sz w:val="16"/>
                <w:szCs w:val="18"/>
              </w:rPr>
              <w:t>TP33</w:t>
            </w:r>
          </w:p>
        </w:tc>
      </w:tr>
      <w:tr w:rsidR="009B551B" w:rsidRPr="00966494" w:rsidTr="008A6CF7">
        <w:tc>
          <w:tcPr>
            <w:tcW w:w="709" w:type="dxa"/>
          </w:tcPr>
          <w:p w:rsidR="009B551B" w:rsidRPr="00966494" w:rsidRDefault="009B551B" w:rsidP="00B41727">
            <w:pPr>
              <w:jc w:val="center"/>
              <w:rPr>
                <w:sz w:val="16"/>
                <w:szCs w:val="18"/>
              </w:rPr>
            </w:pPr>
            <w:r w:rsidRPr="00966494">
              <w:rPr>
                <w:sz w:val="16"/>
                <w:szCs w:val="18"/>
              </w:rPr>
              <w:t>2071</w:t>
            </w:r>
          </w:p>
        </w:tc>
        <w:tc>
          <w:tcPr>
            <w:tcW w:w="1097" w:type="dxa"/>
          </w:tcPr>
          <w:p w:rsidR="009B551B" w:rsidRPr="00966494" w:rsidRDefault="009B551B" w:rsidP="00B41727">
            <w:pPr>
              <w:rPr>
                <w:sz w:val="16"/>
                <w:szCs w:val="18"/>
              </w:rPr>
            </w:pPr>
            <w:r w:rsidRPr="00966494">
              <w:rPr>
                <w:sz w:val="16"/>
                <w:szCs w:val="18"/>
              </w:rPr>
              <w:t>AMMONIUM NITRATE BASED FERTILIZER</w:t>
            </w:r>
          </w:p>
        </w:tc>
        <w:tc>
          <w:tcPr>
            <w:tcW w:w="798" w:type="dxa"/>
          </w:tcPr>
          <w:p w:rsidR="009B551B" w:rsidRPr="00966494" w:rsidRDefault="009B551B" w:rsidP="00B41727">
            <w:pPr>
              <w:jc w:val="center"/>
              <w:rPr>
                <w:sz w:val="16"/>
                <w:szCs w:val="18"/>
              </w:rPr>
            </w:pPr>
            <w:r w:rsidRPr="00966494">
              <w:rPr>
                <w:sz w:val="16"/>
                <w:szCs w:val="18"/>
              </w:rPr>
              <w:t>9</w:t>
            </w:r>
          </w:p>
        </w:tc>
        <w:tc>
          <w:tcPr>
            <w:tcW w:w="742" w:type="dxa"/>
          </w:tcPr>
          <w:p w:rsidR="009B551B" w:rsidRPr="00966494" w:rsidRDefault="009B551B" w:rsidP="00B41727">
            <w:pPr>
              <w:jc w:val="center"/>
              <w:rPr>
                <w:sz w:val="16"/>
                <w:szCs w:val="18"/>
              </w:rPr>
            </w:pPr>
          </w:p>
        </w:tc>
        <w:tc>
          <w:tcPr>
            <w:tcW w:w="798" w:type="dxa"/>
          </w:tcPr>
          <w:p w:rsidR="009B551B" w:rsidRPr="00966494" w:rsidRDefault="009B551B" w:rsidP="00B41727">
            <w:pPr>
              <w:jc w:val="center"/>
              <w:rPr>
                <w:sz w:val="16"/>
                <w:szCs w:val="18"/>
              </w:rPr>
            </w:pPr>
            <w:r w:rsidRPr="00966494">
              <w:rPr>
                <w:sz w:val="16"/>
                <w:szCs w:val="18"/>
              </w:rPr>
              <w:t>III</w:t>
            </w:r>
          </w:p>
        </w:tc>
        <w:tc>
          <w:tcPr>
            <w:tcW w:w="700" w:type="dxa"/>
          </w:tcPr>
          <w:p w:rsidR="009B551B" w:rsidRPr="00966494" w:rsidRDefault="009B551B" w:rsidP="00B41727">
            <w:pPr>
              <w:jc w:val="center"/>
              <w:rPr>
                <w:b/>
                <w:strike/>
                <w:sz w:val="16"/>
                <w:szCs w:val="18"/>
              </w:rPr>
            </w:pPr>
            <w:r w:rsidRPr="00966494">
              <w:rPr>
                <w:b/>
                <w:strike/>
                <w:sz w:val="16"/>
                <w:szCs w:val="18"/>
              </w:rPr>
              <w:t>186</w:t>
            </w:r>
          </w:p>
          <w:p w:rsidR="009B551B" w:rsidRPr="00966494" w:rsidRDefault="009B551B" w:rsidP="00B41727">
            <w:pPr>
              <w:jc w:val="center"/>
              <w:rPr>
                <w:sz w:val="16"/>
                <w:szCs w:val="18"/>
              </w:rPr>
            </w:pPr>
            <w:r w:rsidRPr="00966494">
              <w:rPr>
                <w:sz w:val="16"/>
                <w:szCs w:val="18"/>
              </w:rPr>
              <w:t>193</w:t>
            </w:r>
          </w:p>
        </w:tc>
        <w:tc>
          <w:tcPr>
            <w:tcW w:w="560" w:type="dxa"/>
          </w:tcPr>
          <w:p w:rsidR="009B551B" w:rsidRPr="00966494" w:rsidRDefault="009B551B" w:rsidP="00B41727">
            <w:pPr>
              <w:jc w:val="center"/>
              <w:rPr>
                <w:sz w:val="16"/>
                <w:szCs w:val="18"/>
              </w:rPr>
            </w:pPr>
            <w:r w:rsidRPr="00966494">
              <w:rPr>
                <w:sz w:val="16"/>
                <w:szCs w:val="18"/>
              </w:rPr>
              <w:t>5 kg</w:t>
            </w:r>
          </w:p>
        </w:tc>
        <w:tc>
          <w:tcPr>
            <w:tcW w:w="531" w:type="dxa"/>
          </w:tcPr>
          <w:p w:rsidR="009B551B" w:rsidRPr="00966494" w:rsidRDefault="009B551B" w:rsidP="00B41727">
            <w:pPr>
              <w:jc w:val="center"/>
              <w:rPr>
                <w:sz w:val="16"/>
                <w:szCs w:val="18"/>
              </w:rPr>
            </w:pPr>
            <w:r w:rsidRPr="00966494">
              <w:rPr>
                <w:sz w:val="16"/>
                <w:szCs w:val="18"/>
              </w:rPr>
              <w:t>E1</w:t>
            </w:r>
          </w:p>
        </w:tc>
        <w:tc>
          <w:tcPr>
            <w:tcW w:w="966" w:type="dxa"/>
          </w:tcPr>
          <w:p w:rsidR="009B551B" w:rsidRPr="00966494" w:rsidRDefault="009B551B" w:rsidP="00B41727">
            <w:pPr>
              <w:jc w:val="center"/>
              <w:rPr>
                <w:sz w:val="16"/>
                <w:szCs w:val="18"/>
              </w:rPr>
            </w:pPr>
            <w:r w:rsidRPr="00966494">
              <w:rPr>
                <w:sz w:val="16"/>
                <w:szCs w:val="18"/>
              </w:rPr>
              <w:t>P002</w:t>
            </w:r>
            <w:r w:rsidRPr="00966494">
              <w:rPr>
                <w:sz w:val="16"/>
                <w:szCs w:val="18"/>
              </w:rPr>
              <w:br/>
              <w:t>IBC08</w:t>
            </w:r>
            <w:r w:rsidRPr="00966494">
              <w:rPr>
                <w:sz w:val="16"/>
                <w:szCs w:val="18"/>
              </w:rPr>
              <w:br/>
              <w:t>LP02</w:t>
            </w:r>
          </w:p>
        </w:tc>
        <w:tc>
          <w:tcPr>
            <w:tcW w:w="910" w:type="dxa"/>
          </w:tcPr>
          <w:p w:rsidR="009B551B" w:rsidRPr="00966494" w:rsidRDefault="009B551B" w:rsidP="00B41727">
            <w:pPr>
              <w:jc w:val="center"/>
              <w:rPr>
                <w:sz w:val="16"/>
                <w:szCs w:val="18"/>
              </w:rPr>
            </w:pPr>
            <w:r w:rsidRPr="00966494">
              <w:rPr>
                <w:sz w:val="16"/>
                <w:szCs w:val="18"/>
              </w:rPr>
              <w:t>B3</w:t>
            </w:r>
          </w:p>
        </w:tc>
        <w:tc>
          <w:tcPr>
            <w:tcW w:w="952" w:type="dxa"/>
          </w:tcPr>
          <w:p w:rsidR="009B551B" w:rsidRPr="00966494" w:rsidRDefault="009B551B" w:rsidP="00B41727">
            <w:pPr>
              <w:jc w:val="center"/>
              <w:rPr>
                <w:sz w:val="16"/>
                <w:szCs w:val="18"/>
              </w:rPr>
            </w:pPr>
          </w:p>
        </w:tc>
        <w:tc>
          <w:tcPr>
            <w:tcW w:w="924" w:type="dxa"/>
          </w:tcPr>
          <w:p w:rsidR="009B551B" w:rsidRPr="00966494" w:rsidRDefault="009B551B" w:rsidP="00B41727">
            <w:pPr>
              <w:jc w:val="center"/>
              <w:rPr>
                <w:sz w:val="16"/>
                <w:szCs w:val="18"/>
              </w:rPr>
            </w:pPr>
          </w:p>
        </w:tc>
      </w:tr>
    </w:tbl>
    <w:p w:rsidR="00DF1665" w:rsidRDefault="00DF1665" w:rsidP="0074136E">
      <w:pPr>
        <w:pStyle w:val="SingleTxtG"/>
        <w:spacing w:before="120"/>
        <w:rPr>
          <w:b/>
          <w:sz w:val="24"/>
        </w:rPr>
      </w:pPr>
      <w:r w:rsidRPr="00E100ED">
        <w:t>(Note that SP306 is retained for UN1942 with no change of wording. For UN2067 it is replaced by 39.4.2 in the new Section 39 with the same requirement.)</w:t>
      </w:r>
      <w:r>
        <w:br w:type="page"/>
      </w:r>
    </w:p>
    <w:p w:rsidR="00DF1665" w:rsidRPr="00966494" w:rsidRDefault="00DF1665" w:rsidP="00DF1665">
      <w:pPr>
        <w:pStyle w:val="H1G"/>
      </w:pPr>
      <w:r>
        <w:lastRenderedPageBreak/>
        <w:tab/>
      </w:r>
      <w:r>
        <w:tab/>
        <w:t>Changes to Special P</w:t>
      </w:r>
      <w:r w:rsidR="0074136E">
        <w:t>rovisions</w:t>
      </w:r>
    </w:p>
    <w:tbl>
      <w:tblPr>
        <w:tblStyle w:val="TableGrid"/>
        <w:tblW w:w="9322" w:type="dxa"/>
        <w:tblLook w:val="04A0" w:firstRow="1" w:lastRow="0" w:firstColumn="1" w:lastColumn="0" w:noHBand="0" w:noVBand="1"/>
      </w:tblPr>
      <w:tblGrid>
        <w:gridCol w:w="742"/>
        <w:gridCol w:w="3736"/>
        <w:gridCol w:w="2486"/>
        <w:gridCol w:w="2358"/>
      </w:tblGrid>
      <w:tr w:rsidR="00DF1665" w:rsidRPr="00966494" w:rsidTr="007C5F08">
        <w:tc>
          <w:tcPr>
            <w:tcW w:w="742" w:type="dxa"/>
          </w:tcPr>
          <w:p w:rsidR="00DF1665" w:rsidRDefault="00DF1665" w:rsidP="00B41727">
            <w:pPr>
              <w:rPr>
                <w:b/>
                <w:sz w:val="18"/>
                <w:szCs w:val="18"/>
              </w:rPr>
            </w:pPr>
            <w:r>
              <w:rPr>
                <w:b/>
                <w:sz w:val="18"/>
                <w:szCs w:val="18"/>
              </w:rPr>
              <w:t>Special</w:t>
            </w:r>
          </w:p>
          <w:p w:rsidR="00DF1665" w:rsidRPr="00966494" w:rsidRDefault="00DF1665" w:rsidP="00CE20AA">
            <w:pPr>
              <w:spacing w:after="120"/>
              <w:rPr>
                <w:b/>
                <w:sz w:val="18"/>
                <w:szCs w:val="18"/>
              </w:rPr>
            </w:pPr>
            <w:r>
              <w:rPr>
                <w:b/>
                <w:sz w:val="18"/>
                <w:szCs w:val="18"/>
              </w:rPr>
              <w:t>Provision</w:t>
            </w:r>
          </w:p>
        </w:tc>
        <w:tc>
          <w:tcPr>
            <w:tcW w:w="3736" w:type="dxa"/>
          </w:tcPr>
          <w:p w:rsidR="00DF1665" w:rsidRPr="00966494" w:rsidRDefault="00DF1665" w:rsidP="00B41727">
            <w:pPr>
              <w:rPr>
                <w:b/>
                <w:sz w:val="18"/>
                <w:szCs w:val="18"/>
              </w:rPr>
            </w:pPr>
            <w:r w:rsidRPr="00966494">
              <w:rPr>
                <w:b/>
                <w:sz w:val="18"/>
                <w:szCs w:val="18"/>
              </w:rPr>
              <w:t>Current wording</w:t>
            </w:r>
          </w:p>
        </w:tc>
        <w:tc>
          <w:tcPr>
            <w:tcW w:w="2486" w:type="dxa"/>
          </w:tcPr>
          <w:p w:rsidR="00DF1665" w:rsidRPr="00966494" w:rsidRDefault="00DF1665" w:rsidP="00B41727">
            <w:pPr>
              <w:rPr>
                <w:b/>
                <w:sz w:val="18"/>
                <w:szCs w:val="18"/>
              </w:rPr>
            </w:pPr>
            <w:r w:rsidRPr="00966494">
              <w:rPr>
                <w:b/>
                <w:sz w:val="18"/>
                <w:szCs w:val="18"/>
              </w:rPr>
              <w:t xml:space="preserve">New </w:t>
            </w:r>
            <w:r>
              <w:rPr>
                <w:b/>
                <w:sz w:val="18"/>
                <w:szCs w:val="18"/>
              </w:rPr>
              <w:t xml:space="preserve">proposed </w:t>
            </w:r>
            <w:r w:rsidRPr="00966494">
              <w:rPr>
                <w:b/>
                <w:sz w:val="18"/>
                <w:szCs w:val="18"/>
              </w:rPr>
              <w:t>wording</w:t>
            </w:r>
          </w:p>
        </w:tc>
        <w:tc>
          <w:tcPr>
            <w:tcW w:w="2358" w:type="dxa"/>
          </w:tcPr>
          <w:p w:rsidR="00DF1665" w:rsidRPr="00966494" w:rsidRDefault="00DF1665" w:rsidP="00B41727">
            <w:pPr>
              <w:rPr>
                <w:b/>
                <w:sz w:val="18"/>
                <w:szCs w:val="18"/>
              </w:rPr>
            </w:pPr>
            <w:r w:rsidRPr="00966494">
              <w:rPr>
                <w:b/>
                <w:sz w:val="18"/>
                <w:szCs w:val="18"/>
              </w:rPr>
              <w:t>Justification</w:t>
            </w:r>
          </w:p>
        </w:tc>
      </w:tr>
      <w:tr w:rsidR="00DF1665" w:rsidRPr="00AC39C8" w:rsidTr="007C5F08">
        <w:tc>
          <w:tcPr>
            <w:tcW w:w="742" w:type="dxa"/>
          </w:tcPr>
          <w:p w:rsidR="00DF1665" w:rsidRPr="005C4970" w:rsidRDefault="00DF1665" w:rsidP="00B41727">
            <w:pPr>
              <w:rPr>
                <w:b/>
                <w:sz w:val="18"/>
                <w:szCs w:val="18"/>
              </w:rPr>
            </w:pPr>
            <w:r w:rsidRPr="005C4970">
              <w:rPr>
                <w:b/>
                <w:sz w:val="18"/>
                <w:szCs w:val="18"/>
              </w:rPr>
              <w:t>186</w:t>
            </w:r>
          </w:p>
        </w:tc>
        <w:tc>
          <w:tcPr>
            <w:tcW w:w="3736" w:type="dxa"/>
          </w:tcPr>
          <w:p w:rsidR="00DF1665" w:rsidRPr="00966494" w:rsidRDefault="00DF1665" w:rsidP="00CE20AA">
            <w:pPr>
              <w:spacing w:after="120"/>
              <w:rPr>
                <w:sz w:val="18"/>
                <w:szCs w:val="18"/>
              </w:rPr>
            </w:pPr>
            <w:r w:rsidRPr="00966494">
              <w:rPr>
                <w:sz w:val="18"/>
                <w:szCs w:val="18"/>
              </w:rPr>
              <w:t>In determining the ammonium nitrate content, all nitrate ions for which a molecular equivalent of ammonium ions is present in the mixture shall be calculated as ammonium nitrate.</w:t>
            </w:r>
          </w:p>
        </w:tc>
        <w:tc>
          <w:tcPr>
            <w:tcW w:w="2486" w:type="dxa"/>
          </w:tcPr>
          <w:p w:rsidR="00DF1665" w:rsidRPr="00966494" w:rsidRDefault="00DF1665" w:rsidP="00B41727">
            <w:pPr>
              <w:rPr>
                <w:i/>
                <w:sz w:val="18"/>
                <w:szCs w:val="18"/>
              </w:rPr>
            </w:pPr>
            <w:r w:rsidRPr="00966494">
              <w:rPr>
                <w:i/>
                <w:sz w:val="18"/>
                <w:szCs w:val="18"/>
              </w:rPr>
              <w:t>Deleted</w:t>
            </w:r>
          </w:p>
        </w:tc>
        <w:tc>
          <w:tcPr>
            <w:tcW w:w="2358" w:type="dxa"/>
          </w:tcPr>
          <w:p w:rsidR="00DF1665" w:rsidRPr="00966494" w:rsidRDefault="00DF1665" w:rsidP="00B41727">
            <w:pPr>
              <w:rPr>
                <w:sz w:val="18"/>
                <w:szCs w:val="18"/>
              </w:rPr>
            </w:pPr>
            <w:r w:rsidRPr="00966494">
              <w:rPr>
                <w:sz w:val="18"/>
                <w:szCs w:val="18"/>
              </w:rPr>
              <w:t>Replaced by 39.3.3 in new Section 39 with the same requirement.</w:t>
            </w:r>
          </w:p>
        </w:tc>
      </w:tr>
      <w:tr w:rsidR="00DF1665" w:rsidRPr="00541CE4" w:rsidTr="007C5F08">
        <w:tc>
          <w:tcPr>
            <w:tcW w:w="742" w:type="dxa"/>
          </w:tcPr>
          <w:p w:rsidR="00DF1665" w:rsidRPr="005C4970" w:rsidRDefault="00DF1665" w:rsidP="00B41727">
            <w:pPr>
              <w:rPr>
                <w:b/>
                <w:sz w:val="18"/>
                <w:szCs w:val="18"/>
              </w:rPr>
            </w:pPr>
            <w:r w:rsidRPr="005C4970">
              <w:rPr>
                <w:b/>
                <w:sz w:val="18"/>
                <w:szCs w:val="18"/>
              </w:rPr>
              <w:t>193</w:t>
            </w:r>
          </w:p>
        </w:tc>
        <w:tc>
          <w:tcPr>
            <w:tcW w:w="3736" w:type="dxa"/>
          </w:tcPr>
          <w:p w:rsidR="00DF1665" w:rsidRPr="00966494" w:rsidRDefault="00DF1665" w:rsidP="00CE20AA">
            <w:pPr>
              <w:autoSpaceDE w:val="0"/>
              <w:autoSpaceDN w:val="0"/>
              <w:adjustRightInd w:val="0"/>
              <w:spacing w:after="120"/>
              <w:rPr>
                <w:sz w:val="18"/>
                <w:szCs w:val="18"/>
              </w:rPr>
            </w:pPr>
            <w:r w:rsidRPr="00966494">
              <w:rPr>
                <w:sz w:val="18"/>
                <w:szCs w:val="18"/>
              </w:rPr>
              <w:t xml:space="preserve">This entry may only be used for uniform ammonium nitrate based fertilizer mixtures of the nitrogen, phosphate or potash type, containing not more than 70% ammonium nitrate and not more than 0.4% total combustible/organic material calculated as carbon or with not more than 45% ammonium nitrate and unrestricted combustible material. Fertilizers within these composition limits are only subject to these Regulations when transported by air or sea and are not subject to these Regulations if shown by a Trough Test (see </w:t>
            </w:r>
            <w:r w:rsidRPr="00966494">
              <w:rPr>
                <w:i/>
                <w:iCs/>
                <w:sz w:val="18"/>
                <w:szCs w:val="18"/>
              </w:rPr>
              <w:t>Manual of</w:t>
            </w:r>
            <w:r w:rsidRPr="00966494">
              <w:rPr>
                <w:sz w:val="18"/>
                <w:szCs w:val="18"/>
              </w:rPr>
              <w:t xml:space="preserve"> </w:t>
            </w:r>
            <w:r w:rsidRPr="00966494">
              <w:rPr>
                <w:i/>
                <w:iCs/>
                <w:sz w:val="18"/>
                <w:szCs w:val="18"/>
              </w:rPr>
              <w:t>Tests and Criteria</w:t>
            </w:r>
            <w:r w:rsidRPr="00966494">
              <w:rPr>
                <w:sz w:val="18"/>
                <w:szCs w:val="18"/>
              </w:rPr>
              <w:t xml:space="preserve">, Part III, sub-section 38.2) not to be liable to self-sustaining decomposition. </w:t>
            </w:r>
          </w:p>
        </w:tc>
        <w:tc>
          <w:tcPr>
            <w:tcW w:w="2486" w:type="dxa"/>
          </w:tcPr>
          <w:p w:rsidR="00DF1665" w:rsidRPr="00966494" w:rsidRDefault="00DF1665" w:rsidP="00B41727">
            <w:pPr>
              <w:rPr>
                <w:sz w:val="18"/>
                <w:szCs w:val="18"/>
              </w:rPr>
            </w:pPr>
            <w:r w:rsidRPr="00A27B57">
              <w:rPr>
                <w:sz w:val="18"/>
                <w:szCs w:val="18"/>
              </w:rPr>
              <w:t>This entry may only be used for ammonium nitrate based compound fertilizers. They shall be classified in accordance with the procedure as set out in the Manual of Tests and Criteria, Part III, Section 39. Fertilizers meeting the criteria for this UN No. are only subject to these Regulations when transported by air or sea.</w:t>
            </w:r>
          </w:p>
        </w:tc>
        <w:tc>
          <w:tcPr>
            <w:tcW w:w="2358" w:type="dxa"/>
          </w:tcPr>
          <w:p w:rsidR="00DF1665" w:rsidRPr="00966494" w:rsidRDefault="00DF1665" w:rsidP="00B41727">
            <w:pPr>
              <w:rPr>
                <w:sz w:val="18"/>
                <w:szCs w:val="18"/>
              </w:rPr>
            </w:pPr>
            <w:r w:rsidRPr="00966494">
              <w:rPr>
                <w:sz w:val="18"/>
                <w:szCs w:val="18"/>
              </w:rPr>
              <w:t xml:space="preserve">Composition limits and requirement on self-sustaining decomposition </w:t>
            </w:r>
            <w:r>
              <w:rPr>
                <w:sz w:val="18"/>
                <w:szCs w:val="18"/>
              </w:rPr>
              <w:t xml:space="preserve">are </w:t>
            </w:r>
            <w:r w:rsidRPr="00966494">
              <w:rPr>
                <w:sz w:val="18"/>
                <w:szCs w:val="18"/>
              </w:rPr>
              <w:t>replaced by</w:t>
            </w:r>
            <w:r>
              <w:rPr>
                <w:sz w:val="18"/>
                <w:szCs w:val="18"/>
              </w:rPr>
              <w:t xml:space="preserve"> flow </w:t>
            </w:r>
            <w:r w:rsidRPr="00966494">
              <w:rPr>
                <w:sz w:val="18"/>
                <w:szCs w:val="18"/>
              </w:rPr>
              <w:t>chart in 39.5 of new Section 39. See also 39.3.2 and 39.4.7 of that Section.</w:t>
            </w:r>
          </w:p>
        </w:tc>
      </w:tr>
      <w:tr w:rsidR="00DF1665" w:rsidRPr="00AC39C8" w:rsidTr="007C5F08">
        <w:tc>
          <w:tcPr>
            <w:tcW w:w="742" w:type="dxa"/>
          </w:tcPr>
          <w:p w:rsidR="00DF1665" w:rsidRPr="005C4970" w:rsidRDefault="00DF1665" w:rsidP="00B41727">
            <w:pPr>
              <w:rPr>
                <w:b/>
                <w:sz w:val="18"/>
                <w:szCs w:val="18"/>
              </w:rPr>
            </w:pPr>
            <w:r w:rsidRPr="005C4970">
              <w:rPr>
                <w:b/>
                <w:sz w:val="18"/>
                <w:szCs w:val="18"/>
              </w:rPr>
              <w:t>307</w:t>
            </w:r>
          </w:p>
        </w:tc>
        <w:tc>
          <w:tcPr>
            <w:tcW w:w="3736" w:type="dxa"/>
          </w:tcPr>
          <w:p w:rsidR="00DF1665" w:rsidRPr="00966494" w:rsidRDefault="00DF1665" w:rsidP="00B41727">
            <w:pPr>
              <w:rPr>
                <w:sz w:val="18"/>
                <w:szCs w:val="18"/>
              </w:rPr>
            </w:pPr>
            <w:r w:rsidRPr="00966494">
              <w:rPr>
                <w:sz w:val="18"/>
                <w:szCs w:val="18"/>
              </w:rPr>
              <w:t>This entry may only be used for uniform mixtures containing ammonium nitrate as the main ingredient within the following composition limits</w:t>
            </w:r>
            <w:proofErr w:type="gramStart"/>
            <w:r w:rsidRPr="00966494">
              <w:rPr>
                <w:sz w:val="18"/>
                <w:szCs w:val="18"/>
              </w:rPr>
              <w:t>:</w:t>
            </w:r>
            <w:proofErr w:type="gramEnd"/>
            <w:r w:rsidRPr="00966494">
              <w:rPr>
                <w:sz w:val="18"/>
                <w:szCs w:val="18"/>
              </w:rPr>
              <w:br/>
              <w:t>(a) [...]</w:t>
            </w:r>
            <w:r w:rsidRPr="00966494">
              <w:rPr>
                <w:sz w:val="18"/>
                <w:szCs w:val="18"/>
              </w:rPr>
              <w:br/>
              <w:t>(b) [...]</w:t>
            </w:r>
            <w:r w:rsidRPr="00966494">
              <w:rPr>
                <w:sz w:val="18"/>
                <w:szCs w:val="18"/>
              </w:rPr>
              <w:br/>
              <w:t>(c) [...]</w:t>
            </w:r>
          </w:p>
        </w:tc>
        <w:tc>
          <w:tcPr>
            <w:tcW w:w="2486" w:type="dxa"/>
          </w:tcPr>
          <w:p w:rsidR="00DF1665" w:rsidRPr="00966494" w:rsidRDefault="00DF1665" w:rsidP="00CE20AA">
            <w:pPr>
              <w:spacing w:after="120"/>
              <w:rPr>
                <w:sz w:val="18"/>
                <w:szCs w:val="18"/>
              </w:rPr>
            </w:pPr>
            <w:r w:rsidRPr="00966494">
              <w:rPr>
                <w:sz w:val="18"/>
                <w:szCs w:val="18"/>
              </w:rPr>
              <w:t>This entry may only be used for ammonium nitrate based fertilizers. They shall be classified in accordance with the procedure as set out in the Manual of Tests and Criteria, Part III, Section 39.</w:t>
            </w:r>
          </w:p>
        </w:tc>
        <w:tc>
          <w:tcPr>
            <w:tcW w:w="2358" w:type="dxa"/>
          </w:tcPr>
          <w:p w:rsidR="00DF1665" w:rsidRPr="00966494" w:rsidRDefault="00DF1665" w:rsidP="00B41727">
            <w:pPr>
              <w:rPr>
                <w:sz w:val="18"/>
                <w:szCs w:val="18"/>
              </w:rPr>
            </w:pPr>
            <w:r w:rsidRPr="00966494">
              <w:rPr>
                <w:sz w:val="18"/>
                <w:szCs w:val="18"/>
              </w:rPr>
              <w:t xml:space="preserve">Composition limits </w:t>
            </w:r>
            <w:r>
              <w:rPr>
                <w:sz w:val="18"/>
                <w:szCs w:val="18"/>
              </w:rPr>
              <w:t xml:space="preserve">are </w:t>
            </w:r>
            <w:r w:rsidRPr="00966494">
              <w:rPr>
                <w:sz w:val="18"/>
                <w:szCs w:val="18"/>
              </w:rPr>
              <w:t>replaced by flow chart of 39.5 in new Section 39. Wording aligned with name of UN No. according to Dangerous Goods List.</w:t>
            </w:r>
          </w:p>
        </w:tc>
      </w:tr>
    </w:tbl>
    <w:p w:rsidR="009B551B" w:rsidRPr="00DF1665" w:rsidRDefault="00DF1665" w:rsidP="00DF1665">
      <w:pPr>
        <w:pStyle w:val="SingleTxtG"/>
        <w:spacing w:before="240" w:after="0"/>
        <w:jc w:val="center"/>
        <w:rPr>
          <w:u w:val="single"/>
        </w:rPr>
      </w:pPr>
      <w:r>
        <w:rPr>
          <w:u w:val="single"/>
        </w:rPr>
        <w:tab/>
      </w:r>
      <w:r>
        <w:rPr>
          <w:u w:val="single"/>
        </w:rPr>
        <w:tab/>
      </w:r>
      <w:r>
        <w:rPr>
          <w:u w:val="single"/>
        </w:rPr>
        <w:tab/>
      </w:r>
    </w:p>
    <w:p w:rsidR="009B551B" w:rsidRDefault="009B551B" w:rsidP="00832D66">
      <w:pPr>
        <w:pStyle w:val="SingleTxtG"/>
      </w:pPr>
    </w:p>
    <w:p w:rsidR="009B551B" w:rsidRDefault="009B551B" w:rsidP="00832D66">
      <w:pPr>
        <w:pStyle w:val="SingleTxtG"/>
      </w:pPr>
    </w:p>
    <w:p w:rsidR="009B551B" w:rsidRDefault="009B551B" w:rsidP="00832D66">
      <w:pPr>
        <w:pStyle w:val="SingleTxtG"/>
      </w:pPr>
    </w:p>
    <w:p w:rsidR="009B551B" w:rsidRDefault="009B551B" w:rsidP="00832D66">
      <w:pPr>
        <w:pStyle w:val="SingleTxtG"/>
      </w:pPr>
    </w:p>
    <w:p w:rsidR="009B551B" w:rsidRDefault="009B551B" w:rsidP="00832D66">
      <w:pPr>
        <w:pStyle w:val="SingleTxtG"/>
      </w:pPr>
    </w:p>
    <w:p w:rsidR="009B551B" w:rsidRDefault="009B551B" w:rsidP="00832D66">
      <w:pPr>
        <w:pStyle w:val="SingleTxtG"/>
      </w:pPr>
    </w:p>
    <w:p w:rsidR="009B551B" w:rsidRDefault="009B551B" w:rsidP="00832D66">
      <w:pPr>
        <w:pStyle w:val="SingleTxtG"/>
      </w:pPr>
    </w:p>
    <w:p w:rsidR="009B551B" w:rsidRDefault="009B551B" w:rsidP="00832D66">
      <w:pPr>
        <w:pStyle w:val="SingleTxtG"/>
      </w:pPr>
    </w:p>
    <w:p w:rsidR="009B551B" w:rsidRDefault="009B551B" w:rsidP="00832D66">
      <w:pPr>
        <w:pStyle w:val="SingleTxtG"/>
      </w:pPr>
    </w:p>
    <w:p w:rsidR="009B551B" w:rsidRDefault="009B551B" w:rsidP="00832D66">
      <w:pPr>
        <w:pStyle w:val="SingleTxtG"/>
      </w:pPr>
    </w:p>
    <w:p w:rsidR="009B551B" w:rsidRDefault="009B551B" w:rsidP="00832D66">
      <w:pPr>
        <w:pStyle w:val="SingleTxtG"/>
      </w:pPr>
    </w:p>
    <w:p w:rsidR="009B551B" w:rsidRPr="00FD2414" w:rsidRDefault="009B551B" w:rsidP="00832D66">
      <w:pPr>
        <w:pStyle w:val="SingleTxtG"/>
      </w:pPr>
    </w:p>
    <w:sectPr w:rsidR="009B551B" w:rsidRPr="00FD2414" w:rsidSect="00D938D5">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3FD" w:rsidRDefault="00CD63FD"/>
  </w:endnote>
  <w:endnote w:type="continuationSeparator" w:id="0">
    <w:p w:rsidR="00CD63FD" w:rsidRDefault="00CD63FD"/>
  </w:endnote>
  <w:endnote w:type="continuationNotice" w:id="1">
    <w:p w:rsidR="00CD63FD" w:rsidRDefault="00CD63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FD" w:rsidRPr="00FB75E7" w:rsidRDefault="001B0FC2">
    <w:pPr>
      <w:pStyle w:val="Footer"/>
      <w:rPr>
        <w:b/>
      </w:rPr>
    </w:pPr>
    <w:r w:rsidRPr="00FB75E7">
      <w:rPr>
        <w:b/>
      </w:rPr>
      <w:fldChar w:fldCharType="begin"/>
    </w:r>
    <w:r w:rsidR="00CD63FD" w:rsidRPr="00FB75E7">
      <w:rPr>
        <w:b/>
      </w:rPr>
      <w:instrText xml:space="preserve"> PAGE   \* MERGEFORMAT </w:instrText>
    </w:r>
    <w:r w:rsidRPr="00FB75E7">
      <w:rPr>
        <w:b/>
      </w:rPr>
      <w:fldChar w:fldCharType="separate"/>
    </w:r>
    <w:r w:rsidR="00ED41A5">
      <w:rPr>
        <w:b/>
        <w:noProof/>
      </w:rPr>
      <w:t>12</w:t>
    </w:r>
    <w:r w:rsidRPr="00FB75E7">
      <w:rPr>
        <w:b/>
        <w:noProof/>
      </w:rPr>
      <w:fldChar w:fldCharType="end"/>
    </w:r>
  </w:p>
  <w:p w:rsidR="00CD63FD" w:rsidRPr="0099001C" w:rsidRDefault="00CD63FD" w:rsidP="0099001C">
    <w:pPr>
      <w:pStyle w:val="Footer"/>
      <w:tabs>
        <w:tab w:val="right" w:pos="9638"/>
      </w:tabs>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FD" w:rsidRPr="004D2B47" w:rsidRDefault="001B0FC2">
    <w:pPr>
      <w:pStyle w:val="Footer"/>
      <w:jc w:val="right"/>
      <w:rPr>
        <w:b/>
      </w:rPr>
    </w:pPr>
    <w:r w:rsidRPr="004D2B47">
      <w:rPr>
        <w:b/>
      </w:rPr>
      <w:fldChar w:fldCharType="begin"/>
    </w:r>
    <w:r w:rsidR="00CD63FD" w:rsidRPr="004D2B47">
      <w:rPr>
        <w:b/>
      </w:rPr>
      <w:instrText xml:space="preserve"> PAGE   \* MERGEFORMAT </w:instrText>
    </w:r>
    <w:r w:rsidRPr="004D2B47">
      <w:rPr>
        <w:b/>
      </w:rPr>
      <w:fldChar w:fldCharType="separate"/>
    </w:r>
    <w:r w:rsidR="00ED41A5">
      <w:rPr>
        <w:b/>
        <w:noProof/>
      </w:rPr>
      <w:t>9</w:t>
    </w:r>
    <w:r w:rsidRPr="004D2B47">
      <w:rPr>
        <w:b/>
        <w:noProof/>
      </w:rPr>
      <w:fldChar w:fldCharType="end"/>
    </w:r>
  </w:p>
  <w:p w:rsidR="00CD63FD" w:rsidRPr="0099001C" w:rsidRDefault="00CD63FD" w:rsidP="001E4813">
    <w:pPr>
      <w:pStyle w:val="Footer"/>
      <w:tabs>
        <w:tab w:val="right" w:pos="12600"/>
      </w:tabs>
      <w:jc w:val="right"/>
      <w:rPr>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3FD" w:rsidRPr="000B175B" w:rsidRDefault="00CD63FD" w:rsidP="000B175B">
      <w:pPr>
        <w:tabs>
          <w:tab w:val="right" w:pos="2155"/>
        </w:tabs>
        <w:spacing w:after="80"/>
        <w:ind w:left="680"/>
        <w:rPr>
          <w:u w:val="single"/>
        </w:rPr>
      </w:pPr>
      <w:r>
        <w:rPr>
          <w:u w:val="single"/>
        </w:rPr>
        <w:tab/>
      </w:r>
    </w:p>
  </w:footnote>
  <w:footnote w:type="continuationSeparator" w:id="0">
    <w:p w:rsidR="00CD63FD" w:rsidRPr="00FC68B7" w:rsidRDefault="00CD63FD" w:rsidP="00FC68B7">
      <w:pPr>
        <w:tabs>
          <w:tab w:val="left" w:pos="2155"/>
        </w:tabs>
        <w:spacing w:after="80"/>
        <w:ind w:left="680"/>
        <w:rPr>
          <w:u w:val="single"/>
        </w:rPr>
      </w:pPr>
      <w:r>
        <w:rPr>
          <w:u w:val="single"/>
        </w:rPr>
        <w:tab/>
      </w:r>
    </w:p>
  </w:footnote>
  <w:footnote w:type="continuationNotice" w:id="1">
    <w:p w:rsidR="00CD63FD" w:rsidRDefault="00CD63FD"/>
  </w:footnote>
  <w:footnote w:id="2">
    <w:p w:rsidR="00FE74F3" w:rsidRPr="00AD2B15" w:rsidRDefault="00FE74F3" w:rsidP="00FE74F3">
      <w:pPr>
        <w:pStyle w:val="FootnoteText"/>
        <w:ind w:firstLine="0"/>
      </w:pPr>
      <w:r>
        <w:rPr>
          <w:rStyle w:val="FootnoteReference"/>
        </w:rPr>
        <w:footnoteRef/>
      </w:r>
      <w:r w:rsidRPr="00AD2B15">
        <w:t xml:space="preserve"> In accordance with the programme of work of the Sub-Committee for 2015–2016 approved by the Committee at its seventh session (see ST/SG/AC.10/C.3/92, paragraph 95 and ST/SG/AC.10/42, para. 15).</w:t>
      </w:r>
    </w:p>
  </w:footnote>
  <w:footnote w:id="3">
    <w:p w:rsidR="00FE74F3" w:rsidRPr="00DF3EF4" w:rsidRDefault="00FE74F3" w:rsidP="00FE74F3">
      <w:pPr>
        <w:pStyle w:val="FootnoteText"/>
        <w:ind w:firstLine="0"/>
      </w:pPr>
      <w:r>
        <w:rPr>
          <w:rStyle w:val="FootnoteReference"/>
        </w:rPr>
        <w:footnoteRef/>
      </w:r>
      <w:r w:rsidRPr="00DF3EF4">
        <w:t xml:space="preserve"> ST/SG/AC.10/C.3/2016/29</w:t>
      </w:r>
    </w:p>
  </w:footnote>
  <w:footnote w:id="4">
    <w:p w:rsidR="00FE74F3" w:rsidRPr="00DF3EF4" w:rsidRDefault="00FE74F3" w:rsidP="00FE74F3">
      <w:pPr>
        <w:pStyle w:val="FootnoteText"/>
        <w:ind w:firstLine="0"/>
      </w:pPr>
      <w:r>
        <w:rPr>
          <w:rStyle w:val="FootnoteReference"/>
        </w:rPr>
        <w:footnoteRef/>
      </w:r>
      <w:r w:rsidRPr="00DF3EF4">
        <w:t xml:space="preserve"> UN/SCETDG/49/INF.5 and UN/SCETDG/49/INF.23, respectively</w:t>
      </w:r>
    </w:p>
  </w:footnote>
  <w:footnote w:id="5">
    <w:p w:rsidR="00FE74F3" w:rsidRPr="00FE6E71" w:rsidRDefault="00FE74F3" w:rsidP="00FE74F3">
      <w:pPr>
        <w:pStyle w:val="FootnoteText"/>
        <w:ind w:firstLine="0"/>
      </w:pPr>
      <w:r>
        <w:rPr>
          <w:rStyle w:val="FootnoteReference"/>
        </w:rPr>
        <w:footnoteRef/>
      </w:r>
      <w:r w:rsidRPr="00FE6E71">
        <w:t xml:space="preserve"> </w:t>
      </w:r>
      <w:r w:rsidRPr="00DF3EF4">
        <w:rPr>
          <w:szCs w:val="18"/>
        </w:rPr>
        <w:t xml:space="preserve">IGUS is the International Group of experts on the explosion risks of Unstable Substances, which has been active in the field of hazardous materials, including dangerous goods, for over 50 years. Experts participate in IGUS due to their expertise, and not as representatives of their country or organization. See www.igus-experts.org for further information. </w:t>
      </w:r>
      <w:r w:rsidRPr="00DF3EF4">
        <w:t xml:space="preserve"> </w:t>
      </w:r>
    </w:p>
  </w:footnote>
  <w:footnote w:id="6">
    <w:p w:rsidR="00832D66" w:rsidRPr="00A86DAD" w:rsidRDefault="00832D66" w:rsidP="00832D66">
      <w:pPr>
        <w:pStyle w:val="FootnoteText"/>
        <w:ind w:firstLine="0"/>
      </w:pPr>
      <w:r>
        <w:rPr>
          <w:rStyle w:val="FootnoteReference"/>
        </w:rPr>
        <w:footnoteRef/>
      </w:r>
      <w:r w:rsidRPr="00A86DAD">
        <w:t xml:space="preserve"> </w:t>
      </w:r>
      <w:r>
        <w:t>The numbers and letters in the margins of the flow chart, as well as the grid lines, are to facilitate discussions only and are not intended to be reproduced in the Manual.</w:t>
      </w:r>
    </w:p>
  </w:footnote>
  <w:footnote w:id="7">
    <w:p w:rsidR="00832D66" w:rsidRPr="007322D1" w:rsidRDefault="00832D66" w:rsidP="00832D66">
      <w:pPr>
        <w:pStyle w:val="FootnoteText"/>
        <w:tabs>
          <w:tab w:val="clear" w:pos="1021"/>
          <w:tab w:val="right" w:pos="1134"/>
        </w:tabs>
        <w:ind w:firstLine="0"/>
      </w:pPr>
      <w:r>
        <w:rPr>
          <w:rStyle w:val="FootnoteReference"/>
        </w:rPr>
        <w:footnoteRef/>
      </w:r>
      <w:r w:rsidRPr="007322D1">
        <w:t xml:space="preserve"> </w:t>
      </w:r>
      <w:r w:rsidRPr="007322D1">
        <w:rPr>
          <w:szCs w:val="18"/>
        </w:rPr>
        <w:t>See the review of several studies in “</w:t>
      </w:r>
      <w:r w:rsidRPr="007322D1">
        <w:rPr>
          <w:i/>
          <w:iCs/>
          <w:szCs w:val="18"/>
        </w:rPr>
        <w:t>Properties of Ammonium Nitrate based fertilizers”</w:t>
      </w:r>
      <w:r w:rsidRPr="007322D1">
        <w:rPr>
          <w:szCs w:val="18"/>
        </w:rPr>
        <w:t xml:space="preserve">, Ph.D. thesis by </w:t>
      </w:r>
      <w:proofErr w:type="spellStart"/>
      <w:r w:rsidRPr="007322D1">
        <w:rPr>
          <w:szCs w:val="18"/>
        </w:rPr>
        <w:t>Harri</w:t>
      </w:r>
      <w:proofErr w:type="spellEnd"/>
      <w:r w:rsidRPr="007322D1">
        <w:rPr>
          <w:szCs w:val="18"/>
        </w:rPr>
        <w:t xml:space="preserve"> </w:t>
      </w:r>
      <w:proofErr w:type="spellStart"/>
      <w:r w:rsidRPr="007322D1">
        <w:rPr>
          <w:szCs w:val="18"/>
        </w:rPr>
        <w:t>Kiiski</w:t>
      </w:r>
      <w:proofErr w:type="spellEnd"/>
      <w:r w:rsidRPr="007322D1">
        <w:rPr>
          <w:szCs w:val="18"/>
        </w:rPr>
        <w:t xml:space="preserve"> from Helsinki University, Faculty of science, Department of Chemistry, 2009 (Chapter 9, Section 9.3.3) </w:t>
      </w:r>
      <w:r w:rsidRPr="007322D1">
        <w:t xml:space="preserve"> </w:t>
      </w:r>
    </w:p>
  </w:footnote>
  <w:footnote w:id="8">
    <w:p w:rsidR="00513B41" w:rsidRPr="00445038" w:rsidRDefault="00513B41" w:rsidP="00513B41">
      <w:pPr>
        <w:pStyle w:val="FootnoteText"/>
        <w:tabs>
          <w:tab w:val="clear" w:pos="1021"/>
        </w:tabs>
        <w:ind w:firstLine="0"/>
      </w:pPr>
      <w:r>
        <w:rPr>
          <w:rStyle w:val="FootnoteReference"/>
        </w:rPr>
        <w:footnoteRef/>
      </w:r>
      <w:r w:rsidRPr="00445038">
        <w:t xml:space="preserve"> </w:t>
      </w:r>
      <w:r w:rsidRPr="00EE27BF">
        <w:rPr>
          <w:lang w:val="en-US"/>
        </w:rPr>
        <w:t xml:space="preserve">Insertion of this new section has consequences for the Table of Contents of Part III (page 340) and for the General Table of Contents (page </w:t>
      </w:r>
      <w:proofErr w:type="gramStart"/>
      <w:r w:rsidRPr="00EE27BF">
        <w:rPr>
          <w:lang w:val="en-US"/>
        </w:rPr>
        <w:t>iv</w:t>
      </w:r>
      <w:proofErr w:type="gramEnd"/>
      <w:r w:rsidRPr="00EE27BF">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FD" w:rsidRPr="006C6A56" w:rsidRDefault="00FE74F3" w:rsidP="006C6A56">
    <w:pPr>
      <w:pStyle w:val="Header"/>
    </w:pPr>
    <w:r>
      <w:t>ST/SG/AC.10/C.3/2016/66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FD" w:rsidRPr="001F676B" w:rsidRDefault="00FB630E" w:rsidP="00C42500">
    <w:pPr>
      <w:pStyle w:val="Header"/>
      <w:pBdr>
        <w:bottom w:val="single" w:sz="4" w:space="1" w:color="auto"/>
      </w:pBdr>
      <w:jc w:val="right"/>
    </w:pPr>
    <w:r>
      <w:t>ST/SG/AC.10/C.3/2016/66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18pt" o:bullet="t">
        <v:imagedata r:id="rId1" o:title=""/>
      </v:shape>
    </w:pict>
  </w:numPicBullet>
  <w:abstractNum w:abstractNumId="0">
    <w:nsid w:val="00211106"/>
    <w:multiLevelType w:val="multilevel"/>
    <w:tmpl w:val="72849632"/>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9"/>
      <w:numFmt w:val="decimal"/>
      <w:lvlText w:val="%1.%2.%3.%4"/>
      <w:lvlJc w:val="left"/>
      <w:pPr>
        <w:tabs>
          <w:tab w:val="num" w:pos="1140"/>
        </w:tabs>
        <w:ind w:left="1140" w:hanging="1140"/>
      </w:pPr>
      <w:rPr>
        <w:rFonts w:hint="default"/>
      </w:rPr>
    </w:lvl>
    <w:lvl w:ilvl="4">
      <w:start w:val="2"/>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14B4E9C"/>
    <w:multiLevelType w:val="hybridMultilevel"/>
    <w:tmpl w:val="FFCA71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E95B97"/>
    <w:multiLevelType w:val="multilevel"/>
    <w:tmpl w:val="FB628A22"/>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8642807"/>
    <w:multiLevelType w:val="hybridMultilevel"/>
    <w:tmpl w:val="36CCA5B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91646A1"/>
    <w:multiLevelType w:val="hybridMultilevel"/>
    <w:tmpl w:val="9280E66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6">
    <w:nsid w:val="09B76CF2"/>
    <w:multiLevelType w:val="hybridMultilevel"/>
    <w:tmpl w:val="AB486EF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FC5F72"/>
    <w:multiLevelType w:val="hybridMultilevel"/>
    <w:tmpl w:val="99FCD014"/>
    <w:lvl w:ilvl="0" w:tplc="61FA1426">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14040835"/>
    <w:multiLevelType w:val="hybridMultilevel"/>
    <w:tmpl w:val="776E3C86"/>
    <w:lvl w:ilvl="0" w:tplc="0809000F">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14F81C80"/>
    <w:multiLevelType w:val="hybridMultilevel"/>
    <w:tmpl w:val="F2006C08"/>
    <w:lvl w:ilvl="0" w:tplc="FD869844">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200D59DD"/>
    <w:multiLevelType w:val="hybridMultilevel"/>
    <w:tmpl w:val="D44CF84C"/>
    <w:lvl w:ilvl="0" w:tplc="61AC707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20AC192F"/>
    <w:multiLevelType w:val="hybridMultilevel"/>
    <w:tmpl w:val="741E22A6"/>
    <w:lvl w:ilvl="0" w:tplc="7946167C">
      <w:start w:val="1"/>
      <w:numFmt w:val="decimal"/>
      <w:lvlText w:val="%1."/>
      <w:lvlJc w:val="left"/>
      <w:pPr>
        <w:tabs>
          <w:tab w:val="num" w:pos="360"/>
        </w:tabs>
        <w:ind w:left="432" w:hanging="432"/>
      </w:pPr>
      <w:rPr>
        <w:rFonts w:cs="Times New Roman" w:hint="default"/>
      </w:rPr>
    </w:lvl>
    <w:lvl w:ilvl="1" w:tplc="F12816A8">
      <w:start w:val="3"/>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22666D7B"/>
    <w:multiLevelType w:val="hybridMultilevel"/>
    <w:tmpl w:val="B19EA34C"/>
    <w:lvl w:ilvl="0" w:tplc="39388C4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25473BB9"/>
    <w:multiLevelType w:val="hybridMultilevel"/>
    <w:tmpl w:val="9C48DE16"/>
    <w:lvl w:ilvl="0" w:tplc="E89A1B5A">
      <w:start w:val="1"/>
      <w:numFmt w:val="lowerLetter"/>
      <w:lvlText w:val="%1)"/>
      <w:lvlJc w:val="left"/>
      <w:pPr>
        <w:ind w:left="56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940118"/>
    <w:multiLevelType w:val="hybridMultilevel"/>
    <w:tmpl w:val="9A24E8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C556B86"/>
    <w:multiLevelType w:val="hybridMultilevel"/>
    <w:tmpl w:val="A7481782"/>
    <w:lvl w:ilvl="0" w:tplc="06D228D4">
      <w:start w:val="1"/>
      <w:numFmt w:val="lowerLetter"/>
      <w:lvlText w:val="(%1)"/>
      <w:lvlJc w:val="left"/>
      <w:pPr>
        <w:tabs>
          <w:tab w:val="num" w:pos="2271"/>
        </w:tabs>
        <w:ind w:left="2271" w:hanging="57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16">
    <w:nsid w:val="2ECA257B"/>
    <w:multiLevelType w:val="hybridMultilevel"/>
    <w:tmpl w:val="3E90A262"/>
    <w:lvl w:ilvl="0" w:tplc="AC84F1B4">
      <w:start w:val="110"/>
      <w:numFmt w:val="decimal"/>
      <w:lvlText w:val="%1"/>
      <w:lvlJc w:val="left"/>
      <w:pPr>
        <w:tabs>
          <w:tab w:val="num" w:pos="2985"/>
        </w:tabs>
        <w:ind w:left="2985" w:hanging="1665"/>
      </w:pPr>
      <w:rPr>
        <w:rFonts w:hint="default"/>
      </w:rPr>
    </w:lvl>
    <w:lvl w:ilvl="1" w:tplc="04190019" w:tentative="1">
      <w:start w:val="1"/>
      <w:numFmt w:val="lowerLetter"/>
      <w:lvlText w:val="%2."/>
      <w:lvlJc w:val="left"/>
      <w:pPr>
        <w:tabs>
          <w:tab w:val="num" w:pos="2400"/>
        </w:tabs>
        <w:ind w:left="2400" w:hanging="360"/>
      </w:p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17">
    <w:nsid w:val="2F371BC8"/>
    <w:multiLevelType w:val="hybridMultilevel"/>
    <w:tmpl w:val="14788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3B140DB"/>
    <w:multiLevelType w:val="hybridMultilevel"/>
    <w:tmpl w:val="E4EA6080"/>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35913412"/>
    <w:multiLevelType w:val="hybridMultilevel"/>
    <w:tmpl w:val="97F043D8"/>
    <w:lvl w:ilvl="0" w:tplc="32DA1E40">
      <w:start w:val="1"/>
      <w:numFmt w:val="decimal"/>
      <w:lvlText w:val="%1."/>
      <w:lvlJc w:val="left"/>
      <w:pPr>
        <w:ind w:left="1494" w:hanging="36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37A91095"/>
    <w:multiLevelType w:val="hybridMultilevel"/>
    <w:tmpl w:val="8356F9A0"/>
    <w:lvl w:ilvl="0" w:tplc="2B6ACB68">
      <w:start w:val="1"/>
      <w:numFmt w:val="decimal"/>
      <w:lvlText w:val="%1."/>
      <w:lvlJc w:val="left"/>
      <w:pPr>
        <w:tabs>
          <w:tab w:val="num" w:pos="1864"/>
        </w:tabs>
        <w:ind w:left="1864" w:hanging="115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3AE23527"/>
    <w:multiLevelType w:val="hybridMultilevel"/>
    <w:tmpl w:val="C1B4B00C"/>
    <w:lvl w:ilvl="0" w:tplc="0809000F">
      <w:start w:val="1"/>
      <w:numFmt w:val="decimal"/>
      <w:lvlText w:val="%1."/>
      <w:lvlJc w:val="left"/>
      <w:pPr>
        <w:tabs>
          <w:tab w:val="num" w:pos="1636"/>
        </w:tabs>
        <w:ind w:left="1636" w:hanging="360"/>
      </w:pPr>
    </w:lvl>
    <w:lvl w:ilvl="1" w:tplc="08090001">
      <w:start w:val="1"/>
      <w:numFmt w:val="bullet"/>
      <w:lvlText w:val=""/>
      <w:lvlJc w:val="left"/>
      <w:pPr>
        <w:tabs>
          <w:tab w:val="num" w:pos="2356"/>
        </w:tabs>
        <w:ind w:left="2356" w:hanging="360"/>
      </w:pPr>
      <w:rPr>
        <w:rFonts w:ascii="Symbol" w:hAnsi="Symbol" w:hint="default"/>
      </w:rPr>
    </w:lvl>
    <w:lvl w:ilvl="2" w:tplc="5FDAAAC6">
      <w:start w:val="1"/>
      <w:numFmt w:val="lowerLetter"/>
      <w:lvlText w:val="(%3)"/>
      <w:lvlJc w:val="left"/>
      <w:pPr>
        <w:tabs>
          <w:tab w:val="num" w:pos="3256"/>
        </w:tabs>
        <w:ind w:left="3256" w:hanging="360"/>
      </w:pPr>
      <w:rPr>
        <w:rFonts w:hint="default"/>
      </w:rPr>
    </w:lvl>
    <w:lvl w:ilvl="3" w:tplc="0809000F" w:tentative="1">
      <w:start w:val="1"/>
      <w:numFmt w:val="decimal"/>
      <w:lvlText w:val="%4."/>
      <w:lvlJc w:val="left"/>
      <w:pPr>
        <w:tabs>
          <w:tab w:val="num" w:pos="3796"/>
        </w:tabs>
        <w:ind w:left="3796" w:hanging="360"/>
      </w:pPr>
    </w:lvl>
    <w:lvl w:ilvl="4" w:tplc="08090019" w:tentative="1">
      <w:start w:val="1"/>
      <w:numFmt w:val="lowerLetter"/>
      <w:lvlText w:val="%5."/>
      <w:lvlJc w:val="left"/>
      <w:pPr>
        <w:tabs>
          <w:tab w:val="num" w:pos="4516"/>
        </w:tabs>
        <w:ind w:left="4516" w:hanging="360"/>
      </w:pPr>
    </w:lvl>
    <w:lvl w:ilvl="5" w:tplc="0809001B" w:tentative="1">
      <w:start w:val="1"/>
      <w:numFmt w:val="lowerRoman"/>
      <w:lvlText w:val="%6."/>
      <w:lvlJc w:val="right"/>
      <w:pPr>
        <w:tabs>
          <w:tab w:val="num" w:pos="5236"/>
        </w:tabs>
        <w:ind w:left="5236" w:hanging="180"/>
      </w:pPr>
    </w:lvl>
    <w:lvl w:ilvl="6" w:tplc="0809000F" w:tentative="1">
      <w:start w:val="1"/>
      <w:numFmt w:val="decimal"/>
      <w:lvlText w:val="%7."/>
      <w:lvlJc w:val="left"/>
      <w:pPr>
        <w:tabs>
          <w:tab w:val="num" w:pos="5956"/>
        </w:tabs>
        <w:ind w:left="5956" w:hanging="360"/>
      </w:pPr>
    </w:lvl>
    <w:lvl w:ilvl="7" w:tplc="08090019" w:tentative="1">
      <w:start w:val="1"/>
      <w:numFmt w:val="lowerLetter"/>
      <w:lvlText w:val="%8."/>
      <w:lvlJc w:val="left"/>
      <w:pPr>
        <w:tabs>
          <w:tab w:val="num" w:pos="6676"/>
        </w:tabs>
        <w:ind w:left="6676" w:hanging="360"/>
      </w:pPr>
    </w:lvl>
    <w:lvl w:ilvl="8" w:tplc="0809001B" w:tentative="1">
      <w:start w:val="1"/>
      <w:numFmt w:val="lowerRoman"/>
      <w:lvlText w:val="%9."/>
      <w:lvlJc w:val="right"/>
      <w:pPr>
        <w:tabs>
          <w:tab w:val="num" w:pos="7396"/>
        </w:tabs>
        <w:ind w:left="7396" w:hanging="180"/>
      </w:pPr>
    </w:lvl>
  </w:abstractNum>
  <w:abstractNum w:abstractNumId="22">
    <w:nsid w:val="476C2B34"/>
    <w:multiLevelType w:val="hybridMultilevel"/>
    <w:tmpl w:val="8B44160C"/>
    <w:lvl w:ilvl="0" w:tplc="0AA49AAE">
      <w:start w:val="1"/>
      <w:numFmt w:val="lowerLetter"/>
      <w:lvlText w:val="%1)"/>
      <w:lvlJc w:val="left"/>
      <w:pPr>
        <w:ind w:left="951" w:hanging="360"/>
      </w:pPr>
      <w:rPr>
        <w:rFonts w:ascii="Times New Roman" w:eastAsia="Times New Roman" w:hAnsi="Times New Roman" w:cs="Times New Roman"/>
      </w:rPr>
    </w:lvl>
    <w:lvl w:ilvl="1" w:tplc="08090019" w:tentative="1">
      <w:start w:val="1"/>
      <w:numFmt w:val="lowerLetter"/>
      <w:lvlText w:val="%2."/>
      <w:lvlJc w:val="left"/>
      <w:pPr>
        <w:ind w:left="1671" w:hanging="360"/>
      </w:pPr>
    </w:lvl>
    <w:lvl w:ilvl="2" w:tplc="0809001B" w:tentative="1">
      <w:start w:val="1"/>
      <w:numFmt w:val="lowerRoman"/>
      <w:lvlText w:val="%3."/>
      <w:lvlJc w:val="right"/>
      <w:pPr>
        <w:ind w:left="2391" w:hanging="180"/>
      </w:pPr>
    </w:lvl>
    <w:lvl w:ilvl="3" w:tplc="0809000F" w:tentative="1">
      <w:start w:val="1"/>
      <w:numFmt w:val="decimal"/>
      <w:lvlText w:val="%4."/>
      <w:lvlJc w:val="left"/>
      <w:pPr>
        <w:ind w:left="3111" w:hanging="360"/>
      </w:pPr>
    </w:lvl>
    <w:lvl w:ilvl="4" w:tplc="08090019" w:tentative="1">
      <w:start w:val="1"/>
      <w:numFmt w:val="lowerLetter"/>
      <w:lvlText w:val="%5."/>
      <w:lvlJc w:val="left"/>
      <w:pPr>
        <w:ind w:left="3831" w:hanging="360"/>
      </w:pPr>
    </w:lvl>
    <w:lvl w:ilvl="5" w:tplc="0809001B" w:tentative="1">
      <w:start w:val="1"/>
      <w:numFmt w:val="lowerRoman"/>
      <w:lvlText w:val="%6."/>
      <w:lvlJc w:val="right"/>
      <w:pPr>
        <w:ind w:left="4551" w:hanging="180"/>
      </w:pPr>
    </w:lvl>
    <w:lvl w:ilvl="6" w:tplc="0809000F" w:tentative="1">
      <w:start w:val="1"/>
      <w:numFmt w:val="decimal"/>
      <w:lvlText w:val="%7."/>
      <w:lvlJc w:val="left"/>
      <w:pPr>
        <w:ind w:left="5271" w:hanging="360"/>
      </w:pPr>
    </w:lvl>
    <w:lvl w:ilvl="7" w:tplc="08090019" w:tentative="1">
      <w:start w:val="1"/>
      <w:numFmt w:val="lowerLetter"/>
      <w:lvlText w:val="%8."/>
      <w:lvlJc w:val="left"/>
      <w:pPr>
        <w:ind w:left="5991" w:hanging="360"/>
      </w:pPr>
    </w:lvl>
    <w:lvl w:ilvl="8" w:tplc="0809001B" w:tentative="1">
      <w:start w:val="1"/>
      <w:numFmt w:val="lowerRoman"/>
      <w:lvlText w:val="%9."/>
      <w:lvlJc w:val="right"/>
      <w:pPr>
        <w:ind w:left="6711" w:hanging="180"/>
      </w:pPr>
    </w:lvl>
  </w:abstractNum>
  <w:abstractNum w:abstractNumId="23">
    <w:nsid w:val="494E0A9E"/>
    <w:multiLevelType w:val="hybridMultilevel"/>
    <w:tmpl w:val="560C91C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nsid w:val="4B03079A"/>
    <w:multiLevelType w:val="hybridMultilevel"/>
    <w:tmpl w:val="34620C8A"/>
    <w:lvl w:ilvl="0" w:tplc="150A6ED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4F872BD8"/>
    <w:multiLevelType w:val="hybridMultilevel"/>
    <w:tmpl w:val="8ADE01C0"/>
    <w:lvl w:ilvl="0" w:tplc="174AB058">
      <w:start w:val="1"/>
      <w:numFmt w:val="lowerLetter"/>
      <w:lvlText w:val="%1)"/>
      <w:lvlJc w:val="left"/>
      <w:pPr>
        <w:ind w:left="951" w:hanging="360"/>
      </w:pPr>
      <w:rPr>
        <w:rFonts w:ascii="Times New Roman" w:eastAsia="Times New Roman" w:hAnsi="Times New Roman" w:cs="Times New Roman"/>
      </w:rPr>
    </w:lvl>
    <w:lvl w:ilvl="1" w:tplc="08090019" w:tentative="1">
      <w:start w:val="1"/>
      <w:numFmt w:val="lowerLetter"/>
      <w:lvlText w:val="%2."/>
      <w:lvlJc w:val="left"/>
      <w:pPr>
        <w:ind w:left="1671" w:hanging="360"/>
      </w:pPr>
    </w:lvl>
    <w:lvl w:ilvl="2" w:tplc="0809001B" w:tentative="1">
      <w:start w:val="1"/>
      <w:numFmt w:val="lowerRoman"/>
      <w:lvlText w:val="%3."/>
      <w:lvlJc w:val="right"/>
      <w:pPr>
        <w:ind w:left="2391" w:hanging="180"/>
      </w:pPr>
    </w:lvl>
    <w:lvl w:ilvl="3" w:tplc="0809000F" w:tentative="1">
      <w:start w:val="1"/>
      <w:numFmt w:val="decimal"/>
      <w:lvlText w:val="%4."/>
      <w:lvlJc w:val="left"/>
      <w:pPr>
        <w:ind w:left="3111" w:hanging="360"/>
      </w:pPr>
    </w:lvl>
    <w:lvl w:ilvl="4" w:tplc="08090019" w:tentative="1">
      <w:start w:val="1"/>
      <w:numFmt w:val="lowerLetter"/>
      <w:lvlText w:val="%5."/>
      <w:lvlJc w:val="left"/>
      <w:pPr>
        <w:ind w:left="3831" w:hanging="360"/>
      </w:pPr>
    </w:lvl>
    <w:lvl w:ilvl="5" w:tplc="0809001B" w:tentative="1">
      <w:start w:val="1"/>
      <w:numFmt w:val="lowerRoman"/>
      <w:lvlText w:val="%6."/>
      <w:lvlJc w:val="right"/>
      <w:pPr>
        <w:ind w:left="4551" w:hanging="180"/>
      </w:pPr>
    </w:lvl>
    <w:lvl w:ilvl="6" w:tplc="0809000F" w:tentative="1">
      <w:start w:val="1"/>
      <w:numFmt w:val="decimal"/>
      <w:lvlText w:val="%7."/>
      <w:lvlJc w:val="left"/>
      <w:pPr>
        <w:ind w:left="5271" w:hanging="360"/>
      </w:pPr>
    </w:lvl>
    <w:lvl w:ilvl="7" w:tplc="08090019" w:tentative="1">
      <w:start w:val="1"/>
      <w:numFmt w:val="lowerLetter"/>
      <w:lvlText w:val="%8."/>
      <w:lvlJc w:val="left"/>
      <w:pPr>
        <w:ind w:left="5991" w:hanging="360"/>
      </w:pPr>
    </w:lvl>
    <w:lvl w:ilvl="8" w:tplc="0809001B" w:tentative="1">
      <w:start w:val="1"/>
      <w:numFmt w:val="lowerRoman"/>
      <w:lvlText w:val="%9."/>
      <w:lvlJc w:val="right"/>
      <w:pPr>
        <w:ind w:left="6711" w:hanging="180"/>
      </w:pPr>
    </w:lvl>
  </w:abstractNum>
  <w:abstractNum w:abstractNumId="26">
    <w:nsid w:val="4F9E2917"/>
    <w:multiLevelType w:val="hybridMultilevel"/>
    <w:tmpl w:val="2DAA2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2D31F9C"/>
    <w:multiLevelType w:val="hybridMultilevel"/>
    <w:tmpl w:val="3C18F000"/>
    <w:lvl w:ilvl="0" w:tplc="7CA447B4">
      <w:start w:val="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AA7794"/>
    <w:multiLevelType w:val="hybridMultilevel"/>
    <w:tmpl w:val="91D4FB2A"/>
    <w:lvl w:ilvl="0" w:tplc="FFFFFFFF">
      <w:start w:val="3"/>
      <w:numFmt w:val="lowerRoman"/>
      <w:lvlText w:val="(%1)"/>
      <w:lvlJc w:val="left"/>
      <w:pPr>
        <w:tabs>
          <w:tab w:val="num" w:pos="1905"/>
        </w:tabs>
        <w:ind w:left="1905" w:hanging="720"/>
      </w:pPr>
      <w:rPr>
        <w:rFonts w:hint="default"/>
      </w:rPr>
    </w:lvl>
    <w:lvl w:ilvl="1" w:tplc="FFFFFFFF" w:tentative="1">
      <w:start w:val="1"/>
      <w:numFmt w:val="lowerLetter"/>
      <w:lvlText w:val="%2."/>
      <w:lvlJc w:val="left"/>
      <w:pPr>
        <w:tabs>
          <w:tab w:val="num" w:pos="2265"/>
        </w:tabs>
        <w:ind w:left="2265" w:hanging="360"/>
      </w:pPr>
    </w:lvl>
    <w:lvl w:ilvl="2" w:tplc="FFFFFFFF" w:tentative="1">
      <w:start w:val="1"/>
      <w:numFmt w:val="lowerRoman"/>
      <w:lvlText w:val="%3."/>
      <w:lvlJc w:val="right"/>
      <w:pPr>
        <w:tabs>
          <w:tab w:val="num" w:pos="2985"/>
        </w:tabs>
        <w:ind w:left="2985" w:hanging="180"/>
      </w:pPr>
    </w:lvl>
    <w:lvl w:ilvl="3" w:tplc="FFFFFFFF" w:tentative="1">
      <w:start w:val="1"/>
      <w:numFmt w:val="decimal"/>
      <w:lvlText w:val="%4."/>
      <w:lvlJc w:val="left"/>
      <w:pPr>
        <w:tabs>
          <w:tab w:val="num" w:pos="3705"/>
        </w:tabs>
        <w:ind w:left="3705" w:hanging="360"/>
      </w:pPr>
    </w:lvl>
    <w:lvl w:ilvl="4" w:tplc="FFFFFFFF" w:tentative="1">
      <w:start w:val="1"/>
      <w:numFmt w:val="lowerLetter"/>
      <w:lvlText w:val="%5."/>
      <w:lvlJc w:val="left"/>
      <w:pPr>
        <w:tabs>
          <w:tab w:val="num" w:pos="4425"/>
        </w:tabs>
        <w:ind w:left="4425" w:hanging="360"/>
      </w:pPr>
    </w:lvl>
    <w:lvl w:ilvl="5" w:tplc="FFFFFFFF" w:tentative="1">
      <w:start w:val="1"/>
      <w:numFmt w:val="lowerRoman"/>
      <w:lvlText w:val="%6."/>
      <w:lvlJc w:val="right"/>
      <w:pPr>
        <w:tabs>
          <w:tab w:val="num" w:pos="5145"/>
        </w:tabs>
        <w:ind w:left="5145" w:hanging="180"/>
      </w:pPr>
    </w:lvl>
    <w:lvl w:ilvl="6" w:tplc="FFFFFFFF" w:tentative="1">
      <w:start w:val="1"/>
      <w:numFmt w:val="decimal"/>
      <w:lvlText w:val="%7."/>
      <w:lvlJc w:val="left"/>
      <w:pPr>
        <w:tabs>
          <w:tab w:val="num" w:pos="5865"/>
        </w:tabs>
        <w:ind w:left="5865" w:hanging="360"/>
      </w:pPr>
    </w:lvl>
    <w:lvl w:ilvl="7" w:tplc="FFFFFFFF" w:tentative="1">
      <w:start w:val="1"/>
      <w:numFmt w:val="lowerLetter"/>
      <w:lvlText w:val="%8."/>
      <w:lvlJc w:val="left"/>
      <w:pPr>
        <w:tabs>
          <w:tab w:val="num" w:pos="6585"/>
        </w:tabs>
        <w:ind w:left="6585" w:hanging="360"/>
      </w:pPr>
    </w:lvl>
    <w:lvl w:ilvl="8" w:tplc="FFFFFFFF" w:tentative="1">
      <w:start w:val="1"/>
      <w:numFmt w:val="lowerRoman"/>
      <w:lvlText w:val="%9."/>
      <w:lvlJc w:val="right"/>
      <w:pPr>
        <w:tabs>
          <w:tab w:val="num" w:pos="7305"/>
        </w:tabs>
        <w:ind w:left="7305" w:hanging="180"/>
      </w:pPr>
    </w:lvl>
  </w:abstractNum>
  <w:abstractNum w:abstractNumId="29">
    <w:nsid w:val="54F054EB"/>
    <w:multiLevelType w:val="hybridMultilevel"/>
    <w:tmpl w:val="0DC21E06"/>
    <w:lvl w:ilvl="0" w:tplc="A5F077DE">
      <w:start w:val="1"/>
      <w:numFmt w:val="lowerLetter"/>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30">
    <w:nsid w:val="557D5BAD"/>
    <w:multiLevelType w:val="multilevel"/>
    <w:tmpl w:val="405456EC"/>
    <w:lvl w:ilvl="0">
      <w:start w:val="1"/>
      <w:numFmt w:val="lowerLetter"/>
      <w:lvlText w:val="%1)"/>
      <w:lvlJc w:val="left"/>
      <w:pPr>
        <w:ind w:left="951" w:hanging="360"/>
      </w:pPr>
      <w:rPr>
        <w:rFonts w:ascii="Times New Roman" w:eastAsia="Times New Roman" w:hAnsi="Times New Roman" w:cs="Times New Roman"/>
      </w:rPr>
    </w:lvl>
    <w:lvl w:ilvl="1">
      <w:start w:val="1"/>
      <w:numFmt w:val="lowerLetter"/>
      <w:lvlText w:val="%2."/>
      <w:lvlJc w:val="left"/>
      <w:pPr>
        <w:ind w:left="1671" w:hanging="360"/>
      </w:pPr>
    </w:lvl>
    <w:lvl w:ilvl="2">
      <w:start w:val="1"/>
      <w:numFmt w:val="lowerRoman"/>
      <w:lvlText w:val="%3."/>
      <w:lvlJc w:val="right"/>
      <w:pPr>
        <w:ind w:left="2391" w:hanging="180"/>
      </w:pPr>
    </w:lvl>
    <w:lvl w:ilvl="3">
      <w:start w:val="1"/>
      <w:numFmt w:val="decimal"/>
      <w:lvlText w:val="%4."/>
      <w:lvlJc w:val="left"/>
      <w:pPr>
        <w:ind w:left="3111" w:hanging="360"/>
      </w:pPr>
    </w:lvl>
    <w:lvl w:ilvl="4">
      <w:start w:val="1"/>
      <w:numFmt w:val="lowerLetter"/>
      <w:lvlText w:val="%5."/>
      <w:lvlJc w:val="left"/>
      <w:pPr>
        <w:ind w:left="3831" w:hanging="360"/>
      </w:pPr>
    </w:lvl>
    <w:lvl w:ilvl="5">
      <w:start w:val="1"/>
      <w:numFmt w:val="lowerRoman"/>
      <w:lvlText w:val="%6."/>
      <w:lvlJc w:val="right"/>
      <w:pPr>
        <w:ind w:left="4551" w:hanging="180"/>
      </w:pPr>
    </w:lvl>
    <w:lvl w:ilvl="6">
      <w:start w:val="1"/>
      <w:numFmt w:val="decimal"/>
      <w:lvlText w:val="%7."/>
      <w:lvlJc w:val="left"/>
      <w:pPr>
        <w:ind w:left="5271" w:hanging="360"/>
      </w:pPr>
    </w:lvl>
    <w:lvl w:ilvl="7">
      <w:start w:val="1"/>
      <w:numFmt w:val="lowerLetter"/>
      <w:lvlText w:val="%8."/>
      <w:lvlJc w:val="left"/>
      <w:pPr>
        <w:ind w:left="5991" w:hanging="360"/>
      </w:pPr>
    </w:lvl>
    <w:lvl w:ilvl="8">
      <w:start w:val="1"/>
      <w:numFmt w:val="lowerRoman"/>
      <w:lvlText w:val="%9."/>
      <w:lvlJc w:val="right"/>
      <w:pPr>
        <w:ind w:left="6711" w:hanging="180"/>
      </w:pPr>
    </w:lvl>
  </w:abstractNum>
  <w:abstractNum w:abstractNumId="31">
    <w:nsid w:val="57760DB2"/>
    <w:multiLevelType w:val="hybridMultilevel"/>
    <w:tmpl w:val="BA5E469C"/>
    <w:lvl w:ilvl="0" w:tplc="08090017">
      <w:start w:val="2"/>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nsid w:val="5A5412E9"/>
    <w:multiLevelType w:val="hybridMultilevel"/>
    <w:tmpl w:val="5922EB30"/>
    <w:lvl w:ilvl="0" w:tplc="B278210E">
      <w:start w:val="1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nsid w:val="5BA76018"/>
    <w:multiLevelType w:val="hybridMultilevel"/>
    <w:tmpl w:val="86F026E4"/>
    <w:lvl w:ilvl="0" w:tplc="1BC6F69C">
      <w:start w:val="1"/>
      <w:numFmt w:val="decimal"/>
      <w:lvlText w:val="%1."/>
      <w:lvlJc w:val="left"/>
      <w:pPr>
        <w:ind w:left="2574" w:hanging="360"/>
      </w:pPr>
      <w:rPr>
        <w:rFonts w:hint="default"/>
      </w:rPr>
    </w:lvl>
    <w:lvl w:ilvl="1" w:tplc="08090019">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34">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5">
    <w:nsid w:val="5D3F0A74"/>
    <w:multiLevelType w:val="hybridMultilevel"/>
    <w:tmpl w:val="52563128"/>
    <w:lvl w:ilvl="0" w:tplc="855CAFE4">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6">
    <w:nsid w:val="5E8A20C6"/>
    <w:multiLevelType w:val="hybridMultilevel"/>
    <w:tmpl w:val="E7B6EF3A"/>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37">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152BEE"/>
    <w:multiLevelType w:val="hybridMultilevel"/>
    <w:tmpl w:val="830A7B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8AD07B2"/>
    <w:multiLevelType w:val="hybridMultilevel"/>
    <w:tmpl w:val="D7D47906"/>
    <w:lvl w:ilvl="0" w:tplc="8C4849AC">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1">
    <w:nsid w:val="6FE1645C"/>
    <w:multiLevelType w:val="hybridMultilevel"/>
    <w:tmpl w:val="408825C2"/>
    <w:lvl w:ilvl="0" w:tplc="0A92C090">
      <w:start w:val="1"/>
      <w:numFmt w:val="decimal"/>
      <w:lvlText w:val="%1-"/>
      <w:lvlJc w:val="left"/>
      <w:pPr>
        <w:tabs>
          <w:tab w:val="num" w:pos="2839"/>
        </w:tabs>
        <w:ind w:left="2839" w:hanging="360"/>
      </w:pPr>
      <w:rPr>
        <w:rFonts w:ascii="Times New Roman" w:eastAsia="Times New Roman" w:hAnsi="Times New Roman" w:cs="Times New Roman"/>
      </w:rPr>
    </w:lvl>
    <w:lvl w:ilvl="1" w:tplc="04190019" w:tentative="1">
      <w:start w:val="1"/>
      <w:numFmt w:val="lowerLetter"/>
      <w:lvlText w:val="%2."/>
      <w:lvlJc w:val="left"/>
      <w:pPr>
        <w:tabs>
          <w:tab w:val="num" w:pos="3559"/>
        </w:tabs>
        <w:ind w:left="3559" w:hanging="360"/>
      </w:pPr>
    </w:lvl>
    <w:lvl w:ilvl="2" w:tplc="0419001B" w:tentative="1">
      <w:start w:val="1"/>
      <w:numFmt w:val="lowerRoman"/>
      <w:lvlText w:val="%3."/>
      <w:lvlJc w:val="right"/>
      <w:pPr>
        <w:tabs>
          <w:tab w:val="num" w:pos="4279"/>
        </w:tabs>
        <w:ind w:left="4279" w:hanging="180"/>
      </w:pPr>
    </w:lvl>
    <w:lvl w:ilvl="3" w:tplc="0419000F" w:tentative="1">
      <w:start w:val="1"/>
      <w:numFmt w:val="decimal"/>
      <w:lvlText w:val="%4."/>
      <w:lvlJc w:val="left"/>
      <w:pPr>
        <w:tabs>
          <w:tab w:val="num" w:pos="4999"/>
        </w:tabs>
        <w:ind w:left="4999" w:hanging="360"/>
      </w:pPr>
    </w:lvl>
    <w:lvl w:ilvl="4" w:tplc="04190019" w:tentative="1">
      <w:start w:val="1"/>
      <w:numFmt w:val="lowerLetter"/>
      <w:lvlText w:val="%5."/>
      <w:lvlJc w:val="left"/>
      <w:pPr>
        <w:tabs>
          <w:tab w:val="num" w:pos="5719"/>
        </w:tabs>
        <w:ind w:left="5719" w:hanging="360"/>
      </w:pPr>
    </w:lvl>
    <w:lvl w:ilvl="5" w:tplc="0419001B" w:tentative="1">
      <w:start w:val="1"/>
      <w:numFmt w:val="lowerRoman"/>
      <w:lvlText w:val="%6."/>
      <w:lvlJc w:val="right"/>
      <w:pPr>
        <w:tabs>
          <w:tab w:val="num" w:pos="6439"/>
        </w:tabs>
        <w:ind w:left="6439" w:hanging="180"/>
      </w:pPr>
    </w:lvl>
    <w:lvl w:ilvl="6" w:tplc="0419000F" w:tentative="1">
      <w:start w:val="1"/>
      <w:numFmt w:val="decimal"/>
      <w:lvlText w:val="%7."/>
      <w:lvlJc w:val="left"/>
      <w:pPr>
        <w:tabs>
          <w:tab w:val="num" w:pos="7159"/>
        </w:tabs>
        <w:ind w:left="7159" w:hanging="360"/>
      </w:pPr>
    </w:lvl>
    <w:lvl w:ilvl="7" w:tplc="04190019" w:tentative="1">
      <w:start w:val="1"/>
      <w:numFmt w:val="lowerLetter"/>
      <w:lvlText w:val="%8."/>
      <w:lvlJc w:val="left"/>
      <w:pPr>
        <w:tabs>
          <w:tab w:val="num" w:pos="7879"/>
        </w:tabs>
        <w:ind w:left="7879" w:hanging="360"/>
      </w:pPr>
    </w:lvl>
    <w:lvl w:ilvl="8" w:tplc="0419001B" w:tentative="1">
      <w:start w:val="1"/>
      <w:numFmt w:val="lowerRoman"/>
      <w:lvlText w:val="%9."/>
      <w:lvlJc w:val="right"/>
      <w:pPr>
        <w:tabs>
          <w:tab w:val="num" w:pos="8599"/>
        </w:tabs>
        <w:ind w:left="8599" w:hanging="180"/>
      </w:pPr>
    </w:lvl>
  </w:abstractNum>
  <w:abstractNum w:abstractNumId="42">
    <w:nsid w:val="700371EE"/>
    <w:multiLevelType w:val="hybridMultilevel"/>
    <w:tmpl w:val="EF367684"/>
    <w:lvl w:ilvl="0" w:tplc="5EF40AB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3">
    <w:nsid w:val="71E81394"/>
    <w:multiLevelType w:val="hybridMultilevel"/>
    <w:tmpl w:val="8AE6215A"/>
    <w:lvl w:ilvl="0" w:tplc="F07EDA76">
      <w:start w:val="1"/>
      <w:numFmt w:val="bullet"/>
      <w:lvlText w:val=""/>
      <w:lvlJc w:val="left"/>
      <w:pPr>
        <w:tabs>
          <w:tab w:val="num" w:pos="952"/>
        </w:tabs>
        <w:ind w:left="952"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44">
    <w:nsid w:val="7377697B"/>
    <w:multiLevelType w:val="hybridMultilevel"/>
    <w:tmpl w:val="2EE681CA"/>
    <w:lvl w:ilvl="0" w:tplc="E26A9B16">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5">
    <w:nsid w:val="75DA75A8"/>
    <w:multiLevelType w:val="hybridMultilevel"/>
    <w:tmpl w:val="CFCA34F2"/>
    <w:lvl w:ilvl="0" w:tplc="52447F9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6">
    <w:nsid w:val="7D6B3D24"/>
    <w:multiLevelType w:val="hybridMultilevel"/>
    <w:tmpl w:val="8A8EEFE6"/>
    <w:lvl w:ilvl="0" w:tplc="3AA4388A">
      <w:numFmt w:val="bullet"/>
      <w:lvlText w:val="-"/>
      <w:lvlJc w:val="left"/>
      <w:pPr>
        <w:ind w:left="517" w:hanging="360"/>
      </w:pPr>
      <w:rPr>
        <w:rFonts w:ascii="Times New Roman" w:eastAsia="Times New Roman" w:hAnsi="Times New Roman" w:cs="Times New Roman" w:hint="default"/>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num w:numId="1">
    <w:abstractNumId w:val="2"/>
  </w:num>
  <w:num w:numId="2">
    <w:abstractNumId w:val="39"/>
  </w:num>
  <w:num w:numId="3">
    <w:abstractNumId w:val="0"/>
  </w:num>
  <w:num w:numId="4">
    <w:abstractNumId w:val="43"/>
  </w:num>
  <w:num w:numId="5">
    <w:abstractNumId w:val="28"/>
  </w:num>
  <w:num w:numId="6">
    <w:abstractNumId w:val="3"/>
  </w:num>
  <w:num w:numId="7">
    <w:abstractNumId w:val="11"/>
  </w:num>
  <w:num w:numId="8">
    <w:abstractNumId w:val="20"/>
  </w:num>
  <w:num w:numId="9">
    <w:abstractNumId w:val="41"/>
  </w:num>
  <w:num w:numId="10">
    <w:abstractNumId w:val="16"/>
  </w:num>
  <w:num w:numId="11">
    <w:abstractNumId w:val="1"/>
  </w:num>
  <w:num w:numId="12">
    <w:abstractNumId w:val="15"/>
  </w:num>
  <w:num w:numId="13">
    <w:abstractNumId w:val="44"/>
  </w:num>
  <w:num w:numId="14">
    <w:abstractNumId w:val="34"/>
  </w:num>
  <w:num w:numId="15">
    <w:abstractNumId w:val="37"/>
  </w:num>
  <w:num w:numId="16">
    <w:abstractNumId w:val="14"/>
  </w:num>
  <w:num w:numId="17">
    <w:abstractNumId w:val="9"/>
  </w:num>
  <w:num w:numId="18">
    <w:abstractNumId w:val="10"/>
  </w:num>
  <w:num w:numId="19">
    <w:abstractNumId w:val="1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3"/>
  </w:num>
  <w:num w:numId="24">
    <w:abstractNumId w:val="8"/>
  </w:num>
  <w:num w:numId="25">
    <w:abstractNumId w:val="32"/>
  </w:num>
  <w:num w:numId="26">
    <w:abstractNumId w:val="45"/>
  </w:num>
  <w:num w:numId="27">
    <w:abstractNumId w:val="17"/>
  </w:num>
  <w:num w:numId="28">
    <w:abstractNumId w:val="13"/>
  </w:num>
  <w:num w:numId="29">
    <w:abstractNumId w:val="29"/>
  </w:num>
  <w:num w:numId="30">
    <w:abstractNumId w:val="42"/>
  </w:num>
  <w:num w:numId="31">
    <w:abstractNumId w:val="31"/>
  </w:num>
  <w:num w:numId="32">
    <w:abstractNumId w:val="38"/>
  </w:num>
  <w:num w:numId="33">
    <w:abstractNumId w:val="18"/>
  </w:num>
  <w:num w:numId="34">
    <w:abstractNumId w:val="22"/>
  </w:num>
  <w:num w:numId="35">
    <w:abstractNumId w:val="25"/>
  </w:num>
  <w:num w:numId="36">
    <w:abstractNumId w:val="30"/>
  </w:num>
  <w:num w:numId="37">
    <w:abstractNumId w:val="35"/>
  </w:num>
  <w:num w:numId="38">
    <w:abstractNumId w:val="27"/>
  </w:num>
  <w:num w:numId="39">
    <w:abstractNumId w:val="26"/>
  </w:num>
  <w:num w:numId="40">
    <w:abstractNumId w:val="6"/>
  </w:num>
  <w:num w:numId="41">
    <w:abstractNumId w:val="21"/>
  </w:num>
  <w:num w:numId="42">
    <w:abstractNumId w:val="33"/>
  </w:num>
  <w:num w:numId="43">
    <w:abstractNumId w:val="36"/>
  </w:num>
  <w:num w:numId="44">
    <w:abstractNumId w:val="5"/>
  </w:num>
  <w:num w:numId="45">
    <w:abstractNumId w:val="24"/>
  </w:num>
  <w:num w:numId="46">
    <w:abstractNumId w:val="4"/>
  </w:num>
  <w:num w:numId="47">
    <w:abstractNumId w:val="46"/>
  </w:num>
  <w:num w:numId="48">
    <w:abstractNumId w:val="4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neau, Patrick">
    <w15:presenceInfo w15:providerId="AD" w15:userId="S-1-5-21-85988526-1538548721-1197542801-102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activeWritingStyle w:appName="MSWord" w:lang="en-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015F"/>
    <w:rsid w:val="00002EFA"/>
    <w:rsid w:val="00003332"/>
    <w:rsid w:val="00006396"/>
    <w:rsid w:val="00010879"/>
    <w:rsid w:val="000171FC"/>
    <w:rsid w:val="00025C10"/>
    <w:rsid w:val="000261F6"/>
    <w:rsid w:val="00034899"/>
    <w:rsid w:val="000426AF"/>
    <w:rsid w:val="0004351D"/>
    <w:rsid w:val="00044722"/>
    <w:rsid w:val="00044CD7"/>
    <w:rsid w:val="00050F6B"/>
    <w:rsid w:val="0005340B"/>
    <w:rsid w:val="00057262"/>
    <w:rsid w:val="00057EF1"/>
    <w:rsid w:val="00060C82"/>
    <w:rsid w:val="00067341"/>
    <w:rsid w:val="00072C8C"/>
    <w:rsid w:val="0007325A"/>
    <w:rsid w:val="00076E96"/>
    <w:rsid w:val="00082670"/>
    <w:rsid w:val="000827E2"/>
    <w:rsid w:val="00083A13"/>
    <w:rsid w:val="00085DBB"/>
    <w:rsid w:val="00086AB4"/>
    <w:rsid w:val="00090264"/>
    <w:rsid w:val="000918C2"/>
    <w:rsid w:val="000931C0"/>
    <w:rsid w:val="00094053"/>
    <w:rsid w:val="000B0DCA"/>
    <w:rsid w:val="000B175B"/>
    <w:rsid w:val="000B3A0F"/>
    <w:rsid w:val="000C2795"/>
    <w:rsid w:val="000C64FF"/>
    <w:rsid w:val="000C69A6"/>
    <w:rsid w:val="000D13B5"/>
    <w:rsid w:val="000D5831"/>
    <w:rsid w:val="000D7C1B"/>
    <w:rsid w:val="000E0415"/>
    <w:rsid w:val="000E143F"/>
    <w:rsid w:val="000E2262"/>
    <w:rsid w:val="000E2FEC"/>
    <w:rsid w:val="000E3D71"/>
    <w:rsid w:val="000E422C"/>
    <w:rsid w:val="000E6156"/>
    <w:rsid w:val="000F0020"/>
    <w:rsid w:val="000F1AC1"/>
    <w:rsid w:val="000F4524"/>
    <w:rsid w:val="001002A3"/>
    <w:rsid w:val="00105FDD"/>
    <w:rsid w:val="00106D46"/>
    <w:rsid w:val="0011462A"/>
    <w:rsid w:val="0011529F"/>
    <w:rsid w:val="001156AA"/>
    <w:rsid w:val="001220B8"/>
    <w:rsid w:val="001223F7"/>
    <w:rsid w:val="00123154"/>
    <w:rsid w:val="001262C0"/>
    <w:rsid w:val="0012652F"/>
    <w:rsid w:val="00126EA1"/>
    <w:rsid w:val="0012741E"/>
    <w:rsid w:val="00133C7A"/>
    <w:rsid w:val="00133ED6"/>
    <w:rsid w:val="00135DFB"/>
    <w:rsid w:val="00137553"/>
    <w:rsid w:val="001418E8"/>
    <w:rsid w:val="00141EC8"/>
    <w:rsid w:val="00145FFD"/>
    <w:rsid w:val="0014740A"/>
    <w:rsid w:val="001575DE"/>
    <w:rsid w:val="001604C0"/>
    <w:rsid w:val="00161DED"/>
    <w:rsid w:val="00162157"/>
    <w:rsid w:val="00162703"/>
    <w:rsid w:val="001666A1"/>
    <w:rsid w:val="00167BA8"/>
    <w:rsid w:val="00172A5D"/>
    <w:rsid w:val="00173C41"/>
    <w:rsid w:val="00173E97"/>
    <w:rsid w:val="00174806"/>
    <w:rsid w:val="001811F3"/>
    <w:rsid w:val="0018298B"/>
    <w:rsid w:val="001832E3"/>
    <w:rsid w:val="001844FC"/>
    <w:rsid w:val="00186037"/>
    <w:rsid w:val="001A1256"/>
    <w:rsid w:val="001B0FC2"/>
    <w:rsid w:val="001B4B04"/>
    <w:rsid w:val="001B7882"/>
    <w:rsid w:val="001C0A2D"/>
    <w:rsid w:val="001C6663"/>
    <w:rsid w:val="001C75FB"/>
    <w:rsid w:val="001C7895"/>
    <w:rsid w:val="001D26DF"/>
    <w:rsid w:val="001D3029"/>
    <w:rsid w:val="001D3183"/>
    <w:rsid w:val="001D76EA"/>
    <w:rsid w:val="001E0060"/>
    <w:rsid w:val="001E0EC3"/>
    <w:rsid w:val="001E1304"/>
    <w:rsid w:val="001E2993"/>
    <w:rsid w:val="001E29EF"/>
    <w:rsid w:val="001E2A42"/>
    <w:rsid w:val="001E31A8"/>
    <w:rsid w:val="001E31B0"/>
    <w:rsid w:val="001E31E1"/>
    <w:rsid w:val="001E428B"/>
    <w:rsid w:val="001E4813"/>
    <w:rsid w:val="001F3254"/>
    <w:rsid w:val="001F676B"/>
    <w:rsid w:val="001F7D95"/>
    <w:rsid w:val="00202F2F"/>
    <w:rsid w:val="0020313C"/>
    <w:rsid w:val="0020331F"/>
    <w:rsid w:val="00205253"/>
    <w:rsid w:val="002054C6"/>
    <w:rsid w:val="00210BF9"/>
    <w:rsid w:val="00211E0B"/>
    <w:rsid w:val="00214740"/>
    <w:rsid w:val="00222C94"/>
    <w:rsid w:val="00227F88"/>
    <w:rsid w:val="00232E70"/>
    <w:rsid w:val="0023451F"/>
    <w:rsid w:val="002405A7"/>
    <w:rsid w:val="00240C33"/>
    <w:rsid w:val="00241101"/>
    <w:rsid w:val="00241341"/>
    <w:rsid w:val="00246F3E"/>
    <w:rsid w:val="0024721C"/>
    <w:rsid w:val="002543A9"/>
    <w:rsid w:val="00260DAB"/>
    <w:rsid w:val="002642A0"/>
    <w:rsid w:val="00266C4D"/>
    <w:rsid w:val="00267F1A"/>
    <w:rsid w:val="00270492"/>
    <w:rsid w:val="00276A34"/>
    <w:rsid w:val="002775FB"/>
    <w:rsid w:val="00277A67"/>
    <w:rsid w:val="0028097F"/>
    <w:rsid w:val="00280C9A"/>
    <w:rsid w:val="00281563"/>
    <w:rsid w:val="0029085F"/>
    <w:rsid w:val="00291560"/>
    <w:rsid w:val="00293B19"/>
    <w:rsid w:val="0029653B"/>
    <w:rsid w:val="002A6095"/>
    <w:rsid w:val="002B2B8E"/>
    <w:rsid w:val="002B4232"/>
    <w:rsid w:val="002B772A"/>
    <w:rsid w:val="002D1193"/>
    <w:rsid w:val="002D5E30"/>
    <w:rsid w:val="002D78BB"/>
    <w:rsid w:val="002E03D9"/>
    <w:rsid w:val="002E1B9A"/>
    <w:rsid w:val="002E42C4"/>
    <w:rsid w:val="002E45A0"/>
    <w:rsid w:val="002E4DC6"/>
    <w:rsid w:val="002E6B09"/>
    <w:rsid w:val="002F25CB"/>
    <w:rsid w:val="002F6E0F"/>
    <w:rsid w:val="00302CC0"/>
    <w:rsid w:val="00303D65"/>
    <w:rsid w:val="003107FA"/>
    <w:rsid w:val="00311C15"/>
    <w:rsid w:val="00317109"/>
    <w:rsid w:val="00321C05"/>
    <w:rsid w:val="00321F07"/>
    <w:rsid w:val="003229D8"/>
    <w:rsid w:val="00322ECB"/>
    <w:rsid w:val="00324C53"/>
    <w:rsid w:val="00326AA8"/>
    <w:rsid w:val="00330C63"/>
    <w:rsid w:val="00330D86"/>
    <w:rsid w:val="0033245B"/>
    <w:rsid w:val="0033308E"/>
    <w:rsid w:val="00333382"/>
    <w:rsid w:val="00334089"/>
    <w:rsid w:val="0033745A"/>
    <w:rsid w:val="00353734"/>
    <w:rsid w:val="00355FB8"/>
    <w:rsid w:val="00357B6F"/>
    <w:rsid w:val="0036347F"/>
    <w:rsid w:val="00365502"/>
    <w:rsid w:val="003742FC"/>
    <w:rsid w:val="00377FAA"/>
    <w:rsid w:val="00380BCF"/>
    <w:rsid w:val="00381E3F"/>
    <w:rsid w:val="00383E1A"/>
    <w:rsid w:val="00391104"/>
    <w:rsid w:val="0039277A"/>
    <w:rsid w:val="003972E0"/>
    <w:rsid w:val="00397DE2"/>
    <w:rsid w:val="003A2B2B"/>
    <w:rsid w:val="003A2D25"/>
    <w:rsid w:val="003A7C4B"/>
    <w:rsid w:val="003A7F0D"/>
    <w:rsid w:val="003B0241"/>
    <w:rsid w:val="003C224B"/>
    <w:rsid w:val="003C2CC4"/>
    <w:rsid w:val="003C3936"/>
    <w:rsid w:val="003C550C"/>
    <w:rsid w:val="003D3902"/>
    <w:rsid w:val="003D4B23"/>
    <w:rsid w:val="003D5BA1"/>
    <w:rsid w:val="003D67BE"/>
    <w:rsid w:val="003D6B52"/>
    <w:rsid w:val="003E14E7"/>
    <w:rsid w:val="003E7507"/>
    <w:rsid w:val="003F1ED3"/>
    <w:rsid w:val="003F2DCE"/>
    <w:rsid w:val="003F32D9"/>
    <w:rsid w:val="003F6500"/>
    <w:rsid w:val="00402B95"/>
    <w:rsid w:val="00403098"/>
    <w:rsid w:val="004108D5"/>
    <w:rsid w:val="00411E25"/>
    <w:rsid w:val="004127CB"/>
    <w:rsid w:val="004143A7"/>
    <w:rsid w:val="00417151"/>
    <w:rsid w:val="00424A40"/>
    <w:rsid w:val="0043151B"/>
    <w:rsid w:val="004325CB"/>
    <w:rsid w:val="00435EE3"/>
    <w:rsid w:val="00436DEF"/>
    <w:rsid w:val="00436F0D"/>
    <w:rsid w:val="00441A1A"/>
    <w:rsid w:val="00442BB5"/>
    <w:rsid w:val="004445A1"/>
    <w:rsid w:val="00444AB1"/>
    <w:rsid w:val="00446DE4"/>
    <w:rsid w:val="00447ACD"/>
    <w:rsid w:val="004501A7"/>
    <w:rsid w:val="00450210"/>
    <w:rsid w:val="004520A0"/>
    <w:rsid w:val="0045727E"/>
    <w:rsid w:val="00462C74"/>
    <w:rsid w:val="00466172"/>
    <w:rsid w:val="004735DE"/>
    <w:rsid w:val="0047798C"/>
    <w:rsid w:val="0048539B"/>
    <w:rsid w:val="00486182"/>
    <w:rsid w:val="0049238A"/>
    <w:rsid w:val="004936EA"/>
    <w:rsid w:val="004949D0"/>
    <w:rsid w:val="004A0699"/>
    <w:rsid w:val="004A0F33"/>
    <w:rsid w:val="004A41CA"/>
    <w:rsid w:val="004A6FCE"/>
    <w:rsid w:val="004A7278"/>
    <w:rsid w:val="004A7FFD"/>
    <w:rsid w:val="004B0DC0"/>
    <w:rsid w:val="004B1385"/>
    <w:rsid w:val="004B40B2"/>
    <w:rsid w:val="004C3136"/>
    <w:rsid w:val="004C4490"/>
    <w:rsid w:val="004C6784"/>
    <w:rsid w:val="004D0265"/>
    <w:rsid w:val="004D2B47"/>
    <w:rsid w:val="004D4668"/>
    <w:rsid w:val="004E0E90"/>
    <w:rsid w:val="004E40D3"/>
    <w:rsid w:val="004E6063"/>
    <w:rsid w:val="004F471F"/>
    <w:rsid w:val="004F4928"/>
    <w:rsid w:val="004F721F"/>
    <w:rsid w:val="004F7E77"/>
    <w:rsid w:val="005026D3"/>
    <w:rsid w:val="00503028"/>
    <w:rsid w:val="00503228"/>
    <w:rsid w:val="00505384"/>
    <w:rsid w:val="00510A10"/>
    <w:rsid w:val="00512AD1"/>
    <w:rsid w:val="00513B41"/>
    <w:rsid w:val="00514641"/>
    <w:rsid w:val="005260A4"/>
    <w:rsid w:val="0053290B"/>
    <w:rsid w:val="005414C0"/>
    <w:rsid w:val="0054173D"/>
    <w:rsid w:val="005420F2"/>
    <w:rsid w:val="00546CE7"/>
    <w:rsid w:val="005528AD"/>
    <w:rsid w:val="00554520"/>
    <w:rsid w:val="00557BBE"/>
    <w:rsid w:val="005602BC"/>
    <w:rsid w:val="00563AEA"/>
    <w:rsid w:val="00564A8C"/>
    <w:rsid w:val="005654A8"/>
    <w:rsid w:val="0056584E"/>
    <w:rsid w:val="00567492"/>
    <w:rsid w:val="00567738"/>
    <w:rsid w:val="005710FD"/>
    <w:rsid w:val="00592B8C"/>
    <w:rsid w:val="005964D7"/>
    <w:rsid w:val="00596940"/>
    <w:rsid w:val="005A6006"/>
    <w:rsid w:val="005B12DD"/>
    <w:rsid w:val="005B3DB3"/>
    <w:rsid w:val="005B675E"/>
    <w:rsid w:val="005B793F"/>
    <w:rsid w:val="005C2712"/>
    <w:rsid w:val="005D01BA"/>
    <w:rsid w:val="005D0566"/>
    <w:rsid w:val="005D0CAA"/>
    <w:rsid w:val="005D19CB"/>
    <w:rsid w:val="005D69A1"/>
    <w:rsid w:val="005E093E"/>
    <w:rsid w:val="005E2937"/>
    <w:rsid w:val="005E3584"/>
    <w:rsid w:val="005E6E5F"/>
    <w:rsid w:val="005F1684"/>
    <w:rsid w:val="005F491C"/>
    <w:rsid w:val="005F57B5"/>
    <w:rsid w:val="0060091E"/>
    <w:rsid w:val="0060176E"/>
    <w:rsid w:val="00603986"/>
    <w:rsid w:val="00610339"/>
    <w:rsid w:val="00611FB1"/>
    <w:rsid w:val="00611FC4"/>
    <w:rsid w:val="00612594"/>
    <w:rsid w:val="00613135"/>
    <w:rsid w:val="00613225"/>
    <w:rsid w:val="0061540F"/>
    <w:rsid w:val="006176FB"/>
    <w:rsid w:val="0062451C"/>
    <w:rsid w:val="00624CB0"/>
    <w:rsid w:val="00625C1C"/>
    <w:rsid w:val="00627ED0"/>
    <w:rsid w:val="006323C3"/>
    <w:rsid w:val="00632A8B"/>
    <w:rsid w:val="00633F2A"/>
    <w:rsid w:val="0063576C"/>
    <w:rsid w:val="006362E9"/>
    <w:rsid w:val="00636C93"/>
    <w:rsid w:val="006407F2"/>
    <w:rsid w:val="00640B26"/>
    <w:rsid w:val="00640CF4"/>
    <w:rsid w:val="0064418D"/>
    <w:rsid w:val="00644ED8"/>
    <w:rsid w:val="00650DA8"/>
    <w:rsid w:val="006522E7"/>
    <w:rsid w:val="00652520"/>
    <w:rsid w:val="00661E02"/>
    <w:rsid w:val="00665396"/>
    <w:rsid w:val="00665595"/>
    <w:rsid w:val="00666BC5"/>
    <w:rsid w:val="00671353"/>
    <w:rsid w:val="0068160A"/>
    <w:rsid w:val="00686869"/>
    <w:rsid w:val="0069322D"/>
    <w:rsid w:val="00695A9B"/>
    <w:rsid w:val="006A37E8"/>
    <w:rsid w:val="006A4EF7"/>
    <w:rsid w:val="006A7392"/>
    <w:rsid w:val="006A7A99"/>
    <w:rsid w:val="006B4ADA"/>
    <w:rsid w:val="006C4388"/>
    <w:rsid w:val="006C52A3"/>
    <w:rsid w:val="006C5A35"/>
    <w:rsid w:val="006C6888"/>
    <w:rsid w:val="006C6A56"/>
    <w:rsid w:val="006D255B"/>
    <w:rsid w:val="006D3B96"/>
    <w:rsid w:val="006D5429"/>
    <w:rsid w:val="006D7CD5"/>
    <w:rsid w:val="006E0290"/>
    <w:rsid w:val="006E564B"/>
    <w:rsid w:val="006F02D2"/>
    <w:rsid w:val="006F1EFF"/>
    <w:rsid w:val="00700E34"/>
    <w:rsid w:val="00701C3D"/>
    <w:rsid w:val="007032EE"/>
    <w:rsid w:val="007044B5"/>
    <w:rsid w:val="00704BCD"/>
    <w:rsid w:val="0071045E"/>
    <w:rsid w:val="00711902"/>
    <w:rsid w:val="00712121"/>
    <w:rsid w:val="007218CD"/>
    <w:rsid w:val="0072632A"/>
    <w:rsid w:val="00733AAE"/>
    <w:rsid w:val="007364F9"/>
    <w:rsid w:val="0074136E"/>
    <w:rsid w:val="00744DCF"/>
    <w:rsid w:val="00744F94"/>
    <w:rsid w:val="007540E2"/>
    <w:rsid w:val="00771907"/>
    <w:rsid w:val="00771D8B"/>
    <w:rsid w:val="00771EB6"/>
    <w:rsid w:val="00772712"/>
    <w:rsid w:val="00772BD6"/>
    <w:rsid w:val="00773288"/>
    <w:rsid w:val="0077426A"/>
    <w:rsid w:val="00774A1A"/>
    <w:rsid w:val="00780488"/>
    <w:rsid w:val="00782570"/>
    <w:rsid w:val="00783A99"/>
    <w:rsid w:val="00784BBB"/>
    <w:rsid w:val="00786D50"/>
    <w:rsid w:val="00796047"/>
    <w:rsid w:val="0079606E"/>
    <w:rsid w:val="00796E0D"/>
    <w:rsid w:val="007A1923"/>
    <w:rsid w:val="007A2F0F"/>
    <w:rsid w:val="007A40CB"/>
    <w:rsid w:val="007B3310"/>
    <w:rsid w:val="007B5103"/>
    <w:rsid w:val="007B5960"/>
    <w:rsid w:val="007B6BA5"/>
    <w:rsid w:val="007B75D7"/>
    <w:rsid w:val="007C3390"/>
    <w:rsid w:val="007C4F4B"/>
    <w:rsid w:val="007C4F77"/>
    <w:rsid w:val="007C5F08"/>
    <w:rsid w:val="007C5FCA"/>
    <w:rsid w:val="007D1BCB"/>
    <w:rsid w:val="007D3ADF"/>
    <w:rsid w:val="007D4DE2"/>
    <w:rsid w:val="007D5953"/>
    <w:rsid w:val="007D74EE"/>
    <w:rsid w:val="007E028F"/>
    <w:rsid w:val="007E0778"/>
    <w:rsid w:val="007E2BFF"/>
    <w:rsid w:val="007E6FFB"/>
    <w:rsid w:val="007F0B83"/>
    <w:rsid w:val="007F1818"/>
    <w:rsid w:val="007F272B"/>
    <w:rsid w:val="007F4FCD"/>
    <w:rsid w:val="007F6611"/>
    <w:rsid w:val="007F768B"/>
    <w:rsid w:val="00805178"/>
    <w:rsid w:val="00814E2C"/>
    <w:rsid w:val="00816EDB"/>
    <w:rsid w:val="008175E9"/>
    <w:rsid w:val="0082035A"/>
    <w:rsid w:val="00820837"/>
    <w:rsid w:val="00820A38"/>
    <w:rsid w:val="008242D7"/>
    <w:rsid w:val="00826BFB"/>
    <w:rsid w:val="00827E05"/>
    <w:rsid w:val="00830DAF"/>
    <w:rsid w:val="008311A3"/>
    <w:rsid w:val="00832D66"/>
    <w:rsid w:val="00834E73"/>
    <w:rsid w:val="00837DE6"/>
    <w:rsid w:val="00840FA0"/>
    <w:rsid w:val="00841D79"/>
    <w:rsid w:val="008467F9"/>
    <w:rsid w:val="00846EA1"/>
    <w:rsid w:val="008577F2"/>
    <w:rsid w:val="00860562"/>
    <w:rsid w:val="008606B7"/>
    <w:rsid w:val="0086198E"/>
    <w:rsid w:val="0086423F"/>
    <w:rsid w:val="008703E7"/>
    <w:rsid w:val="00871FD5"/>
    <w:rsid w:val="00872C11"/>
    <w:rsid w:val="00874674"/>
    <w:rsid w:val="00874E70"/>
    <w:rsid w:val="00875242"/>
    <w:rsid w:val="00876710"/>
    <w:rsid w:val="00881AAD"/>
    <w:rsid w:val="008846DF"/>
    <w:rsid w:val="00884D20"/>
    <w:rsid w:val="008979B1"/>
    <w:rsid w:val="008A296D"/>
    <w:rsid w:val="008A6B25"/>
    <w:rsid w:val="008A6C4F"/>
    <w:rsid w:val="008A6CF7"/>
    <w:rsid w:val="008B01F9"/>
    <w:rsid w:val="008B0BD2"/>
    <w:rsid w:val="008B0E89"/>
    <w:rsid w:val="008B6F6E"/>
    <w:rsid w:val="008D54CD"/>
    <w:rsid w:val="008D5AAA"/>
    <w:rsid w:val="008E09AC"/>
    <w:rsid w:val="008E0E46"/>
    <w:rsid w:val="008E3A08"/>
    <w:rsid w:val="008E3D2D"/>
    <w:rsid w:val="008E61B9"/>
    <w:rsid w:val="008F1782"/>
    <w:rsid w:val="008F4AB2"/>
    <w:rsid w:val="00903E58"/>
    <w:rsid w:val="00906E93"/>
    <w:rsid w:val="0090771C"/>
    <w:rsid w:val="00907AD2"/>
    <w:rsid w:val="009104B2"/>
    <w:rsid w:val="009111C7"/>
    <w:rsid w:val="0091455F"/>
    <w:rsid w:val="00921B66"/>
    <w:rsid w:val="00921D21"/>
    <w:rsid w:val="00922876"/>
    <w:rsid w:val="00925353"/>
    <w:rsid w:val="00934214"/>
    <w:rsid w:val="00934CB1"/>
    <w:rsid w:val="009402C2"/>
    <w:rsid w:val="00940685"/>
    <w:rsid w:val="00941D3C"/>
    <w:rsid w:val="00941F7E"/>
    <w:rsid w:val="0094753F"/>
    <w:rsid w:val="00951741"/>
    <w:rsid w:val="009541CB"/>
    <w:rsid w:val="00961550"/>
    <w:rsid w:val="009616A8"/>
    <w:rsid w:val="009619F2"/>
    <w:rsid w:val="00963CBA"/>
    <w:rsid w:val="009647D9"/>
    <w:rsid w:val="0096733F"/>
    <w:rsid w:val="009727E1"/>
    <w:rsid w:val="009749CD"/>
    <w:rsid w:val="009749EA"/>
    <w:rsid w:val="00974A8D"/>
    <w:rsid w:val="00975AAB"/>
    <w:rsid w:val="009772DC"/>
    <w:rsid w:val="0097794A"/>
    <w:rsid w:val="00980F54"/>
    <w:rsid w:val="00982212"/>
    <w:rsid w:val="00984B5E"/>
    <w:rsid w:val="0099001C"/>
    <w:rsid w:val="009905DF"/>
    <w:rsid w:val="00991261"/>
    <w:rsid w:val="00991AD0"/>
    <w:rsid w:val="00995E5B"/>
    <w:rsid w:val="00995F40"/>
    <w:rsid w:val="009A061A"/>
    <w:rsid w:val="009A3BA9"/>
    <w:rsid w:val="009A3FBD"/>
    <w:rsid w:val="009B10F0"/>
    <w:rsid w:val="009B2753"/>
    <w:rsid w:val="009B4ACF"/>
    <w:rsid w:val="009B551B"/>
    <w:rsid w:val="009C418B"/>
    <w:rsid w:val="009D1575"/>
    <w:rsid w:val="009D1BEF"/>
    <w:rsid w:val="009F2B82"/>
    <w:rsid w:val="009F3A17"/>
    <w:rsid w:val="009F4329"/>
    <w:rsid w:val="009F4AA8"/>
    <w:rsid w:val="00A06396"/>
    <w:rsid w:val="00A071D1"/>
    <w:rsid w:val="00A11C1F"/>
    <w:rsid w:val="00A126A2"/>
    <w:rsid w:val="00A1427D"/>
    <w:rsid w:val="00A1540E"/>
    <w:rsid w:val="00A20839"/>
    <w:rsid w:val="00A3172C"/>
    <w:rsid w:val="00A33628"/>
    <w:rsid w:val="00A37036"/>
    <w:rsid w:val="00A372B3"/>
    <w:rsid w:val="00A37B8D"/>
    <w:rsid w:val="00A41E7E"/>
    <w:rsid w:val="00A4329A"/>
    <w:rsid w:val="00A4390F"/>
    <w:rsid w:val="00A45273"/>
    <w:rsid w:val="00A47FEB"/>
    <w:rsid w:val="00A51BA2"/>
    <w:rsid w:val="00A63E4B"/>
    <w:rsid w:val="00A727F1"/>
    <w:rsid w:val="00A72F22"/>
    <w:rsid w:val="00A734FD"/>
    <w:rsid w:val="00A748A6"/>
    <w:rsid w:val="00A805EB"/>
    <w:rsid w:val="00A82D14"/>
    <w:rsid w:val="00A879A4"/>
    <w:rsid w:val="00AB0AFA"/>
    <w:rsid w:val="00AB6DCD"/>
    <w:rsid w:val="00AC0025"/>
    <w:rsid w:val="00AC0759"/>
    <w:rsid w:val="00AC3F5A"/>
    <w:rsid w:val="00AC4FBA"/>
    <w:rsid w:val="00AC7A26"/>
    <w:rsid w:val="00AD3A50"/>
    <w:rsid w:val="00AD701B"/>
    <w:rsid w:val="00AD7C47"/>
    <w:rsid w:val="00AE0162"/>
    <w:rsid w:val="00AE3D03"/>
    <w:rsid w:val="00AE52B5"/>
    <w:rsid w:val="00AE6E2F"/>
    <w:rsid w:val="00AF04A4"/>
    <w:rsid w:val="00AF0D0C"/>
    <w:rsid w:val="00AF2C25"/>
    <w:rsid w:val="00AF4E86"/>
    <w:rsid w:val="00AF5976"/>
    <w:rsid w:val="00B0110F"/>
    <w:rsid w:val="00B109BD"/>
    <w:rsid w:val="00B10A66"/>
    <w:rsid w:val="00B12377"/>
    <w:rsid w:val="00B12EF7"/>
    <w:rsid w:val="00B1477E"/>
    <w:rsid w:val="00B16F5D"/>
    <w:rsid w:val="00B23B3C"/>
    <w:rsid w:val="00B263D6"/>
    <w:rsid w:val="00B26B6D"/>
    <w:rsid w:val="00B30179"/>
    <w:rsid w:val="00B30550"/>
    <w:rsid w:val="00B33D93"/>
    <w:rsid w:val="00B33EC0"/>
    <w:rsid w:val="00B356B8"/>
    <w:rsid w:val="00B35B6B"/>
    <w:rsid w:val="00B37624"/>
    <w:rsid w:val="00B37A59"/>
    <w:rsid w:val="00B45CC5"/>
    <w:rsid w:val="00B4638B"/>
    <w:rsid w:val="00B52A3E"/>
    <w:rsid w:val="00B55627"/>
    <w:rsid w:val="00B56CD8"/>
    <w:rsid w:val="00B6108E"/>
    <w:rsid w:val="00B712CD"/>
    <w:rsid w:val="00B72447"/>
    <w:rsid w:val="00B73E97"/>
    <w:rsid w:val="00B77DD4"/>
    <w:rsid w:val="00B81E12"/>
    <w:rsid w:val="00BA0EA4"/>
    <w:rsid w:val="00BA2E43"/>
    <w:rsid w:val="00BA6636"/>
    <w:rsid w:val="00BA6971"/>
    <w:rsid w:val="00BB1A7F"/>
    <w:rsid w:val="00BB7EDD"/>
    <w:rsid w:val="00BC0DBB"/>
    <w:rsid w:val="00BC74E9"/>
    <w:rsid w:val="00BC7F31"/>
    <w:rsid w:val="00BD14E2"/>
    <w:rsid w:val="00BD2146"/>
    <w:rsid w:val="00BD21AD"/>
    <w:rsid w:val="00BD2A07"/>
    <w:rsid w:val="00BD4F5F"/>
    <w:rsid w:val="00BD4FA8"/>
    <w:rsid w:val="00BE4F74"/>
    <w:rsid w:val="00BE5308"/>
    <w:rsid w:val="00BE618E"/>
    <w:rsid w:val="00BF0594"/>
    <w:rsid w:val="00BF45E5"/>
    <w:rsid w:val="00BF5C71"/>
    <w:rsid w:val="00BF6291"/>
    <w:rsid w:val="00C04153"/>
    <w:rsid w:val="00C11909"/>
    <w:rsid w:val="00C12F7A"/>
    <w:rsid w:val="00C143B4"/>
    <w:rsid w:val="00C17699"/>
    <w:rsid w:val="00C205D6"/>
    <w:rsid w:val="00C21F49"/>
    <w:rsid w:val="00C27434"/>
    <w:rsid w:val="00C309A6"/>
    <w:rsid w:val="00C31B61"/>
    <w:rsid w:val="00C3396E"/>
    <w:rsid w:val="00C344F3"/>
    <w:rsid w:val="00C403B9"/>
    <w:rsid w:val="00C407EE"/>
    <w:rsid w:val="00C408A4"/>
    <w:rsid w:val="00C41A28"/>
    <w:rsid w:val="00C42500"/>
    <w:rsid w:val="00C45639"/>
    <w:rsid w:val="00C463DD"/>
    <w:rsid w:val="00C50D91"/>
    <w:rsid w:val="00C54918"/>
    <w:rsid w:val="00C54CCB"/>
    <w:rsid w:val="00C54FF0"/>
    <w:rsid w:val="00C5771E"/>
    <w:rsid w:val="00C65812"/>
    <w:rsid w:val="00C70D56"/>
    <w:rsid w:val="00C730DE"/>
    <w:rsid w:val="00C73C64"/>
    <w:rsid w:val="00C745C3"/>
    <w:rsid w:val="00C74DB9"/>
    <w:rsid w:val="00C756ED"/>
    <w:rsid w:val="00C75C4B"/>
    <w:rsid w:val="00C77A18"/>
    <w:rsid w:val="00C83514"/>
    <w:rsid w:val="00C84FF4"/>
    <w:rsid w:val="00C86A31"/>
    <w:rsid w:val="00C87A98"/>
    <w:rsid w:val="00C92529"/>
    <w:rsid w:val="00C92E61"/>
    <w:rsid w:val="00C933B6"/>
    <w:rsid w:val="00C94465"/>
    <w:rsid w:val="00CA3F9A"/>
    <w:rsid w:val="00CA4B0E"/>
    <w:rsid w:val="00CA5B67"/>
    <w:rsid w:val="00CB3CD9"/>
    <w:rsid w:val="00CC3115"/>
    <w:rsid w:val="00CC5C0F"/>
    <w:rsid w:val="00CD33C6"/>
    <w:rsid w:val="00CD41A4"/>
    <w:rsid w:val="00CD455E"/>
    <w:rsid w:val="00CD63FD"/>
    <w:rsid w:val="00CD6B4A"/>
    <w:rsid w:val="00CD7BE6"/>
    <w:rsid w:val="00CE20AA"/>
    <w:rsid w:val="00CE3368"/>
    <w:rsid w:val="00CE4A8F"/>
    <w:rsid w:val="00CE5435"/>
    <w:rsid w:val="00CF2D57"/>
    <w:rsid w:val="00CF41EA"/>
    <w:rsid w:val="00CF489F"/>
    <w:rsid w:val="00CF5B31"/>
    <w:rsid w:val="00D0099B"/>
    <w:rsid w:val="00D02F6D"/>
    <w:rsid w:val="00D056CB"/>
    <w:rsid w:val="00D06632"/>
    <w:rsid w:val="00D076BD"/>
    <w:rsid w:val="00D11A2D"/>
    <w:rsid w:val="00D14D31"/>
    <w:rsid w:val="00D2031B"/>
    <w:rsid w:val="00D21958"/>
    <w:rsid w:val="00D22716"/>
    <w:rsid w:val="00D228C0"/>
    <w:rsid w:val="00D25FE2"/>
    <w:rsid w:val="00D317BB"/>
    <w:rsid w:val="00D32605"/>
    <w:rsid w:val="00D3344B"/>
    <w:rsid w:val="00D43252"/>
    <w:rsid w:val="00D4433A"/>
    <w:rsid w:val="00D44EAE"/>
    <w:rsid w:val="00D4733B"/>
    <w:rsid w:val="00D57D7E"/>
    <w:rsid w:val="00D7024C"/>
    <w:rsid w:val="00D70CF6"/>
    <w:rsid w:val="00D8399D"/>
    <w:rsid w:val="00D918A3"/>
    <w:rsid w:val="00D92058"/>
    <w:rsid w:val="00D924F4"/>
    <w:rsid w:val="00D938D5"/>
    <w:rsid w:val="00D94AE2"/>
    <w:rsid w:val="00D978C6"/>
    <w:rsid w:val="00D978F3"/>
    <w:rsid w:val="00DA421C"/>
    <w:rsid w:val="00DA47F3"/>
    <w:rsid w:val="00DA67AD"/>
    <w:rsid w:val="00DB5D0F"/>
    <w:rsid w:val="00DC1A84"/>
    <w:rsid w:val="00DC3242"/>
    <w:rsid w:val="00DC5FDF"/>
    <w:rsid w:val="00DD222A"/>
    <w:rsid w:val="00DE3A0C"/>
    <w:rsid w:val="00DE78DA"/>
    <w:rsid w:val="00DF07FE"/>
    <w:rsid w:val="00DF12F7"/>
    <w:rsid w:val="00DF1665"/>
    <w:rsid w:val="00DF6FDE"/>
    <w:rsid w:val="00E020A4"/>
    <w:rsid w:val="00E02C81"/>
    <w:rsid w:val="00E05851"/>
    <w:rsid w:val="00E05E6F"/>
    <w:rsid w:val="00E06BBC"/>
    <w:rsid w:val="00E130AB"/>
    <w:rsid w:val="00E201CB"/>
    <w:rsid w:val="00E227AB"/>
    <w:rsid w:val="00E2307D"/>
    <w:rsid w:val="00E24B3E"/>
    <w:rsid w:val="00E31E80"/>
    <w:rsid w:val="00E33C28"/>
    <w:rsid w:val="00E36F0F"/>
    <w:rsid w:val="00E37E28"/>
    <w:rsid w:val="00E4094C"/>
    <w:rsid w:val="00E41868"/>
    <w:rsid w:val="00E42808"/>
    <w:rsid w:val="00E43853"/>
    <w:rsid w:val="00E470C5"/>
    <w:rsid w:val="00E54137"/>
    <w:rsid w:val="00E561AE"/>
    <w:rsid w:val="00E62142"/>
    <w:rsid w:val="00E6496A"/>
    <w:rsid w:val="00E651A3"/>
    <w:rsid w:val="00E678EB"/>
    <w:rsid w:val="00E7260F"/>
    <w:rsid w:val="00E73F7D"/>
    <w:rsid w:val="00E7733E"/>
    <w:rsid w:val="00E81BAA"/>
    <w:rsid w:val="00E84F9A"/>
    <w:rsid w:val="00E87921"/>
    <w:rsid w:val="00E87BE1"/>
    <w:rsid w:val="00E930F6"/>
    <w:rsid w:val="00E93B8F"/>
    <w:rsid w:val="00E96630"/>
    <w:rsid w:val="00EA0CBB"/>
    <w:rsid w:val="00EA264E"/>
    <w:rsid w:val="00EA5690"/>
    <w:rsid w:val="00EA7E23"/>
    <w:rsid w:val="00EB31E8"/>
    <w:rsid w:val="00EB3CF7"/>
    <w:rsid w:val="00EB6485"/>
    <w:rsid w:val="00EB7B03"/>
    <w:rsid w:val="00EC3A43"/>
    <w:rsid w:val="00EC3D7E"/>
    <w:rsid w:val="00EC5A8A"/>
    <w:rsid w:val="00EC7CB8"/>
    <w:rsid w:val="00ED3C0D"/>
    <w:rsid w:val="00ED41A5"/>
    <w:rsid w:val="00ED42EB"/>
    <w:rsid w:val="00ED7A2A"/>
    <w:rsid w:val="00ED7E78"/>
    <w:rsid w:val="00EE6D04"/>
    <w:rsid w:val="00EF1D7F"/>
    <w:rsid w:val="00EF381F"/>
    <w:rsid w:val="00EF444E"/>
    <w:rsid w:val="00EF66AA"/>
    <w:rsid w:val="00F0058A"/>
    <w:rsid w:val="00F04DB0"/>
    <w:rsid w:val="00F065D0"/>
    <w:rsid w:val="00F10CCD"/>
    <w:rsid w:val="00F1270F"/>
    <w:rsid w:val="00F13124"/>
    <w:rsid w:val="00F13FE3"/>
    <w:rsid w:val="00F144B6"/>
    <w:rsid w:val="00F14C89"/>
    <w:rsid w:val="00F17D83"/>
    <w:rsid w:val="00F20D16"/>
    <w:rsid w:val="00F212B0"/>
    <w:rsid w:val="00F227EE"/>
    <w:rsid w:val="00F25240"/>
    <w:rsid w:val="00F26772"/>
    <w:rsid w:val="00F27C48"/>
    <w:rsid w:val="00F307F9"/>
    <w:rsid w:val="00F32802"/>
    <w:rsid w:val="00F35D16"/>
    <w:rsid w:val="00F42A78"/>
    <w:rsid w:val="00F43F14"/>
    <w:rsid w:val="00F4559F"/>
    <w:rsid w:val="00F461BF"/>
    <w:rsid w:val="00F475BE"/>
    <w:rsid w:val="00F50610"/>
    <w:rsid w:val="00F53EDA"/>
    <w:rsid w:val="00F56BFE"/>
    <w:rsid w:val="00F61902"/>
    <w:rsid w:val="00F6227B"/>
    <w:rsid w:val="00F66579"/>
    <w:rsid w:val="00F708A8"/>
    <w:rsid w:val="00F715B6"/>
    <w:rsid w:val="00F719A2"/>
    <w:rsid w:val="00F71B6B"/>
    <w:rsid w:val="00F77293"/>
    <w:rsid w:val="00F7753D"/>
    <w:rsid w:val="00F805CA"/>
    <w:rsid w:val="00F80636"/>
    <w:rsid w:val="00F82D69"/>
    <w:rsid w:val="00F83C0F"/>
    <w:rsid w:val="00F85F34"/>
    <w:rsid w:val="00F87929"/>
    <w:rsid w:val="00F91414"/>
    <w:rsid w:val="00F94E79"/>
    <w:rsid w:val="00F95956"/>
    <w:rsid w:val="00FA06F7"/>
    <w:rsid w:val="00FA18D9"/>
    <w:rsid w:val="00FA5CA3"/>
    <w:rsid w:val="00FA62FA"/>
    <w:rsid w:val="00FB171A"/>
    <w:rsid w:val="00FB24B1"/>
    <w:rsid w:val="00FB3028"/>
    <w:rsid w:val="00FB3851"/>
    <w:rsid w:val="00FB3D8C"/>
    <w:rsid w:val="00FB630E"/>
    <w:rsid w:val="00FB75E7"/>
    <w:rsid w:val="00FC24D4"/>
    <w:rsid w:val="00FC2D3A"/>
    <w:rsid w:val="00FC348E"/>
    <w:rsid w:val="00FC68B7"/>
    <w:rsid w:val="00FD0E1B"/>
    <w:rsid w:val="00FD2414"/>
    <w:rsid w:val="00FD3F13"/>
    <w:rsid w:val="00FD62CD"/>
    <w:rsid w:val="00FD7BF6"/>
    <w:rsid w:val="00FE13F7"/>
    <w:rsid w:val="00FE5180"/>
    <w:rsid w:val="00FE646C"/>
    <w:rsid w:val="00FE74F3"/>
    <w:rsid w:val="00FF037D"/>
    <w:rsid w:val="00FF0EC1"/>
    <w:rsid w:val="00FF116A"/>
    <w:rsid w:val="00FF3A32"/>
    <w:rsid w:val="00FF55DD"/>
    <w:rsid w:val="00FF5677"/>
    <w:rsid w:val="00FF6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C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semiHidden/>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rsid w:val="001A1256"/>
    <w:rPr>
      <w:lang w:eastAsia="en-US"/>
    </w:rPr>
  </w:style>
  <w:style w:type="character" w:customStyle="1" w:styleId="HeaderChar">
    <w:name w:val="Header Char"/>
    <w:aliases w:val="6_G Char"/>
    <w:link w:val="Header"/>
    <w:rsid w:val="006C6A56"/>
    <w:rPr>
      <w:b/>
      <w:sz w:val="18"/>
      <w:lang w:eastAsia="en-US"/>
    </w:rPr>
  </w:style>
  <w:style w:type="character" w:customStyle="1" w:styleId="FooterChar">
    <w:name w:val="Footer Char"/>
    <w:aliases w:val="3_G Char"/>
    <w:link w:val="Footer"/>
    <w:uiPriority w:val="99"/>
    <w:rsid w:val="004D2B47"/>
    <w:rPr>
      <w:sz w:val="16"/>
      <w:lang w:eastAsia="en-US"/>
    </w:rPr>
  </w:style>
  <w:style w:type="paragraph" w:styleId="NoSpacing">
    <w:name w:val="No Spacing"/>
    <w:uiPriority w:val="1"/>
    <w:qFormat/>
    <w:rsid w:val="00E678EB"/>
    <w:rPr>
      <w:rFonts w:ascii="Calibri" w:eastAsia="Calibri" w:hAnsi="Calibri"/>
      <w:sz w:val="22"/>
      <w:szCs w:val="22"/>
      <w:lang w:eastAsia="en-US"/>
    </w:rPr>
  </w:style>
  <w:style w:type="character" w:customStyle="1" w:styleId="Heading1Char">
    <w:name w:val="Heading 1 Char"/>
    <w:aliases w:val="Table_G Char"/>
    <w:link w:val="Heading1"/>
    <w:rsid w:val="004A7278"/>
    <w:rPr>
      <w:lang w:eastAsia="en-US"/>
    </w:rPr>
  </w:style>
  <w:style w:type="paragraph" w:styleId="Revision">
    <w:name w:val="Revision"/>
    <w:hidden/>
    <w:uiPriority w:val="99"/>
    <w:semiHidden/>
    <w:rsid w:val="001E0060"/>
    <w:rPr>
      <w:lang w:eastAsia="en-US"/>
    </w:rPr>
  </w:style>
  <w:style w:type="character" w:customStyle="1" w:styleId="FootnoteTextChar1">
    <w:name w:val="Footnote Text Char1"/>
    <w:aliases w:val="5_G Char1"/>
    <w:uiPriority w:val="99"/>
    <w:locked/>
    <w:rsid w:val="00FE74F3"/>
    <w:rPr>
      <w:sz w:val="18"/>
      <w:lang w:val="fr-CH" w:eastAsia="en-US" w:bidi="ar-SA"/>
    </w:rPr>
  </w:style>
  <w:style w:type="character" w:customStyle="1" w:styleId="SingleTxtGCar">
    <w:name w:val="_ Single Txt_G Car"/>
    <w:locked/>
    <w:rsid w:val="00FE74F3"/>
    <w:rPr>
      <w:lang w:val="fr-CH"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semiHidden/>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rsid w:val="001A1256"/>
    <w:rPr>
      <w:lang w:eastAsia="en-US"/>
    </w:rPr>
  </w:style>
  <w:style w:type="character" w:customStyle="1" w:styleId="HeaderChar">
    <w:name w:val="Header Char"/>
    <w:aliases w:val="6_G Char"/>
    <w:link w:val="Header"/>
    <w:rsid w:val="006C6A56"/>
    <w:rPr>
      <w:b/>
      <w:sz w:val="18"/>
      <w:lang w:eastAsia="en-US"/>
    </w:rPr>
  </w:style>
  <w:style w:type="character" w:customStyle="1" w:styleId="FooterChar">
    <w:name w:val="Footer Char"/>
    <w:aliases w:val="3_G Char"/>
    <w:link w:val="Footer"/>
    <w:uiPriority w:val="99"/>
    <w:rsid w:val="004D2B47"/>
    <w:rPr>
      <w:sz w:val="16"/>
      <w:lang w:eastAsia="en-US"/>
    </w:rPr>
  </w:style>
  <w:style w:type="paragraph" w:styleId="NoSpacing">
    <w:name w:val="No Spacing"/>
    <w:uiPriority w:val="1"/>
    <w:qFormat/>
    <w:rsid w:val="00E678EB"/>
    <w:rPr>
      <w:rFonts w:ascii="Calibri" w:eastAsia="Calibri" w:hAnsi="Calibri"/>
      <w:sz w:val="22"/>
      <w:szCs w:val="22"/>
      <w:lang w:eastAsia="en-US"/>
    </w:rPr>
  </w:style>
  <w:style w:type="character" w:customStyle="1" w:styleId="Heading1Char">
    <w:name w:val="Heading 1 Char"/>
    <w:aliases w:val="Table_G Char"/>
    <w:link w:val="Heading1"/>
    <w:rsid w:val="004A7278"/>
    <w:rPr>
      <w:lang w:eastAsia="en-US"/>
    </w:rPr>
  </w:style>
  <w:style w:type="paragraph" w:styleId="Revision">
    <w:name w:val="Revision"/>
    <w:hidden/>
    <w:uiPriority w:val="99"/>
    <w:semiHidden/>
    <w:rsid w:val="001E0060"/>
    <w:rPr>
      <w:lang w:eastAsia="en-US"/>
    </w:rPr>
  </w:style>
  <w:style w:type="character" w:customStyle="1" w:styleId="FootnoteTextChar1">
    <w:name w:val="Footnote Text Char1"/>
    <w:aliases w:val="5_G Char1"/>
    <w:uiPriority w:val="99"/>
    <w:locked/>
    <w:rsid w:val="00FE74F3"/>
    <w:rPr>
      <w:sz w:val="18"/>
      <w:lang w:val="fr-CH" w:eastAsia="en-US" w:bidi="ar-SA"/>
    </w:rPr>
  </w:style>
  <w:style w:type="character" w:customStyle="1" w:styleId="SingleTxtGCar">
    <w:name w:val="_ Single Txt_G Car"/>
    <w:locked/>
    <w:rsid w:val="00FE74F3"/>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7011">
      <w:bodyDiv w:val="1"/>
      <w:marLeft w:val="0"/>
      <w:marRight w:val="0"/>
      <w:marTop w:val="0"/>
      <w:marBottom w:val="0"/>
      <w:divBdr>
        <w:top w:val="none" w:sz="0" w:space="0" w:color="auto"/>
        <w:left w:val="none" w:sz="0" w:space="0" w:color="auto"/>
        <w:bottom w:val="none" w:sz="0" w:space="0" w:color="auto"/>
        <w:right w:val="none" w:sz="0" w:space="0" w:color="auto"/>
      </w:divBdr>
    </w:div>
    <w:div w:id="207816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938B2-D511-445C-8D95-E605D2FA1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13</Pages>
  <Words>3510</Words>
  <Characters>20013</Characters>
  <Application>Microsoft Office Word</Application>
  <DocSecurity>0</DocSecurity>
  <Lines>166</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UN/SCEGHS/19/INF</vt:lpstr>
      <vt:lpstr>UN/SCEGHS/19/INF</vt:lpstr>
    </vt:vector>
  </TitlesOfParts>
  <Company>CSD</Company>
  <LinksUpToDate>false</LinksUpToDate>
  <CharactersWithSpaces>23477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2</cp:revision>
  <cp:lastPrinted>2016-09-06T09:55:00Z</cp:lastPrinted>
  <dcterms:created xsi:type="dcterms:W3CDTF">2016-09-06T09:57:00Z</dcterms:created>
  <dcterms:modified xsi:type="dcterms:W3CDTF">2016-09-06T09:57:00Z</dcterms:modified>
</cp:coreProperties>
</file>