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C069BC">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C069BC" w:rsidP="00C069BC">
            <w:pPr>
              <w:jc w:val="right"/>
            </w:pPr>
            <w:r w:rsidRPr="00C069BC">
              <w:rPr>
                <w:sz w:val="40"/>
              </w:rPr>
              <w:t>ST</w:t>
            </w:r>
            <w:r>
              <w:t>/SG/AC.10/C.3/2016/57</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C069BC" w:rsidP="009C3129">
            <w:pPr>
              <w:spacing w:before="240"/>
            </w:pPr>
            <w:r>
              <w:t>Distr. générale</w:t>
            </w:r>
          </w:p>
          <w:p w:rsidR="00C069BC" w:rsidRDefault="00C069BC" w:rsidP="00C069BC">
            <w:pPr>
              <w:spacing w:line="240" w:lineRule="exact"/>
            </w:pPr>
            <w:r>
              <w:t>31 août 2016</w:t>
            </w:r>
          </w:p>
          <w:p w:rsidR="00C069BC" w:rsidRDefault="00C069BC" w:rsidP="00C069BC">
            <w:pPr>
              <w:spacing w:line="240" w:lineRule="exact"/>
            </w:pPr>
            <w:r>
              <w:t>Français</w:t>
            </w:r>
          </w:p>
          <w:p w:rsidR="00C069BC" w:rsidRPr="00DB58B5" w:rsidRDefault="00C069BC" w:rsidP="00C069BC">
            <w:pPr>
              <w:spacing w:line="240" w:lineRule="exact"/>
            </w:pPr>
            <w:r>
              <w:t>Original : anglais</w:t>
            </w:r>
          </w:p>
        </w:tc>
      </w:tr>
    </w:tbl>
    <w:p w:rsidR="00C069BC" w:rsidRPr="00CA0680" w:rsidRDefault="00C069BC" w:rsidP="000305D3">
      <w:pPr>
        <w:spacing w:before="120"/>
        <w:rPr>
          <w:b/>
          <w:sz w:val="24"/>
          <w:szCs w:val="24"/>
        </w:rPr>
      </w:pPr>
      <w:r w:rsidRPr="00CA0680">
        <w:rPr>
          <w:b/>
          <w:sz w:val="24"/>
          <w:szCs w:val="24"/>
        </w:rPr>
        <w:t>Comité d</w:t>
      </w:r>
      <w:r w:rsidR="00E62D78">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E62D78">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C069BC" w:rsidRPr="00CA0680" w:rsidRDefault="00C069BC" w:rsidP="000305D3">
      <w:pPr>
        <w:spacing w:before="120"/>
        <w:rPr>
          <w:b/>
        </w:rPr>
      </w:pPr>
      <w:r w:rsidRPr="00CA0680">
        <w:rPr>
          <w:b/>
        </w:rPr>
        <w:t>Sous</w:t>
      </w:r>
      <w:r>
        <w:rPr>
          <w:b/>
        </w:rPr>
        <w:t>-</w:t>
      </w:r>
      <w:r w:rsidRPr="00CA0680">
        <w:rPr>
          <w:b/>
        </w:rPr>
        <w:t>Comité d</w:t>
      </w:r>
      <w:r w:rsidR="00E62D78">
        <w:rPr>
          <w:b/>
        </w:rPr>
        <w:t>’</w:t>
      </w:r>
      <w:r w:rsidRPr="00CA0680">
        <w:rPr>
          <w:b/>
        </w:rPr>
        <w:t>experts du transport des marchandises dangereuses</w:t>
      </w:r>
    </w:p>
    <w:p w:rsidR="00C069BC" w:rsidRDefault="00F8539C" w:rsidP="000305D3">
      <w:pPr>
        <w:spacing w:before="120"/>
        <w:rPr>
          <w:b/>
        </w:rPr>
      </w:pPr>
      <w:r w:rsidRPr="00635834">
        <w:rPr>
          <w:b/>
          <w:lang w:val="fr-FR"/>
        </w:rPr>
        <w:t xml:space="preserve">Cinquantième </w:t>
      </w:r>
      <w:r w:rsidR="00C069BC" w:rsidRPr="00CA0680">
        <w:rPr>
          <w:b/>
        </w:rPr>
        <w:t>session</w:t>
      </w:r>
    </w:p>
    <w:p w:rsidR="00C069BC" w:rsidRDefault="00C069BC" w:rsidP="000305D3">
      <w:r>
        <w:t xml:space="preserve">Genève, </w:t>
      </w:r>
      <w:r w:rsidR="00F8539C" w:rsidRPr="00635834">
        <w:rPr>
          <w:color w:val="333333"/>
          <w:lang w:val="fr-FR" w:eastAsia="it-IT"/>
        </w:rPr>
        <w:t>28</w:t>
      </w:r>
      <w:r w:rsidR="00F8539C">
        <w:rPr>
          <w:color w:val="333333"/>
          <w:lang w:val="fr-FR" w:eastAsia="it-IT"/>
        </w:rPr>
        <w:t> </w:t>
      </w:r>
      <w:r w:rsidR="00F8539C" w:rsidRPr="00635834">
        <w:rPr>
          <w:color w:val="333333"/>
          <w:lang w:val="fr-FR" w:eastAsia="it-IT"/>
        </w:rPr>
        <w:t>novembre</w:t>
      </w:r>
      <w:r w:rsidR="00F8539C">
        <w:rPr>
          <w:color w:val="333333"/>
          <w:lang w:val="fr-FR" w:eastAsia="it-IT"/>
        </w:rPr>
        <w:t>-</w:t>
      </w:r>
      <w:r w:rsidR="00F8539C" w:rsidRPr="00635834">
        <w:rPr>
          <w:color w:val="333333"/>
          <w:lang w:val="fr-FR" w:eastAsia="it-IT"/>
        </w:rPr>
        <w:t>6</w:t>
      </w:r>
      <w:r w:rsidR="00F8539C">
        <w:rPr>
          <w:color w:val="333333"/>
          <w:lang w:val="fr-FR" w:eastAsia="it-IT"/>
        </w:rPr>
        <w:t> </w:t>
      </w:r>
      <w:r w:rsidR="00F8539C" w:rsidRPr="00635834">
        <w:rPr>
          <w:color w:val="333333"/>
          <w:lang w:val="fr-FR" w:eastAsia="it-IT"/>
        </w:rPr>
        <w:t>décembre 2016</w:t>
      </w:r>
    </w:p>
    <w:p w:rsidR="00C069BC" w:rsidRDefault="00C069BC" w:rsidP="000305D3">
      <w:r>
        <w:t xml:space="preserve">Point </w:t>
      </w:r>
      <w:r w:rsidR="00F8539C">
        <w:t>6</w:t>
      </w:r>
      <w:r>
        <w:t xml:space="preserve"> de l</w:t>
      </w:r>
      <w:r w:rsidR="00E62D78">
        <w:t>’</w:t>
      </w:r>
      <w:r>
        <w:t>ordre du jour provisoire</w:t>
      </w:r>
    </w:p>
    <w:p w:rsidR="00C069BC" w:rsidRDefault="00F8539C" w:rsidP="00AC3823">
      <w:r w:rsidRPr="00635834">
        <w:rPr>
          <w:b/>
          <w:lang w:val="fr-FR"/>
        </w:rPr>
        <w:t>Nouvelles propositions d</w:t>
      </w:r>
      <w:r w:rsidR="00E62D78">
        <w:rPr>
          <w:b/>
          <w:lang w:val="fr-FR"/>
        </w:rPr>
        <w:t>’</w:t>
      </w:r>
      <w:r w:rsidRPr="00635834">
        <w:rPr>
          <w:b/>
          <w:lang w:val="fr-FR"/>
        </w:rPr>
        <w:t xml:space="preserve">amendements au Règlement type </w:t>
      </w:r>
      <w:r>
        <w:rPr>
          <w:b/>
          <w:lang w:val="fr-FR"/>
        </w:rPr>
        <w:br/>
      </w:r>
      <w:r w:rsidRPr="00635834">
        <w:rPr>
          <w:b/>
          <w:lang w:val="fr-FR"/>
        </w:rPr>
        <w:t>pour le transport des marchandises dangereuses</w:t>
      </w:r>
    </w:p>
    <w:p w:rsidR="00F8539C" w:rsidRPr="00F8539C" w:rsidRDefault="00F8539C" w:rsidP="00F8539C">
      <w:pPr>
        <w:pStyle w:val="HChG"/>
        <w:rPr>
          <w:lang w:val="fr-FR"/>
        </w:rPr>
      </w:pPr>
      <w:r w:rsidRPr="00F8539C">
        <w:rPr>
          <w:lang w:val="fr-FR"/>
        </w:rPr>
        <w:tab/>
      </w:r>
      <w:r w:rsidRPr="00F8539C">
        <w:rPr>
          <w:lang w:val="fr-FR"/>
        </w:rPr>
        <w:tab/>
        <w:t>Emballages (y compris les GRV et grands emballages)</w:t>
      </w:r>
    </w:p>
    <w:p w:rsidR="00F8539C" w:rsidRPr="00F8539C" w:rsidRDefault="00F8539C" w:rsidP="00F8539C">
      <w:pPr>
        <w:pStyle w:val="HChG"/>
        <w:rPr>
          <w:lang w:val="fr-FR"/>
        </w:rPr>
      </w:pPr>
      <w:r w:rsidRPr="00F8539C">
        <w:rPr>
          <w:lang w:val="fr-FR"/>
        </w:rPr>
        <w:tab/>
      </w:r>
      <w:r w:rsidRPr="00F8539C">
        <w:rPr>
          <w:lang w:val="fr-FR"/>
        </w:rPr>
        <w:tab/>
        <w:t xml:space="preserve">Contenance maximale des emballages composites 6HH1 </w:t>
      </w:r>
      <w:r>
        <w:rPr>
          <w:lang w:val="fr-FR"/>
        </w:rPr>
        <w:br/>
      </w:r>
      <w:r w:rsidRPr="00F8539C">
        <w:rPr>
          <w:lang w:val="fr-FR"/>
        </w:rPr>
        <w:t>pour le groupe d</w:t>
      </w:r>
      <w:r w:rsidR="00E62D78">
        <w:rPr>
          <w:lang w:val="fr-FR"/>
        </w:rPr>
        <w:t>’</w:t>
      </w:r>
      <w:r w:rsidRPr="00F8539C">
        <w:rPr>
          <w:lang w:val="fr-FR"/>
        </w:rPr>
        <w:t>emballage I</w:t>
      </w:r>
    </w:p>
    <w:p w:rsidR="00F8539C" w:rsidRPr="00F8539C" w:rsidRDefault="00F8539C" w:rsidP="00F8539C">
      <w:pPr>
        <w:pStyle w:val="H1G"/>
        <w:rPr>
          <w:lang w:val="fr-FR"/>
        </w:rPr>
      </w:pPr>
      <w:r w:rsidRPr="00F8539C">
        <w:rPr>
          <w:lang w:val="fr-FR"/>
        </w:rPr>
        <w:tab/>
      </w:r>
      <w:r w:rsidRPr="00F8539C">
        <w:rPr>
          <w:lang w:val="fr-FR"/>
        </w:rPr>
        <w:tab/>
        <w:t>Communication de l</w:t>
      </w:r>
      <w:r w:rsidR="00E62D78">
        <w:rPr>
          <w:lang w:val="fr-FR"/>
        </w:rPr>
        <w:t>’</w:t>
      </w:r>
      <w:r w:rsidRPr="00F8539C">
        <w:rPr>
          <w:lang w:val="fr-FR"/>
        </w:rPr>
        <w:t>International Confederation of Plastics Packaging Manufacturers (ICPP)</w:t>
      </w:r>
    </w:p>
    <w:p w:rsidR="00F8539C" w:rsidRPr="00F8539C" w:rsidRDefault="00F8539C" w:rsidP="00F8539C">
      <w:pPr>
        <w:pStyle w:val="HChG"/>
        <w:rPr>
          <w:lang w:val="fr-FR"/>
        </w:rPr>
      </w:pPr>
      <w:r w:rsidRPr="00F8539C">
        <w:rPr>
          <w:lang w:val="fr-FR"/>
        </w:rPr>
        <w:tab/>
      </w:r>
      <w:r w:rsidRPr="00F8539C">
        <w:rPr>
          <w:lang w:val="fr-FR"/>
        </w:rPr>
        <w:tab/>
        <w:t>Introduction</w:t>
      </w:r>
    </w:p>
    <w:p w:rsidR="00F8539C" w:rsidRPr="00F8539C" w:rsidRDefault="00F8539C" w:rsidP="00F8539C">
      <w:pPr>
        <w:pStyle w:val="SingleTxtG"/>
        <w:numPr>
          <w:ilvl w:val="0"/>
          <w:numId w:val="15"/>
        </w:numPr>
        <w:ind w:left="1134" w:firstLine="0"/>
        <w:rPr>
          <w:lang w:val="fr-FR"/>
        </w:rPr>
      </w:pPr>
      <w:r w:rsidRPr="00F8539C">
        <w:rPr>
          <w:lang w:val="fr-FR"/>
        </w:rPr>
        <w:t>L</w:t>
      </w:r>
      <w:r w:rsidR="00E62D78">
        <w:rPr>
          <w:lang w:val="fr-FR"/>
        </w:rPr>
        <w:t>’</w:t>
      </w:r>
      <w:r w:rsidRPr="00F8539C">
        <w:rPr>
          <w:lang w:val="fr-FR"/>
        </w:rPr>
        <w:t>instruction d</w:t>
      </w:r>
      <w:r w:rsidR="00E62D78">
        <w:rPr>
          <w:lang w:val="fr-FR"/>
        </w:rPr>
        <w:t>’</w:t>
      </w:r>
      <w:r w:rsidRPr="00F8539C">
        <w:rPr>
          <w:lang w:val="fr-FR"/>
        </w:rPr>
        <w:t>emballage P001 limite à 250 l la contenance maximale des fûts en plastique (1H1) du groupe d</w:t>
      </w:r>
      <w:r w:rsidR="00E62D78">
        <w:rPr>
          <w:lang w:val="fr-FR"/>
        </w:rPr>
        <w:t>’</w:t>
      </w:r>
      <w:r w:rsidRPr="00F8539C">
        <w:rPr>
          <w:lang w:val="fr-FR"/>
        </w:rPr>
        <w:t>emballage I. Ce dernier permet, en outre, une capacité maximale de 250 l pour certains emballages composites, à savoir les récipients en plastique dans un fût en acier ou en aluminium (6HA1 et 6HB1). Il est surprenant que, pour les récipients en plastique dans des fûts en plastique (6HH1), le groupe d</w:t>
      </w:r>
      <w:r w:rsidR="00E62D78">
        <w:rPr>
          <w:lang w:val="fr-FR"/>
        </w:rPr>
        <w:t>’</w:t>
      </w:r>
      <w:r w:rsidRPr="00F8539C">
        <w:rPr>
          <w:lang w:val="fr-FR"/>
        </w:rPr>
        <w:t>emballage I ne permette qu</w:t>
      </w:r>
      <w:r w:rsidR="00E62D78">
        <w:rPr>
          <w:lang w:val="fr-FR"/>
        </w:rPr>
        <w:t>’</w:t>
      </w:r>
      <w:r w:rsidRPr="00F8539C">
        <w:rPr>
          <w:lang w:val="fr-FR"/>
        </w:rPr>
        <w:t>une contenance maximale de 120 l. Cette contradiction entre la contenance maximale des fûts en plastique 1H1 et celle des récipients en plastique dans des fûts en plastique (6HH1) s</w:t>
      </w:r>
      <w:r w:rsidR="00E62D78">
        <w:rPr>
          <w:lang w:val="fr-FR"/>
        </w:rPr>
        <w:t>’</w:t>
      </w:r>
      <w:r w:rsidRPr="00F8539C">
        <w:rPr>
          <w:lang w:val="fr-FR"/>
        </w:rPr>
        <w:t>explique peut-être par l</w:t>
      </w:r>
      <w:r w:rsidR="00E62D78">
        <w:rPr>
          <w:lang w:val="fr-FR"/>
        </w:rPr>
        <w:t>’</w:t>
      </w:r>
      <w:r w:rsidRPr="00F8539C">
        <w:rPr>
          <w:lang w:val="fr-FR"/>
        </w:rPr>
        <w:t>histoire du Règlement type mais elle n</w:t>
      </w:r>
      <w:r w:rsidR="00E62D78">
        <w:rPr>
          <w:lang w:val="fr-FR"/>
        </w:rPr>
        <w:t>’</w:t>
      </w:r>
      <w:r w:rsidRPr="00F8539C">
        <w:rPr>
          <w:lang w:val="fr-FR"/>
        </w:rPr>
        <w:t>est pas le fait d</w:t>
      </w:r>
      <w:r w:rsidR="00E62D78">
        <w:rPr>
          <w:lang w:val="fr-FR"/>
        </w:rPr>
        <w:t>’</w:t>
      </w:r>
      <w:r w:rsidRPr="00F8539C">
        <w:rPr>
          <w:lang w:val="fr-FR"/>
        </w:rPr>
        <w:t>exigences de sécurité.</w:t>
      </w:r>
    </w:p>
    <w:p w:rsidR="00446FE5" w:rsidRDefault="00F8539C" w:rsidP="00F8539C">
      <w:pPr>
        <w:pStyle w:val="SingleTxtG"/>
        <w:numPr>
          <w:ilvl w:val="0"/>
          <w:numId w:val="15"/>
        </w:numPr>
        <w:ind w:left="1134" w:firstLine="0"/>
        <w:rPr>
          <w:lang w:val="fr-FR"/>
        </w:rPr>
      </w:pPr>
      <w:r w:rsidRPr="00F8539C">
        <w:rPr>
          <w:lang w:val="fr-FR"/>
        </w:rPr>
        <w:t>Il se peut que cette contradiction soit passée inaperçue pendant si longtemps en raison du manque d</w:t>
      </w:r>
      <w:r w:rsidR="00E62D78">
        <w:rPr>
          <w:lang w:val="fr-FR"/>
        </w:rPr>
        <w:t>’</w:t>
      </w:r>
      <w:r w:rsidRPr="00F8539C">
        <w:rPr>
          <w:lang w:val="fr-FR"/>
        </w:rPr>
        <w:t>intérêt économique suscité jusqu</w:t>
      </w:r>
      <w:r w:rsidR="00E62D78">
        <w:rPr>
          <w:lang w:val="fr-FR"/>
        </w:rPr>
        <w:t>’</w:t>
      </w:r>
      <w:r w:rsidRPr="00F8539C">
        <w:rPr>
          <w:lang w:val="fr-FR"/>
        </w:rPr>
        <w:t>ici par les fûts 6HH1 du groupe d</w:t>
      </w:r>
      <w:r w:rsidR="00E62D78">
        <w:rPr>
          <w:lang w:val="fr-FR"/>
        </w:rPr>
        <w:t>’</w:t>
      </w:r>
      <w:r w:rsidRPr="00F8539C">
        <w:rPr>
          <w:lang w:val="fr-FR"/>
        </w:rPr>
        <w:t>emballage I d</w:t>
      </w:r>
      <w:r w:rsidR="00E62D78">
        <w:rPr>
          <w:lang w:val="fr-FR"/>
        </w:rPr>
        <w:t>’</w:t>
      </w:r>
      <w:r w:rsidRPr="00F8539C">
        <w:rPr>
          <w:lang w:val="fr-FR"/>
        </w:rPr>
        <w:t>une contenance supérieure à 120 l, ces fûts étant bien plus onéreux que les fûts 1H1 du groupe d</w:t>
      </w:r>
      <w:r w:rsidR="00E62D78">
        <w:rPr>
          <w:lang w:val="fr-FR"/>
        </w:rPr>
        <w:t>’</w:t>
      </w:r>
      <w:r w:rsidRPr="00F8539C">
        <w:rPr>
          <w:lang w:val="fr-FR"/>
        </w:rPr>
        <w:t>emballage I. Cela étant, il existe une demande de tels fûts pour les produits de pureté élevée qui relèvent du groupe d</w:t>
      </w:r>
      <w:r w:rsidR="00E62D78">
        <w:rPr>
          <w:lang w:val="fr-FR"/>
        </w:rPr>
        <w:t>’</w:t>
      </w:r>
      <w:r w:rsidRPr="00F8539C">
        <w:rPr>
          <w:lang w:val="fr-FR"/>
        </w:rPr>
        <w:t>emballage I, ce qui pourrait justifier la production économique de fûts 6HH1 d</w:t>
      </w:r>
      <w:r w:rsidR="00E62D78">
        <w:rPr>
          <w:lang w:val="fr-FR"/>
        </w:rPr>
        <w:t>’</w:t>
      </w:r>
      <w:r w:rsidRPr="00F8539C">
        <w:rPr>
          <w:lang w:val="fr-FR"/>
        </w:rPr>
        <w:t>une contenance supérieure à 120 l.</w:t>
      </w:r>
    </w:p>
    <w:p w:rsidR="00F8539C" w:rsidRPr="00F8539C" w:rsidRDefault="00F8539C" w:rsidP="00F8539C">
      <w:pPr>
        <w:pStyle w:val="SingleTxtG"/>
        <w:numPr>
          <w:ilvl w:val="0"/>
          <w:numId w:val="15"/>
        </w:numPr>
        <w:ind w:left="1134" w:firstLine="0"/>
        <w:rPr>
          <w:lang w:val="fr-FR"/>
        </w:rPr>
      </w:pPr>
      <w:r w:rsidRPr="00F8539C">
        <w:rPr>
          <w:lang w:val="fr-FR"/>
        </w:rPr>
        <w:lastRenderedPageBreak/>
        <w:t>Le rapport d</w:t>
      </w:r>
      <w:r w:rsidR="00E62D78">
        <w:rPr>
          <w:lang w:val="fr-FR"/>
        </w:rPr>
        <w:t>’</w:t>
      </w:r>
      <w:r w:rsidRPr="00F8539C">
        <w:rPr>
          <w:lang w:val="fr-FR"/>
        </w:rPr>
        <w:t>épreuve reproduit dans le document informel INF.3 a permis de montrer qu</w:t>
      </w:r>
      <w:r w:rsidR="00E62D78">
        <w:rPr>
          <w:lang w:val="fr-FR"/>
        </w:rPr>
        <w:t>’</w:t>
      </w:r>
      <w:r w:rsidRPr="00F8539C">
        <w:rPr>
          <w:lang w:val="fr-FR"/>
        </w:rPr>
        <w:t>un fût 6HH1 d</w:t>
      </w:r>
      <w:r w:rsidR="00E62D78">
        <w:rPr>
          <w:lang w:val="fr-FR"/>
        </w:rPr>
        <w:t>’</w:t>
      </w:r>
      <w:r w:rsidRPr="00F8539C">
        <w:rPr>
          <w:lang w:val="fr-FR"/>
        </w:rPr>
        <w:t>une contenance de 220 l satisfaisait à toutes les prescriptions de conception nécessaires pour être affecté au groupe d</w:t>
      </w:r>
      <w:r w:rsidR="00E62D78">
        <w:rPr>
          <w:lang w:val="fr-FR"/>
        </w:rPr>
        <w:t>’</w:t>
      </w:r>
      <w:r w:rsidRPr="00F8539C">
        <w:rPr>
          <w:lang w:val="fr-FR"/>
        </w:rPr>
        <w:t>emballage I.</w:t>
      </w:r>
    </w:p>
    <w:p w:rsidR="00F8539C" w:rsidRPr="00F8539C" w:rsidRDefault="00F8539C" w:rsidP="00F8539C">
      <w:pPr>
        <w:pStyle w:val="SingleTxtG"/>
        <w:numPr>
          <w:ilvl w:val="0"/>
          <w:numId w:val="15"/>
        </w:numPr>
        <w:ind w:left="1134" w:firstLine="0"/>
        <w:rPr>
          <w:lang w:val="fr-FR"/>
        </w:rPr>
      </w:pPr>
      <w:r w:rsidRPr="00F8539C">
        <w:rPr>
          <w:lang w:val="fr-FR"/>
        </w:rPr>
        <w:t>Il convient donc de modifier l</w:t>
      </w:r>
      <w:r w:rsidR="00E62D78">
        <w:rPr>
          <w:lang w:val="fr-FR"/>
        </w:rPr>
        <w:t>’</w:t>
      </w:r>
      <w:r w:rsidRPr="00F8539C">
        <w:rPr>
          <w:lang w:val="fr-FR"/>
        </w:rPr>
        <w:t>instruction d</w:t>
      </w:r>
      <w:r w:rsidR="00E62D78">
        <w:rPr>
          <w:lang w:val="fr-FR"/>
        </w:rPr>
        <w:t>’</w:t>
      </w:r>
      <w:r w:rsidRPr="00F8539C">
        <w:rPr>
          <w:lang w:val="fr-FR"/>
        </w:rPr>
        <w:t>emballage P001 de sorte que la contenance maximale des fûts 6HH1 pour le groupe d</w:t>
      </w:r>
      <w:r w:rsidR="00E62D78">
        <w:rPr>
          <w:lang w:val="fr-FR"/>
        </w:rPr>
        <w:t>’</w:t>
      </w:r>
      <w:r w:rsidRPr="00F8539C">
        <w:rPr>
          <w:lang w:val="fr-FR"/>
        </w:rPr>
        <w:t>emballage I corresponde à celle des fûts en plastique 1H1, ainsi qu</w:t>
      </w:r>
      <w:r w:rsidR="00E62D78">
        <w:rPr>
          <w:lang w:val="fr-FR"/>
        </w:rPr>
        <w:t>’</w:t>
      </w:r>
      <w:r w:rsidRPr="00F8539C">
        <w:rPr>
          <w:lang w:val="fr-FR"/>
        </w:rPr>
        <w:t>à celle des emballages composites 6HA1 ou 6HB1.</w:t>
      </w:r>
    </w:p>
    <w:p w:rsidR="00F8539C" w:rsidRPr="00F8539C" w:rsidRDefault="00F8539C" w:rsidP="00F8539C">
      <w:pPr>
        <w:pStyle w:val="HChG"/>
        <w:rPr>
          <w:lang w:val="fr-FR"/>
        </w:rPr>
      </w:pPr>
      <w:r w:rsidRPr="00F8539C">
        <w:rPr>
          <w:lang w:val="fr-FR"/>
        </w:rPr>
        <w:tab/>
      </w:r>
      <w:r w:rsidRPr="00F8539C">
        <w:rPr>
          <w:lang w:val="fr-FR"/>
        </w:rPr>
        <w:tab/>
        <w:t>Proposition</w:t>
      </w:r>
    </w:p>
    <w:p w:rsidR="00F8539C" w:rsidRPr="00F95DA0" w:rsidRDefault="00F8539C" w:rsidP="00F8539C">
      <w:pPr>
        <w:pStyle w:val="SingleTxtG"/>
        <w:numPr>
          <w:ilvl w:val="0"/>
          <w:numId w:val="15"/>
        </w:numPr>
        <w:ind w:left="1134" w:firstLine="0"/>
      </w:pPr>
      <w:r w:rsidRPr="00F8539C">
        <w:rPr>
          <w:lang w:val="fr-FR"/>
        </w:rPr>
        <w:t>Modifier l</w:t>
      </w:r>
      <w:r w:rsidR="00E62D78">
        <w:rPr>
          <w:lang w:val="fr-FR"/>
        </w:rPr>
        <w:t>’</w:t>
      </w:r>
      <w:r w:rsidRPr="00F8539C">
        <w:rPr>
          <w:lang w:val="fr-FR"/>
        </w:rPr>
        <w:t>instruction d</w:t>
      </w:r>
      <w:r w:rsidR="00E62D78">
        <w:rPr>
          <w:lang w:val="fr-FR"/>
        </w:rPr>
        <w:t>’</w:t>
      </w:r>
      <w:r w:rsidRPr="00F8539C">
        <w:rPr>
          <w:lang w:val="fr-FR"/>
        </w:rPr>
        <w:t>emballage P001, au chapitre 4.1.4.1, en ce qui concerne les emballages composites, comme suit (voir les marques de modification) :</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1975"/>
        <w:gridCol w:w="2134"/>
      </w:tblGrid>
      <w:tr w:rsidR="00F95DA0" w:rsidRPr="00A75605" w:rsidTr="008E4D9F">
        <w:trPr>
          <w:tblHeader/>
        </w:trPr>
        <w:tc>
          <w:tcPr>
            <w:tcW w:w="3261" w:type="dxa"/>
            <w:tcBorders>
              <w:top w:val="single" w:sz="4" w:space="0" w:color="auto"/>
              <w:bottom w:val="single" w:sz="12" w:space="0" w:color="auto"/>
            </w:tcBorders>
            <w:shd w:val="clear" w:color="auto" w:fill="auto"/>
            <w:vAlign w:val="bottom"/>
          </w:tcPr>
          <w:p w:rsidR="00F95DA0" w:rsidRPr="00A75605" w:rsidRDefault="00F95DA0" w:rsidP="00A75605">
            <w:pPr>
              <w:spacing w:before="80" w:after="80" w:line="200" w:lineRule="exact"/>
              <w:ind w:right="113"/>
              <w:rPr>
                <w:i/>
                <w:sz w:val="16"/>
                <w:lang w:val="fr-FR"/>
              </w:rPr>
            </w:pPr>
            <w:r w:rsidRPr="00A75605">
              <w:rPr>
                <w:i/>
                <w:sz w:val="16"/>
                <w:lang w:val="fr-FR"/>
              </w:rPr>
              <w:t>Emballages composites</w:t>
            </w:r>
          </w:p>
        </w:tc>
        <w:tc>
          <w:tcPr>
            <w:tcW w:w="1975" w:type="dxa"/>
            <w:tcBorders>
              <w:top w:val="single" w:sz="4" w:space="0" w:color="auto"/>
              <w:bottom w:val="single" w:sz="12" w:space="0" w:color="auto"/>
            </w:tcBorders>
            <w:shd w:val="clear" w:color="auto" w:fill="auto"/>
            <w:vAlign w:val="bottom"/>
          </w:tcPr>
          <w:p w:rsidR="00F95DA0" w:rsidRPr="00A75605" w:rsidRDefault="00F95DA0" w:rsidP="00A75605">
            <w:pPr>
              <w:spacing w:before="80" w:after="80" w:line="200" w:lineRule="exact"/>
              <w:ind w:right="113"/>
              <w:rPr>
                <w:i/>
                <w:sz w:val="16"/>
                <w:lang w:val="fr-FR"/>
              </w:rPr>
            </w:pPr>
            <w:r w:rsidRPr="00A75605">
              <w:rPr>
                <w:i/>
                <w:sz w:val="16"/>
                <w:lang w:val="fr-FR"/>
              </w:rPr>
              <w:t>Groupe d</w:t>
            </w:r>
            <w:r w:rsidR="00E62D78">
              <w:rPr>
                <w:i/>
                <w:sz w:val="16"/>
                <w:lang w:val="fr-FR"/>
              </w:rPr>
              <w:t>’</w:t>
            </w:r>
            <w:r w:rsidRPr="00A75605">
              <w:rPr>
                <w:i/>
                <w:sz w:val="16"/>
                <w:lang w:val="fr-FR"/>
              </w:rPr>
              <w:t>emballage I</w:t>
            </w:r>
          </w:p>
        </w:tc>
        <w:tc>
          <w:tcPr>
            <w:tcW w:w="2134" w:type="dxa"/>
            <w:tcBorders>
              <w:top w:val="single" w:sz="4" w:space="0" w:color="auto"/>
              <w:bottom w:val="single" w:sz="12" w:space="0" w:color="auto"/>
            </w:tcBorders>
            <w:shd w:val="clear" w:color="auto" w:fill="auto"/>
            <w:vAlign w:val="bottom"/>
          </w:tcPr>
          <w:p w:rsidR="00F95DA0" w:rsidRPr="00EE7537" w:rsidRDefault="00EE7537" w:rsidP="00EE7537">
            <w:pPr>
              <w:spacing w:before="80" w:after="80" w:line="200" w:lineRule="exact"/>
              <w:ind w:right="113"/>
              <w:rPr>
                <w:i/>
                <w:sz w:val="16"/>
                <w:szCs w:val="16"/>
                <w:lang w:val="fr-FR"/>
              </w:rPr>
            </w:pPr>
            <w:r w:rsidRPr="00EE7537">
              <w:rPr>
                <w:sz w:val="16"/>
                <w:szCs w:val="16"/>
                <w:lang w:val="fr-FR"/>
              </w:rPr>
              <w:t>…………</w:t>
            </w:r>
            <w:r w:rsidR="001F16A8">
              <w:rPr>
                <w:sz w:val="16"/>
                <w:szCs w:val="16"/>
                <w:lang w:val="fr-FR"/>
              </w:rPr>
              <w:t>…</w:t>
            </w:r>
          </w:p>
        </w:tc>
      </w:tr>
      <w:tr w:rsidR="00A75605" w:rsidRPr="00A75605" w:rsidTr="008E4D9F">
        <w:trPr>
          <w:trHeight w:hRule="exact" w:val="113"/>
          <w:tblHeader/>
        </w:trPr>
        <w:tc>
          <w:tcPr>
            <w:tcW w:w="3261" w:type="dxa"/>
            <w:tcBorders>
              <w:top w:val="single" w:sz="12" w:space="0" w:color="auto"/>
            </w:tcBorders>
            <w:shd w:val="clear" w:color="auto" w:fill="auto"/>
          </w:tcPr>
          <w:p w:rsidR="00A75605" w:rsidRPr="00A75605" w:rsidRDefault="00A75605" w:rsidP="00A75605">
            <w:pPr>
              <w:spacing w:before="40" w:after="120"/>
              <w:ind w:right="113"/>
              <w:rPr>
                <w:lang w:val="fr-FR"/>
              </w:rPr>
            </w:pPr>
          </w:p>
        </w:tc>
        <w:tc>
          <w:tcPr>
            <w:tcW w:w="1975" w:type="dxa"/>
            <w:tcBorders>
              <w:top w:val="single" w:sz="12" w:space="0" w:color="auto"/>
            </w:tcBorders>
            <w:shd w:val="clear" w:color="auto" w:fill="auto"/>
          </w:tcPr>
          <w:p w:rsidR="00A75605" w:rsidRPr="00A75605" w:rsidRDefault="00A75605" w:rsidP="00A75605">
            <w:pPr>
              <w:spacing w:before="40" w:after="120"/>
              <w:ind w:right="113"/>
              <w:rPr>
                <w:lang w:val="fr-FR"/>
              </w:rPr>
            </w:pPr>
          </w:p>
        </w:tc>
        <w:tc>
          <w:tcPr>
            <w:tcW w:w="2134" w:type="dxa"/>
            <w:tcBorders>
              <w:top w:val="single" w:sz="12" w:space="0" w:color="auto"/>
            </w:tcBorders>
            <w:shd w:val="clear" w:color="auto" w:fill="auto"/>
          </w:tcPr>
          <w:p w:rsidR="00A75605" w:rsidRPr="00A75605" w:rsidRDefault="00A75605" w:rsidP="00A75605">
            <w:pPr>
              <w:spacing w:before="40" w:after="120"/>
              <w:ind w:right="113"/>
              <w:rPr>
                <w:lang w:val="fr-FR"/>
              </w:rPr>
            </w:pPr>
          </w:p>
        </w:tc>
      </w:tr>
      <w:tr w:rsidR="00F95DA0" w:rsidRPr="00A75605" w:rsidTr="008E4D9F">
        <w:trPr>
          <w:tblHeader/>
        </w:trPr>
        <w:tc>
          <w:tcPr>
            <w:tcW w:w="3261" w:type="dxa"/>
            <w:shd w:val="clear" w:color="auto" w:fill="auto"/>
          </w:tcPr>
          <w:p w:rsidR="00F95DA0" w:rsidRPr="00A75605" w:rsidRDefault="00D7405A" w:rsidP="008E4D9F">
            <w:pPr>
              <w:pStyle w:val="Bullet1G"/>
              <w:ind w:left="340" w:right="113"/>
              <w:jc w:val="left"/>
              <w:rPr>
                <w:lang w:val="fr-FR"/>
              </w:rPr>
            </w:pPr>
            <w:r>
              <w:rPr>
                <w:sz w:val="18"/>
                <w:szCs w:val="18"/>
                <w:lang w:val="fr-FR"/>
              </w:rPr>
              <w:t>R</w:t>
            </w:r>
            <w:r w:rsidR="00A75605" w:rsidRPr="00635834">
              <w:rPr>
                <w:sz w:val="18"/>
                <w:szCs w:val="18"/>
                <w:lang w:val="fr-FR"/>
              </w:rPr>
              <w:t xml:space="preserve">écipient en plastique </w:t>
            </w:r>
            <w:r w:rsidR="00A75605">
              <w:rPr>
                <w:sz w:val="18"/>
                <w:szCs w:val="18"/>
                <w:lang w:val="fr-FR"/>
              </w:rPr>
              <w:t>dans un fû</w:t>
            </w:r>
            <w:r w:rsidR="00A75605" w:rsidRPr="00635834">
              <w:rPr>
                <w:sz w:val="18"/>
                <w:szCs w:val="18"/>
                <w:lang w:val="fr-FR"/>
              </w:rPr>
              <w:t>t en acier</w:t>
            </w:r>
            <w:r w:rsidR="00A75605" w:rsidRPr="00635834">
              <w:rPr>
                <w:b/>
                <w:sz w:val="18"/>
                <w:szCs w:val="18"/>
                <w:u w:val="single"/>
                <w:lang w:val="fr-FR"/>
              </w:rPr>
              <w:t>,</w:t>
            </w:r>
            <w:r w:rsidR="00A75605" w:rsidRPr="00635834">
              <w:rPr>
                <w:sz w:val="18"/>
                <w:szCs w:val="18"/>
                <w:lang w:val="fr-FR"/>
              </w:rPr>
              <w:t xml:space="preserve"> en aluminium </w:t>
            </w:r>
            <w:r w:rsidR="00A75605" w:rsidRPr="00635834">
              <w:rPr>
                <w:b/>
                <w:sz w:val="18"/>
                <w:szCs w:val="18"/>
                <w:u w:val="single"/>
                <w:lang w:val="fr-FR"/>
              </w:rPr>
              <w:t>ou en plastique</w:t>
            </w:r>
            <w:r w:rsidR="00A75605" w:rsidRPr="00635834">
              <w:rPr>
                <w:sz w:val="18"/>
                <w:szCs w:val="18"/>
                <w:lang w:val="fr-FR"/>
              </w:rPr>
              <w:t xml:space="preserve"> (6HA1, 6HB1, </w:t>
            </w:r>
            <w:r w:rsidR="00A75605" w:rsidRPr="00635834">
              <w:rPr>
                <w:b/>
                <w:sz w:val="18"/>
                <w:szCs w:val="18"/>
                <w:u w:val="single"/>
                <w:lang w:val="fr-FR"/>
              </w:rPr>
              <w:t>6HH1</w:t>
            </w:r>
            <w:r w:rsidR="00A75605" w:rsidRPr="00635834">
              <w:rPr>
                <w:sz w:val="18"/>
                <w:szCs w:val="18"/>
                <w:lang w:val="fr-FR"/>
              </w:rPr>
              <w:t>)</w:t>
            </w:r>
          </w:p>
        </w:tc>
        <w:tc>
          <w:tcPr>
            <w:tcW w:w="1975" w:type="dxa"/>
            <w:shd w:val="clear" w:color="auto" w:fill="auto"/>
          </w:tcPr>
          <w:p w:rsidR="00F95DA0" w:rsidRPr="00A75605" w:rsidRDefault="00A75605" w:rsidP="00A75605">
            <w:pPr>
              <w:spacing w:before="40" w:after="120"/>
              <w:ind w:right="113"/>
              <w:rPr>
                <w:lang w:val="fr-FR"/>
              </w:rPr>
            </w:pPr>
            <w:r w:rsidRPr="00A75605">
              <w:rPr>
                <w:szCs w:val="18"/>
                <w:lang w:val="fr-FR"/>
              </w:rPr>
              <w:t>250 l</w:t>
            </w:r>
          </w:p>
        </w:tc>
        <w:tc>
          <w:tcPr>
            <w:tcW w:w="2134" w:type="dxa"/>
            <w:shd w:val="clear" w:color="auto" w:fill="auto"/>
          </w:tcPr>
          <w:p w:rsidR="00F95DA0" w:rsidRPr="00A75605" w:rsidRDefault="00070E4C" w:rsidP="00A75605">
            <w:pPr>
              <w:spacing w:before="40" w:after="120"/>
              <w:ind w:right="113"/>
              <w:rPr>
                <w:lang w:val="fr-FR"/>
              </w:rPr>
            </w:pPr>
            <w:r>
              <w:rPr>
                <w:szCs w:val="18"/>
                <w:lang w:val="fr-FR"/>
              </w:rPr>
              <w:t>…………</w:t>
            </w:r>
          </w:p>
        </w:tc>
      </w:tr>
      <w:tr w:rsidR="00070E4C" w:rsidRPr="00A75605" w:rsidTr="008E4D9F">
        <w:trPr>
          <w:tblHeader/>
        </w:trPr>
        <w:tc>
          <w:tcPr>
            <w:tcW w:w="3261" w:type="dxa"/>
            <w:shd w:val="clear" w:color="auto" w:fill="auto"/>
          </w:tcPr>
          <w:p w:rsidR="00070E4C" w:rsidRPr="00635834" w:rsidRDefault="00D7405A" w:rsidP="008E4D9F">
            <w:pPr>
              <w:pStyle w:val="Bullet1G"/>
              <w:ind w:left="340" w:right="113"/>
              <w:jc w:val="left"/>
              <w:rPr>
                <w:sz w:val="18"/>
                <w:szCs w:val="18"/>
                <w:lang w:val="fr-FR"/>
              </w:rPr>
            </w:pPr>
            <w:r>
              <w:rPr>
                <w:sz w:val="18"/>
                <w:szCs w:val="18"/>
                <w:lang w:val="fr-FR"/>
              </w:rPr>
              <w:t>R</w:t>
            </w:r>
            <w:r w:rsidR="00070E4C">
              <w:rPr>
                <w:sz w:val="18"/>
                <w:szCs w:val="18"/>
                <w:lang w:val="fr-FR"/>
              </w:rPr>
              <w:t>écipient en plastique dans un fû</w:t>
            </w:r>
            <w:r w:rsidR="00070E4C" w:rsidRPr="00635834">
              <w:rPr>
                <w:sz w:val="18"/>
                <w:szCs w:val="18"/>
                <w:lang w:val="fr-FR"/>
              </w:rPr>
              <w:t xml:space="preserve">t en carton, </w:t>
            </w:r>
            <w:r w:rsidR="00070E4C" w:rsidRPr="00635834">
              <w:rPr>
                <w:b/>
                <w:strike/>
                <w:sz w:val="18"/>
                <w:szCs w:val="18"/>
                <w:lang w:val="fr-FR"/>
              </w:rPr>
              <w:t>en plastique</w:t>
            </w:r>
            <w:r w:rsidR="00070E4C" w:rsidRPr="00635834">
              <w:rPr>
                <w:sz w:val="18"/>
                <w:szCs w:val="18"/>
                <w:lang w:val="fr-FR"/>
              </w:rPr>
              <w:t xml:space="preserve"> ou en contreplaqué (6HG1, </w:t>
            </w:r>
            <w:r w:rsidR="00070E4C" w:rsidRPr="00635834">
              <w:rPr>
                <w:b/>
                <w:strike/>
                <w:sz w:val="18"/>
                <w:szCs w:val="18"/>
                <w:u w:val="single"/>
                <w:lang w:val="fr-FR"/>
              </w:rPr>
              <w:t>6HH1</w:t>
            </w:r>
            <w:r w:rsidR="00070E4C" w:rsidRPr="00635834">
              <w:rPr>
                <w:b/>
                <w:strike/>
                <w:sz w:val="18"/>
                <w:szCs w:val="18"/>
                <w:lang w:val="fr-FR"/>
              </w:rPr>
              <w:t>,</w:t>
            </w:r>
            <w:r w:rsidR="00070E4C" w:rsidRPr="00635834">
              <w:rPr>
                <w:sz w:val="18"/>
                <w:szCs w:val="18"/>
                <w:lang w:val="fr-FR"/>
              </w:rPr>
              <w:t xml:space="preserve"> 6HD1)</w:t>
            </w:r>
          </w:p>
        </w:tc>
        <w:tc>
          <w:tcPr>
            <w:tcW w:w="1975" w:type="dxa"/>
            <w:shd w:val="clear" w:color="auto" w:fill="auto"/>
          </w:tcPr>
          <w:p w:rsidR="00070E4C" w:rsidRPr="00A75605" w:rsidRDefault="00070E4C" w:rsidP="00D7405A">
            <w:pPr>
              <w:spacing w:before="40" w:after="120"/>
              <w:ind w:right="113"/>
              <w:rPr>
                <w:szCs w:val="18"/>
                <w:lang w:val="fr-FR"/>
              </w:rPr>
            </w:pPr>
            <w:r w:rsidRPr="00A75605">
              <w:rPr>
                <w:szCs w:val="18"/>
                <w:lang w:val="fr-FR"/>
              </w:rPr>
              <w:t>120</w:t>
            </w:r>
            <w:r w:rsidR="00D7405A">
              <w:rPr>
                <w:szCs w:val="18"/>
                <w:lang w:val="fr-FR"/>
              </w:rPr>
              <w:t> </w:t>
            </w:r>
            <w:r w:rsidRPr="00A75605">
              <w:rPr>
                <w:szCs w:val="18"/>
                <w:lang w:val="fr-FR"/>
              </w:rPr>
              <w:t>l</w:t>
            </w:r>
          </w:p>
        </w:tc>
        <w:tc>
          <w:tcPr>
            <w:tcW w:w="2134" w:type="dxa"/>
            <w:shd w:val="clear" w:color="auto" w:fill="auto"/>
          </w:tcPr>
          <w:p w:rsidR="00070E4C" w:rsidRPr="00A75605" w:rsidRDefault="00070E4C" w:rsidP="00A75605">
            <w:pPr>
              <w:spacing w:before="40" w:after="120"/>
              <w:ind w:right="113"/>
              <w:rPr>
                <w:szCs w:val="18"/>
                <w:lang w:val="fr-FR"/>
              </w:rPr>
            </w:pPr>
            <w:r>
              <w:rPr>
                <w:szCs w:val="18"/>
                <w:lang w:val="fr-FR"/>
              </w:rPr>
              <w:t>…………</w:t>
            </w:r>
          </w:p>
        </w:tc>
      </w:tr>
      <w:tr w:rsidR="00A75605" w:rsidRPr="00A75605" w:rsidTr="008E4D9F">
        <w:tc>
          <w:tcPr>
            <w:tcW w:w="3261" w:type="dxa"/>
            <w:tcBorders>
              <w:bottom w:val="single" w:sz="12" w:space="0" w:color="auto"/>
            </w:tcBorders>
            <w:shd w:val="clear" w:color="auto" w:fill="auto"/>
          </w:tcPr>
          <w:p w:rsidR="00F95DA0" w:rsidRPr="00A75605" w:rsidRDefault="00D7405A" w:rsidP="008E4D9F">
            <w:pPr>
              <w:spacing w:before="40" w:after="120"/>
              <w:ind w:left="170" w:right="113"/>
              <w:rPr>
                <w:szCs w:val="18"/>
                <w:lang w:val="fr-FR"/>
              </w:rPr>
            </w:pPr>
            <w:r>
              <w:rPr>
                <w:szCs w:val="18"/>
                <w:lang w:val="fr-FR"/>
              </w:rPr>
              <w:t>…………</w:t>
            </w:r>
          </w:p>
        </w:tc>
        <w:tc>
          <w:tcPr>
            <w:tcW w:w="1975" w:type="dxa"/>
            <w:tcBorders>
              <w:bottom w:val="single" w:sz="12" w:space="0" w:color="auto"/>
            </w:tcBorders>
            <w:shd w:val="clear" w:color="auto" w:fill="auto"/>
          </w:tcPr>
          <w:p w:rsidR="00F95DA0" w:rsidRPr="00A75605" w:rsidRDefault="00D7405A" w:rsidP="00A75605">
            <w:pPr>
              <w:spacing w:before="40" w:after="120"/>
              <w:ind w:right="113"/>
              <w:rPr>
                <w:szCs w:val="18"/>
                <w:lang w:val="fr-FR"/>
              </w:rPr>
            </w:pPr>
            <w:r>
              <w:rPr>
                <w:szCs w:val="18"/>
                <w:lang w:val="fr-FR"/>
              </w:rPr>
              <w:t>…………</w:t>
            </w:r>
          </w:p>
        </w:tc>
        <w:tc>
          <w:tcPr>
            <w:tcW w:w="2134" w:type="dxa"/>
            <w:tcBorders>
              <w:bottom w:val="single" w:sz="12" w:space="0" w:color="auto"/>
            </w:tcBorders>
            <w:shd w:val="clear" w:color="auto" w:fill="auto"/>
          </w:tcPr>
          <w:p w:rsidR="00F95DA0" w:rsidRPr="00A75605" w:rsidRDefault="00D7405A" w:rsidP="00A75605">
            <w:pPr>
              <w:spacing w:before="40" w:after="120"/>
              <w:ind w:right="113"/>
              <w:rPr>
                <w:szCs w:val="18"/>
                <w:lang w:val="fr-FR"/>
              </w:rPr>
            </w:pPr>
            <w:r>
              <w:rPr>
                <w:szCs w:val="18"/>
                <w:lang w:val="fr-FR"/>
              </w:rPr>
              <w:t>…………</w:t>
            </w:r>
          </w:p>
        </w:tc>
      </w:tr>
    </w:tbl>
    <w:p w:rsidR="00F95DA0" w:rsidRPr="00D7405A" w:rsidRDefault="00D7405A" w:rsidP="00D7405A">
      <w:pPr>
        <w:pStyle w:val="SingleTxtG"/>
        <w:spacing w:before="240" w:after="0"/>
        <w:jc w:val="center"/>
        <w:rPr>
          <w:u w:val="single"/>
        </w:rPr>
      </w:pPr>
      <w:r>
        <w:rPr>
          <w:u w:val="single"/>
        </w:rPr>
        <w:tab/>
      </w:r>
      <w:r>
        <w:rPr>
          <w:u w:val="single"/>
        </w:rPr>
        <w:tab/>
      </w:r>
      <w:r>
        <w:rPr>
          <w:u w:val="single"/>
        </w:rPr>
        <w:tab/>
      </w:r>
    </w:p>
    <w:sectPr w:rsidR="00F95DA0" w:rsidRPr="00D7405A" w:rsidSect="00C069BC">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6A" w:rsidRDefault="00CD636A" w:rsidP="00F95C08">
      <w:pPr>
        <w:spacing w:line="240" w:lineRule="auto"/>
      </w:pPr>
    </w:p>
  </w:endnote>
  <w:endnote w:type="continuationSeparator" w:id="0">
    <w:p w:rsidR="00CD636A" w:rsidRPr="00AC3823" w:rsidRDefault="00CD636A" w:rsidP="00AC3823">
      <w:pPr>
        <w:pStyle w:val="Footer"/>
      </w:pPr>
    </w:p>
  </w:endnote>
  <w:endnote w:type="continuationNotice" w:id="1">
    <w:p w:rsidR="00CD636A" w:rsidRDefault="00CD63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C" w:rsidRPr="00C069BC" w:rsidRDefault="00C069BC" w:rsidP="00C069BC">
    <w:pPr>
      <w:pStyle w:val="Footer"/>
      <w:tabs>
        <w:tab w:val="right" w:pos="9638"/>
      </w:tabs>
    </w:pPr>
    <w:r w:rsidRPr="00C069BC">
      <w:rPr>
        <w:b/>
        <w:sz w:val="18"/>
      </w:rPr>
      <w:fldChar w:fldCharType="begin"/>
    </w:r>
    <w:r w:rsidRPr="00C069BC">
      <w:rPr>
        <w:b/>
        <w:sz w:val="18"/>
      </w:rPr>
      <w:instrText xml:space="preserve"> PAGE  \* MERGEFORMAT </w:instrText>
    </w:r>
    <w:r w:rsidRPr="00C069BC">
      <w:rPr>
        <w:b/>
        <w:sz w:val="18"/>
      </w:rPr>
      <w:fldChar w:fldCharType="separate"/>
    </w:r>
    <w:r w:rsidR="006A2478">
      <w:rPr>
        <w:b/>
        <w:noProof/>
        <w:sz w:val="18"/>
      </w:rPr>
      <w:t>2</w:t>
    </w:r>
    <w:r w:rsidRPr="00C069BC">
      <w:rPr>
        <w:b/>
        <w:sz w:val="18"/>
      </w:rPr>
      <w:fldChar w:fldCharType="end"/>
    </w:r>
    <w:r>
      <w:rPr>
        <w:b/>
        <w:sz w:val="18"/>
      </w:rPr>
      <w:tab/>
    </w:r>
    <w:r>
      <w:t>GE.16-15006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C" w:rsidRPr="00C069BC" w:rsidRDefault="00C069BC" w:rsidP="00C069BC">
    <w:pPr>
      <w:pStyle w:val="Footer"/>
      <w:tabs>
        <w:tab w:val="right" w:pos="9638"/>
      </w:tabs>
      <w:rPr>
        <w:b/>
        <w:sz w:val="18"/>
      </w:rPr>
    </w:pPr>
    <w:r>
      <w:t>GE.16-15006</w:t>
    </w:r>
    <w:r>
      <w:tab/>
    </w:r>
    <w:r w:rsidRPr="00C069BC">
      <w:rPr>
        <w:b/>
        <w:sz w:val="18"/>
      </w:rPr>
      <w:fldChar w:fldCharType="begin"/>
    </w:r>
    <w:r w:rsidRPr="00C069BC">
      <w:rPr>
        <w:b/>
        <w:sz w:val="18"/>
      </w:rPr>
      <w:instrText xml:space="preserve"> PAGE  \* MERGEFORMAT </w:instrText>
    </w:r>
    <w:r w:rsidRPr="00C069BC">
      <w:rPr>
        <w:b/>
        <w:sz w:val="18"/>
      </w:rPr>
      <w:fldChar w:fldCharType="separate"/>
    </w:r>
    <w:r w:rsidR="00857E8E">
      <w:rPr>
        <w:b/>
        <w:noProof/>
        <w:sz w:val="18"/>
      </w:rPr>
      <w:t>3</w:t>
    </w:r>
    <w:r w:rsidRPr="00C069B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C069BC" w:rsidRDefault="00C069BC" w:rsidP="00C069BC">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50DE2108" wp14:editId="74A6089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16-15006  (F)</w:t>
    </w:r>
    <w:r w:rsidR="00F8539C">
      <w:rPr>
        <w:sz w:val="20"/>
      </w:rPr>
      <w:t xml:space="preserve">    111016    131016</w:t>
    </w:r>
    <w:r>
      <w:rPr>
        <w:sz w:val="20"/>
      </w:rPr>
      <w:br/>
    </w:r>
    <w:r w:rsidRPr="00C069BC">
      <w:rPr>
        <w:rFonts w:ascii="C39T30Lfz" w:hAnsi="C39T30Lfz"/>
        <w:sz w:val="56"/>
      </w:rPr>
      <w:t></w:t>
    </w:r>
    <w:r w:rsidRPr="00C069BC">
      <w:rPr>
        <w:rFonts w:ascii="C39T30Lfz" w:hAnsi="C39T30Lfz"/>
        <w:sz w:val="56"/>
      </w:rPr>
      <w:t></w:t>
    </w:r>
    <w:r w:rsidRPr="00C069BC">
      <w:rPr>
        <w:rFonts w:ascii="C39T30Lfz" w:hAnsi="C39T30Lfz"/>
        <w:sz w:val="56"/>
      </w:rPr>
      <w:t></w:t>
    </w:r>
    <w:r w:rsidRPr="00C069BC">
      <w:rPr>
        <w:rFonts w:ascii="C39T30Lfz" w:hAnsi="C39T30Lfz"/>
        <w:sz w:val="56"/>
      </w:rPr>
      <w:t></w:t>
    </w:r>
    <w:r w:rsidRPr="00C069BC">
      <w:rPr>
        <w:rFonts w:ascii="C39T30Lfz" w:hAnsi="C39T30Lfz"/>
        <w:sz w:val="56"/>
      </w:rPr>
      <w:t></w:t>
    </w:r>
    <w:r w:rsidRPr="00C069BC">
      <w:rPr>
        <w:rFonts w:ascii="C39T30Lfz" w:hAnsi="C39T30Lfz"/>
        <w:sz w:val="56"/>
      </w:rPr>
      <w:t></w:t>
    </w:r>
    <w:r w:rsidRPr="00C069BC">
      <w:rPr>
        <w:rFonts w:ascii="C39T30Lfz" w:hAnsi="C39T30Lfz"/>
        <w:sz w:val="56"/>
      </w:rPr>
      <w:t></w:t>
    </w:r>
    <w:r w:rsidRPr="00C069BC">
      <w:rPr>
        <w:rFonts w:ascii="C39T30Lfz" w:hAnsi="C39T30Lfz"/>
        <w:sz w:val="56"/>
      </w:rPr>
      <w:t></w:t>
    </w:r>
    <w:r w:rsidRPr="00C069BC">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5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5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6A" w:rsidRPr="00AC3823" w:rsidRDefault="00CD636A" w:rsidP="00AC3823">
      <w:pPr>
        <w:pStyle w:val="Footer"/>
        <w:tabs>
          <w:tab w:val="right" w:pos="2155"/>
        </w:tabs>
        <w:spacing w:after="80" w:line="240" w:lineRule="atLeast"/>
        <w:ind w:left="680"/>
        <w:rPr>
          <w:u w:val="single"/>
        </w:rPr>
      </w:pPr>
      <w:r>
        <w:rPr>
          <w:u w:val="single"/>
        </w:rPr>
        <w:tab/>
      </w:r>
    </w:p>
  </w:footnote>
  <w:footnote w:type="continuationSeparator" w:id="0">
    <w:p w:rsidR="00CD636A" w:rsidRPr="00AC3823" w:rsidRDefault="00CD636A" w:rsidP="00AC3823">
      <w:pPr>
        <w:pStyle w:val="Footer"/>
        <w:tabs>
          <w:tab w:val="right" w:pos="2155"/>
        </w:tabs>
        <w:spacing w:after="80" w:line="240" w:lineRule="atLeast"/>
        <w:ind w:left="680"/>
        <w:rPr>
          <w:u w:val="single"/>
        </w:rPr>
      </w:pPr>
      <w:r>
        <w:rPr>
          <w:u w:val="single"/>
        </w:rPr>
        <w:tab/>
      </w:r>
    </w:p>
  </w:footnote>
  <w:footnote w:type="continuationNotice" w:id="1">
    <w:p w:rsidR="00CD636A" w:rsidRPr="00AC3823" w:rsidRDefault="00CD636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C" w:rsidRPr="00C069BC" w:rsidRDefault="00C069BC">
    <w:pPr>
      <w:pStyle w:val="Header"/>
    </w:pPr>
    <w:r>
      <w:t>ST/SG/AC.10/C.3/2016/57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C" w:rsidRPr="00C069BC" w:rsidRDefault="00C069BC" w:rsidP="00C069BC">
    <w:pPr>
      <w:pStyle w:val="Header"/>
      <w:jc w:val="right"/>
    </w:pPr>
    <w:r>
      <w:t>ST/SG/AC.10/C.3/2016/57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43E299C"/>
    <w:multiLevelType w:val="hybridMultilevel"/>
    <w:tmpl w:val="EF6EF932"/>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42FB65F8"/>
    <w:multiLevelType w:val="hybridMultilevel"/>
    <w:tmpl w:val="4C362CB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7E4918D8"/>
    <w:multiLevelType w:val="hybridMultilevel"/>
    <w:tmpl w:val="E44A7DA6"/>
    <w:lvl w:ilvl="0" w:tplc="37E6D2EA">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6A"/>
    <w:rsid w:val="00017F94"/>
    <w:rsid w:val="00023842"/>
    <w:rsid w:val="000305D3"/>
    <w:rsid w:val="000334F9"/>
    <w:rsid w:val="00070E4C"/>
    <w:rsid w:val="0007796D"/>
    <w:rsid w:val="000B7790"/>
    <w:rsid w:val="00111F2F"/>
    <w:rsid w:val="00132EA9"/>
    <w:rsid w:val="0014365E"/>
    <w:rsid w:val="00176178"/>
    <w:rsid w:val="001F16A8"/>
    <w:rsid w:val="001F525A"/>
    <w:rsid w:val="00223272"/>
    <w:rsid w:val="0024779E"/>
    <w:rsid w:val="00283190"/>
    <w:rsid w:val="002832AC"/>
    <w:rsid w:val="002D7C93"/>
    <w:rsid w:val="00335AB8"/>
    <w:rsid w:val="0037388C"/>
    <w:rsid w:val="003A2BC9"/>
    <w:rsid w:val="00441C3B"/>
    <w:rsid w:val="00446FE5"/>
    <w:rsid w:val="00452396"/>
    <w:rsid w:val="004E468C"/>
    <w:rsid w:val="005505B7"/>
    <w:rsid w:val="00573BE5"/>
    <w:rsid w:val="00586ED3"/>
    <w:rsid w:val="00596AA9"/>
    <w:rsid w:val="0063745D"/>
    <w:rsid w:val="0068456F"/>
    <w:rsid w:val="006A2478"/>
    <w:rsid w:val="0071601D"/>
    <w:rsid w:val="007A62E6"/>
    <w:rsid w:val="0080684C"/>
    <w:rsid w:val="00857E8E"/>
    <w:rsid w:val="00871C75"/>
    <w:rsid w:val="008776DC"/>
    <w:rsid w:val="008E4D9F"/>
    <w:rsid w:val="009705C8"/>
    <w:rsid w:val="009C1CF4"/>
    <w:rsid w:val="00A30353"/>
    <w:rsid w:val="00A75605"/>
    <w:rsid w:val="00AC3823"/>
    <w:rsid w:val="00AE323C"/>
    <w:rsid w:val="00B00181"/>
    <w:rsid w:val="00B00B0D"/>
    <w:rsid w:val="00B765F7"/>
    <w:rsid w:val="00BA0CA9"/>
    <w:rsid w:val="00C02897"/>
    <w:rsid w:val="00C069BC"/>
    <w:rsid w:val="00CD636A"/>
    <w:rsid w:val="00D3439C"/>
    <w:rsid w:val="00D7405A"/>
    <w:rsid w:val="00DB1831"/>
    <w:rsid w:val="00DD3BFD"/>
    <w:rsid w:val="00DF6678"/>
    <w:rsid w:val="00E62D78"/>
    <w:rsid w:val="00EE7537"/>
    <w:rsid w:val="00EF2E22"/>
    <w:rsid w:val="00F35153"/>
    <w:rsid w:val="00F660DF"/>
    <w:rsid w:val="00F730C8"/>
    <w:rsid w:val="00F8539C"/>
    <w:rsid w:val="00F95C08"/>
    <w:rsid w:val="00F95DA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ListParagraph">
    <w:name w:val="List Paragraph"/>
    <w:basedOn w:val="Normal"/>
    <w:uiPriority w:val="34"/>
    <w:semiHidden/>
    <w:qFormat/>
    <w:rsid w:val="00F95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ListParagraph">
    <w:name w:val="List Paragraph"/>
    <w:basedOn w:val="Normal"/>
    <w:uiPriority w:val="34"/>
    <w:semiHidden/>
    <w:qFormat/>
    <w:rsid w:val="00F95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19EB-938E-47DA-A8E3-723E5C9C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2501</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ST/SG/AC.10/C.3/2016/57</vt:lpstr>
      <vt:lpstr>ST/SG/AC.10/C.3/2016/57</vt:lpstr>
    </vt:vector>
  </TitlesOfParts>
  <Company>DCM</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ST/SG/AC.10/C.3/2016/57</dc:title>
  <dc:creator>Robert Corinne</dc:creator>
  <cp:lastModifiedBy>Laurence Berthet</cp:lastModifiedBy>
  <cp:revision>2</cp:revision>
  <cp:lastPrinted>2016-10-14T12:43:00Z</cp:lastPrinted>
  <dcterms:created xsi:type="dcterms:W3CDTF">2016-10-14T12:43:00Z</dcterms:created>
  <dcterms:modified xsi:type="dcterms:W3CDTF">2016-10-14T12:43:00Z</dcterms:modified>
</cp:coreProperties>
</file>