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443E29">
            <w:pPr>
              <w:jc w:val="right"/>
            </w:pPr>
            <w:r w:rsidRPr="006D12B1">
              <w:rPr>
                <w:sz w:val="40"/>
              </w:rPr>
              <w:t>ST</w:t>
            </w:r>
            <w:r>
              <w:t>/SG/AC.10/C.3/201</w:t>
            </w:r>
            <w:r w:rsidR="00B44060">
              <w:t>6</w:t>
            </w:r>
            <w:r>
              <w:t>/</w:t>
            </w:r>
            <w:r w:rsidR="00443E29">
              <w:t>50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A87649" w:rsidP="006D12B1">
            <w:pPr>
              <w:spacing w:line="240" w:lineRule="exact"/>
            </w:pPr>
            <w:r>
              <w:t>9 September</w:t>
            </w:r>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443E29" w:rsidRDefault="00B51A46" w:rsidP="00247149">
      <w:pPr>
        <w:pStyle w:val="NormalWeb"/>
        <w:rPr>
          <w:b/>
          <w:sz w:val="20"/>
          <w:szCs w:val="20"/>
        </w:rPr>
      </w:pPr>
      <w:r w:rsidRPr="00432930">
        <w:rPr>
          <w:sz w:val="20"/>
          <w:szCs w:val="20"/>
        </w:rPr>
        <w:t xml:space="preserve">Geneva, </w:t>
      </w:r>
      <w:r w:rsidR="00A87649">
        <w:rPr>
          <w:color w:val="333333"/>
          <w:sz w:val="20"/>
          <w:szCs w:val="20"/>
          <w:lang w:eastAsia="it-IT"/>
        </w:rPr>
        <w:t>28 November-</w:t>
      </w:r>
      <w:r w:rsidR="00812689" w:rsidRPr="00812689">
        <w:rPr>
          <w:color w:val="333333"/>
          <w:sz w:val="20"/>
          <w:szCs w:val="20"/>
          <w:lang w:eastAsia="it-IT"/>
        </w:rPr>
        <w:t>6 December 2016</w:t>
      </w:r>
      <w:r w:rsidRPr="00432930">
        <w:rPr>
          <w:color w:val="333333"/>
          <w:sz w:val="20"/>
          <w:szCs w:val="20"/>
          <w:lang w:eastAsia="it-IT"/>
        </w:rPr>
        <w:br/>
      </w:r>
      <w:r w:rsidRPr="00520D7D">
        <w:rPr>
          <w:sz w:val="20"/>
          <w:szCs w:val="20"/>
        </w:rPr>
        <w:t xml:space="preserve">Item </w:t>
      </w:r>
      <w:r w:rsidR="00443E29" w:rsidRPr="00520D7D">
        <w:rPr>
          <w:sz w:val="20"/>
          <w:szCs w:val="20"/>
        </w:rPr>
        <w:t>2 (c)</w:t>
      </w:r>
      <w:r w:rsidRPr="00520D7D">
        <w:rPr>
          <w:sz w:val="20"/>
          <w:szCs w:val="20"/>
        </w:rPr>
        <w:t xml:space="preserve"> of the provisional agenda</w:t>
      </w:r>
      <w:r w:rsidRPr="00520D7D">
        <w:rPr>
          <w:sz w:val="20"/>
          <w:szCs w:val="20"/>
        </w:rPr>
        <w:br/>
      </w:r>
      <w:r w:rsidR="00443E29" w:rsidRPr="00520D7D">
        <w:rPr>
          <w:b/>
          <w:sz w:val="20"/>
          <w:szCs w:val="20"/>
        </w:rPr>
        <w:t xml:space="preserve">Recommendations made by the Sub-Committee </w:t>
      </w:r>
      <w:r w:rsidR="00A87649" w:rsidRPr="00520D7D">
        <w:rPr>
          <w:b/>
          <w:sz w:val="20"/>
          <w:szCs w:val="20"/>
        </w:rPr>
        <w:br/>
      </w:r>
      <w:r w:rsidR="00443E29" w:rsidRPr="00520D7D">
        <w:rPr>
          <w:b/>
          <w:sz w:val="20"/>
          <w:szCs w:val="20"/>
        </w:rPr>
        <w:t xml:space="preserve">on its forty-seventh, forty-eighth </w:t>
      </w:r>
      <w:r w:rsidR="00A87649" w:rsidRPr="00520D7D">
        <w:rPr>
          <w:b/>
          <w:sz w:val="20"/>
          <w:szCs w:val="20"/>
        </w:rPr>
        <w:br/>
      </w:r>
      <w:r w:rsidR="00443E29" w:rsidRPr="00520D7D">
        <w:rPr>
          <w:b/>
          <w:sz w:val="20"/>
          <w:szCs w:val="20"/>
        </w:rPr>
        <w:t xml:space="preserve">and forty-ninth sessions and pending issues: </w:t>
      </w:r>
      <w:r w:rsidR="00A87649" w:rsidRPr="00520D7D">
        <w:rPr>
          <w:b/>
          <w:sz w:val="20"/>
          <w:szCs w:val="20"/>
        </w:rPr>
        <w:br/>
      </w:r>
      <w:r w:rsidR="00443E29" w:rsidRPr="00520D7D">
        <w:rPr>
          <w:b/>
          <w:sz w:val="20"/>
          <w:szCs w:val="20"/>
        </w:rPr>
        <w:t>listing, classification and packing</w:t>
      </w:r>
    </w:p>
    <w:p w:rsidR="00443E29" w:rsidRPr="00976143" w:rsidRDefault="00783107" w:rsidP="00443E29">
      <w:pPr>
        <w:pStyle w:val="HChG"/>
      </w:pPr>
      <w:r>
        <w:rPr>
          <w:lang w:val="en-US"/>
        </w:rPr>
        <w:tab/>
      </w:r>
      <w:r w:rsidR="00443E29">
        <w:rPr>
          <w:rFonts w:eastAsia="MS Mincho"/>
        </w:rPr>
        <w:tab/>
      </w:r>
      <w:r w:rsidR="00443E29" w:rsidRPr="00443E29">
        <w:rPr>
          <w:rFonts w:eastAsia="MS Mincho"/>
        </w:rPr>
        <w:t>Amended</w:t>
      </w:r>
      <w:r w:rsidR="00520D7D">
        <w:rPr>
          <w:rFonts w:eastAsia="MS Mincho"/>
        </w:rPr>
        <w:t xml:space="preserve"> text for the revised C</w:t>
      </w:r>
      <w:bookmarkStart w:id="0" w:name="_GoBack"/>
      <w:bookmarkEnd w:id="0"/>
      <w:r w:rsidR="00443E29">
        <w:rPr>
          <w:rFonts w:eastAsia="MS Mincho"/>
        </w:rPr>
        <w:t xml:space="preserve">hapter 2.8 </w:t>
      </w:r>
    </w:p>
    <w:p w:rsidR="00443E29" w:rsidRPr="00976143" w:rsidRDefault="00443E29" w:rsidP="00443E29">
      <w:pPr>
        <w:pStyle w:val="H1G"/>
        <w:ind w:firstLine="0"/>
      </w:pPr>
      <w:r w:rsidRPr="00976143">
        <w:t xml:space="preserve">Transmitted by </w:t>
      </w:r>
      <w:r>
        <w:t xml:space="preserve">the expert from Canada, </w:t>
      </w:r>
      <w:r w:rsidRPr="00976143">
        <w:t xml:space="preserve">the </w:t>
      </w:r>
      <w:r>
        <w:t>European Chemical Industry Council</w:t>
      </w:r>
      <w:r w:rsidRPr="00976143">
        <w:t xml:space="preserve"> </w:t>
      </w:r>
      <w:r>
        <w:t>(</w:t>
      </w:r>
      <w:r w:rsidRPr="00976143">
        <w:t>C</w:t>
      </w:r>
      <w:r>
        <w:t>EFIC) and the International Association for Soaps, Detergents and Maintenance Products (AISE)</w:t>
      </w:r>
      <w:r w:rsidR="00E83777">
        <w:rPr>
          <w:rStyle w:val="FootnoteReference"/>
        </w:rPr>
        <w:footnoteReference w:id="2"/>
      </w:r>
    </w:p>
    <w:p w:rsidR="00443E29" w:rsidRPr="007A64B7" w:rsidRDefault="00443E29" w:rsidP="00443E29">
      <w:pPr>
        <w:pStyle w:val="HChG"/>
        <w:rPr>
          <w:rFonts w:eastAsia="MS Mincho"/>
        </w:rPr>
      </w:pPr>
      <w:r>
        <w:tab/>
      </w:r>
      <w:r>
        <w:tab/>
      </w:r>
      <w:r w:rsidR="005527DA">
        <w:t>Introduction</w:t>
      </w:r>
    </w:p>
    <w:p w:rsidR="005527DA" w:rsidRPr="005527DA" w:rsidRDefault="00443E29" w:rsidP="005527DA">
      <w:pPr>
        <w:pStyle w:val="SingleTxtG"/>
      </w:pPr>
      <w:r w:rsidRPr="005527DA">
        <w:t>1.</w:t>
      </w:r>
      <w:r w:rsidRPr="005527DA">
        <w:tab/>
      </w:r>
      <w:r w:rsidR="005527DA" w:rsidRPr="005527DA">
        <w:t>A revised version of Chapter 2.8</w:t>
      </w:r>
      <w:r w:rsidRPr="005527DA">
        <w:t xml:space="preserve"> has been tentatively accepted </w:t>
      </w:r>
      <w:r w:rsidR="005527DA" w:rsidRPr="005527DA">
        <w:t>at the forty-ninth session of the Sub-</w:t>
      </w:r>
      <w:r w:rsidR="00DF5509" w:rsidRPr="005527DA">
        <w:t>Committee</w:t>
      </w:r>
      <w:r w:rsidRPr="005527DA">
        <w:t xml:space="preserve"> </w:t>
      </w:r>
      <w:r w:rsidR="005527DA" w:rsidRPr="005527DA">
        <w:t>and is reproduced in ST/SG/AC.10/C.3/98/Add.1</w:t>
      </w:r>
      <w:r w:rsidRPr="005527DA">
        <w:t xml:space="preserve">. </w:t>
      </w:r>
      <w:r w:rsidR="005527DA" w:rsidRPr="005527DA">
        <w:t>Part of this new text remains in square brackets for consideration at the fiftieth session.</w:t>
      </w:r>
    </w:p>
    <w:p w:rsidR="00443E29" w:rsidRPr="005527DA" w:rsidRDefault="005527DA" w:rsidP="005527DA">
      <w:pPr>
        <w:pStyle w:val="SingleTxtG"/>
      </w:pPr>
      <w:r w:rsidRPr="005527DA">
        <w:t>2.</w:t>
      </w:r>
      <w:r w:rsidRPr="005527DA">
        <w:tab/>
        <w:t xml:space="preserve">It is proposed to amend this text to take into account </w:t>
      </w:r>
      <w:r w:rsidR="00443E29" w:rsidRPr="005527DA">
        <w:t xml:space="preserve">the new definition, as adopted by the Sub Committee of Experts on </w:t>
      </w:r>
      <w:proofErr w:type="spellStart"/>
      <w:r w:rsidRPr="005527DA">
        <w:t>on</w:t>
      </w:r>
      <w:proofErr w:type="spellEnd"/>
      <w:r w:rsidRPr="005527DA">
        <w:t xml:space="preserve"> the Globally Harmonized System of Classification and Labelling of Chemicals</w:t>
      </w:r>
      <w:r w:rsidRPr="005527DA" w:rsidDel="005527DA">
        <w:t xml:space="preserve"> </w:t>
      </w:r>
      <w:r w:rsidR="00443E29" w:rsidRPr="005527DA">
        <w:t xml:space="preserve">(Document ST/SG/AC.10/C.4/2016/9: adopted as amended by informal document INF.26, with one additional modification to paragraph 3.1.2.3) and the explanatory text required for the specific concentration limits. The explanatory </w:t>
      </w:r>
      <w:proofErr w:type="gramStart"/>
      <w:r w:rsidR="00443E29" w:rsidRPr="005527DA">
        <w:t>text consist</w:t>
      </w:r>
      <w:proofErr w:type="gramEnd"/>
      <w:r w:rsidR="00443E29" w:rsidRPr="005527DA">
        <w:t xml:space="preserve"> of 2 parts:</w:t>
      </w:r>
    </w:p>
    <w:p w:rsidR="00443E29" w:rsidRPr="005527DA" w:rsidRDefault="00443E29" w:rsidP="000461C8">
      <w:pPr>
        <w:pStyle w:val="SingleTxtG"/>
        <w:ind w:firstLine="567"/>
      </w:pPr>
      <w:r w:rsidRPr="005527DA">
        <w:t>(a)</w:t>
      </w:r>
      <w:r w:rsidRPr="005527DA">
        <w:tab/>
        <w:t>The general approach, when specific concentration limits apply;</w:t>
      </w:r>
    </w:p>
    <w:p w:rsidR="00443E29" w:rsidRPr="005527DA" w:rsidRDefault="00443E29" w:rsidP="000461C8">
      <w:pPr>
        <w:pStyle w:val="SingleTxtG"/>
        <w:ind w:firstLine="567"/>
      </w:pPr>
      <w:r w:rsidRPr="005527DA">
        <w:t>(b)</w:t>
      </w:r>
      <w:r w:rsidRPr="005527DA">
        <w:tab/>
        <w:t>A footnote with an example how to apply the formula.</w:t>
      </w:r>
    </w:p>
    <w:p w:rsidR="00443E29" w:rsidRDefault="005527DA" w:rsidP="005527DA">
      <w:pPr>
        <w:pStyle w:val="SingleTxtG"/>
      </w:pPr>
      <w:r>
        <w:lastRenderedPageBreak/>
        <w:t>3</w:t>
      </w:r>
      <w:r w:rsidR="00443E29" w:rsidRPr="005527DA">
        <w:t>.</w:t>
      </w:r>
      <w:r w:rsidR="00443E29" w:rsidRPr="005527DA">
        <w:tab/>
        <w:t xml:space="preserve">The OECD guidelines </w:t>
      </w:r>
      <w:r>
        <w:t xml:space="preserve">referred to in 2.8.3.2 </w:t>
      </w:r>
      <w:r w:rsidR="00443E29" w:rsidRPr="005527DA">
        <w:t>are in square brackets. Canada, CEFIC and AISE support the update to newest version, as long as no retesting is required based on this update.</w:t>
      </w:r>
    </w:p>
    <w:p w:rsidR="00DF5509" w:rsidRDefault="00DF5509" w:rsidP="005527DA">
      <w:pPr>
        <w:pStyle w:val="SingleTxtG"/>
      </w:pPr>
      <w:r w:rsidRPr="0075663D">
        <w:t>4.</w:t>
      </w:r>
      <w:r w:rsidRPr="0075663D">
        <w:tab/>
        <w:t>The consolidated version of Chapter 2.8 including the following changes is reproduced in informal document INF.</w:t>
      </w:r>
      <w:r w:rsidR="000461C8">
        <w:t>5</w:t>
      </w:r>
      <w:r w:rsidRPr="0075663D">
        <w:t>.</w:t>
      </w:r>
    </w:p>
    <w:p w:rsidR="005527DA" w:rsidRDefault="005527DA" w:rsidP="005527DA">
      <w:pPr>
        <w:pStyle w:val="HChG"/>
      </w:pPr>
      <w:r>
        <w:tab/>
      </w:r>
      <w:r>
        <w:tab/>
        <w:t>Proposals</w:t>
      </w:r>
    </w:p>
    <w:p w:rsidR="005527DA" w:rsidRDefault="00DF5509" w:rsidP="005527DA">
      <w:pPr>
        <w:pStyle w:val="SingleTxtG"/>
      </w:pPr>
      <w:r>
        <w:t>5</w:t>
      </w:r>
      <w:r w:rsidR="0052114B">
        <w:t>.</w:t>
      </w:r>
      <w:r w:rsidR="0052114B">
        <w:tab/>
        <w:t>In 2.8.1.2, delete the second sentence in square brackets so that 2.8.1.2 reads:</w:t>
      </w:r>
    </w:p>
    <w:p w:rsidR="0052114B" w:rsidRDefault="0052114B" w:rsidP="003C0407">
      <w:pPr>
        <w:pStyle w:val="SingleTxtG"/>
        <w:ind w:left="1701"/>
      </w:pPr>
      <w:r w:rsidRPr="0052114B">
        <w:t xml:space="preserve">“2.8.1.2 </w:t>
      </w:r>
      <w:r w:rsidRPr="0052114B">
        <w:tab/>
        <w:t>For substances and mixtures that are corrosive to skin, general classification provisions are provided in section 2.8.2. Skin corrosion refers to the production of irreversible damage to the skin, namely, visible necrosis through the epidermis and into the dermis occurring after exposure to a substance or mixture.</w:t>
      </w:r>
      <w:proofErr w:type="gramStart"/>
      <w:r w:rsidRPr="0052114B">
        <w:t>”.</w:t>
      </w:r>
      <w:proofErr w:type="gramEnd"/>
    </w:p>
    <w:p w:rsidR="0052114B" w:rsidRDefault="00DF5509" w:rsidP="0052114B">
      <w:pPr>
        <w:pStyle w:val="SingleTxtG"/>
      </w:pPr>
      <w:r>
        <w:t>6</w:t>
      </w:r>
      <w:r w:rsidR="0052114B">
        <w:t>.</w:t>
      </w:r>
      <w:r w:rsidR="0052114B">
        <w:tab/>
        <w:t>In 2.8.3.3 (a), (b), (c) (</w:t>
      </w:r>
      <w:proofErr w:type="spellStart"/>
      <w:r w:rsidR="0052114B">
        <w:t>i</w:t>
      </w:r>
      <w:proofErr w:type="spellEnd"/>
      <w:r w:rsidR="0052114B">
        <w:t>) and (c) (ii) and in table 2.8.3.4 (three times), replace “[full thickness destruct</w:t>
      </w:r>
      <w:r w:rsidR="000F3A12">
        <w:t>ion]” by “irreversible damage”.</w:t>
      </w:r>
    </w:p>
    <w:p w:rsidR="000F3A12" w:rsidRDefault="000F3A12" w:rsidP="0052114B">
      <w:pPr>
        <w:pStyle w:val="SingleTxtG"/>
      </w:pPr>
      <w:r w:rsidRPr="0075663D">
        <w:t>7.</w:t>
      </w:r>
      <w:r w:rsidRPr="0075663D">
        <w:tab/>
        <w:t>In 2.8.2.3, replace “[full thickness destruction of human skin]” by “irreversible damage of intact skin tissue”.</w:t>
      </w:r>
    </w:p>
    <w:p w:rsidR="0052114B" w:rsidRDefault="000F3A12" w:rsidP="00A94131">
      <w:pPr>
        <w:pStyle w:val="SingleTxtG"/>
      </w:pPr>
      <w:r>
        <w:t>8</w:t>
      </w:r>
      <w:r w:rsidR="0052114B">
        <w:t>.</w:t>
      </w:r>
      <w:r w:rsidR="0052114B">
        <w:tab/>
      </w:r>
      <w:r w:rsidR="00A94131">
        <w:t xml:space="preserve">In 2.8.4.3.3, delete “When a specific concentration limit is assigned to a substance following its entry in the Dangerous Goods List or in a Special Provision, this limit shall be used instead of the generic limits in Figure 2.8.4.3. </w:t>
      </w:r>
      <w:proofErr w:type="gramStart"/>
      <w:r w:rsidR="00A94131">
        <w:t>for</w:t>
      </w:r>
      <w:proofErr w:type="gramEnd"/>
      <w:r w:rsidR="00A94131">
        <w:t xml:space="preserve"> that substance. [</w:t>
      </w:r>
      <w:proofErr w:type="gramStart"/>
      <w:r w:rsidR="00A94131">
        <w:t>insert</w:t>
      </w:r>
      <w:proofErr w:type="gramEnd"/>
      <w:r w:rsidR="00A94131">
        <w:t xml:space="preserve"> example/explanation on specific concentration limits here]”.</w:t>
      </w:r>
    </w:p>
    <w:p w:rsidR="00A94131" w:rsidRDefault="000F3A12" w:rsidP="00A94131">
      <w:pPr>
        <w:pStyle w:val="SingleTxtG"/>
      </w:pPr>
      <w:r>
        <w:t>9</w:t>
      </w:r>
      <w:r w:rsidR="00A94131">
        <w:t>.</w:t>
      </w:r>
      <w:r w:rsidR="00A94131">
        <w:tab/>
        <w:t xml:space="preserve">Insert the following new 2.8.4.3.4 and 2.8.4.3.5 and transfer Figure 2.8.4.3 after </w:t>
      </w:r>
      <w:r w:rsidR="00DF5509">
        <w:t>these</w:t>
      </w:r>
      <w:r w:rsidR="00A94131">
        <w:t xml:space="preserve"> new sub-sections:</w:t>
      </w:r>
    </w:p>
    <w:p w:rsidR="00A94131" w:rsidRDefault="00A94131" w:rsidP="003C0407">
      <w:pPr>
        <w:pStyle w:val="SingleTxtG"/>
        <w:ind w:left="1701"/>
      </w:pPr>
      <w:r>
        <w:t>“2.8.4.3.4</w:t>
      </w:r>
      <w:r>
        <w:tab/>
        <w:t>When a specific concentration limit (SCL) is assigned to a substance following its entry in the Dangerous Goods List or in a Special Provision, this limit must be used instead of the generic concentration limits (GCL). This is appears where 1% is used in the first step for the assessment of the PGI substances, and where 5% is used for the other steps respectively in Figure 2.8.4.3.</w:t>
      </w:r>
    </w:p>
    <w:p w:rsidR="00A94131" w:rsidRPr="00A94131" w:rsidRDefault="00A94131" w:rsidP="003C0407">
      <w:pPr>
        <w:pStyle w:val="SingleTxtG"/>
        <w:ind w:left="1701"/>
      </w:pPr>
      <w:r>
        <w:t>2.8.4.3.5</w:t>
      </w:r>
      <w:r>
        <w:tab/>
        <w:t>For this purpose, the summation formula for each step of the calculation method must be adapted. This means that, where applicable, the generic concentration limit must be substituted by the specific concentration limit assigned to the substance(s) (</w:t>
      </w:r>
      <w:proofErr w:type="spellStart"/>
      <w:r>
        <w:t>SCLi</w:t>
      </w:r>
      <w:proofErr w:type="spellEnd"/>
      <w:r>
        <w:t>), and the adapted formula is a weighted average of the different concentration limits assigned to the different substances in the mixture:</w:t>
      </w:r>
    </w:p>
    <w:p w:rsidR="00A94131" w:rsidRPr="00A94131" w:rsidRDefault="00EE7D9C" w:rsidP="00A94131">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A94131" w:rsidRDefault="00A94131" w:rsidP="003C0407">
      <w:pPr>
        <w:pStyle w:val="SingleTxtG"/>
        <w:ind w:firstLine="567"/>
      </w:pPr>
      <w:r>
        <w:t>Where:</w:t>
      </w:r>
    </w:p>
    <w:p w:rsidR="00A94131" w:rsidRDefault="00A94131" w:rsidP="003C0407">
      <w:pPr>
        <w:pStyle w:val="SingleTxtG"/>
        <w:ind w:left="1701"/>
      </w:pPr>
      <w:r>
        <w:t>PG xi = concentration of substance 1, 2 …</w:t>
      </w:r>
      <w:proofErr w:type="spellStart"/>
      <w:r>
        <w:t>i</w:t>
      </w:r>
      <w:proofErr w:type="spellEnd"/>
      <w:r>
        <w:t xml:space="preserve"> in the mixture, assigned to packing group x (I, II or III)</w:t>
      </w:r>
    </w:p>
    <w:p w:rsidR="00A94131" w:rsidRDefault="00A94131" w:rsidP="003C0407">
      <w:pPr>
        <w:pStyle w:val="SingleTxtG"/>
        <w:ind w:left="1701"/>
      </w:pPr>
      <w:r>
        <w:t>GCL = generic concentration limit</w:t>
      </w:r>
    </w:p>
    <w:p w:rsidR="00A94131" w:rsidRDefault="00A94131" w:rsidP="003C0407">
      <w:pPr>
        <w:pStyle w:val="SingleTxtG"/>
        <w:ind w:left="1701"/>
      </w:pPr>
      <w:proofErr w:type="spellStart"/>
      <w:r>
        <w:t>SCLi</w:t>
      </w:r>
      <w:proofErr w:type="spellEnd"/>
      <w:r>
        <w:t xml:space="preserve"> = specific concentration limit assigned to substance </w:t>
      </w:r>
      <w:proofErr w:type="spellStart"/>
      <w:r>
        <w:t>i</w:t>
      </w:r>
      <w:proofErr w:type="spellEnd"/>
      <w:r>
        <w:t xml:space="preserve"> </w:t>
      </w:r>
    </w:p>
    <w:p w:rsidR="00A94131" w:rsidRDefault="00A94131" w:rsidP="003C0407">
      <w:pPr>
        <w:pStyle w:val="SingleTxtG"/>
        <w:ind w:left="1701"/>
      </w:pPr>
      <w:r>
        <w:t>The criterion for a packing group is fulfilled when the result of the calculation is ≥ 1.</w:t>
      </w:r>
    </w:p>
    <w:p w:rsidR="00A94131" w:rsidRDefault="00A94131" w:rsidP="003C0407">
      <w:pPr>
        <w:pStyle w:val="SingleTxtG"/>
        <w:ind w:left="1701"/>
      </w:pPr>
      <w:r>
        <w:t>Examples for the application of the above formula can be found in the note below.</w:t>
      </w:r>
    </w:p>
    <w:p w:rsidR="00A94131" w:rsidRPr="00A94131" w:rsidRDefault="00A94131" w:rsidP="003C0407">
      <w:pPr>
        <w:pStyle w:val="SingleTxtG"/>
        <w:ind w:left="1701"/>
        <w:rPr>
          <w:i/>
        </w:rPr>
      </w:pPr>
      <w:r w:rsidRPr="00A94131">
        <w:rPr>
          <w:b/>
          <w:i/>
        </w:rPr>
        <w:t>NOTE:</w:t>
      </w:r>
      <w:r>
        <w:rPr>
          <w:i/>
        </w:rPr>
        <w:tab/>
      </w:r>
      <w:r w:rsidRPr="00A94131">
        <w:rPr>
          <w:i/>
        </w:rPr>
        <w:t>Examples for the application of the above formula</w:t>
      </w:r>
    </w:p>
    <w:p w:rsidR="00A94131" w:rsidRPr="00A94131" w:rsidRDefault="00A94131" w:rsidP="00106A8C">
      <w:pPr>
        <w:pStyle w:val="SingleTxtG"/>
        <w:ind w:left="1701"/>
        <w:rPr>
          <w:i/>
        </w:rPr>
      </w:pPr>
      <w:r w:rsidRPr="00A94131">
        <w:rPr>
          <w:i/>
        </w:rPr>
        <w:lastRenderedPageBreak/>
        <w:t>Example 1: A mixture contains one corrosive substance in a concentration of 5% assigned to PG I without specific concentration limit:</w:t>
      </w:r>
    </w:p>
    <w:p w:rsidR="00A94131" w:rsidRDefault="00A94131" w:rsidP="00106A8C">
      <w:pPr>
        <w:pStyle w:val="SingleTxtG"/>
        <w:ind w:left="1701"/>
      </w:pPr>
      <w:r>
        <w:rPr>
          <w:i/>
          <w:noProof/>
          <w:lang w:eastAsia="en-GB"/>
        </w:rPr>
        <mc:AlternateContent>
          <mc:Choice Requires="wps">
            <w:drawing>
              <wp:anchor distT="0" distB="0" distL="114300" distR="114300" simplePos="0" relativeHeight="251661312" behindDoc="0" locked="0" layoutInCell="1" allowOverlap="1" wp14:anchorId="44D3846E" wp14:editId="018C57F7">
                <wp:simplePos x="0" y="0"/>
                <wp:positionH relativeFrom="column">
                  <wp:posOffset>2929890</wp:posOffset>
                </wp:positionH>
                <wp:positionV relativeFrom="paragraph">
                  <wp:posOffset>69703</wp:posOffset>
                </wp:positionV>
                <wp:extent cx="170822" cy="80386"/>
                <wp:effectExtent l="0" t="19050" r="38735" b="34290"/>
                <wp:wrapNone/>
                <wp:docPr id="28"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230.7pt;margin-top:5.5pt;width:13.4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" adj="16518" fillcolor="black [3213]" strokecolor="black [3213]" strokeweight="1pt"/>
            </w:pict>
          </mc:Fallback>
        </mc:AlternateContent>
      </w:r>
      <w:r w:rsidRPr="00A94131">
        <w:rPr>
          <w:i/>
        </w:rPr>
        <w:t xml:space="preserve">Calculation for PG I: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 (GCL)</m:t>
            </m:r>
          </m:den>
        </m:f>
        <m:r>
          <w:rPr>
            <w:rFonts w:ascii="Cambria Math" w:hAnsi="Cambria Math"/>
            <w:sz w:val="18"/>
            <w:szCs w:val="18"/>
          </w:rPr>
          <m:t>=1</m:t>
        </m:r>
      </m:oMath>
      <w:r>
        <w:rPr>
          <w:i/>
          <w:sz w:val="18"/>
          <w:szCs w:val="18"/>
        </w:rPr>
        <w:tab/>
      </w:r>
      <w:r>
        <w:rPr>
          <w:i/>
          <w:sz w:val="18"/>
          <w:szCs w:val="18"/>
        </w:rPr>
        <w:tab/>
      </w:r>
      <w:r w:rsidRPr="00A94131">
        <w:rPr>
          <w:i/>
          <w:sz w:val="18"/>
          <w:szCs w:val="18"/>
        </w:rPr>
        <w:t xml:space="preserve"> </w:t>
      </w:r>
      <w:r w:rsidRPr="00A94131">
        <w:rPr>
          <w:i/>
        </w:rPr>
        <w:t xml:space="preserve"> assign to </w:t>
      </w:r>
      <w:r w:rsidR="00DF5509">
        <w:rPr>
          <w:i/>
        </w:rPr>
        <w:t>C</w:t>
      </w:r>
      <w:r w:rsidRPr="00A94131">
        <w:rPr>
          <w:i/>
        </w:rPr>
        <w:t>lass 8, PG I</w:t>
      </w:r>
    </w:p>
    <w:p w:rsidR="00A94131" w:rsidRPr="00DF5509" w:rsidRDefault="00A94131" w:rsidP="00106A8C">
      <w:pPr>
        <w:pStyle w:val="SingleTxtG"/>
        <w:ind w:left="1701"/>
        <w:rPr>
          <w:i/>
        </w:rPr>
      </w:pPr>
      <w:r w:rsidRPr="00DF5509">
        <w:rPr>
          <w:i/>
        </w:rPr>
        <w:t>Example 2: A mixture contains three substances corrosive to skin two of them (A and B) have specific concentration limits; for the third one (C) the generic concentration limits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DF5509" w:rsidRPr="00A94131" w:rsidTr="00DF5509">
        <w:trPr>
          <w:cantSplit/>
          <w:tblHeader/>
        </w:trPr>
        <w:tc>
          <w:tcPr>
            <w:tcW w:w="1922" w:type="dxa"/>
          </w:tcPr>
          <w:p w:rsidR="00DF5509" w:rsidRPr="00A94131" w:rsidRDefault="00DF5509" w:rsidP="00DF5509">
            <w:pPr>
              <w:keepNext/>
              <w:keepLines/>
              <w:rPr>
                <w:i/>
                <w:sz w:val="18"/>
                <w:szCs w:val="18"/>
              </w:rPr>
            </w:pPr>
            <w:r w:rsidRPr="00A94131">
              <w:rPr>
                <w:i/>
                <w:sz w:val="18"/>
                <w:szCs w:val="18"/>
              </w:rPr>
              <w:t>Substance X in the mixture and its PG assignment within class 8</w:t>
            </w:r>
          </w:p>
        </w:tc>
        <w:tc>
          <w:tcPr>
            <w:tcW w:w="1192" w:type="dxa"/>
          </w:tcPr>
          <w:p w:rsidR="00DF5509" w:rsidRPr="00A94131" w:rsidRDefault="00DF5509" w:rsidP="00DF5509">
            <w:pPr>
              <w:keepNext/>
              <w:keepLines/>
              <w:rPr>
                <w:i/>
                <w:sz w:val="18"/>
                <w:szCs w:val="18"/>
              </w:rPr>
            </w:pPr>
            <w:r w:rsidRPr="00A94131">
              <w:rPr>
                <w:i/>
                <w:sz w:val="18"/>
                <w:szCs w:val="18"/>
              </w:rPr>
              <w:t>Concentration (</w:t>
            </w:r>
            <w:proofErr w:type="spellStart"/>
            <w:r w:rsidRPr="00A94131">
              <w:rPr>
                <w:i/>
                <w:sz w:val="18"/>
                <w:szCs w:val="18"/>
              </w:rPr>
              <w:t>conc</w:t>
            </w:r>
            <w:proofErr w:type="spellEnd"/>
            <w:r w:rsidRPr="00A94131">
              <w:rPr>
                <w:i/>
                <w:sz w:val="18"/>
                <w:szCs w:val="18"/>
              </w:rPr>
              <w:t>)in the mixture in %</w:t>
            </w:r>
          </w:p>
        </w:tc>
        <w:tc>
          <w:tcPr>
            <w:tcW w:w="1559" w:type="dxa"/>
          </w:tcPr>
          <w:p w:rsidR="00DF5509" w:rsidRPr="00A94131" w:rsidRDefault="00DF5509" w:rsidP="00DF5509">
            <w:pPr>
              <w:keepNext/>
              <w:keepLines/>
              <w:rPr>
                <w:i/>
                <w:sz w:val="18"/>
                <w:szCs w:val="18"/>
              </w:rPr>
            </w:pPr>
            <w:r w:rsidRPr="00A94131">
              <w:rPr>
                <w:i/>
                <w:sz w:val="18"/>
                <w:szCs w:val="18"/>
              </w:rPr>
              <w:t>Specific concentration limit (SCL)for PG I</w:t>
            </w:r>
          </w:p>
        </w:tc>
        <w:tc>
          <w:tcPr>
            <w:tcW w:w="1559" w:type="dxa"/>
          </w:tcPr>
          <w:p w:rsidR="00DF5509" w:rsidRPr="00A94131" w:rsidRDefault="00DF5509" w:rsidP="00DF5509">
            <w:pPr>
              <w:keepNext/>
              <w:keepLines/>
              <w:rPr>
                <w:i/>
                <w:sz w:val="18"/>
                <w:szCs w:val="18"/>
              </w:rPr>
            </w:pPr>
            <w:r w:rsidRPr="00A94131">
              <w:rPr>
                <w:i/>
                <w:sz w:val="18"/>
                <w:szCs w:val="18"/>
              </w:rPr>
              <w:t>Specific concentration limit (SCL) for PG II</w:t>
            </w:r>
          </w:p>
        </w:tc>
        <w:tc>
          <w:tcPr>
            <w:tcW w:w="1560" w:type="dxa"/>
          </w:tcPr>
          <w:p w:rsidR="00DF5509" w:rsidRPr="00A94131" w:rsidRDefault="00DF5509" w:rsidP="00DF5509">
            <w:pPr>
              <w:keepNext/>
              <w:keepLines/>
              <w:rPr>
                <w:i/>
                <w:sz w:val="18"/>
                <w:szCs w:val="18"/>
              </w:rPr>
            </w:pPr>
            <w:r w:rsidRPr="00A94131">
              <w:rPr>
                <w:i/>
                <w:sz w:val="18"/>
                <w:szCs w:val="18"/>
              </w:rPr>
              <w:t>Specific concentration limit (SCL) for PG III</w:t>
            </w:r>
          </w:p>
        </w:tc>
      </w:tr>
      <w:tr w:rsidR="00DF5509" w:rsidRPr="00A94131" w:rsidTr="00DF5509">
        <w:trPr>
          <w:cantSplit/>
        </w:trPr>
        <w:tc>
          <w:tcPr>
            <w:tcW w:w="1922" w:type="dxa"/>
          </w:tcPr>
          <w:p w:rsidR="00DF5509" w:rsidRPr="00A94131" w:rsidRDefault="00DF5509" w:rsidP="00DF5509">
            <w:pPr>
              <w:keepNext/>
              <w:keepLines/>
              <w:rPr>
                <w:i/>
                <w:sz w:val="18"/>
                <w:szCs w:val="18"/>
              </w:rPr>
            </w:pPr>
            <w:r w:rsidRPr="00A94131">
              <w:rPr>
                <w:i/>
                <w:sz w:val="18"/>
                <w:szCs w:val="18"/>
              </w:rPr>
              <w:t>A, assigned to PG I</w:t>
            </w:r>
          </w:p>
        </w:tc>
        <w:tc>
          <w:tcPr>
            <w:tcW w:w="1192" w:type="dxa"/>
          </w:tcPr>
          <w:p w:rsidR="00DF5509" w:rsidRPr="00A94131" w:rsidRDefault="00DF5509" w:rsidP="00DF5509">
            <w:pPr>
              <w:keepNext/>
              <w:keepLines/>
              <w:rPr>
                <w:i/>
                <w:sz w:val="18"/>
                <w:szCs w:val="18"/>
              </w:rPr>
            </w:pPr>
            <w:r w:rsidRPr="00A94131">
              <w:rPr>
                <w:i/>
                <w:sz w:val="18"/>
                <w:szCs w:val="18"/>
              </w:rPr>
              <w:t>3</w:t>
            </w:r>
          </w:p>
        </w:tc>
        <w:tc>
          <w:tcPr>
            <w:tcW w:w="1559" w:type="dxa"/>
          </w:tcPr>
          <w:p w:rsidR="00DF5509" w:rsidRPr="00A94131" w:rsidRDefault="00DF5509" w:rsidP="00DF5509">
            <w:pPr>
              <w:keepNext/>
              <w:keepLines/>
              <w:rPr>
                <w:i/>
                <w:sz w:val="18"/>
                <w:szCs w:val="18"/>
              </w:rPr>
            </w:pPr>
            <w:r w:rsidRPr="00A94131">
              <w:rPr>
                <w:i/>
                <w:sz w:val="18"/>
                <w:szCs w:val="18"/>
              </w:rPr>
              <w:t>30%</w:t>
            </w:r>
          </w:p>
        </w:tc>
        <w:tc>
          <w:tcPr>
            <w:tcW w:w="1559" w:type="dxa"/>
          </w:tcPr>
          <w:p w:rsidR="00DF5509" w:rsidRPr="00A94131" w:rsidRDefault="00DF5509" w:rsidP="00DF5509">
            <w:pPr>
              <w:keepNext/>
              <w:keepLines/>
              <w:rPr>
                <w:i/>
                <w:sz w:val="18"/>
                <w:szCs w:val="18"/>
              </w:rPr>
            </w:pPr>
            <w:r w:rsidRPr="00A94131">
              <w:rPr>
                <w:i/>
                <w:sz w:val="18"/>
                <w:szCs w:val="18"/>
              </w:rPr>
              <w:t>none</w:t>
            </w:r>
          </w:p>
        </w:tc>
        <w:tc>
          <w:tcPr>
            <w:tcW w:w="1560" w:type="dxa"/>
          </w:tcPr>
          <w:p w:rsidR="00DF5509" w:rsidRPr="00A94131" w:rsidRDefault="00DF5509" w:rsidP="00DF5509">
            <w:pPr>
              <w:keepNext/>
              <w:keepLines/>
              <w:rPr>
                <w:i/>
                <w:sz w:val="18"/>
                <w:szCs w:val="18"/>
              </w:rPr>
            </w:pPr>
            <w:r w:rsidRPr="00A94131">
              <w:rPr>
                <w:i/>
                <w:sz w:val="18"/>
                <w:szCs w:val="18"/>
              </w:rPr>
              <w:t>none</w:t>
            </w:r>
          </w:p>
        </w:tc>
      </w:tr>
      <w:tr w:rsidR="00DF5509" w:rsidRPr="00A94131" w:rsidTr="00DF5509">
        <w:trPr>
          <w:cantSplit/>
        </w:trPr>
        <w:tc>
          <w:tcPr>
            <w:tcW w:w="1922" w:type="dxa"/>
          </w:tcPr>
          <w:p w:rsidR="00DF5509" w:rsidRPr="00A94131" w:rsidRDefault="00DF5509" w:rsidP="00DF5509">
            <w:pPr>
              <w:keepNext/>
              <w:keepLines/>
              <w:rPr>
                <w:i/>
                <w:sz w:val="18"/>
                <w:szCs w:val="18"/>
              </w:rPr>
            </w:pPr>
            <w:r w:rsidRPr="00A94131">
              <w:rPr>
                <w:i/>
                <w:sz w:val="18"/>
                <w:szCs w:val="18"/>
              </w:rPr>
              <w:t>B, assigned to PG I</w:t>
            </w:r>
          </w:p>
        </w:tc>
        <w:tc>
          <w:tcPr>
            <w:tcW w:w="1192" w:type="dxa"/>
          </w:tcPr>
          <w:p w:rsidR="00DF5509" w:rsidRPr="00A94131" w:rsidRDefault="00DF5509" w:rsidP="00DF5509">
            <w:pPr>
              <w:keepNext/>
              <w:keepLines/>
              <w:rPr>
                <w:i/>
                <w:sz w:val="18"/>
                <w:szCs w:val="18"/>
              </w:rPr>
            </w:pPr>
            <w:r w:rsidRPr="00A94131">
              <w:rPr>
                <w:i/>
                <w:sz w:val="18"/>
                <w:szCs w:val="18"/>
              </w:rPr>
              <w:t>2</w:t>
            </w:r>
          </w:p>
        </w:tc>
        <w:tc>
          <w:tcPr>
            <w:tcW w:w="1559" w:type="dxa"/>
          </w:tcPr>
          <w:p w:rsidR="00DF5509" w:rsidRPr="00A94131" w:rsidRDefault="00DF5509" w:rsidP="00DF5509">
            <w:pPr>
              <w:keepNext/>
              <w:keepLines/>
              <w:rPr>
                <w:i/>
                <w:sz w:val="18"/>
                <w:szCs w:val="18"/>
              </w:rPr>
            </w:pPr>
            <w:r w:rsidRPr="00A94131">
              <w:rPr>
                <w:i/>
                <w:sz w:val="18"/>
                <w:szCs w:val="18"/>
              </w:rPr>
              <w:t>20%</w:t>
            </w:r>
          </w:p>
        </w:tc>
        <w:tc>
          <w:tcPr>
            <w:tcW w:w="1559" w:type="dxa"/>
          </w:tcPr>
          <w:p w:rsidR="00DF5509" w:rsidRPr="00A94131" w:rsidRDefault="00DF5509" w:rsidP="00DF5509">
            <w:pPr>
              <w:keepNext/>
              <w:keepLines/>
              <w:rPr>
                <w:i/>
                <w:sz w:val="18"/>
                <w:szCs w:val="18"/>
              </w:rPr>
            </w:pPr>
            <w:r w:rsidRPr="00A94131">
              <w:rPr>
                <w:i/>
                <w:sz w:val="18"/>
                <w:szCs w:val="18"/>
              </w:rPr>
              <w:t>10%</w:t>
            </w:r>
          </w:p>
        </w:tc>
        <w:tc>
          <w:tcPr>
            <w:tcW w:w="1560" w:type="dxa"/>
          </w:tcPr>
          <w:p w:rsidR="00DF5509" w:rsidRPr="00A94131" w:rsidRDefault="00DF5509" w:rsidP="00DF5509">
            <w:pPr>
              <w:keepNext/>
              <w:keepLines/>
              <w:rPr>
                <w:i/>
                <w:sz w:val="18"/>
                <w:szCs w:val="18"/>
              </w:rPr>
            </w:pPr>
            <w:r w:rsidRPr="00A94131">
              <w:rPr>
                <w:i/>
                <w:sz w:val="18"/>
                <w:szCs w:val="18"/>
              </w:rPr>
              <w:t>none</w:t>
            </w:r>
          </w:p>
        </w:tc>
      </w:tr>
      <w:tr w:rsidR="00DF5509" w:rsidRPr="00A94131" w:rsidTr="00DF5509">
        <w:trPr>
          <w:cantSplit/>
        </w:trPr>
        <w:tc>
          <w:tcPr>
            <w:tcW w:w="1922" w:type="dxa"/>
          </w:tcPr>
          <w:p w:rsidR="00DF5509" w:rsidRPr="00A94131" w:rsidRDefault="00DF5509" w:rsidP="00DF5509">
            <w:pPr>
              <w:keepNext/>
              <w:keepLines/>
              <w:rPr>
                <w:i/>
                <w:sz w:val="18"/>
                <w:szCs w:val="18"/>
              </w:rPr>
            </w:pPr>
            <w:r w:rsidRPr="00A94131">
              <w:rPr>
                <w:i/>
                <w:sz w:val="18"/>
                <w:szCs w:val="18"/>
              </w:rPr>
              <w:t>C, assigned to PG III</w:t>
            </w:r>
          </w:p>
        </w:tc>
        <w:tc>
          <w:tcPr>
            <w:tcW w:w="1192" w:type="dxa"/>
          </w:tcPr>
          <w:p w:rsidR="00DF5509" w:rsidRPr="00A94131" w:rsidRDefault="00DF5509" w:rsidP="00DF5509">
            <w:pPr>
              <w:keepNext/>
              <w:keepLines/>
              <w:rPr>
                <w:i/>
                <w:sz w:val="18"/>
                <w:szCs w:val="18"/>
              </w:rPr>
            </w:pPr>
            <w:r w:rsidRPr="00A94131">
              <w:rPr>
                <w:i/>
                <w:sz w:val="18"/>
                <w:szCs w:val="18"/>
              </w:rPr>
              <w:t>10</w:t>
            </w:r>
          </w:p>
        </w:tc>
        <w:tc>
          <w:tcPr>
            <w:tcW w:w="1559" w:type="dxa"/>
          </w:tcPr>
          <w:p w:rsidR="00DF5509" w:rsidRPr="00A94131" w:rsidRDefault="00DF5509" w:rsidP="00DF5509">
            <w:pPr>
              <w:keepNext/>
              <w:keepLines/>
              <w:rPr>
                <w:i/>
                <w:sz w:val="18"/>
                <w:szCs w:val="18"/>
              </w:rPr>
            </w:pPr>
            <w:r w:rsidRPr="00A94131">
              <w:rPr>
                <w:i/>
                <w:sz w:val="18"/>
                <w:szCs w:val="18"/>
              </w:rPr>
              <w:t>none</w:t>
            </w:r>
          </w:p>
        </w:tc>
        <w:tc>
          <w:tcPr>
            <w:tcW w:w="1559" w:type="dxa"/>
          </w:tcPr>
          <w:p w:rsidR="00DF5509" w:rsidRPr="00A94131" w:rsidRDefault="00DF5509" w:rsidP="00DF5509">
            <w:pPr>
              <w:keepNext/>
              <w:keepLines/>
              <w:rPr>
                <w:i/>
                <w:sz w:val="18"/>
                <w:szCs w:val="18"/>
              </w:rPr>
            </w:pPr>
            <w:r w:rsidRPr="00A94131">
              <w:rPr>
                <w:i/>
                <w:sz w:val="18"/>
                <w:szCs w:val="18"/>
              </w:rPr>
              <w:t>none</w:t>
            </w:r>
          </w:p>
        </w:tc>
        <w:tc>
          <w:tcPr>
            <w:tcW w:w="1560" w:type="dxa"/>
          </w:tcPr>
          <w:p w:rsidR="00DF5509" w:rsidRPr="00A94131" w:rsidRDefault="00DF5509" w:rsidP="00DF5509">
            <w:pPr>
              <w:keepNext/>
              <w:keepLines/>
              <w:rPr>
                <w:i/>
                <w:sz w:val="18"/>
                <w:szCs w:val="18"/>
              </w:rPr>
            </w:pPr>
            <w:r w:rsidRPr="00A94131">
              <w:rPr>
                <w:i/>
                <w:sz w:val="18"/>
                <w:szCs w:val="18"/>
              </w:rPr>
              <w:t>none</w:t>
            </w:r>
          </w:p>
        </w:tc>
      </w:tr>
    </w:tbl>
    <w:p w:rsidR="00DF5509" w:rsidRPr="00A94131" w:rsidRDefault="00A94131" w:rsidP="00E01426">
      <w:pPr>
        <w:spacing w:before="120" w:after="120"/>
        <w:ind w:left="1701"/>
        <w:rPr>
          <w:i/>
          <w:sz w:val="18"/>
          <w:szCs w:val="18"/>
        </w:rPr>
      </w:pPr>
      <w:r w:rsidRPr="00DF5509">
        <w:rPr>
          <w:i/>
        </w:rPr>
        <w:t>Calculation for packing group I:</w:t>
      </w:r>
      <w:r w:rsidRPr="00DF5509">
        <w:rPr>
          <w:i/>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30 (SCL PGI)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20 (SCL PGI)</m:t>
            </m:r>
          </m:den>
        </m:f>
        <m:r>
          <w:rPr>
            <w:rFonts w:ascii="Cambria Math" w:hAnsi="Cambria Math"/>
            <w:sz w:val="18"/>
            <w:szCs w:val="18"/>
            <w:vertAlign w:val="subscript"/>
          </w:rPr>
          <m:t>=0,2&lt;1</m:t>
        </m:r>
      </m:oMath>
    </w:p>
    <w:p w:rsidR="00A94131" w:rsidRPr="00DF5509" w:rsidRDefault="00A94131" w:rsidP="00E01426">
      <w:pPr>
        <w:pStyle w:val="SingleTxtG"/>
        <w:spacing w:before="120"/>
        <w:ind w:left="1701"/>
        <w:rPr>
          <w:i/>
        </w:rPr>
      </w:pPr>
      <w:r w:rsidRPr="00DF5509">
        <w:rPr>
          <w:i/>
        </w:rPr>
        <w:t>The criterion for packing group I is not fulfilled.</w:t>
      </w:r>
    </w:p>
    <w:p w:rsidR="00DF5509" w:rsidRPr="00A94131" w:rsidRDefault="00A94131" w:rsidP="00E01426">
      <w:pPr>
        <w:spacing w:before="120" w:after="120"/>
        <w:ind w:left="1701"/>
        <w:rPr>
          <w:i/>
          <w:sz w:val="18"/>
          <w:szCs w:val="18"/>
          <w:vertAlign w:val="subscript"/>
        </w:rPr>
      </w:pPr>
      <w:r w:rsidRPr="00DF5509">
        <w:rPr>
          <w:i/>
        </w:rPr>
        <w:t>Calculation for packing group II:</w:t>
      </w:r>
      <w:r w:rsidRPr="00DF5509">
        <w:rPr>
          <w:i/>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5 (GCL PG 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10 (SCL PG II)</m:t>
            </m:r>
          </m:den>
        </m:f>
        <m:r>
          <w:rPr>
            <w:rFonts w:ascii="Cambria Math" w:hAnsi="Cambria Math"/>
            <w:sz w:val="18"/>
            <w:szCs w:val="18"/>
            <w:vertAlign w:val="subscript"/>
          </w:rPr>
          <m:t>=0,8&lt;1</m:t>
        </m:r>
      </m:oMath>
    </w:p>
    <w:p w:rsidR="00A94131" w:rsidRPr="00DF5509" w:rsidRDefault="00A94131" w:rsidP="00E01426">
      <w:pPr>
        <w:pStyle w:val="SingleTxtG"/>
        <w:spacing w:before="120"/>
        <w:ind w:left="1701"/>
        <w:rPr>
          <w:i/>
        </w:rPr>
      </w:pPr>
      <w:r w:rsidRPr="00DF5509">
        <w:rPr>
          <w:i/>
        </w:rPr>
        <w:t>The criterion for packing group II is not fulfilled.</w:t>
      </w:r>
    </w:p>
    <w:p w:rsidR="00DF5509" w:rsidRPr="00A94131" w:rsidRDefault="00A94131" w:rsidP="00E01426">
      <w:pPr>
        <w:spacing w:before="120" w:after="120"/>
        <w:ind w:left="1701"/>
        <w:rPr>
          <w:i/>
          <w:sz w:val="18"/>
          <w:szCs w:val="18"/>
          <w:vertAlign w:val="subscript"/>
        </w:rPr>
      </w:pPr>
      <w:r w:rsidRPr="00DF5509">
        <w:rPr>
          <w:i/>
        </w:rPr>
        <w:t>Calculation for packing group III:</w:t>
      </w:r>
      <w:r w:rsidRPr="00DF5509">
        <w:rPr>
          <w:i/>
        </w:rPr>
        <w:tab/>
      </w:r>
      <m:oMath>
        <m:f>
          <m:fPr>
            <m:ctrlPr>
              <w:rPr>
                <w:rFonts w:ascii="Cambria Math" w:hAnsi="Cambria Math"/>
                <w:i/>
                <w:sz w:val="18"/>
                <w:szCs w:val="18"/>
                <w:vertAlign w:val="subscript"/>
              </w:rPr>
            </m:ctrlPr>
          </m:fPr>
          <m:num>
            <m:r>
              <w:rPr>
                <w:rFonts w:ascii="Cambria Math" w:hAnsi="Cambria Math"/>
                <w:sz w:val="18"/>
                <w:szCs w:val="18"/>
              </w:rPr>
              <m:t>3 (conc A)</m:t>
            </m:r>
          </m:num>
          <m:den>
            <m:r>
              <w:rPr>
                <w:rFonts w:ascii="Cambria Math" w:hAnsi="Cambria Math"/>
                <w:sz w:val="18"/>
                <w:szCs w:val="18"/>
                <w:vertAlign w:val="subscript"/>
              </w:rPr>
              <m:t>5 (GCL PGIII)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2 (conc B)  </m:t>
            </m:r>
          </m:num>
          <m:den>
            <m:r>
              <w:rPr>
                <w:rFonts w:ascii="Cambria Math" w:hAnsi="Cambria Math"/>
                <w:sz w:val="18"/>
                <w:szCs w:val="18"/>
                <w:vertAlign w:val="subscript"/>
              </w:rPr>
              <m:t>5 (GCL PG III)</m:t>
            </m:r>
          </m:den>
        </m:f>
        <m:r>
          <w:rPr>
            <w:rFonts w:ascii="Cambria Math" w:hAnsi="Cambria Math"/>
            <w:sz w:val="18"/>
            <w:szCs w:val="18"/>
            <w:vertAlign w:val="subscript"/>
          </w:rPr>
          <m:t xml:space="preserve"> + </m:t>
        </m:r>
        <m:f>
          <m:fPr>
            <m:ctrlPr>
              <w:rPr>
                <w:rFonts w:ascii="Cambria Math" w:hAnsi="Cambria Math"/>
                <w:i/>
                <w:sz w:val="18"/>
                <w:szCs w:val="18"/>
                <w:vertAlign w:val="subscript"/>
              </w:rPr>
            </m:ctrlPr>
          </m:fPr>
          <m:num>
            <m:r>
              <w:rPr>
                <w:rFonts w:ascii="Cambria Math" w:hAnsi="Cambria Math"/>
                <w:sz w:val="18"/>
                <w:szCs w:val="18"/>
                <w:vertAlign w:val="subscript"/>
              </w:rPr>
              <m:t xml:space="preserve">10 (conc C)  </m:t>
            </m:r>
          </m:num>
          <m:den>
            <m:r>
              <w:rPr>
                <w:rFonts w:ascii="Cambria Math" w:hAnsi="Cambria Math"/>
                <w:sz w:val="18"/>
                <w:szCs w:val="18"/>
                <w:vertAlign w:val="subscript"/>
              </w:rPr>
              <m:t>5 GCL PG III)</m:t>
            </m:r>
          </m:den>
        </m:f>
        <m:r>
          <w:rPr>
            <w:rFonts w:ascii="Cambria Math" w:hAnsi="Cambria Math"/>
            <w:sz w:val="18"/>
            <w:szCs w:val="18"/>
            <w:vertAlign w:val="subscript"/>
          </w:rPr>
          <m:t>=3 ≥ 1</m:t>
        </m:r>
      </m:oMath>
    </w:p>
    <w:p w:rsidR="00A94131" w:rsidRPr="00DF5509" w:rsidRDefault="00A94131" w:rsidP="00E01426">
      <w:pPr>
        <w:pStyle w:val="SingleTxtG"/>
        <w:spacing w:before="120"/>
        <w:ind w:left="1701"/>
        <w:rPr>
          <w:i/>
        </w:rPr>
      </w:pPr>
      <w:r w:rsidRPr="00DF5509">
        <w:rPr>
          <w:i/>
        </w:rPr>
        <w:t xml:space="preserve">The criterion for packing group III is fulfilled, the mixture shall be assigned to </w:t>
      </w:r>
      <w:r w:rsidR="00DF5509">
        <w:rPr>
          <w:i/>
        </w:rPr>
        <w:t>C</w:t>
      </w:r>
      <w:r w:rsidRPr="00DF5509">
        <w:rPr>
          <w:i/>
        </w:rPr>
        <w:t>lass</w:t>
      </w:r>
      <w:r w:rsidR="00E01426">
        <w:rPr>
          <w:i/>
        </w:rPr>
        <w:t> </w:t>
      </w:r>
      <w:r w:rsidRPr="00DF5509">
        <w:rPr>
          <w:i/>
        </w:rPr>
        <w:t>8, packing group III.</w:t>
      </w:r>
      <w:proofErr w:type="gramStart"/>
      <w:r w:rsidR="00DF5509">
        <w:rPr>
          <w:i/>
        </w:rPr>
        <w:t>”.</w:t>
      </w:r>
      <w:proofErr w:type="gramEnd"/>
    </w:p>
    <w:p w:rsidR="002F00A4" w:rsidRPr="00A87649" w:rsidRDefault="00A87649" w:rsidP="00A87649">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2F00A4" w:rsidRPr="00A87649"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E7D9C">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E7D9C">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E83777" w:rsidRPr="00E83777" w:rsidRDefault="00E83777" w:rsidP="00E83777">
      <w:pPr>
        <w:pStyle w:val="FootnoteText"/>
        <w:tabs>
          <w:tab w:val="left" w:pos="1418"/>
        </w:tabs>
        <w:ind w:firstLine="0"/>
        <w:rPr>
          <w:lang w:val="fr-CH"/>
        </w:rPr>
      </w:pPr>
      <w:r>
        <w:rPr>
          <w:rStyle w:val="FootnoteReference"/>
        </w:rPr>
        <w:footnoteRef/>
      </w:r>
      <w:r>
        <w:t xml:space="preserve"> </w:t>
      </w:r>
      <w:r>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443E29">
      <w:t>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443E29">
      <w:t>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AA02E1A"/>
    <w:multiLevelType w:val="hybridMultilevel"/>
    <w:tmpl w:val="AB2408B8"/>
    <w:lvl w:ilvl="0" w:tplc="3E247456">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2"/>
  </w:num>
  <w:num w:numId="16">
    <w:abstractNumId w:val="15"/>
  </w:num>
  <w:num w:numId="17">
    <w:abstractNumId w:val="17"/>
  </w:num>
  <w:num w:numId="18">
    <w:abstractNumId w:val="18"/>
  </w:num>
  <w:num w:numId="19">
    <w:abstractNumId w:val="13"/>
  </w:num>
  <w:num w:numId="20">
    <w:abstractNumId w:val="23"/>
  </w:num>
  <w:num w:numId="21">
    <w:abstractNumId w:val="12"/>
  </w:num>
  <w:num w:numId="22">
    <w:abstractNumId w:val="19"/>
  </w:num>
  <w:num w:numId="23">
    <w:abstractNumId w:val="16"/>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61C8"/>
    <w:rsid w:val="00047F82"/>
    <w:rsid w:val="000504CE"/>
    <w:rsid w:val="00050F6B"/>
    <w:rsid w:val="00053E46"/>
    <w:rsid w:val="000572CA"/>
    <w:rsid w:val="00072C8C"/>
    <w:rsid w:val="00082AB3"/>
    <w:rsid w:val="00083B73"/>
    <w:rsid w:val="00091419"/>
    <w:rsid w:val="000931C0"/>
    <w:rsid w:val="000B175B"/>
    <w:rsid w:val="000B3A0F"/>
    <w:rsid w:val="000C2086"/>
    <w:rsid w:val="000C74F8"/>
    <w:rsid w:val="000D58F6"/>
    <w:rsid w:val="000D734E"/>
    <w:rsid w:val="000E0415"/>
    <w:rsid w:val="000F3A12"/>
    <w:rsid w:val="000F6C26"/>
    <w:rsid w:val="000F7AB3"/>
    <w:rsid w:val="00105236"/>
    <w:rsid w:val="00106A8C"/>
    <w:rsid w:val="00107523"/>
    <w:rsid w:val="00117787"/>
    <w:rsid w:val="00131D42"/>
    <w:rsid w:val="001633FB"/>
    <w:rsid w:val="00167786"/>
    <w:rsid w:val="001810F7"/>
    <w:rsid w:val="00184E75"/>
    <w:rsid w:val="001924C5"/>
    <w:rsid w:val="001A537C"/>
    <w:rsid w:val="001B4B04"/>
    <w:rsid w:val="001C36C9"/>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7785"/>
    <w:rsid w:val="00241466"/>
    <w:rsid w:val="00247149"/>
    <w:rsid w:val="00254AD0"/>
    <w:rsid w:val="00255C1E"/>
    <w:rsid w:val="002656C7"/>
    <w:rsid w:val="002725CA"/>
    <w:rsid w:val="00274950"/>
    <w:rsid w:val="00277A29"/>
    <w:rsid w:val="00280EB7"/>
    <w:rsid w:val="00281C3B"/>
    <w:rsid w:val="002B1CDA"/>
    <w:rsid w:val="002B4076"/>
    <w:rsid w:val="002B63BD"/>
    <w:rsid w:val="002C1AE8"/>
    <w:rsid w:val="002C2549"/>
    <w:rsid w:val="002D460D"/>
    <w:rsid w:val="002F00A4"/>
    <w:rsid w:val="0030379C"/>
    <w:rsid w:val="003107FA"/>
    <w:rsid w:val="0032058E"/>
    <w:rsid w:val="003229D8"/>
    <w:rsid w:val="00323424"/>
    <w:rsid w:val="0032486A"/>
    <w:rsid w:val="00337633"/>
    <w:rsid w:val="0034759C"/>
    <w:rsid w:val="0036127B"/>
    <w:rsid w:val="00375E8A"/>
    <w:rsid w:val="0039277A"/>
    <w:rsid w:val="00392D73"/>
    <w:rsid w:val="003972E0"/>
    <w:rsid w:val="003A0447"/>
    <w:rsid w:val="003A0C75"/>
    <w:rsid w:val="003A5CDB"/>
    <w:rsid w:val="003B62AF"/>
    <w:rsid w:val="003C0407"/>
    <w:rsid w:val="003C2CC4"/>
    <w:rsid w:val="003D4B23"/>
    <w:rsid w:val="003E099E"/>
    <w:rsid w:val="003E5A57"/>
    <w:rsid w:val="004043C0"/>
    <w:rsid w:val="0042233A"/>
    <w:rsid w:val="004262E2"/>
    <w:rsid w:val="00431FA3"/>
    <w:rsid w:val="004325CB"/>
    <w:rsid w:val="00432930"/>
    <w:rsid w:val="00437F3F"/>
    <w:rsid w:val="00442DF8"/>
    <w:rsid w:val="00443E29"/>
    <w:rsid w:val="00444615"/>
    <w:rsid w:val="00446DE4"/>
    <w:rsid w:val="00451925"/>
    <w:rsid w:val="00454036"/>
    <w:rsid w:val="00465AFB"/>
    <w:rsid w:val="00470BF5"/>
    <w:rsid w:val="00477D30"/>
    <w:rsid w:val="00483009"/>
    <w:rsid w:val="004914ED"/>
    <w:rsid w:val="004954B1"/>
    <w:rsid w:val="004B2C9D"/>
    <w:rsid w:val="004C35BA"/>
    <w:rsid w:val="004C6FBA"/>
    <w:rsid w:val="004C71B6"/>
    <w:rsid w:val="004E05DD"/>
    <w:rsid w:val="004F0095"/>
    <w:rsid w:val="004F0881"/>
    <w:rsid w:val="004F60F8"/>
    <w:rsid w:val="00502159"/>
    <w:rsid w:val="00520D7D"/>
    <w:rsid w:val="0052114B"/>
    <w:rsid w:val="00527910"/>
    <w:rsid w:val="005420F2"/>
    <w:rsid w:val="005458AF"/>
    <w:rsid w:val="00547C8F"/>
    <w:rsid w:val="005500DD"/>
    <w:rsid w:val="005501BE"/>
    <w:rsid w:val="005527DA"/>
    <w:rsid w:val="00562335"/>
    <w:rsid w:val="00563498"/>
    <w:rsid w:val="00590144"/>
    <w:rsid w:val="00592C0E"/>
    <w:rsid w:val="0059588D"/>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E564B"/>
    <w:rsid w:val="00704CDB"/>
    <w:rsid w:val="00705B77"/>
    <w:rsid w:val="00711C13"/>
    <w:rsid w:val="0072632A"/>
    <w:rsid w:val="007413E7"/>
    <w:rsid w:val="007434BC"/>
    <w:rsid w:val="00744314"/>
    <w:rsid w:val="0075663D"/>
    <w:rsid w:val="00756DD2"/>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0334"/>
    <w:rsid w:val="00823B1A"/>
    <w:rsid w:val="008242D7"/>
    <w:rsid w:val="00824C37"/>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1277C"/>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649"/>
    <w:rsid w:val="00A879A4"/>
    <w:rsid w:val="00A87CAE"/>
    <w:rsid w:val="00A91130"/>
    <w:rsid w:val="00A93914"/>
    <w:rsid w:val="00A93EFD"/>
    <w:rsid w:val="00A94131"/>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33A37"/>
    <w:rsid w:val="00B44060"/>
    <w:rsid w:val="00B51A46"/>
    <w:rsid w:val="00B55093"/>
    <w:rsid w:val="00B707EC"/>
    <w:rsid w:val="00B81E12"/>
    <w:rsid w:val="00B93068"/>
    <w:rsid w:val="00BB0133"/>
    <w:rsid w:val="00BB027F"/>
    <w:rsid w:val="00BC1BF4"/>
    <w:rsid w:val="00BC4EA5"/>
    <w:rsid w:val="00BC74E9"/>
    <w:rsid w:val="00BD0239"/>
    <w:rsid w:val="00BE618E"/>
    <w:rsid w:val="00BF169C"/>
    <w:rsid w:val="00BF7DE7"/>
    <w:rsid w:val="00C031EF"/>
    <w:rsid w:val="00C07513"/>
    <w:rsid w:val="00C07A73"/>
    <w:rsid w:val="00C44E98"/>
    <w:rsid w:val="00C463DD"/>
    <w:rsid w:val="00C62F76"/>
    <w:rsid w:val="00C70190"/>
    <w:rsid w:val="00C745C3"/>
    <w:rsid w:val="00C929D8"/>
    <w:rsid w:val="00C94877"/>
    <w:rsid w:val="00CA2FB6"/>
    <w:rsid w:val="00CB2FC3"/>
    <w:rsid w:val="00CB3924"/>
    <w:rsid w:val="00CB44CD"/>
    <w:rsid w:val="00CB4E01"/>
    <w:rsid w:val="00CB567B"/>
    <w:rsid w:val="00CC5473"/>
    <w:rsid w:val="00CD3225"/>
    <w:rsid w:val="00CD5FED"/>
    <w:rsid w:val="00CD6E3A"/>
    <w:rsid w:val="00CE46BA"/>
    <w:rsid w:val="00CE4A8F"/>
    <w:rsid w:val="00CE5C55"/>
    <w:rsid w:val="00CF5E82"/>
    <w:rsid w:val="00CF74F9"/>
    <w:rsid w:val="00CF7E49"/>
    <w:rsid w:val="00D07A22"/>
    <w:rsid w:val="00D12328"/>
    <w:rsid w:val="00D1524C"/>
    <w:rsid w:val="00D16675"/>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9D2"/>
    <w:rsid w:val="00DA4AA3"/>
    <w:rsid w:val="00DA67AD"/>
    <w:rsid w:val="00DA6D5E"/>
    <w:rsid w:val="00DB63BF"/>
    <w:rsid w:val="00DD3691"/>
    <w:rsid w:val="00DD62B9"/>
    <w:rsid w:val="00DE71E5"/>
    <w:rsid w:val="00DF5509"/>
    <w:rsid w:val="00DF6FE9"/>
    <w:rsid w:val="00E01426"/>
    <w:rsid w:val="00E130AB"/>
    <w:rsid w:val="00E1345B"/>
    <w:rsid w:val="00E1679E"/>
    <w:rsid w:val="00E25396"/>
    <w:rsid w:val="00E55A9E"/>
    <w:rsid w:val="00E5644E"/>
    <w:rsid w:val="00E7260F"/>
    <w:rsid w:val="00E81230"/>
    <w:rsid w:val="00E83777"/>
    <w:rsid w:val="00E8535A"/>
    <w:rsid w:val="00E8684C"/>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E7D9C"/>
    <w:rsid w:val="00EF1D7F"/>
    <w:rsid w:val="00F0135D"/>
    <w:rsid w:val="00F120E2"/>
    <w:rsid w:val="00F24FD9"/>
    <w:rsid w:val="00F40E75"/>
    <w:rsid w:val="00F52545"/>
    <w:rsid w:val="00F54674"/>
    <w:rsid w:val="00F608CD"/>
    <w:rsid w:val="00F638EE"/>
    <w:rsid w:val="00F925F9"/>
    <w:rsid w:val="00F9407A"/>
    <w:rsid w:val="00FB521E"/>
    <w:rsid w:val="00FB7353"/>
    <w:rsid w:val="00FC48A3"/>
    <w:rsid w:val="00FC68B7"/>
    <w:rsid w:val="00FD6B2B"/>
    <w:rsid w:val="00FD77BA"/>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FD33-3C8D-4EB7-9AC5-4EBC2CCA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899</Words>
  <Characters>4713</Characters>
  <Application>Microsoft Office Word</Application>
  <DocSecurity>0</DocSecurity>
  <Lines>121</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2016-09-07T14:58:00Z</cp:lastPrinted>
  <dcterms:created xsi:type="dcterms:W3CDTF">2016-09-07T14:57:00Z</dcterms:created>
  <dcterms:modified xsi:type="dcterms:W3CDTF">2016-09-07T14:58:00Z</dcterms:modified>
</cp:coreProperties>
</file>