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3101"/>
      </w:tblGrid>
      <w:tr w:rsidR="00963CBA" w:rsidRPr="008F2E9B" w:rsidTr="009932AC">
        <w:trPr>
          <w:trHeight w:val="851"/>
        </w:trPr>
        <w:tc>
          <w:tcPr>
            <w:tcW w:w="1259" w:type="dxa"/>
            <w:tcBorders>
              <w:top w:val="nil"/>
              <w:left w:val="nil"/>
              <w:bottom w:val="single" w:sz="4" w:space="0" w:color="auto"/>
              <w:right w:val="nil"/>
            </w:tcBorders>
          </w:tcPr>
          <w:p w:rsidR="00446DE4" w:rsidRPr="008F2E9B" w:rsidRDefault="00446DE4" w:rsidP="00834EB1">
            <w:pPr>
              <w:spacing w:after="80" w:line="340" w:lineRule="exact"/>
            </w:pPr>
          </w:p>
        </w:tc>
        <w:tc>
          <w:tcPr>
            <w:tcW w:w="2236" w:type="dxa"/>
            <w:tcBorders>
              <w:top w:val="nil"/>
              <w:left w:val="nil"/>
              <w:bottom w:val="single" w:sz="4" w:space="0" w:color="auto"/>
              <w:right w:val="nil"/>
            </w:tcBorders>
            <w:vAlign w:val="bottom"/>
          </w:tcPr>
          <w:p w:rsidR="00446DE4" w:rsidRPr="008F2E9B" w:rsidRDefault="00B3317B" w:rsidP="00834EB1">
            <w:pPr>
              <w:spacing w:after="80" w:line="340" w:lineRule="exact"/>
              <w:rPr>
                <w:sz w:val="28"/>
                <w:szCs w:val="28"/>
              </w:rPr>
            </w:pPr>
            <w:r w:rsidRPr="008F2E9B">
              <w:rPr>
                <w:sz w:val="28"/>
                <w:szCs w:val="28"/>
              </w:rPr>
              <w:t>United Nations</w:t>
            </w:r>
          </w:p>
        </w:tc>
        <w:tc>
          <w:tcPr>
            <w:tcW w:w="6315" w:type="dxa"/>
            <w:gridSpan w:val="2"/>
            <w:tcBorders>
              <w:top w:val="nil"/>
              <w:left w:val="nil"/>
              <w:bottom w:val="single" w:sz="4" w:space="0" w:color="auto"/>
              <w:right w:val="nil"/>
            </w:tcBorders>
            <w:vAlign w:val="bottom"/>
          </w:tcPr>
          <w:p w:rsidR="00446DE4" w:rsidRPr="008F2E9B" w:rsidRDefault="00C8779F" w:rsidP="00D369BC">
            <w:pPr>
              <w:jc w:val="right"/>
            </w:pPr>
            <w:r w:rsidRPr="008F2E9B">
              <w:rPr>
                <w:sz w:val="40"/>
              </w:rPr>
              <w:t>ST</w:t>
            </w:r>
            <w:r w:rsidRPr="008F2E9B">
              <w:t>/SG/AC.10/C.3/201</w:t>
            </w:r>
            <w:r w:rsidR="009932AC" w:rsidRPr="008F2E9B">
              <w:t>6</w:t>
            </w:r>
            <w:r w:rsidRPr="008F2E9B">
              <w:t>/</w:t>
            </w:r>
            <w:r w:rsidR="00D369BC">
              <w:t>45</w:t>
            </w:r>
          </w:p>
        </w:tc>
      </w:tr>
      <w:tr w:rsidR="003107FA" w:rsidRPr="008F2E9B" w:rsidTr="009932AC">
        <w:trPr>
          <w:trHeight w:val="2835"/>
        </w:trPr>
        <w:tc>
          <w:tcPr>
            <w:tcW w:w="1259" w:type="dxa"/>
            <w:tcBorders>
              <w:top w:val="single" w:sz="4" w:space="0" w:color="auto"/>
              <w:left w:val="nil"/>
              <w:bottom w:val="single" w:sz="12" w:space="0" w:color="auto"/>
              <w:right w:val="nil"/>
            </w:tcBorders>
          </w:tcPr>
          <w:p w:rsidR="003107FA" w:rsidRPr="008F2E9B" w:rsidRDefault="004C7765" w:rsidP="00834EB1">
            <w:pPr>
              <w:spacing w:before="120"/>
              <w:jc w:val="center"/>
            </w:pPr>
            <w:r w:rsidRPr="008F2E9B">
              <w:rPr>
                <w:noProof/>
                <w:lang w:eastAsia="en-GB"/>
              </w:rPr>
              <w:drawing>
                <wp:inline distT="0" distB="0" distL="0" distR="0" wp14:anchorId="2AFD8A7C" wp14:editId="5BB693A8">
                  <wp:extent cx="713105" cy="588010"/>
                  <wp:effectExtent l="0" t="0" r="0" b="254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8801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8F2E9B" w:rsidRDefault="00D96CC5" w:rsidP="00834EB1">
            <w:pPr>
              <w:spacing w:before="120" w:line="420" w:lineRule="exact"/>
              <w:rPr>
                <w:b/>
                <w:sz w:val="40"/>
                <w:szCs w:val="40"/>
              </w:rPr>
            </w:pPr>
            <w:r w:rsidRPr="008F2E9B">
              <w:rPr>
                <w:b/>
                <w:sz w:val="40"/>
                <w:szCs w:val="40"/>
              </w:rPr>
              <w:t>Secretariat</w:t>
            </w:r>
          </w:p>
        </w:tc>
        <w:tc>
          <w:tcPr>
            <w:tcW w:w="3101" w:type="dxa"/>
            <w:tcBorders>
              <w:top w:val="single" w:sz="4" w:space="0" w:color="auto"/>
              <w:left w:val="nil"/>
              <w:bottom w:val="single" w:sz="12" w:space="0" w:color="auto"/>
              <w:right w:val="nil"/>
            </w:tcBorders>
          </w:tcPr>
          <w:p w:rsidR="00C8779F" w:rsidRPr="008F2E9B" w:rsidRDefault="00C8779F" w:rsidP="00834EB1">
            <w:pPr>
              <w:spacing w:before="240" w:line="240" w:lineRule="exact"/>
            </w:pPr>
            <w:r w:rsidRPr="008F2E9B">
              <w:t>Distr.: General</w:t>
            </w:r>
          </w:p>
          <w:p w:rsidR="00C8779F" w:rsidRPr="008F2E9B" w:rsidRDefault="008F2E9B" w:rsidP="00834EB1">
            <w:pPr>
              <w:spacing w:line="240" w:lineRule="exact"/>
            </w:pPr>
            <w:r>
              <w:t>1</w:t>
            </w:r>
            <w:r w:rsidR="00941167">
              <w:t>3</w:t>
            </w:r>
            <w:r w:rsidR="00A60644" w:rsidRPr="008F2E9B">
              <w:t xml:space="preserve"> </w:t>
            </w:r>
            <w:r>
              <w:t xml:space="preserve">April </w:t>
            </w:r>
            <w:r w:rsidR="005930FC" w:rsidRPr="008F2E9B">
              <w:t>201</w:t>
            </w:r>
            <w:r w:rsidR="009932AC" w:rsidRPr="008F2E9B">
              <w:t>6</w:t>
            </w:r>
          </w:p>
          <w:p w:rsidR="00C8779F" w:rsidRPr="008F2E9B" w:rsidRDefault="00C8779F" w:rsidP="00834EB1">
            <w:pPr>
              <w:spacing w:line="240" w:lineRule="exact"/>
            </w:pPr>
          </w:p>
          <w:p w:rsidR="003107FA" w:rsidRPr="008F2E9B" w:rsidRDefault="00C8779F" w:rsidP="00834EB1">
            <w:pPr>
              <w:spacing w:line="240" w:lineRule="exact"/>
            </w:pPr>
            <w:r w:rsidRPr="008F2E9B">
              <w:t>Original: English</w:t>
            </w:r>
          </w:p>
        </w:tc>
      </w:tr>
    </w:tbl>
    <w:p w:rsidR="009F0F06" w:rsidRPr="008F2E9B" w:rsidRDefault="009F0F06" w:rsidP="009F0F06">
      <w:pPr>
        <w:spacing w:before="120"/>
        <w:rPr>
          <w:b/>
          <w:sz w:val="24"/>
          <w:szCs w:val="24"/>
        </w:rPr>
      </w:pPr>
      <w:r w:rsidRPr="008F2E9B">
        <w:rPr>
          <w:b/>
          <w:sz w:val="24"/>
          <w:szCs w:val="24"/>
        </w:rPr>
        <w:t>Committee of Experts on the Transport of Dangerous Goods</w:t>
      </w:r>
      <w:r w:rsidRPr="008F2E9B">
        <w:rPr>
          <w:b/>
          <w:sz w:val="24"/>
          <w:szCs w:val="24"/>
        </w:rPr>
        <w:br/>
        <w:t>and on the Globally Harmonized System of Classification</w:t>
      </w:r>
      <w:r w:rsidRPr="008F2E9B">
        <w:rPr>
          <w:b/>
          <w:sz w:val="24"/>
          <w:szCs w:val="24"/>
        </w:rPr>
        <w:br/>
        <w:t>and Labelling of Chemicals</w:t>
      </w:r>
    </w:p>
    <w:p w:rsidR="009F0F06" w:rsidRPr="008F2E9B" w:rsidRDefault="009F0F06" w:rsidP="009F0F06">
      <w:pPr>
        <w:spacing w:before="120"/>
        <w:rPr>
          <w:rFonts w:ascii="Helv" w:hAnsi="Helv" w:cs="Helv"/>
          <w:b/>
          <w:color w:val="000000"/>
        </w:rPr>
      </w:pPr>
      <w:r w:rsidRPr="008F2E9B">
        <w:rPr>
          <w:b/>
        </w:rPr>
        <w:t xml:space="preserve">Sub-Committee of Experts on the </w:t>
      </w:r>
      <w:r w:rsidR="00CD3225" w:rsidRPr="008F2E9B">
        <w:rPr>
          <w:b/>
        </w:rPr>
        <w:t>Transport of Dangerous Goods</w:t>
      </w:r>
    </w:p>
    <w:p w:rsidR="002E5E63" w:rsidRPr="008F2E9B" w:rsidRDefault="009932AC" w:rsidP="002E5E63">
      <w:pPr>
        <w:spacing w:before="120"/>
        <w:rPr>
          <w:b/>
        </w:rPr>
      </w:pPr>
      <w:r w:rsidRPr="008F2E9B">
        <w:rPr>
          <w:b/>
        </w:rPr>
        <w:t>Forty-nin</w:t>
      </w:r>
      <w:r w:rsidR="00C52BE8" w:rsidRPr="008F2E9B">
        <w:rPr>
          <w:b/>
        </w:rPr>
        <w:t>th</w:t>
      </w:r>
      <w:r w:rsidR="002E5E63" w:rsidRPr="008F2E9B">
        <w:rPr>
          <w:b/>
        </w:rPr>
        <w:t xml:space="preserve"> session</w:t>
      </w:r>
    </w:p>
    <w:p w:rsidR="002E5E63" w:rsidRPr="008F2E9B" w:rsidRDefault="002E5E63" w:rsidP="002E5E63">
      <w:pPr>
        <w:rPr>
          <w:color w:val="333333"/>
          <w:lang w:eastAsia="it-IT"/>
        </w:rPr>
      </w:pPr>
      <w:r w:rsidRPr="008F2E9B">
        <w:t xml:space="preserve">Geneva, </w:t>
      </w:r>
      <w:r w:rsidR="00E15BC3" w:rsidRPr="008F2E9B">
        <w:rPr>
          <w:color w:val="333333"/>
          <w:lang w:eastAsia="it-IT"/>
        </w:rPr>
        <w:t>27 June – 6 July 2016</w:t>
      </w:r>
    </w:p>
    <w:p w:rsidR="00D82BCD" w:rsidRPr="008F2E9B" w:rsidRDefault="00D82BCD" w:rsidP="002E5E63">
      <w:r w:rsidRPr="008F2E9B">
        <w:t xml:space="preserve">Item </w:t>
      </w:r>
      <w:r w:rsidR="004A512B" w:rsidRPr="008F2E9B">
        <w:t>4</w:t>
      </w:r>
      <w:r w:rsidR="00BC1FB8" w:rsidRPr="008F2E9B">
        <w:t xml:space="preserve"> </w:t>
      </w:r>
      <w:r w:rsidR="005D7F7F" w:rsidRPr="008F2E9B">
        <w:t>(d</w:t>
      </w:r>
      <w:r w:rsidRPr="008F2E9B">
        <w:t>) of the provisional agenda</w:t>
      </w:r>
    </w:p>
    <w:p w:rsidR="009F0F06" w:rsidRPr="008F2E9B" w:rsidRDefault="004A512B" w:rsidP="00D82BCD">
      <w:pPr>
        <w:rPr>
          <w:b/>
        </w:rPr>
      </w:pPr>
      <w:r w:rsidRPr="008F2E9B">
        <w:rPr>
          <w:b/>
        </w:rPr>
        <w:t>Electric storage systems</w:t>
      </w:r>
      <w:r w:rsidR="008E7B96" w:rsidRPr="008F2E9B">
        <w:rPr>
          <w:b/>
        </w:rPr>
        <w:t>: miscellaneous</w:t>
      </w:r>
    </w:p>
    <w:p w:rsidR="00F0114F" w:rsidRPr="008F2E9B" w:rsidRDefault="00F0114F" w:rsidP="00BC1FB8">
      <w:pPr>
        <w:pStyle w:val="HChG"/>
      </w:pPr>
      <w:r w:rsidRPr="008F2E9B">
        <w:tab/>
      </w:r>
      <w:r w:rsidRPr="008F2E9B">
        <w:tab/>
      </w:r>
      <w:r w:rsidR="002E5E63" w:rsidRPr="008F2E9B">
        <w:t>Provision</w:t>
      </w:r>
      <w:r w:rsidR="004038FE" w:rsidRPr="008F2E9B">
        <w:t xml:space="preserve">s </w:t>
      </w:r>
      <w:r w:rsidR="00A60644" w:rsidRPr="008F2E9B">
        <w:t xml:space="preserve">and exemptions </w:t>
      </w:r>
      <w:r w:rsidR="00CC043B" w:rsidRPr="008F2E9B">
        <w:t>for l</w:t>
      </w:r>
      <w:r w:rsidR="00700769" w:rsidRPr="008F2E9B">
        <w:t>ithium</w:t>
      </w:r>
      <w:r w:rsidR="005233DF" w:rsidRPr="008F2E9B">
        <w:t xml:space="preserve"> </w:t>
      </w:r>
      <w:r w:rsidR="00574A89" w:rsidRPr="008F2E9B">
        <w:t>metal</w:t>
      </w:r>
      <w:r w:rsidR="00A60644" w:rsidRPr="008F2E9B">
        <w:t xml:space="preserve"> button cells</w:t>
      </w:r>
      <w:r w:rsidR="00574A89" w:rsidRPr="008F2E9B">
        <w:t xml:space="preserve"> and batteries</w:t>
      </w:r>
    </w:p>
    <w:p w:rsidR="00F0114F" w:rsidRPr="008F2E9B" w:rsidRDefault="00F0114F" w:rsidP="00F0114F">
      <w:pPr>
        <w:pStyle w:val="H1G"/>
      </w:pPr>
      <w:r w:rsidRPr="008F2E9B">
        <w:tab/>
      </w:r>
      <w:r w:rsidRPr="008F2E9B">
        <w:tab/>
        <w:t>Transmitted by</w:t>
      </w:r>
      <w:r w:rsidR="00285380" w:rsidRPr="008F2E9B">
        <w:t xml:space="preserve"> </w:t>
      </w:r>
      <w:r w:rsidR="00D369BC">
        <w:t>t</w:t>
      </w:r>
      <w:r w:rsidR="009C29E9" w:rsidRPr="008F2E9B">
        <w:t xml:space="preserve">he </w:t>
      </w:r>
      <w:r w:rsidR="00285380" w:rsidRPr="008F2E9B">
        <w:t>Rechargeable Battery Association</w:t>
      </w:r>
      <w:r w:rsidR="00D369BC">
        <w:t xml:space="preserve"> (PRBA)</w:t>
      </w:r>
      <w:r w:rsidR="001C641A" w:rsidRPr="008F2E9B">
        <w:rPr>
          <w:rStyle w:val="FootnoteReference"/>
        </w:rPr>
        <w:footnoteReference w:id="2"/>
      </w:r>
    </w:p>
    <w:p w:rsidR="00F0114F" w:rsidRPr="008F2E9B" w:rsidRDefault="00F0114F" w:rsidP="00F0114F">
      <w:pPr>
        <w:pStyle w:val="HChG"/>
      </w:pPr>
      <w:r w:rsidRPr="008F2E9B">
        <w:tab/>
      </w:r>
      <w:r w:rsidRPr="008F2E9B">
        <w:tab/>
        <w:t>Introduction</w:t>
      </w:r>
    </w:p>
    <w:p w:rsidR="00015AA6" w:rsidRPr="008F2E9B" w:rsidRDefault="00CC043B" w:rsidP="00CC043B">
      <w:pPr>
        <w:pStyle w:val="SingleTxtG"/>
        <w:rPr>
          <w:lang w:val="en-US"/>
        </w:rPr>
      </w:pPr>
      <w:r w:rsidRPr="008F2E9B">
        <w:rPr>
          <w:lang w:val="en-US"/>
        </w:rPr>
        <w:t>1.</w:t>
      </w:r>
      <w:r w:rsidRPr="008F2E9B">
        <w:rPr>
          <w:lang w:val="en-US"/>
        </w:rPr>
        <w:tab/>
      </w:r>
      <w:r w:rsidR="00D369BC">
        <w:rPr>
          <w:lang w:val="en-US"/>
        </w:rPr>
        <w:t>In 38.3.2.3 of the</w:t>
      </w:r>
      <w:r w:rsidR="004C4962" w:rsidRPr="008F2E9B">
        <w:rPr>
          <w:lang w:val="en-US"/>
        </w:rPr>
        <w:t xml:space="preserve"> </w:t>
      </w:r>
      <w:r w:rsidR="004C4962" w:rsidRPr="008F2E9B">
        <w:rPr>
          <w:i/>
          <w:lang w:val="en-US"/>
        </w:rPr>
        <w:t>Manual of Tests and Criteria</w:t>
      </w:r>
      <w:r w:rsidR="004C4962" w:rsidRPr="008F2E9B">
        <w:rPr>
          <w:lang w:val="en-US"/>
        </w:rPr>
        <w:t xml:space="preserve">, a “Button cell or battery” is defined as “a round small cell or battery when the overall height is less than the diameter.”  </w:t>
      </w:r>
      <w:r w:rsidR="00A71B77" w:rsidRPr="008F2E9B">
        <w:rPr>
          <w:lang w:val="en-US"/>
        </w:rPr>
        <w:t xml:space="preserve">As used in this introductory section, the term “button cell” includes also “button batteries.”  </w:t>
      </w:r>
      <w:r w:rsidR="003B302B" w:rsidRPr="008F2E9B">
        <w:rPr>
          <w:lang w:val="en-US"/>
        </w:rPr>
        <w:t>Lithium b</w:t>
      </w:r>
      <w:r w:rsidR="004C4962" w:rsidRPr="008F2E9B">
        <w:rPr>
          <w:lang w:val="en-US"/>
        </w:rPr>
        <w:t xml:space="preserve">utton cells are manufactured and transported in </w:t>
      </w:r>
      <w:r w:rsidR="005E60AB" w:rsidRPr="008F2E9B">
        <w:rPr>
          <w:lang w:val="en-US"/>
        </w:rPr>
        <w:t>very large</w:t>
      </w:r>
      <w:r w:rsidR="004C4962" w:rsidRPr="008F2E9B">
        <w:rPr>
          <w:lang w:val="en-US"/>
        </w:rPr>
        <w:t xml:space="preserve"> </w:t>
      </w:r>
      <w:r w:rsidR="00A71B77" w:rsidRPr="008F2E9B">
        <w:rPr>
          <w:lang w:val="en-US"/>
        </w:rPr>
        <w:t xml:space="preserve">numbers (estimates range from </w:t>
      </w:r>
      <w:r w:rsidR="005E60AB" w:rsidRPr="008F2E9B">
        <w:rPr>
          <w:lang w:val="en-US"/>
        </w:rPr>
        <w:t xml:space="preserve">6 – 7 </w:t>
      </w:r>
      <w:r w:rsidR="00A71B77" w:rsidRPr="008F2E9B">
        <w:rPr>
          <w:lang w:val="en-US"/>
        </w:rPr>
        <w:t xml:space="preserve">billion annually) </w:t>
      </w:r>
      <w:r w:rsidR="004C4962" w:rsidRPr="008F2E9B">
        <w:rPr>
          <w:lang w:val="en-US"/>
        </w:rPr>
        <w:t>on the global level for use in countless applications – from pressure measuring transducers in the valves</w:t>
      </w:r>
      <w:r w:rsidR="00A71B77" w:rsidRPr="008F2E9B">
        <w:rPr>
          <w:lang w:val="en-US"/>
        </w:rPr>
        <w:t xml:space="preserve"> of automobile tires, to watches</w:t>
      </w:r>
      <w:r w:rsidR="004C4962" w:rsidRPr="008F2E9B">
        <w:rPr>
          <w:lang w:val="en-US"/>
        </w:rPr>
        <w:t xml:space="preserve">, calculators, </w:t>
      </w:r>
      <w:r w:rsidR="005E60AB" w:rsidRPr="008F2E9B">
        <w:rPr>
          <w:lang w:val="en-US"/>
        </w:rPr>
        <w:t xml:space="preserve">medical devices, </w:t>
      </w:r>
      <w:r w:rsidR="004C4962" w:rsidRPr="008F2E9B">
        <w:rPr>
          <w:lang w:val="en-US"/>
        </w:rPr>
        <w:t>toys and other types of equipment and articles.</w:t>
      </w:r>
      <w:r w:rsidR="00A71B77" w:rsidRPr="008F2E9B">
        <w:rPr>
          <w:lang w:val="en-US"/>
        </w:rPr>
        <w:t xml:space="preserve">  The vast majority of these button cells contain not more than 0.3 g</w:t>
      </w:r>
      <w:r w:rsidR="00F4591A" w:rsidRPr="008F2E9B">
        <w:rPr>
          <w:lang w:val="en-US"/>
        </w:rPr>
        <w:t>rams</w:t>
      </w:r>
      <w:r w:rsidR="00A71B77" w:rsidRPr="008F2E9B">
        <w:rPr>
          <w:lang w:val="en-US"/>
        </w:rPr>
        <w:t xml:space="preserve"> of lithium metal.  </w:t>
      </w:r>
    </w:p>
    <w:p w:rsidR="00015AA6" w:rsidRPr="008F2E9B" w:rsidRDefault="00CC043B" w:rsidP="00CC043B">
      <w:pPr>
        <w:pStyle w:val="SingleTxtG"/>
        <w:rPr>
          <w:lang w:val="en-US"/>
        </w:rPr>
      </w:pPr>
      <w:r w:rsidRPr="008F2E9B">
        <w:rPr>
          <w:lang w:val="en-US"/>
        </w:rPr>
        <w:t>2.</w:t>
      </w:r>
      <w:r w:rsidRPr="008F2E9B">
        <w:rPr>
          <w:lang w:val="en-US"/>
        </w:rPr>
        <w:tab/>
      </w:r>
      <w:r w:rsidR="00F4591A" w:rsidRPr="008F2E9B">
        <w:rPr>
          <w:lang w:val="en-US"/>
        </w:rPr>
        <w:t>PRBA believes that the unique safety features of button cells</w:t>
      </w:r>
      <w:r w:rsidR="00CA113C" w:rsidRPr="008F2E9B">
        <w:rPr>
          <w:lang w:val="en-US"/>
        </w:rPr>
        <w:t>, the</w:t>
      </w:r>
      <w:r w:rsidR="00F4591A" w:rsidRPr="008F2E9B">
        <w:rPr>
          <w:lang w:val="en-US"/>
        </w:rPr>
        <w:t xml:space="preserve"> very limited quantity of lithium metal contained in </w:t>
      </w:r>
      <w:r w:rsidR="00CA113C" w:rsidRPr="008F2E9B">
        <w:rPr>
          <w:lang w:val="en-US"/>
        </w:rPr>
        <w:t xml:space="preserve">the </w:t>
      </w:r>
      <w:r w:rsidR="00F4591A" w:rsidRPr="008F2E9B">
        <w:rPr>
          <w:lang w:val="en-US"/>
        </w:rPr>
        <w:t>button cells</w:t>
      </w:r>
      <w:r w:rsidR="00CA113C" w:rsidRPr="008F2E9B">
        <w:rPr>
          <w:lang w:val="en-US"/>
        </w:rPr>
        <w:t xml:space="preserve">, and the negligible risk in transport these cells present in transport </w:t>
      </w:r>
      <w:r w:rsidR="00F4591A" w:rsidRPr="008F2E9B">
        <w:rPr>
          <w:lang w:val="en-US"/>
        </w:rPr>
        <w:t xml:space="preserve">warrant a separate entry in the </w:t>
      </w:r>
      <w:r w:rsidR="00BD656D" w:rsidRPr="008F2E9B">
        <w:rPr>
          <w:lang w:val="en-US"/>
        </w:rPr>
        <w:t>D</w:t>
      </w:r>
      <w:r w:rsidR="00F4591A" w:rsidRPr="008F2E9B">
        <w:rPr>
          <w:lang w:val="en-US"/>
        </w:rPr>
        <w:t xml:space="preserve">angerous </w:t>
      </w:r>
      <w:r w:rsidR="00BD656D" w:rsidRPr="008F2E9B">
        <w:rPr>
          <w:lang w:val="en-US"/>
        </w:rPr>
        <w:t>G</w:t>
      </w:r>
      <w:r w:rsidR="00F4591A" w:rsidRPr="008F2E9B">
        <w:rPr>
          <w:lang w:val="en-US"/>
        </w:rPr>
        <w:t xml:space="preserve">oods </w:t>
      </w:r>
      <w:r w:rsidR="00BD656D" w:rsidRPr="008F2E9B">
        <w:rPr>
          <w:lang w:val="en-US"/>
        </w:rPr>
        <w:t xml:space="preserve">Lists </w:t>
      </w:r>
      <w:r w:rsidR="00F4591A" w:rsidRPr="008F2E9B">
        <w:rPr>
          <w:lang w:val="en-US"/>
        </w:rPr>
        <w:t>in the U</w:t>
      </w:r>
      <w:r w:rsidR="00D369BC">
        <w:rPr>
          <w:lang w:val="en-US"/>
        </w:rPr>
        <w:t xml:space="preserve">nited </w:t>
      </w:r>
      <w:r w:rsidR="00F4591A" w:rsidRPr="008F2E9B">
        <w:rPr>
          <w:lang w:val="en-US"/>
        </w:rPr>
        <w:t>N</w:t>
      </w:r>
      <w:r w:rsidR="00D369BC">
        <w:rPr>
          <w:lang w:val="en-US"/>
        </w:rPr>
        <w:t>ations</w:t>
      </w:r>
      <w:r w:rsidR="00F4591A" w:rsidRPr="008F2E9B">
        <w:rPr>
          <w:lang w:val="en-US"/>
        </w:rPr>
        <w:t xml:space="preserve"> Model Regulations.  The safety features of button cells have been </w:t>
      </w:r>
      <w:r w:rsidR="00CA113C" w:rsidRPr="008F2E9B">
        <w:rPr>
          <w:lang w:val="en-US"/>
        </w:rPr>
        <w:t xml:space="preserve">shown </w:t>
      </w:r>
      <w:r w:rsidR="00F4591A" w:rsidRPr="008F2E9B">
        <w:rPr>
          <w:lang w:val="en-US"/>
        </w:rPr>
        <w:t>during t</w:t>
      </w:r>
      <w:r w:rsidR="003B302B" w:rsidRPr="008F2E9B">
        <w:rPr>
          <w:lang w:val="en-US"/>
        </w:rPr>
        <w:t xml:space="preserve">ests conducted on </w:t>
      </w:r>
      <w:r w:rsidR="00F4591A" w:rsidRPr="008F2E9B">
        <w:rPr>
          <w:lang w:val="en-US"/>
        </w:rPr>
        <w:t xml:space="preserve">the cells </w:t>
      </w:r>
      <w:r w:rsidR="003B302B" w:rsidRPr="008F2E9B">
        <w:rPr>
          <w:lang w:val="en-US"/>
        </w:rPr>
        <w:t xml:space="preserve">packaged </w:t>
      </w:r>
      <w:r w:rsidR="00F4591A" w:rsidRPr="008F2E9B">
        <w:rPr>
          <w:lang w:val="en-US"/>
        </w:rPr>
        <w:t>f</w:t>
      </w:r>
      <w:r w:rsidR="003B302B" w:rsidRPr="008F2E9B">
        <w:rPr>
          <w:lang w:val="en-US"/>
        </w:rPr>
        <w:t>or transport demonstrate</w:t>
      </w:r>
      <w:r w:rsidR="00CA113C" w:rsidRPr="008F2E9B">
        <w:rPr>
          <w:lang w:val="en-US"/>
        </w:rPr>
        <w:t xml:space="preserve">.  For example, testing has shown that </w:t>
      </w:r>
      <w:r w:rsidR="003B302B" w:rsidRPr="008F2E9B">
        <w:rPr>
          <w:lang w:val="en-US"/>
        </w:rPr>
        <w:t xml:space="preserve">in the extremely rare event one cell undergoes thermal runaway (such as </w:t>
      </w:r>
      <w:proofErr w:type="gramStart"/>
      <w:r w:rsidR="003B302B" w:rsidRPr="008F2E9B">
        <w:rPr>
          <w:lang w:val="en-US"/>
        </w:rPr>
        <w:t>my occur</w:t>
      </w:r>
      <w:proofErr w:type="gramEnd"/>
      <w:r w:rsidR="003B302B" w:rsidRPr="008F2E9B">
        <w:rPr>
          <w:lang w:val="en-US"/>
        </w:rPr>
        <w:t xml:space="preserve"> from an internal short circuit), the effects are generally confined to only that cell and there is no propagation of the event from one button cell to the next. </w:t>
      </w:r>
      <w:r w:rsidR="00B03582" w:rsidRPr="008F2E9B">
        <w:rPr>
          <w:lang w:val="en-US"/>
        </w:rPr>
        <w:t xml:space="preserve"> Further </w:t>
      </w:r>
      <w:r w:rsidR="00B03582" w:rsidRPr="008F2E9B">
        <w:rPr>
          <w:lang w:val="en-US"/>
        </w:rPr>
        <w:lastRenderedPageBreak/>
        <w:t xml:space="preserve">information concerning these tests will be transmitted by PRBA in a separate </w:t>
      </w:r>
      <w:r w:rsidR="00D369BC">
        <w:rPr>
          <w:lang w:val="en-US"/>
        </w:rPr>
        <w:t>informal</w:t>
      </w:r>
      <w:r w:rsidR="00B03582" w:rsidRPr="008F2E9B">
        <w:rPr>
          <w:lang w:val="en-US"/>
        </w:rPr>
        <w:t xml:space="preserve"> docu</w:t>
      </w:r>
      <w:r w:rsidR="00D369BC">
        <w:rPr>
          <w:lang w:val="en-US"/>
        </w:rPr>
        <w:t xml:space="preserve">ment. </w:t>
      </w:r>
      <w:r w:rsidR="00B03582" w:rsidRPr="008F2E9B">
        <w:rPr>
          <w:lang w:val="en-US"/>
        </w:rPr>
        <w:t>Based on a review of these test results, even ICAO’s Second International Multi-Disciplinary Lithium Battery Transport Coordination Meeting, held in Cologne, Germany in September 2014, concluded and recommended: “</w:t>
      </w:r>
      <w:r w:rsidR="00B03582" w:rsidRPr="008F2E9B">
        <w:rPr>
          <w:i/>
          <w:lang w:val="en-US"/>
        </w:rPr>
        <w:t xml:space="preserve">Lithium metal button cells, with </w:t>
      </w:r>
      <w:proofErr w:type="gramStart"/>
      <w:r w:rsidR="00B03582" w:rsidRPr="008F2E9B">
        <w:rPr>
          <w:i/>
          <w:lang w:val="en-US"/>
        </w:rPr>
        <w:t>a lithium</w:t>
      </w:r>
      <w:proofErr w:type="gramEnd"/>
      <w:r w:rsidR="00B03582" w:rsidRPr="008F2E9B">
        <w:rPr>
          <w:i/>
          <w:lang w:val="en-US"/>
        </w:rPr>
        <w:t xml:space="preserve"> content not exceeding 0.3 grams, may not present a significant hazard and should have a separate UN classification to facilitate shipments</w:t>
      </w:r>
      <w:r w:rsidR="00B03582" w:rsidRPr="008F2E9B">
        <w:rPr>
          <w:lang w:val="en-US"/>
        </w:rPr>
        <w:t>.”  While the word “classification” as used in this recommendation is probably not the best choice of words in the context of the U</w:t>
      </w:r>
      <w:r w:rsidR="004C4515">
        <w:rPr>
          <w:lang w:val="en-US"/>
        </w:rPr>
        <w:t xml:space="preserve">nited </w:t>
      </w:r>
      <w:proofErr w:type="spellStart"/>
      <w:r w:rsidR="00B03582" w:rsidRPr="008F2E9B">
        <w:rPr>
          <w:lang w:val="en-US"/>
        </w:rPr>
        <w:t>N</w:t>
      </w:r>
      <w:r w:rsidR="004C4515">
        <w:rPr>
          <w:lang w:val="en-US"/>
        </w:rPr>
        <w:t>nations</w:t>
      </w:r>
      <w:bookmarkStart w:id="0" w:name="_GoBack"/>
      <w:bookmarkEnd w:id="0"/>
      <w:proofErr w:type="spellEnd"/>
      <w:r w:rsidR="00B03582" w:rsidRPr="008F2E9B">
        <w:rPr>
          <w:lang w:val="en-US"/>
        </w:rPr>
        <w:t xml:space="preserve"> dangerous goods transport system, PRBA agrees that it is appropriate to draw a regulatory distinction between lithium button cells and other lithium cells and batteries on the basis of this quite clear difference in the risk exhibited</w:t>
      </w:r>
      <w:r w:rsidR="00D369BC">
        <w:rPr>
          <w:lang w:val="en-US"/>
        </w:rPr>
        <w:t xml:space="preserve"> in transport. </w:t>
      </w:r>
      <w:r w:rsidR="00B03582" w:rsidRPr="008F2E9B">
        <w:rPr>
          <w:lang w:val="en-US"/>
        </w:rPr>
        <w:t>Therefore, and to that end, PRBA in this document propo</w:t>
      </w:r>
      <w:r w:rsidR="00D369BC">
        <w:rPr>
          <w:lang w:val="en-US"/>
        </w:rPr>
        <w:t>ses certain amendments to the</w:t>
      </w:r>
      <w:r w:rsidR="00B03582" w:rsidRPr="008F2E9B">
        <w:rPr>
          <w:lang w:val="en-US"/>
        </w:rPr>
        <w:t xml:space="preserve"> Model Regulations for consideration by the Sub-Committee.</w:t>
      </w:r>
      <w:r w:rsidR="00132912" w:rsidRPr="008F2E9B">
        <w:rPr>
          <w:lang w:val="en-US"/>
        </w:rPr>
        <w:t xml:space="preserve"> </w:t>
      </w:r>
    </w:p>
    <w:p w:rsidR="00015AA6" w:rsidRPr="008F2E9B" w:rsidRDefault="00CC043B" w:rsidP="00427241">
      <w:pPr>
        <w:pStyle w:val="SingleTxtG"/>
        <w:rPr>
          <w:lang w:val="en-US"/>
        </w:rPr>
      </w:pPr>
      <w:r w:rsidRPr="008F2E9B">
        <w:rPr>
          <w:lang w:val="en-US"/>
        </w:rPr>
        <w:t>3.</w:t>
      </w:r>
      <w:r w:rsidRPr="008F2E9B">
        <w:rPr>
          <w:lang w:val="en-US"/>
        </w:rPr>
        <w:tab/>
      </w:r>
      <w:r w:rsidR="009904AC" w:rsidRPr="008F2E9B">
        <w:rPr>
          <w:lang w:val="en-US"/>
        </w:rPr>
        <w:t>Recent amendments to the ICAO Technical Instructions have imposed considerable restrictions on the transport of lithium metal batteries under the so-called “Section II” provisions in the packing instruction for lithium metal batteries (UN3090). Section II provides regulatory exceptions for “small” lithium metal batteries with lithium metal content as prescribed in paragraphs (a) and (b) of Special</w:t>
      </w:r>
      <w:r w:rsidR="00D369BC">
        <w:rPr>
          <w:lang w:val="en-US"/>
        </w:rPr>
        <w:t xml:space="preserve"> Provision 188 in the </w:t>
      </w:r>
      <w:r w:rsidR="00DB3CB9" w:rsidRPr="008F2E9B">
        <w:rPr>
          <w:lang w:val="en-US"/>
        </w:rPr>
        <w:t>Model R</w:t>
      </w:r>
      <w:r w:rsidR="009904AC" w:rsidRPr="008F2E9B">
        <w:rPr>
          <w:lang w:val="en-US"/>
        </w:rPr>
        <w:t xml:space="preserve">egulations. However, unlike UN SP188, the ICAO </w:t>
      </w:r>
      <w:r w:rsidR="00DB3CB9" w:rsidRPr="008F2E9B">
        <w:rPr>
          <w:lang w:val="en-US"/>
        </w:rPr>
        <w:t xml:space="preserve">Section II </w:t>
      </w:r>
      <w:r w:rsidR="009904AC" w:rsidRPr="008F2E9B">
        <w:rPr>
          <w:lang w:val="en-US"/>
        </w:rPr>
        <w:t>exemptions are far more limiting.  For example, each package may not contain more than eight cells or two batteries</w:t>
      </w:r>
      <w:r w:rsidR="00DB3CB9" w:rsidRPr="008F2E9B">
        <w:rPr>
          <w:lang w:val="en-US"/>
        </w:rPr>
        <w:t xml:space="preserve"> (except for cells/batteries with a lithium metal content of 0.3 g or less, for which the net weight of batteries in any package may not exceed 2.5 kg)</w:t>
      </w:r>
      <w:r w:rsidR="009904AC" w:rsidRPr="008F2E9B">
        <w:rPr>
          <w:lang w:val="en-US"/>
        </w:rPr>
        <w:t>, and not more than one such package is permitte</w:t>
      </w:r>
      <w:r w:rsidR="00D369BC">
        <w:rPr>
          <w:lang w:val="en-US"/>
        </w:rPr>
        <w:t xml:space="preserve">d to be placed in an overpack. </w:t>
      </w:r>
      <w:r w:rsidR="009904AC" w:rsidRPr="008F2E9B">
        <w:rPr>
          <w:lang w:val="en-US"/>
        </w:rPr>
        <w:t xml:space="preserve">Further, </w:t>
      </w:r>
      <w:r w:rsidR="00DB3CB9" w:rsidRPr="008F2E9B">
        <w:rPr>
          <w:lang w:val="en-US"/>
        </w:rPr>
        <w:t xml:space="preserve">and especially limiting, </w:t>
      </w:r>
      <w:r w:rsidR="009904AC" w:rsidRPr="008F2E9B">
        <w:rPr>
          <w:lang w:val="en-US"/>
        </w:rPr>
        <w:t>not more than one such “Section II” package may be offered for transport</w:t>
      </w:r>
      <w:r w:rsidR="00811701">
        <w:rPr>
          <w:lang w:val="en-US"/>
        </w:rPr>
        <w:t xml:space="preserve"> in any consignment. </w:t>
      </w:r>
      <w:r w:rsidR="009904AC" w:rsidRPr="008F2E9B">
        <w:rPr>
          <w:lang w:val="en-US"/>
        </w:rPr>
        <w:t xml:space="preserve">These very severe restrictions are primarily based </w:t>
      </w:r>
      <w:r w:rsidR="00D44DDA" w:rsidRPr="008F2E9B">
        <w:rPr>
          <w:lang w:val="en-US"/>
        </w:rPr>
        <w:t>on concern that if</w:t>
      </w:r>
      <w:r w:rsidR="00DB3CB9" w:rsidRPr="008F2E9B">
        <w:rPr>
          <w:lang w:val="en-US"/>
        </w:rPr>
        <w:t xml:space="preserve"> a single cell enters thermal runaway, the event will propagate uncontrolled through the complete contents of the package, as well as into any adjacent Section II packages.  However, as previously stated, tests have demonstrated that this risk of propagation is not manifested</w:t>
      </w:r>
      <w:r w:rsidR="00D44DDA" w:rsidRPr="008F2E9B">
        <w:rPr>
          <w:lang w:val="en-US"/>
        </w:rPr>
        <w:t xml:space="preserve"> in packages of button cells.  </w:t>
      </w:r>
    </w:p>
    <w:p w:rsidR="004835CF" w:rsidRPr="008F2E9B" w:rsidRDefault="00CC043B" w:rsidP="00CC043B">
      <w:pPr>
        <w:pStyle w:val="SingleTxtG"/>
        <w:rPr>
          <w:lang w:val="en-US"/>
        </w:rPr>
      </w:pPr>
      <w:r w:rsidRPr="008F2E9B">
        <w:rPr>
          <w:lang w:val="en-US"/>
        </w:rPr>
        <w:t>4.</w:t>
      </w:r>
      <w:r w:rsidRPr="008F2E9B">
        <w:rPr>
          <w:lang w:val="en-US"/>
        </w:rPr>
        <w:tab/>
      </w:r>
      <w:r w:rsidR="00D44DDA" w:rsidRPr="008F2E9B">
        <w:rPr>
          <w:lang w:val="en-US"/>
        </w:rPr>
        <w:t xml:space="preserve">Therefore, to provide a mechanism to appropriately regulate lithium metal button cells by taking </w:t>
      </w:r>
      <w:r w:rsidR="00454059" w:rsidRPr="008F2E9B">
        <w:rPr>
          <w:lang w:val="en-US"/>
        </w:rPr>
        <w:t xml:space="preserve">into account </w:t>
      </w:r>
      <w:r w:rsidR="00D44DDA" w:rsidRPr="008F2E9B">
        <w:rPr>
          <w:lang w:val="en-US"/>
        </w:rPr>
        <w:t xml:space="preserve">the differing risk they pose as compared to other lithium metal cells and batteries, PRBA proposes that a new entry with </w:t>
      </w:r>
      <w:r w:rsidR="005E60AB" w:rsidRPr="008F2E9B">
        <w:rPr>
          <w:lang w:val="en-US"/>
        </w:rPr>
        <w:t xml:space="preserve">a </w:t>
      </w:r>
      <w:r w:rsidR="00D44DDA" w:rsidRPr="008F2E9B">
        <w:rPr>
          <w:lang w:val="en-US"/>
        </w:rPr>
        <w:t>distinct UN number be adopted by the Sub-Committee for incorporation into the Danger</w:t>
      </w:r>
      <w:r w:rsidR="00811701">
        <w:rPr>
          <w:lang w:val="en-US"/>
        </w:rPr>
        <w:t xml:space="preserve">ous Goods List in the </w:t>
      </w:r>
      <w:r w:rsidR="00454059" w:rsidRPr="008F2E9B">
        <w:rPr>
          <w:lang w:val="en-US"/>
        </w:rPr>
        <w:t>Model Regulations.  In effect this new entry would</w:t>
      </w:r>
      <w:r w:rsidR="00D44DDA" w:rsidRPr="008F2E9B">
        <w:rPr>
          <w:lang w:val="en-US"/>
        </w:rPr>
        <w:t xml:space="preserve"> constitute the “separate UN classification to facilitate shipment” </w:t>
      </w:r>
      <w:r w:rsidR="00454059" w:rsidRPr="008F2E9B">
        <w:rPr>
          <w:lang w:val="en-US"/>
        </w:rPr>
        <w:t xml:space="preserve">of lithium metal button cells </w:t>
      </w:r>
      <w:r w:rsidR="00D44DDA" w:rsidRPr="008F2E9B">
        <w:rPr>
          <w:lang w:val="en-US"/>
        </w:rPr>
        <w:t xml:space="preserve">as recommended by the ICAO Multi-Disciplinary Meeting.  </w:t>
      </w:r>
      <w:r w:rsidR="00454059" w:rsidRPr="008F2E9B">
        <w:rPr>
          <w:lang w:val="en-US"/>
        </w:rPr>
        <w:t>PRBA notes that there is clear precedent for the adoption of new UN entries to accommodat</w:t>
      </w:r>
      <w:r w:rsidR="001477FF" w:rsidRPr="008F2E9B">
        <w:rPr>
          <w:lang w:val="en-US"/>
        </w:rPr>
        <w:t>e the special needs and concerns of the modal regulations</w:t>
      </w:r>
      <w:r w:rsidR="00454059" w:rsidRPr="008F2E9B">
        <w:rPr>
          <w:lang w:val="en-US"/>
        </w:rPr>
        <w:t xml:space="preserve">. </w:t>
      </w:r>
      <w:r w:rsidR="001477FF" w:rsidRPr="008F2E9B">
        <w:rPr>
          <w:lang w:val="en-US"/>
        </w:rPr>
        <w:t xml:space="preserve">Examples include the recent adoption of UN3496 (“Batteries, nickel-metal hydride”) to take account of the special concerns for these batteries in maritime transport, and, indeed, the adoption based on concerns principally in the air mode </w:t>
      </w:r>
      <w:r w:rsidR="00E739DA" w:rsidRPr="008F2E9B">
        <w:rPr>
          <w:lang w:val="en-US"/>
        </w:rPr>
        <w:t xml:space="preserve">of a separate entry for lithium </w:t>
      </w:r>
      <w:r w:rsidR="001477FF" w:rsidRPr="008F2E9B">
        <w:rPr>
          <w:lang w:val="en-US"/>
        </w:rPr>
        <w:t>ion cells and batteries (UN3480) in order to distinguish them from lithium metal batteries so that appropriate regulatory controls could be applied to take account of the varying risks.</w:t>
      </w:r>
      <w:r w:rsidR="005E60AB" w:rsidRPr="008F2E9B">
        <w:rPr>
          <w:lang w:val="en-US"/>
        </w:rPr>
        <w:t xml:space="preserve"> </w:t>
      </w:r>
      <w:r w:rsidR="004835CF" w:rsidRPr="008F2E9B">
        <w:rPr>
          <w:lang w:val="en-US"/>
        </w:rPr>
        <w:t xml:space="preserve"> </w:t>
      </w:r>
    </w:p>
    <w:p w:rsidR="007A0257" w:rsidRPr="008F2E9B" w:rsidRDefault="004835CF" w:rsidP="00CC043B">
      <w:pPr>
        <w:pStyle w:val="SingleTxtG"/>
        <w:rPr>
          <w:lang w:val="en-US"/>
        </w:rPr>
      </w:pPr>
      <w:r w:rsidRPr="008F2E9B">
        <w:rPr>
          <w:lang w:val="en-US"/>
        </w:rPr>
        <w:t>5.</w:t>
      </w:r>
      <w:r w:rsidRPr="008F2E9B">
        <w:rPr>
          <w:lang w:val="en-US"/>
        </w:rPr>
        <w:tab/>
        <w:t>In</w:t>
      </w:r>
      <w:r w:rsidR="00E739DA" w:rsidRPr="008F2E9B">
        <w:rPr>
          <w:lang w:val="en-US"/>
        </w:rPr>
        <w:t xml:space="preserve"> addition, </w:t>
      </w:r>
      <w:r w:rsidR="00811701">
        <w:rPr>
          <w:lang w:val="en-US"/>
        </w:rPr>
        <w:t xml:space="preserve">the </w:t>
      </w:r>
      <w:r w:rsidRPr="008F2E9B">
        <w:rPr>
          <w:lang w:val="en-US"/>
        </w:rPr>
        <w:t xml:space="preserve">Sub-Committee </w:t>
      </w:r>
      <w:r w:rsidR="00BD656D" w:rsidRPr="008F2E9B">
        <w:rPr>
          <w:lang w:val="en-US"/>
        </w:rPr>
        <w:t xml:space="preserve">previously </w:t>
      </w:r>
      <w:r w:rsidR="007A0257" w:rsidRPr="008F2E9B">
        <w:rPr>
          <w:lang w:val="en-US"/>
        </w:rPr>
        <w:t>agreed</w:t>
      </w:r>
      <w:r w:rsidRPr="008F2E9B">
        <w:rPr>
          <w:lang w:val="en-US"/>
        </w:rPr>
        <w:t xml:space="preserve"> that very small </w:t>
      </w:r>
      <w:r w:rsidR="00E739DA" w:rsidRPr="008F2E9B">
        <w:rPr>
          <w:lang w:val="en-US"/>
        </w:rPr>
        <w:t xml:space="preserve">capacitors </w:t>
      </w:r>
      <w:r w:rsidRPr="008F2E9B">
        <w:rPr>
          <w:lang w:val="en-US"/>
        </w:rPr>
        <w:t>(UN</w:t>
      </w:r>
      <w:r w:rsidR="007A0257" w:rsidRPr="008F2E9B">
        <w:rPr>
          <w:lang w:val="en-US"/>
        </w:rPr>
        <w:t xml:space="preserve">3499 and UN3508) </w:t>
      </w:r>
      <w:r w:rsidRPr="008F2E9B">
        <w:rPr>
          <w:lang w:val="en-US"/>
        </w:rPr>
        <w:t xml:space="preserve">with a Watt-hour rating of less than </w:t>
      </w:r>
      <w:r w:rsidR="007A0257" w:rsidRPr="008F2E9B">
        <w:rPr>
          <w:lang w:val="en-US"/>
        </w:rPr>
        <w:t xml:space="preserve">0.3 </w:t>
      </w:r>
      <w:proofErr w:type="gramStart"/>
      <w:r w:rsidR="007A0257" w:rsidRPr="008F2E9B">
        <w:rPr>
          <w:lang w:val="en-US"/>
        </w:rPr>
        <w:t>Wh</w:t>
      </w:r>
      <w:proofErr w:type="gramEnd"/>
      <w:r w:rsidRPr="008F2E9B">
        <w:rPr>
          <w:lang w:val="en-US"/>
        </w:rPr>
        <w:t xml:space="preserve"> should be provided a</w:t>
      </w:r>
      <w:r w:rsidR="00811701">
        <w:rPr>
          <w:lang w:val="en-US"/>
        </w:rPr>
        <w:t xml:space="preserve"> complete exemption from the </w:t>
      </w:r>
      <w:r w:rsidRPr="008F2E9B">
        <w:rPr>
          <w:lang w:val="en-US"/>
        </w:rPr>
        <w:t xml:space="preserve">Model Regulations due to their very limited risk in transport.  Button cells </w:t>
      </w:r>
      <w:r w:rsidR="00811701">
        <w:rPr>
          <w:lang w:val="en-US"/>
        </w:rPr>
        <w:t xml:space="preserve">as defined in the </w:t>
      </w:r>
      <w:r w:rsidR="006747AF" w:rsidRPr="008F2E9B">
        <w:rPr>
          <w:lang w:val="en-US"/>
        </w:rPr>
        <w:t xml:space="preserve">Manual of Tests and Criteria </w:t>
      </w:r>
      <w:r w:rsidR="00A80E21" w:rsidRPr="008F2E9B">
        <w:rPr>
          <w:lang w:val="en-US"/>
        </w:rPr>
        <w:t>that contain</w:t>
      </w:r>
      <w:r w:rsidRPr="008F2E9B">
        <w:rPr>
          <w:lang w:val="en-US"/>
        </w:rPr>
        <w:t xml:space="preserve"> less than 0.3 grams of lithium metal </w:t>
      </w:r>
      <w:r w:rsidR="004B679F" w:rsidRPr="008F2E9B">
        <w:rPr>
          <w:lang w:val="en-US"/>
        </w:rPr>
        <w:t xml:space="preserve">fall into a </w:t>
      </w:r>
      <w:r w:rsidR="007A0257" w:rsidRPr="008F2E9B">
        <w:rPr>
          <w:lang w:val="en-US"/>
        </w:rPr>
        <w:t xml:space="preserve">very </w:t>
      </w:r>
      <w:r w:rsidR="004B679F" w:rsidRPr="008F2E9B">
        <w:rPr>
          <w:lang w:val="en-US"/>
        </w:rPr>
        <w:t xml:space="preserve">similar category.  </w:t>
      </w:r>
      <w:r w:rsidR="005010AD" w:rsidRPr="008F2E9B">
        <w:rPr>
          <w:lang w:val="en-US"/>
        </w:rPr>
        <w:t>These relevant safety issues are</w:t>
      </w:r>
      <w:r w:rsidR="004B679F" w:rsidRPr="008F2E9B">
        <w:rPr>
          <w:lang w:val="en-US"/>
        </w:rPr>
        <w:t xml:space="preserve"> explained in more detail in PRBA’</w:t>
      </w:r>
      <w:r w:rsidR="005010AD" w:rsidRPr="008F2E9B">
        <w:rPr>
          <w:lang w:val="en-US"/>
        </w:rPr>
        <w:t xml:space="preserve">s </w:t>
      </w:r>
      <w:r w:rsidR="00811701">
        <w:rPr>
          <w:lang w:val="en-US"/>
        </w:rPr>
        <w:t>informal document</w:t>
      </w:r>
      <w:r w:rsidR="005010AD" w:rsidRPr="008F2E9B">
        <w:rPr>
          <w:lang w:val="en-US"/>
        </w:rPr>
        <w:t>.</w:t>
      </w:r>
    </w:p>
    <w:p w:rsidR="00224EC7" w:rsidRPr="008F2E9B" w:rsidRDefault="004835CF" w:rsidP="00CC043B">
      <w:pPr>
        <w:pStyle w:val="SingleTxtG"/>
        <w:rPr>
          <w:lang w:val="en-US"/>
        </w:rPr>
      </w:pPr>
      <w:r w:rsidRPr="008F2E9B">
        <w:rPr>
          <w:lang w:val="en-US"/>
        </w:rPr>
        <w:t>6</w:t>
      </w:r>
      <w:r w:rsidR="00224EC7" w:rsidRPr="008F2E9B">
        <w:rPr>
          <w:lang w:val="en-US"/>
        </w:rPr>
        <w:t>.</w:t>
      </w:r>
      <w:r w:rsidR="00224EC7" w:rsidRPr="008F2E9B">
        <w:rPr>
          <w:lang w:val="en-US"/>
        </w:rPr>
        <w:tab/>
      </w:r>
      <w:r w:rsidR="00811701">
        <w:rPr>
          <w:lang w:val="en-US"/>
        </w:rPr>
        <w:t xml:space="preserve">For purposes of the </w:t>
      </w:r>
      <w:r w:rsidR="00AF67AA" w:rsidRPr="008F2E9B">
        <w:rPr>
          <w:lang w:val="en-US"/>
        </w:rPr>
        <w:t xml:space="preserve">Model Regulations, the new entry would </w:t>
      </w:r>
      <w:r w:rsidR="00595121" w:rsidRPr="008F2E9B">
        <w:rPr>
          <w:lang w:val="en-US"/>
        </w:rPr>
        <w:t xml:space="preserve">generally </w:t>
      </w:r>
      <w:r w:rsidR="00AF67AA" w:rsidRPr="008F2E9B">
        <w:rPr>
          <w:lang w:val="en-US"/>
        </w:rPr>
        <w:t>mirror the current entry UN3090 for lithium metal batteries in terms of classificatio</w:t>
      </w:r>
      <w:r w:rsidR="00595121" w:rsidRPr="008F2E9B">
        <w:rPr>
          <w:lang w:val="en-US"/>
        </w:rPr>
        <w:t>n</w:t>
      </w:r>
      <w:r w:rsidR="00AF67AA" w:rsidRPr="008F2E9B">
        <w:rPr>
          <w:lang w:val="en-US"/>
        </w:rPr>
        <w:t>, label</w:t>
      </w:r>
      <w:r w:rsidR="00811701">
        <w:rPr>
          <w:lang w:val="en-US"/>
        </w:rPr>
        <w:t>l</w:t>
      </w:r>
      <w:r w:rsidR="00AF67AA" w:rsidRPr="008F2E9B">
        <w:rPr>
          <w:lang w:val="en-US"/>
        </w:rPr>
        <w:t>ing, packing, the exemptions provided through Special Provision 188</w:t>
      </w:r>
      <w:r w:rsidR="00595121" w:rsidRPr="008F2E9B">
        <w:rPr>
          <w:lang w:val="en-US"/>
        </w:rPr>
        <w:t>, and other requirements</w:t>
      </w:r>
      <w:r w:rsidR="00AF67AA" w:rsidRPr="008F2E9B">
        <w:rPr>
          <w:lang w:val="en-US"/>
        </w:rPr>
        <w:t>.  However, once the new UN number</w:t>
      </w:r>
      <w:r w:rsidR="00F65E33" w:rsidRPr="008F2E9B">
        <w:rPr>
          <w:lang w:val="en-US"/>
        </w:rPr>
        <w:t xml:space="preserve"> i</w:t>
      </w:r>
      <w:r w:rsidR="00AF67AA" w:rsidRPr="008F2E9B">
        <w:rPr>
          <w:lang w:val="en-US"/>
        </w:rPr>
        <w:t xml:space="preserve">s established, it can be employed by the ICAO </w:t>
      </w:r>
      <w:r w:rsidR="00AF67AA" w:rsidRPr="008F2E9B">
        <w:rPr>
          <w:lang w:val="en-US"/>
        </w:rPr>
        <w:lastRenderedPageBreak/>
        <w:t xml:space="preserve">Dangerous Goods Panel to impose </w:t>
      </w:r>
      <w:r w:rsidR="00595121" w:rsidRPr="008F2E9B">
        <w:rPr>
          <w:lang w:val="en-US"/>
        </w:rPr>
        <w:t>packing</w:t>
      </w:r>
      <w:r w:rsidR="00AF67AA" w:rsidRPr="008F2E9B">
        <w:rPr>
          <w:lang w:val="en-US"/>
        </w:rPr>
        <w:t xml:space="preserve"> requirements, regulatory exemptions and operational controls on lithium metal button cells appropriate to the risk posed in air transport as compared to other types of lithium metal cells and batteries.</w:t>
      </w:r>
      <w:r w:rsidR="00F65E33" w:rsidRPr="008F2E9B">
        <w:rPr>
          <w:lang w:val="en-US"/>
        </w:rPr>
        <w:t xml:space="preserve">  It is not considered necessary to create a separate entry for lithium metal button cells contained in or packed with equipment, and such packages would continue to be covered by UN3091.</w:t>
      </w:r>
      <w:r w:rsidR="00224EC7" w:rsidRPr="008F2E9B">
        <w:rPr>
          <w:lang w:val="en-US"/>
        </w:rPr>
        <w:t xml:space="preserve">  </w:t>
      </w:r>
    </w:p>
    <w:p w:rsidR="00933F7E" w:rsidRPr="008F2E9B" w:rsidRDefault="004835CF" w:rsidP="00CC043B">
      <w:pPr>
        <w:pStyle w:val="SingleTxtG"/>
        <w:rPr>
          <w:lang w:val="en-US"/>
        </w:rPr>
      </w:pPr>
      <w:r w:rsidRPr="008F2E9B">
        <w:rPr>
          <w:lang w:val="en-US"/>
        </w:rPr>
        <w:t>7</w:t>
      </w:r>
      <w:r w:rsidR="00933F7E" w:rsidRPr="008F2E9B">
        <w:rPr>
          <w:lang w:val="en-US"/>
        </w:rPr>
        <w:t>.</w:t>
      </w:r>
      <w:r w:rsidR="00933F7E" w:rsidRPr="008F2E9B">
        <w:rPr>
          <w:lang w:val="en-US"/>
        </w:rPr>
        <w:tab/>
        <w:t>In consideration of the foregoing, the Sub-Committee is invited to consider the following proposals.</w:t>
      </w:r>
    </w:p>
    <w:p w:rsidR="00C36D4A" w:rsidRPr="008F2E9B" w:rsidRDefault="006A38EB" w:rsidP="006C4493">
      <w:pPr>
        <w:pStyle w:val="HChG"/>
      </w:pPr>
      <w:r w:rsidRPr="008F2E9B">
        <w:tab/>
      </w:r>
      <w:r w:rsidRPr="008F2E9B">
        <w:tab/>
      </w:r>
      <w:r w:rsidR="0002126E" w:rsidRPr="008F2E9B">
        <w:t>Proposal</w:t>
      </w:r>
      <w:r w:rsidR="00933F7E" w:rsidRPr="008F2E9B">
        <w:t>s</w:t>
      </w:r>
    </w:p>
    <w:p w:rsidR="00C75C47" w:rsidRPr="008F2E9B" w:rsidRDefault="00811701" w:rsidP="00AF67AA">
      <w:pPr>
        <w:pStyle w:val="SingleTxtG"/>
        <w:rPr>
          <w:lang w:val="en-US"/>
        </w:rPr>
      </w:pPr>
      <w:r>
        <w:rPr>
          <w:lang w:val="en-US"/>
        </w:rPr>
        <w:t>8</w:t>
      </w:r>
      <w:r w:rsidR="00CC043B" w:rsidRPr="008F2E9B">
        <w:rPr>
          <w:lang w:val="en-US"/>
        </w:rPr>
        <w:t>.</w:t>
      </w:r>
      <w:r w:rsidR="00CC043B" w:rsidRPr="008F2E9B">
        <w:rPr>
          <w:lang w:val="en-US"/>
        </w:rPr>
        <w:tab/>
      </w:r>
      <w:r w:rsidR="00AF67AA" w:rsidRPr="008F2E9B">
        <w:rPr>
          <w:lang w:val="en-US"/>
        </w:rPr>
        <w:t>Add a new entry to</w:t>
      </w:r>
      <w:r w:rsidR="000722DD" w:rsidRPr="008F2E9B">
        <w:rPr>
          <w:lang w:val="en-US"/>
        </w:rPr>
        <w:t xml:space="preserve"> the Dangerous Goods List in Chapter 3.2</w:t>
      </w:r>
      <w:r w:rsidR="00C75C47" w:rsidRPr="008F2E9B">
        <w:rPr>
          <w:lang w:val="en-US"/>
        </w:rPr>
        <w:t xml:space="preserve"> to read as follows:</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34"/>
        <w:gridCol w:w="2016"/>
        <w:gridCol w:w="686"/>
        <w:gridCol w:w="563"/>
        <w:gridCol w:w="703"/>
        <w:gridCol w:w="664"/>
        <w:gridCol w:w="622"/>
        <w:gridCol w:w="623"/>
        <w:gridCol w:w="967"/>
        <w:gridCol w:w="850"/>
        <w:gridCol w:w="761"/>
        <w:gridCol w:w="762"/>
      </w:tblGrid>
      <w:tr w:rsidR="009D73DC" w:rsidRPr="008F2E9B" w:rsidTr="00FD6F9A">
        <w:trPr>
          <w:cantSplit/>
          <w:tblHeader/>
        </w:trPr>
        <w:tc>
          <w:tcPr>
            <w:tcW w:w="734" w:type="dxa"/>
            <w:vMerge w:val="restart"/>
            <w:tcBorders>
              <w:top w:val="single" w:sz="4" w:space="0" w:color="auto"/>
              <w:left w:val="single" w:sz="4" w:space="0" w:color="auto"/>
              <w:right w:val="single" w:sz="4" w:space="0" w:color="auto"/>
            </w:tcBorders>
            <w:shd w:val="clear" w:color="auto" w:fill="auto"/>
            <w:vAlign w:val="center"/>
          </w:tcPr>
          <w:p w:rsidR="009D73DC" w:rsidRPr="008F2E9B" w:rsidRDefault="00FD6F9A" w:rsidP="00FD6F9A">
            <w:pPr>
              <w:spacing w:before="40" w:after="120" w:line="276" w:lineRule="auto"/>
              <w:jc w:val="center"/>
              <w:rPr>
                <w:b/>
                <w:bCs/>
                <w:sz w:val="18"/>
                <w:szCs w:val="18"/>
              </w:rPr>
            </w:pPr>
            <w:r w:rsidRPr="008F2E9B">
              <w:rPr>
                <w:b/>
                <w:bCs/>
                <w:sz w:val="18"/>
                <w:szCs w:val="18"/>
              </w:rPr>
              <w:t>UN No.</w:t>
            </w:r>
          </w:p>
        </w:tc>
        <w:tc>
          <w:tcPr>
            <w:tcW w:w="2016" w:type="dxa"/>
            <w:vMerge w:val="restart"/>
            <w:tcBorders>
              <w:top w:val="single" w:sz="4" w:space="0" w:color="auto"/>
              <w:left w:val="single" w:sz="4" w:space="0" w:color="auto"/>
              <w:right w:val="single" w:sz="4" w:space="0" w:color="auto"/>
            </w:tcBorders>
            <w:shd w:val="clear" w:color="auto" w:fill="auto"/>
            <w:vAlign w:val="center"/>
          </w:tcPr>
          <w:p w:rsidR="009D73DC" w:rsidRPr="008F2E9B" w:rsidRDefault="009D73DC" w:rsidP="00CA77BC">
            <w:pPr>
              <w:spacing w:before="40" w:after="120" w:line="276" w:lineRule="auto"/>
              <w:jc w:val="center"/>
              <w:rPr>
                <w:b/>
                <w:bCs/>
                <w:sz w:val="18"/>
                <w:szCs w:val="18"/>
              </w:rPr>
            </w:pPr>
            <w:r w:rsidRPr="008F2E9B">
              <w:rPr>
                <w:b/>
                <w:bCs/>
                <w:sz w:val="18"/>
                <w:szCs w:val="18"/>
              </w:rPr>
              <w:t>Name and description</w:t>
            </w:r>
          </w:p>
        </w:tc>
        <w:tc>
          <w:tcPr>
            <w:tcW w:w="686" w:type="dxa"/>
            <w:vMerge w:val="restart"/>
            <w:tcBorders>
              <w:top w:val="single" w:sz="4" w:space="0" w:color="auto"/>
              <w:left w:val="single" w:sz="4" w:space="0" w:color="auto"/>
              <w:right w:val="single" w:sz="4" w:space="0" w:color="auto"/>
            </w:tcBorders>
            <w:shd w:val="clear" w:color="auto" w:fill="auto"/>
            <w:vAlign w:val="center"/>
          </w:tcPr>
          <w:p w:rsidR="009D73DC" w:rsidRPr="008F2E9B" w:rsidRDefault="009D73DC" w:rsidP="00CA77BC">
            <w:pPr>
              <w:spacing w:before="40" w:after="120" w:line="276" w:lineRule="auto"/>
              <w:ind w:left="-57" w:right="-57"/>
              <w:jc w:val="center"/>
              <w:rPr>
                <w:b/>
                <w:bCs/>
                <w:sz w:val="18"/>
                <w:szCs w:val="18"/>
              </w:rPr>
            </w:pPr>
            <w:r w:rsidRPr="008F2E9B">
              <w:rPr>
                <w:b/>
                <w:bCs/>
                <w:sz w:val="18"/>
                <w:szCs w:val="18"/>
              </w:rPr>
              <w:t>Class or division</w:t>
            </w:r>
          </w:p>
        </w:tc>
        <w:tc>
          <w:tcPr>
            <w:tcW w:w="563" w:type="dxa"/>
            <w:vMerge w:val="restart"/>
            <w:tcBorders>
              <w:top w:val="single" w:sz="4" w:space="0" w:color="auto"/>
              <w:left w:val="single" w:sz="4" w:space="0" w:color="auto"/>
              <w:right w:val="single" w:sz="4" w:space="0" w:color="auto"/>
            </w:tcBorders>
            <w:shd w:val="clear" w:color="auto" w:fill="auto"/>
            <w:vAlign w:val="center"/>
          </w:tcPr>
          <w:p w:rsidR="009D73DC" w:rsidRPr="008F2E9B" w:rsidRDefault="009D73DC" w:rsidP="00CA77BC">
            <w:pPr>
              <w:spacing w:before="40" w:after="120" w:line="276" w:lineRule="auto"/>
              <w:jc w:val="center"/>
              <w:rPr>
                <w:b/>
                <w:bCs/>
                <w:sz w:val="18"/>
                <w:szCs w:val="18"/>
              </w:rPr>
            </w:pPr>
            <w:r w:rsidRPr="008F2E9B">
              <w:rPr>
                <w:b/>
                <w:bCs/>
                <w:sz w:val="18"/>
                <w:szCs w:val="18"/>
              </w:rPr>
              <w:t>Subsi-diary risk</w:t>
            </w:r>
          </w:p>
        </w:tc>
        <w:tc>
          <w:tcPr>
            <w:tcW w:w="703" w:type="dxa"/>
            <w:vMerge w:val="restart"/>
            <w:tcBorders>
              <w:top w:val="single" w:sz="4" w:space="0" w:color="auto"/>
              <w:left w:val="single" w:sz="4" w:space="0" w:color="auto"/>
              <w:right w:val="single" w:sz="4" w:space="0" w:color="auto"/>
            </w:tcBorders>
            <w:shd w:val="clear" w:color="auto" w:fill="auto"/>
            <w:vAlign w:val="center"/>
          </w:tcPr>
          <w:p w:rsidR="009D73DC" w:rsidRPr="008F2E9B" w:rsidRDefault="009D73DC" w:rsidP="00CA77BC">
            <w:pPr>
              <w:spacing w:before="40" w:after="120" w:line="276" w:lineRule="auto"/>
              <w:jc w:val="center"/>
              <w:rPr>
                <w:b/>
                <w:bCs/>
                <w:sz w:val="18"/>
                <w:szCs w:val="18"/>
              </w:rPr>
            </w:pPr>
            <w:r w:rsidRPr="008F2E9B">
              <w:rPr>
                <w:b/>
                <w:bCs/>
                <w:sz w:val="18"/>
                <w:szCs w:val="18"/>
              </w:rPr>
              <w:t>UN packing group</w:t>
            </w:r>
          </w:p>
        </w:tc>
        <w:tc>
          <w:tcPr>
            <w:tcW w:w="664" w:type="dxa"/>
            <w:vMerge w:val="restart"/>
            <w:tcBorders>
              <w:top w:val="single" w:sz="4" w:space="0" w:color="auto"/>
              <w:left w:val="single" w:sz="4" w:space="0" w:color="auto"/>
              <w:right w:val="single" w:sz="4" w:space="0" w:color="auto"/>
            </w:tcBorders>
            <w:shd w:val="clear" w:color="auto" w:fill="auto"/>
            <w:vAlign w:val="center"/>
          </w:tcPr>
          <w:p w:rsidR="009D73DC" w:rsidRPr="008F2E9B" w:rsidRDefault="009D73DC" w:rsidP="00CA77BC">
            <w:pPr>
              <w:spacing w:before="40" w:after="120" w:line="276" w:lineRule="auto"/>
              <w:jc w:val="center"/>
              <w:rPr>
                <w:b/>
                <w:bCs/>
                <w:sz w:val="18"/>
                <w:szCs w:val="18"/>
              </w:rPr>
            </w:pPr>
            <w:r w:rsidRPr="008F2E9B">
              <w:rPr>
                <w:b/>
                <w:bCs/>
                <w:sz w:val="18"/>
                <w:szCs w:val="18"/>
              </w:rPr>
              <w:t>Special provi-sions</w:t>
            </w:r>
          </w:p>
        </w:tc>
        <w:tc>
          <w:tcPr>
            <w:tcW w:w="1245" w:type="dxa"/>
            <w:gridSpan w:val="2"/>
            <w:vMerge w:val="restart"/>
            <w:tcBorders>
              <w:top w:val="single" w:sz="4" w:space="0" w:color="auto"/>
              <w:left w:val="single" w:sz="4" w:space="0" w:color="auto"/>
              <w:right w:val="single" w:sz="4" w:space="0" w:color="auto"/>
            </w:tcBorders>
            <w:shd w:val="clear" w:color="auto" w:fill="auto"/>
            <w:vAlign w:val="center"/>
          </w:tcPr>
          <w:p w:rsidR="009D73DC" w:rsidRPr="008F2E9B" w:rsidRDefault="009D73DC" w:rsidP="00CA77BC">
            <w:pPr>
              <w:spacing w:before="40" w:after="120" w:line="276" w:lineRule="auto"/>
              <w:jc w:val="center"/>
              <w:rPr>
                <w:b/>
                <w:bCs/>
                <w:sz w:val="18"/>
                <w:szCs w:val="18"/>
              </w:rPr>
            </w:pPr>
            <w:r w:rsidRPr="008F2E9B">
              <w:rPr>
                <w:b/>
                <w:bCs/>
                <w:sz w:val="18"/>
                <w:szCs w:val="18"/>
              </w:rPr>
              <w:t>Limited and excepted quantities</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73DC" w:rsidRPr="008F2E9B" w:rsidRDefault="009D73DC" w:rsidP="00CA77BC">
            <w:pPr>
              <w:suppressAutoHyphens w:val="0"/>
              <w:spacing w:before="40" w:after="120" w:line="276" w:lineRule="auto"/>
              <w:jc w:val="center"/>
              <w:rPr>
                <w:b/>
                <w:bCs/>
                <w:sz w:val="18"/>
                <w:szCs w:val="18"/>
              </w:rPr>
            </w:pPr>
            <w:r w:rsidRPr="008F2E9B">
              <w:rPr>
                <w:b/>
                <w:bCs/>
                <w:sz w:val="18"/>
                <w:szCs w:val="18"/>
              </w:rPr>
              <w:t>Packagings and IBCs</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73DC" w:rsidRPr="008F2E9B" w:rsidRDefault="009D73DC" w:rsidP="00CA77BC">
            <w:pPr>
              <w:suppressAutoHyphens w:val="0"/>
              <w:spacing w:before="40" w:after="120" w:line="276" w:lineRule="auto"/>
              <w:jc w:val="center"/>
              <w:rPr>
                <w:b/>
                <w:bCs/>
                <w:iCs/>
                <w:sz w:val="18"/>
                <w:szCs w:val="18"/>
              </w:rPr>
            </w:pPr>
            <w:r w:rsidRPr="008F2E9B">
              <w:rPr>
                <w:b/>
                <w:bCs/>
                <w:iCs/>
                <w:sz w:val="18"/>
                <w:szCs w:val="18"/>
              </w:rPr>
              <w:t>Portable tanks and bulk containers</w:t>
            </w:r>
          </w:p>
        </w:tc>
      </w:tr>
      <w:tr w:rsidR="009D73DC" w:rsidRPr="008F2E9B" w:rsidTr="00FD6F9A">
        <w:trPr>
          <w:cantSplit/>
          <w:tblHeader/>
        </w:trPr>
        <w:tc>
          <w:tcPr>
            <w:tcW w:w="734" w:type="dxa"/>
            <w:vMerge/>
            <w:tcBorders>
              <w:left w:val="single" w:sz="4" w:space="0" w:color="auto"/>
              <w:bottom w:val="single" w:sz="4" w:space="0" w:color="auto"/>
              <w:right w:val="single" w:sz="4" w:space="0" w:color="auto"/>
            </w:tcBorders>
            <w:shd w:val="clear" w:color="auto" w:fill="auto"/>
            <w:vAlign w:val="center"/>
          </w:tcPr>
          <w:p w:rsidR="009D73DC" w:rsidRPr="008F2E9B" w:rsidRDefault="009D73DC" w:rsidP="00CA77BC">
            <w:pPr>
              <w:suppressAutoHyphens w:val="0"/>
              <w:spacing w:before="40" w:after="120" w:line="276" w:lineRule="auto"/>
              <w:jc w:val="center"/>
              <w:rPr>
                <w:b/>
                <w:bCs/>
                <w:sz w:val="18"/>
                <w:szCs w:val="18"/>
              </w:rPr>
            </w:pPr>
          </w:p>
        </w:tc>
        <w:tc>
          <w:tcPr>
            <w:tcW w:w="2016" w:type="dxa"/>
            <w:vMerge/>
            <w:tcBorders>
              <w:left w:val="single" w:sz="4" w:space="0" w:color="auto"/>
              <w:bottom w:val="single" w:sz="4" w:space="0" w:color="auto"/>
              <w:right w:val="single" w:sz="4" w:space="0" w:color="auto"/>
            </w:tcBorders>
            <w:shd w:val="clear" w:color="auto" w:fill="auto"/>
            <w:vAlign w:val="center"/>
          </w:tcPr>
          <w:p w:rsidR="009D73DC" w:rsidRPr="008F2E9B" w:rsidRDefault="009D73DC" w:rsidP="00CA77BC">
            <w:pPr>
              <w:suppressAutoHyphens w:val="0"/>
              <w:spacing w:before="40" w:after="120" w:line="276" w:lineRule="auto"/>
              <w:jc w:val="center"/>
              <w:rPr>
                <w:b/>
                <w:bCs/>
                <w:sz w:val="18"/>
                <w:szCs w:val="18"/>
              </w:rPr>
            </w:pPr>
          </w:p>
        </w:tc>
        <w:tc>
          <w:tcPr>
            <w:tcW w:w="686" w:type="dxa"/>
            <w:vMerge/>
            <w:tcBorders>
              <w:left w:val="single" w:sz="4" w:space="0" w:color="auto"/>
              <w:bottom w:val="single" w:sz="4" w:space="0" w:color="auto"/>
              <w:right w:val="single" w:sz="4" w:space="0" w:color="auto"/>
            </w:tcBorders>
            <w:shd w:val="clear" w:color="auto" w:fill="auto"/>
            <w:vAlign w:val="center"/>
          </w:tcPr>
          <w:p w:rsidR="009D73DC" w:rsidRPr="008F2E9B" w:rsidRDefault="009D73DC" w:rsidP="00CA77BC">
            <w:pPr>
              <w:suppressAutoHyphens w:val="0"/>
              <w:spacing w:before="40" w:after="120" w:line="276" w:lineRule="auto"/>
              <w:jc w:val="center"/>
              <w:rPr>
                <w:b/>
                <w:bCs/>
                <w:sz w:val="18"/>
                <w:szCs w:val="18"/>
              </w:rPr>
            </w:pPr>
          </w:p>
        </w:tc>
        <w:tc>
          <w:tcPr>
            <w:tcW w:w="563" w:type="dxa"/>
            <w:vMerge/>
            <w:tcBorders>
              <w:left w:val="single" w:sz="4" w:space="0" w:color="auto"/>
              <w:bottom w:val="single" w:sz="4" w:space="0" w:color="auto"/>
              <w:right w:val="single" w:sz="4" w:space="0" w:color="auto"/>
            </w:tcBorders>
            <w:shd w:val="clear" w:color="auto" w:fill="auto"/>
            <w:vAlign w:val="center"/>
          </w:tcPr>
          <w:p w:rsidR="009D73DC" w:rsidRPr="008F2E9B" w:rsidRDefault="009D73DC" w:rsidP="00CA77BC">
            <w:pPr>
              <w:suppressAutoHyphens w:val="0"/>
              <w:spacing w:before="40" w:after="120" w:line="276" w:lineRule="auto"/>
              <w:jc w:val="center"/>
              <w:rPr>
                <w:b/>
                <w:bCs/>
                <w:sz w:val="18"/>
                <w:szCs w:val="18"/>
              </w:rPr>
            </w:pPr>
          </w:p>
        </w:tc>
        <w:tc>
          <w:tcPr>
            <w:tcW w:w="703" w:type="dxa"/>
            <w:vMerge/>
            <w:tcBorders>
              <w:left w:val="single" w:sz="4" w:space="0" w:color="auto"/>
              <w:bottom w:val="single" w:sz="4" w:space="0" w:color="auto"/>
              <w:right w:val="single" w:sz="4" w:space="0" w:color="auto"/>
            </w:tcBorders>
            <w:shd w:val="clear" w:color="auto" w:fill="auto"/>
            <w:vAlign w:val="center"/>
          </w:tcPr>
          <w:p w:rsidR="009D73DC" w:rsidRPr="008F2E9B" w:rsidRDefault="009D73DC" w:rsidP="00CA77BC">
            <w:pPr>
              <w:suppressAutoHyphens w:val="0"/>
              <w:spacing w:before="40" w:after="120" w:line="276" w:lineRule="auto"/>
              <w:jc w:val="center"/>
              <w:rPr>
                <w:b/>
                <w:bCs/>
                <w:sz w:val="18"/>
                <w:szCs w:val="18"/>
              </w:rPr>
            </w:pPr>
          </w:p>
        </w:tc>
        <w:tc>
          <w:tcPr>
            <w:tcW w:w="664" w:type="dxa"/>
            <w:vMerge/>
            <w:tcBorders>
              <w:left w:val="single" w:sz="4" w:space="0" w:color="auto"/>
              <w:bottom w:val="single" w:sz="4" w:space="0" w:color="auto"/>
              <w:right w:val="single" w:sz="4" w:space="0" w:color="auto"/>
            </w:tcBorders>
            <w:shd w:val="clear" w:color="auto" w:fill="auto"/>
            <w:vAlign w:val="center"/>
          </w:tcPr>
          <w:p w:rsidR="009D73DC" w:rsidRPr="008F2E9B" w:rsidRDefault="009D73DC" w:rsidP="00CA77BC">
            <w:pPr>
              <w:suppressAutoHyphens w:val="0"/>
              <w:spacing w:before="40" w:after="120" w:line="276" w:lineRule="auto"/>
              <w:jc w:val="center"/>
              <w:rPr>
                <w:b/>
                <w:bCs/>
                <w:sz w:val="18"/>
                <w:szCs w:val="18"/>
              </w:rPr>
            </w:pPr>
          </w:p>
        </w:tc>
        <w:tc>
          <w:tcPr>
            <w:tcW w:w="1245" w:type="dxa"/>
            <w:gridSpan w:val="2"/>
            <w:vMerge/>
            <w:tcBorders>
              <w:left w:val="single" w:sz="4" w:space="0" w:color="auto"/>
              <w:bottom w:val="single" w:sz="4" w:space="0" w:color="auto"/>
              <w:right w:val="single" w:sz="4" w:space="0" w:color="auto"/>
            </w:tcBorders>
            <w:shd w:val="clear" w:color="auto" w:fill="auto"/>
            <w:vAlign w:val="center"/>
          </w:tcPr>
          <w:p w:rsidR="009D73DC" w:rsidRPr="008F2E9B" w:rsidRDefault="009D73DC" w:rsidP="00CA77BC">
            <w:pPr>
              <w:suppressAutoHyphens w:val="0"/>
              <w:spacing w:before="40" w:after="120" w:line="276" w:lineRule="auto"/>
              <w:jc w:val="center"/>
              <w:rPr>
                <w:b/>
                <w:bCs/>
                <w:sz w:val="18"/>
                <w:szCs w:val="18"/>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9D73DC" w:rsidRPr="008F2E9B" w:rsidRDefault="009D73DC" w:rsidP="00CA77BC">
            <w:pPr>
              <w:suppressAutoHyphens w:val="0"/>
              <w:spacing w:before="40" w:after="120" w:line="276" w:lineRule="auto"/>
              <w:jc w:val="center"/>
              <w:rPr>
                <w:b/>
                <w:bCs/>
                <w:sz w:val="18"/>
                <w:szCs w:val="18"/>
              </w:rPr>
            </w:pPr>
            <w:r w:rsidRPr="008F2E9B">
              <w:rPr>
                <w:b/>
                <w:bCs/>
                <w:sz w:val="18"/>
                <w:szCs w:val="18"/>
              </w:rPr>
              <w:t>Packing instructions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73DC" w:rsidRPr="008F2E9B" w:rsidRDefault="009D73DC" w:rsidP="00CA77BC">
            <w:pPr>
              <w:suppressAutoHyphens w:val="0"/>
              <w:spacing w:before="40" w:after="120" w:line="276" w:lineRule="auto"/>
              <w:jc w:val="center"/>
              <w:rPr>
                <w:b/>
                <w:bCs/>
                <w:sz w:val="18"/>
                <w:szCs w:val="18"/>
              </w:rPr>
            </w:pPr>
            <w:r w:rsidRPr="008F2E9B">
              <w:rPr>
                <w:b/>
                <w:bCs/>
                <w:sz w:val="18"/>
                <w:szCs w:val="18"/>
              </w:rPr>
              <w:t>Special packing provisions</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9D73DC" w:rsidRPr="008F2E9B" w:rsidRDefault="009D73DC" w:rsidP="00CA77BC">
            <w:pPr>
              <w:suppressAutoHyphens w:val="0"/>
              <w:spacing w:before="40" w:after="120" w:line="276" w:lineRule="auto"/>
              <w:jc w:val="center"/>
              <w:rPr>
                <w:b/>
                <w:bCs/>
                <w:sz w:val="18"/>
                <w:szCs w:val="18"/>
              </w:rPr>
            </w:pPr>
            <w:r w:rsidRPr="008F2E9B">
              <w:rPr>
                <w:b/>
                <w:bCs/>
                <w:sz w:val="18"/>
                <w:szCs w:val="18"/>
              </w:rPr>
              <w:t>Instruc-tions</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9D73DC" w:rsidRPr="008F2E9B" w:rsidRDefault="009D73DC" w:rsidP="00CA77BC">
            <w:pPr>
              <w:suppressAutoHyphens w:val="0"/>
              <w:spacing w:before="40" w:after="120" w:line="276" w:lineRule="auto"/>
              <w:ind w:left="-57" w:right="-57"/>
              <w:jc w:val="center"/>
              <w:rPr>
                <w:b/>
                <w:bCs/>
                <w:iCs/>
                <w:sz w:val="18"/>
                <w:szCs w:val="18"/>
              </w:rPr>
            </w:pPr>
            <w:r w:rsidRPr="008F2E9B">
              <w:rPr>
                <w:b/>
                <w:bCs/>
                <w:iCs/>
                <w:sz w:val="18"/>
                <w:szCs w:val="18"/>
              </w:rPr>
              <w:t>Special provisions</w:t>
            </w:r>
          </w:p>
        </w:tc>
      </w:tr>
      <w:tr w:rsidR="009D73DC" w:rsidRPr="008F2E9B" w:rsidTr="00FD6F9A">
        <w:trPr>
          <w:cantSplit/>
          <w:tblHeader/>
        </w:trPr>
        <w:tc>
          <w:tcPr>
            <w:tcW w:w="734"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before="40" w:after="120" w:line="276" w:lineRule="auto"/>
              <w:jc w:val="center"/>
              <w:rPr>
                <w:bCs/>
                <w:szCs w:val="18"/>
              </w:rPr>
            </w:pPr>
            <w:r w:rsidRPr="008F2E9B">
              <w:rPr>
                <w:bCs/>
                <w:szCs w:val="18"/>
              </w:rPr>
              <w:t>(1)</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before="40" w:after="120" w:line="276" w:lineRule="auto"/>
              <w:jc w:val="center"/>
              <w:rPr>
                <w:bCs/>
                <w:szCs w:val="18"/>
              </w:rPr>
            </w:pPr>
            <w:r w:rsidRPr="008F2E9B">
              <w:rPr>
                <w:bCs/>
                <w:szCs w:val="18"/>
              </w:rPr>
              <w:t>(2)</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before="40" w:after="120" w:line="276" w:lineRule="auto"/>
              <w:jc w:val="center"/>
              <w:rPr>
                <w:bCs/>
                <w:szCs w:val="18"/>
              </w:rPr>
            </w:pPr>
            <w:r w:rsidRPr="008F2E9B">
              <w:rPr>
                <w:bCs/>
                <w:szCs w:val="18"/>
              </w:rPr>
              <w:t>(3)</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before="40" w:after="120" w:line="276" w:lineRule="auto"/>
              <w:jc w:val="center"/>
              <w:rPr>
                <w:bCs/>
                <w:szCs w:val="18"/>
              </w:rPr>
            </w:pPr>
            <w:r w:rsidRPr="008F2E9B">
              <w:rPr>
                <w:bCs/>
                <w:szCs w:val="18"/>
              </w:rPr>
              <w:t>(4)</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before="40" w:after="120" w:line="276" w:lineRule="auto"/>
              <w:jc w:val="center"/>
              <w:rPr>
                <w:bCs/>
                <w:szCs w:val="18"/>
              </w:rPr>
            </w:pPr>
            <w:r w:rsidRPr="008F2E9B">
              <w:rPr>
                <w:bCs/>
                <w:szCs w:val="18"/>
              </w:rPr>
              <w:t>(5)</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before="40" w:after="120" w:line="276" w:lineRule="auto"/>
              <w:jc w:val="center"/>
              <w:rPr>
                <w:bCs/>
                <w:szCs w:val="18"/>
              </w:rPr>
            </w:pPr>
            <w:r w:rsidRPr="008F2E9B">
              <w:rPr>
                <w:bCs/>
                <w:szCs w:val="18"/>
              </w:rPr>
              <w:t>(6)</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before="40" w:after="120" w:line="276" w:lineRule="auto"/>
              <w:jc w:val="center"/>
              <w:rPr>
                <w:bCs/>
                <w:szCs w:val="18"/>
              </w:rPr>
            </w:pPr>
            <w:r w:rsidRPr="008F2E9B">
              <w:rPr>
                <w:bCs/>
                <w:szCs w:val="18"/>
              </w:rPr>
              <w:t>(7a)</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before="40" w:after="120" w:line="276" w:lineRule="auto"/>
              <w:jc w:val="center"/>
              <w:rPr>
                <w:bCs/>
                <w:szCs w:val="18"/>
              </w:rPr>
            </w:pPr>
            <w:r w:rsidRPr="008F2E9B">
              <w:rPr>
                <w:bCs/>
                <w:szCs w:val="18"/>
              </w:rPr>
              <w:t>(7b)</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before="40" w:after="120" w:line="276" w:lineRule="auto"/>
              <w:jc w:val="center"/>
              <w:rPr>
                <w:bCs/>
                <w:szCs w:val="18"/>
              </w:rPr>
            </w:pPr>
            <w:r w:rsidRPr="008F2E9B">
              <w:rPr>
                <w:bCs/>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before="40" w:after="120" w:line="276" w:lineRule="auto"/>
              <w:jc w:val="center"/>
              <w:rPr>
                <w:bCs/>
                <w:szCs w:val="18"/>
              </w:rPr>
            </w:pPr>
            <w:r w:rsidRPr="008F2E9B">
              <w:rPr>
                <w:bCs/>
                <w:szCs w:val="18"/>
              </w:rPr>
              <w:t>(9)</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before="40" w:after="120" w:line="276" w:lineRule="auto"/>
              <w:jc w:val="center"/>
              <w:rPr>
                <w:bCs/>
                <w:szCs w:val="18"/>
              </w:rPr>
            </w:pPr>
            <w:r w:rsidRPr="008F2E9B">
              <w:rPr>
                <w:bCs/>
                <w:szCs w:val="18"/>
              </w:rPr>
              <w:t>(10)</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before="40" w:after="120" w:line="276" w:lineRule="auto"/>
              <w:jc w:val="center"/>
              <w:rPr>
                <w:bCs/>
                <w:iCs/>
                <w:szCs w:val="18"/>
              </w:rPr>
            </w:pPr>
            <w:r w:rsidRPr="008F2E9B">
              <w:rPr>
                <w:bCs/>
                <w:iCs/>
                <w:szCs w:val="18"/>
              </w:rPr>
              <w:t>(11)</w:t>
            </w:r>
          </w:p>
        </w:tc>
      </w:tr>
      <w:tr w:rsidR="009D73DC" w:rsidRPr="008F2E9B" w:rsidTr="00FD6F9A">
        <w:trPr>
          <w:cantSplit/>
        </w:trPr>
        <w:tc>
          <w:tcPr>
            <w:tcW w:w="734"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AF67AA" w:rsidP="00CA77BC">
            <w:pPr>
              <w:suppressAutoHyphens w:val="0"/>
              <w:spacing w:line="200" w:lineRule="exact"/>
              <w:rPr>
                <w:sz w:val="16"/>
                <w:szCs w:val="16"/>
              </w:rPr>
            </w:pPr>
            <w:r w:rsidRPr="008F2E9B">
              <w:rPr>
                <w:sz w:val="16"/>
                <w:szCs w:val="16"/>
              </w:rPr>
              <w:t>35CD</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AF67AA" w:rsidRPr="008F2E9B" w:rsidRDefault="00AF67AA" w:rsidP="00CA77BC">
            <w:pPr>
              <w:suppressAutoHyphens w:val="0"/>
              <w:spacing w:line="200" w:lineRule="exact"/>
              <w:rPr>
                <w:sz w:val="16"/>
                <w:szCs w:val="16"/>
              </w:rPr>
            </w:pPr>
            <w:r w:rsidRPr="008F2E9B">
              <w:rPr>
                <w:sz w:val="16"/>
                <w:szCs w:val="16"/>
              </w:rPr>
              <w:t>LITHIUM METAL BUTTON CELLS, including button cell batteries</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line="200" w:lineRule="exact"/>
              <w:jc w:val="center"/>
              <w:rPr>
                <w:sz w:val="16"/>
                <w:szCs w:val="16"/>
              </w:rPr>
            </w:pPr>
            <w:r w:rsidRPr="008F2E9B">
              <w:rPr>
                <w:sz w:val="16"/>
                <w:szCs w:val="16"/>
                <w:lang w:eastAsia="nb-NO"/>
              </w:rPr>
              <w:t>9</w: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line="200" w:lineRule="exact"/>
              <w:jc w:val="center"/>
              <w:rPr>
                <w:sz w:val="16"/>
                <w:szCs w:val="16"/>
                <w:lang w:eastAsia="nb-NO"/>
              </w:rPr>
            </w:pP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line="200" w:lineRule="exact"/>
              <w:jc w:val="center"/>
              <w:rPr>
                <w:strike/>
                <w:color w:val="FF0000"/>
                <w:sz w:val="16"/>
                <w:szCs w:val="16"/>
                <w:lang w:eastAsia="nb-NO"/>
              </w:rPr>
            </w:pP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F65E33" w:rsidRPr="008F2E9B" w:rsidRDefault="00F65E33" w:rsidP="00CA77BC">
            <w:pPr>
              <w:suppressAutoHyphens w:val="0"/>
              <w:spacing w:line="200" w:lineRule="exact"/>
              <w:jc w:val="center"/>
              <w:rPr>
                <w:sz w:val="16"/>
                <w:szCs w:val="16"/>
                <w:lang w:eastAsia="nb-NO"/>
              </w:rPr>
            </w:pPr>
            <w:r w:rsidRPr="008F2E9B">
              <w:rPr>
                <w:sz w:val="16"/>
                <w:szCs w:val="16"/>
                <w:lang w:eastAsia="nb-NO"/>
              </w:rPr>
              <w:t>188</w:t>
            </w:r>
          </w:p>
          <w:p w:rsidR="00F65E33" w:rsidRPr="008F2E9B" w:rsidRDefault="00F65E33" w:rsidP="00CA77BC">
            <w:pPr>
              <w:suppressAutoHyphens w:val="0"/>
              <w:spacing w:line="200" w:lineRule="exact"/>
              <w:jc w:val="center"/>
              <w:rPr>
                <w:sz w:val="16"/>
                <w:szCs w:val="16"/>
                <w:lang w:eastAsia="nb-NO"/>
              </w:rPr>
            </w:pPr>
            <w:r w:rsidRPr="008F2E9B">
              <w:rPr>
                <w:sz w:val="16"/>
                <w:szCs w:val="16"/>
                <w:lang w:eastAsia="nb-NO"/>
              </w:rPr>
              <w:t>230</w:t>
            </w:r>
          </w:p>
          <w:p w:rsidR="00F65E33" w:rsidRPr="008F2E9B" w:rsidRDefault="00F65E33" w:rsidP="00CA77BC">
            <w:pPr>
              <w:suppressAutoHyphens w:val="0"/>
              <w:spacing w:line="200" w:lineRule="exact"/>
              <w:jc w:val="center"/>
              <w:rPr>
                <w:sz w:val="16"/>
                <w:szCs w:val="16"/>
                <w:lang w:eastAsia="nb-NO"/>
              </w:rPr>
            </w:pPr>
            <w:r w:rsidRPr="008F2E9B">
              <w:rPr>
                <w:sz w:val="16"/>
                <w:szCs w:val="16"/>
                <w:lang w:eastAsia="nb-NO"/>
              </w:rPr>
              <w:t>310</w:t>
            </w:r>
          </w:p>
          <w:p w:rsidR="00F65E33" w:rsidRPr="008F2E9B" w:rsidRDefault="00F65E33" w:rsidP="00CA77BC">
            <w:pPr>
              <w:suppressAutoHyphens w:val="0"/>
              <w:spacing w:line="200" w:lineRule="exact"/>
              <w:jc w:val="center"/>
              <w:rPr>
                <w:sz w:val="16"/>
                <w:szCs w:val="16"/>
                <w:lang w:eastAsia="nb-NO"/>
              </w:rPr>
            </w:pPr>
            <w:r w:rsidRPr="008F2E9B">
              <w:rPr>
                <w:sz w:val="16"/>
                <w:szCs w:val="16"/>
                <w:lang w:eastAsia="nb-NO"/>
              </w:rPr>
              <w:t>376</w:t>
            </w:r>
          </w:p>
          <w:p w:rsidR="009D73DC" w:rsidRPr="008F2E9B" w:rsidRDefault="00F65E33" w:rsidP="00CA77BC">
            <w:pPr>
              <w:suppressAutoHyphens w:val="0"/>
              <w:spacing w:line="200" w:lineRule="exact"/>
              <w:jc w:val="center"/>
              <w:rPr>
                <w:sz w:val="16"/>
                <w:szCs w:val="16"/>
                <w:lang w:eastAsia="nb-NO"/>
              </w:rPr>
            </w:pPr>
            <w:r w:rsidRPr="008F2E9B">
              <w:rPr>
                <w:sz w:val="16"/>
                <w:szCs w:val="16"/>
                <w:lang w:eastAsia="nb-NO"/>
              </w:rPr>
              <w:t>377</w:t>
            </w:r>
            <w:r w:rsidR="009D73DC" w:rsidRPr="008F2E9B">
              <w:rPr>
                <w:sz w:val="16"/>
                <w:szCs w:val="16"/>
                <w:lang w:eastAsia="nb-NO"/>
              </w:rPr>
              <w:br/>
            </w:r>
            <w:r w:rsidRPr="008F2E9B">
              <w:rPr>
                <w:sz w:val="16"/>
                <w:szCs w:val="16"/>
                <w:lang w:eastAsia="nb-NO"/>
              </w:rPr>
              <w:t>384</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line="200" w:lineRule="exact"/>
              <w:jc w:val="center"/>
              <w:rPr>
                <w:sz w:val="16"/>
                <w:szCs w:val="16"/>
                <w:lang w:eastAsia="nb-NO"/>
              </w:rPr>
            </w:pPr>
            <w:r w:rsidRPr="008F2E9B">
              <w:rPr>
                <w:sz w:val="16"/>
                <w:szCs w:val="16"/>
              </w:rPr>
              <w:t>E0</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line="200" w:lineRule="exact"/>
              <w:jc w:val="center"/>
              <w:rPr>
                <w:sz w:val="16"/>
                <w:szCs w:val="16"/>
                <w:lang w:eastAsia="nb-NO"/>
              </w:rPr>
            </w:pPr>
            <w:r w:rsidRPr="008F2E9B">
              <w:rPr>
                <w:sz w:val="16"/>
                <w:szCs w:val="16"/>
              </w:rPr>
              <w:t>0</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F65E33" w:rsidP="00CA77BC">
            <w:pPr>
              <w:suppressAutoHyphens w:val="0"/>
              <w:spacing w:line="200" w:lineRule="exact"/>
              <w:jc w:val="center"/>
              <w:rPr>
                <w:sz w:val="16"/>
                <w:szCs w:val="16"/>
                <w:lang w:eastAsia="nb-NO"/>
              </w:rPr>
            </w:pPr>
            <w:r w:rsidRPr="008F2E9B">
              <w:rPr>
                <w:sz w:val="16"/>
                <w:szCs w:val="16"/>
                <w:lang w:eastAsia="nb-NO"/>
              </w:rPr>
              <w:t>P903</w:t>
            </w:r>
          </w:p>
          <w:p w:rsidR="00F65E33" w:rsidRPr="008F2E9B" w:rsidRDefault="00F65E33" w:rsidP="00CA77BC">
            <w:pPr>
              <w:suppressAutoHyphens w:val="0"/>
              <w:spacing w:line="200" w:lineRule="exact"/>
              <w:jc w:val="center"/>
              <w:rPr>
                <w:sz w:val="16"/>
                <w:szCs w:val="16"/>
                <w:lang w:eastAsia="nb-NO"/>
              </w:rPr>
            </w:pPr>
            <w:r w:rsidRPr="008F2E9B">
              <w:rPr>
                <w:sz w:val="16"/>
                <w:szCs w:val="16"/>
                <w:lang w:eastAsia="nb-NO"/>
              </w:rPr>
              <w:t>P908</w:t>
            </w:r>
          </w:p>
          <w:p w:rsidR="00F65E33" w:rsidRPr="008F2E9B" w:rsidRDefault="00F65E33" w:rsidP="00CA77BC">
            <w:pPr>
              <w:suppressAutoHyphens w:val="0"/>
              <w:spacing w:line="200" w:lineRule="exact"/>
              <w:jc w:val="center"/>
              <w:rPr>
                <w:sz w:val="16"/>
                <w:szCs w:val="16"/>
                <w:lang w:eastAsia="nb-NO"/>
              </w:rPr>
            </w:pPr>
            <w:r w:rsidRPr="008F2E9B">
              <w:rPr>
                <w:sz w:val="16"/>
                <w:szCs w:val="16"/>
                <w:lang w:eastAsia="nb-NO"/>
              </w:rPr>
              <w:t>P909</w:t>
            </w:r>
          </w:p>
          <w:p w:rsidR="00F65E33" w:rsidRPr="008F2E9B" w:rsidRDefault="00F65E33" w:rsidP="00CA77BC">
            <w:pPr>
              <w:suppressAutoHyphens w:val="0"/>
              <w:spacing w:line="200" w:lineRule="exact"/>
              <w:jc w:val="center"/>
              <w:rPr>
                <w:sz w:val="16"/>
                <w:szCs w:val="16"/>
                <w:lang w:eastAsia="nb-NO"/>
              </w:rPr>
            </w:pPr>
            <w:r w:rsidRPr="008F2E9B">
              <w:rPr>
                <w:sz w:val="16"/>
                <w:szCs w:val="16"/>
                <w:lang w:eastAsia="nb-NO"/>
              </w:rPr>
              <w:t>P910</w:t>
            </w:r>
          </w:p>
          <w:p w:rsidR="00F65E33" w:rsidRPr="008F2E9B" w:rsidRDefault="00F65E33" w:rsidP="00CA77BC">
            <w:pPr>
              <w:suppressAutoHyphens w:val="0"/>
              <w:spacing w:line="200" w:lineRule="exact"/>
              <w:jc w:val="center"/>
              <w:rPr>
                <w:sz w:val="16"/>
                <w:szCs w:val="16"/>
                <w:lang w:eastAsia="nb-NO"/>
              </w:rPr>
            </w:pPr>
            <w:r w:rsidRPr="008F2E9B">
              <w:rPr>
                <w:sz w:val="16"/>
                <w:szCs w:val="16"/>
                <w:lang w:eastAsia="nb-NO"/>
              </w:rPr>
              <w:t>LP903</w:t>
            </w:r>
          </w:p>
          <w:p w:rsidR="00F65E33" w:rsidRPr="008F2E9B" w:rsidRDefault="00F65E33" w:rsidP="00CA77BC">
            <w:pPr>
              <w:suppressAutoHyphens w:val="0"/>
              <w:spacing w:line="200" w:lineRule="exact"/>
              <w:jc w:val="center"/>
              <w:rPr>
                <w:sz w:val="16"/>
                <w:szCs w:val="16"/>
                <w:lang w:eastAsia="nb-NO"/>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line="200" w:lineRule="exact"/>
              <w:jc w:val="center"/>
              <w:rPr>
                <w:sz w:val="16"/>
                <w:szCs w:val="16"/>
                <w:lang w:eastAsia="nb-NO"/>
              </w:rPr>
            </w:pP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line="200" w:lineRule="exact"/>
              <w:jc w:val="center"/>
              <w:rPr>
                <w:sz w:val="16"/>
                <w:szCs w:val="16"/>
                <w:lang w:eastAsia="nb-NO"/>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9D73DC" w:rsidRPr="008F2E9B" w:rsidRDefault="009D73DC" w:rsidP="00CA77BC">
            <w:pPr>
              <w:suppressAutoHyphens w:val="0"/>
              <w:spacing w:line="200" w:lineRule="exact"/>
              <w:jc w:val="center"/>
              <w:rPr>
                <w:sz w:val="16"/>
                <w:szCs w:val="16"/>
                <w:lang w:eastAsia="nb-NO"/>
              </w:rPr>
            </w:pPr>
          </w:p>
        </w:tc>
      </w:tr>
    </w:tbl>
    <w:p w:rsidR="00595121" w:rsidRPr="008F2E9B" w:rsidRDefault="00811701" w:rsidP="00811701">
      <w:pPr>
        <w:pStyle w:val="SingleTxtG"/>
        <w:spacing w:before="240"/>
        <w:rPr>
          <w:b/>
          <w:sz w:val="28"/>
          <w:szCs w:val="28"/>
          <w:lang w:val="en-US"/>
        </w:rPr>
      </w:pPr>
      <w:r>
        <w:rPr>
          <w:b/>
          <w:sz w:val="28"/>
          <w:szCs w:val="28"/>
        </w:rPr>
        <w:t>Consequential a</w:t>
      </w:r>
      <w:r w:rsidR="00595121" w:rsidRPr="008F2E9B">
        <w:rPr>
          <w:b/>
          <w:sz w:val="28"/>
          <w:szCs w:val="28"/>
        </w:rPr>
        <w:t>mendments</w:t>
      </w:r>
    </w:p>
    <w:p w:rsidR="00595121" w:rsidRPr="008F2E9B" w:rsidRDefault="00595121" w:rsidP="00CC043B">
      <w:pPr>
        <w:pStyle w:val="SingleTxtG"/>
        <w:rPr>
          <w:lang w:val="en-US"/>
        </w:rPr>
      </w:pPr>
      <w:r w:rsidRPr="008F2E9B">
        <w:rPr>
          <w:lang w:val="en-US"/>
        </w:rPr>
        <w:t>[</w:t>
      </w:r>
      <w:r w:rsidR="00811701">
        <w:rPr>
          <w:lang w:val="en-US"/>
        </w:rPr>
        <w:t>To be developed</w:t>
      </w:r>
      <w:r w:rsidRPr="008F2E9B">
        <w:rPr>
          <w:lang w:val="en-US"/>
        </w:rPr>
        <w:t xml:space="preserve"> – to include slotting button cells under UN3091</w:t>
      </w:r>
      <w:r w:rsidR="007A5169" w:rsidRPr="008F2E9B">
        <w:rPr>
          <w:lang w:val="en-US"/>
        </w:rPr>
        <w:t>, adding new UN number to</w:t>
      </w:r>
      <w:r w:rsidRPr="008F2E9B">
        <w:rPr>
          <w:lang w:val="en-US"/>
        </w:rPr>
        <w:t xml:space="preserve"> the various </w:t>
      </w:r>
      <w:r w:rsidR="007A5169" w:rsidRPr="008F2E9B">
        <w:rPr>
          <w:lang w:val="en-US"/>
        </w:rPr>
        <w:t xml:space="preserve">SPs and </w:t>
      </w:r>
      <w:r w:rsidRPr="008F2E9B">
        <w:rPr>
          <w:lang w:val="en-US"/>
        </w:rPr>
        <w:t>PIs</w:t>
      </w:r>
      <w:r w:rsidR="007A5169" w:rsidRPr="008F2E9B">
        <w:rPr>
          <w:lang w:val="en-US"/>
        </w:rPr>
        <w:t xml:space="preserve"> as necessary, to</w:t>
      </w:r>
      <w:r w:rsidRPr="008F2E9B">
        <w:rPr>
          <w:lang w:val="en-US"/>
        </w:rPr>
        <w:t xml:space="preserve"> </w:t>
      </w:r>
      <w:r w:rsidR="007A5169" w:rsidRPr="008F2E9B">
        <w:rPr>
          <w:lang w:val="en-US"/>
        </w:rPr>
        <w:t>2.9.4, etc.]</w:t>
      </w:r>
    </w:p>
    <w:p w:rsidR="007D7521" w:rsidRPr="00811701" w:rsidRDefault="00811701" w:rsidP="00811701">
      <w:pPr>
        <w:pStyle w:val="SingleTxtG"/>
        <w:spacing w:before="240" w:after="0"/>
        <w:jc w:val="center"/>
        <w:rPr>
          <w:u w:val="single"/>
        </w:rPr>
      </w:pPr>
      <w:r>
        <w:rPr>
          <w:u w:val="single"/>
        </w:rPr>
        <w:tab/>
      </w:r>
      <w:r>
        <w:rPr>
          <w:u w:val="single"/>
        </w:rPr>
        <w:tab/>
      </w:r>
      <w:r>
        <w:rPr>
          <w:u w:val="single"/>
        </w:rPr>
        <w:tab/>
      </w:r>
    </w:p>
    <w:sectPr w:rsidR="007D7521" w:rsidRPr="00811701" w:rsidSect="00286493">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1008" w:footer="10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135" w:rsidRDefault="00953135"/>
  </w:endnote>
  <w:endnote w:type="continuationSeparator" w:id="0">
    <w:p w:rsidR="00953135" w:rsidRDefault="00953135"/>
  </w:endnote>
  <w:endnote w:type="continuationNotice" w:id="1">
    <w:p w:rsidR="00953135" w:rsidRDefault="00953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3F4515" w:rsidP="00DF52A7">
    <w:pPr>
      <w:pStyle w:val="Footer"/>
      <w:tabs>
        <w:tab w:val="right" w:pos="9638"/>
      </w:tabs>
      <w:jc w:val="right"/>
      <w:rPr>
        <w:sz w:val="18"/>
      </w:rPr>
    </w:pPr>
    <w:r w:rsidRPr="00C8779F">
      <w:rPr>
        <w:b/>
        <w:sz w:val="18"/>
      </w:rPr>
      <w:fldChar w:fldCharType="begin"/>
    </w:r>
    <w:r w:rsidRPr="00C8779F">
      <w:rPr>
        <w:b/>
        <w:sz w:val="18"/>
      </w:rPr>
      <w:instrText xml:space="preserve"> PAGE  \* MERGEFORMAT </w:instrText>
    </w:r>
    <w:r w:rsidRPr="00C8779F">
      <w:rPr>
        <w:b/>
        <w:sz w:val="18"/>
      </w:rPr>
      <w:fldChar w:fldCharType="separate"/>
    </w:r>
    <w:r w:rsidR="004C4515">
      <w:rPr>
        <w:b/>
        <w:noProof/>
        <w:sz w:val="18"/>
      </w:rPr>
      <w:t>2</w:t>
    </w:r>
    <w:r w:rsidRPr="00C8779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DF52A7" w:rsidRDefault="00DF52A7" w:rsidP="00090021">
    <w:pPr>
      <w:pStyle w:val="Footer"/>
      <w:jc w:val="right"/>
      <w:rPr>
        <w:b/>
        <w:sz w:val="18"/>
      </w:rPr>
    </w:pPr>
    <w:r w:rsidRPr="00DF52A7">
      <w:rPr>
        <w:b/>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135" w:rsidRPr="000B175B" w:rsidRDefault="00953135" w:rsidP="000B175B">
      <w:pPr>
        <w:tabs>
          <w:tab w:val="right" w:pos="2155"/>
        </w:tabs>
        <w:spacing w:after="80"/>
        <w:ind w:left="680"/>
        <w:rPr>
          <w:u w:val="single"/>
        </w:rPr>
      </w:pPr>
      <w:r>
        <w:rPr>
          <w:u w:val="single"/>
        </w:rPr>
        <w:tab/>
      </w:r>
    </w:p>
  </w:footnote>
  <w:footnote w:type="continuationSeparator" w:id="0">
    <w:p w:rsidR="00953135" w:rsidRPr="00FC68B7" w:rsidRDefault="00953135" w:rsidP="00FC68B7">
      <w:pPr>
        <w:tabs>
          <w:tab w:val="left" w:pos="2155"/>
        </w:tabs>
        <w:spacing w:after="80"/>
        <w:ind w:left="680"/>
        <w:rPr>
          <w:u w:val="single"/>
        </w:rPr>
      </w:pPr>
      <w:r>
        <w:rPr>
          <w:u w:val="single"/>
        </w:rPr>
        <w:tab/>
      </w:r>
    </w:p>
  </w:footnote>
  <w:footnote w:type="continuationNotice" w:id="1">
    <w:p w:rsidR="00953135" w:rsidRDefault="00953135"/>
  </w:footnote>
  <w:footnote w:id="2">
    <w:p w:rsidR="003F4515" w:rsidRPr="001C641A" w:rsidRDefault="003F4515" w:rsidP="00BC1FB8">
      <w:pPr>
        <w:pStyle w:val="FootnoteText"/>
        <w:tabs>
          <w:tab w:val="left" w:pos="1330"/>
        </w:tabs>
        <w:ind w:left="1330" w:hanging="196"/>
        <w:rPr>
          <w:lang w:val="fr-CH"/>
        </w:rPr>
      </w:pPr>
      <w:r>
        <w:rPr>
          <w:rStyle w:val="FootnoteReference"/>
        </w:rPr>
        <w:footnoteRef/>
      </w:r>
      <w:r>
        <w:t xml:space="preserve"> </w:t>
      </w:r>
      <w:r>
        <w:tab/>
      </w:r>
      <w:r w:rsidR="005D7F7F" w:rsidRPr="00554D27">
        <w:t>In accordance with the programme of wo</w:t>
      </w:r>
      <w:r w:rsidR="005D7F7F">
        <w:t>rk of the Sub-Committee for 2015</w:t>
      </w:r>
      <w:r w:rsidR="005D7F7F" w:rsidRPr="00554D27">
        <w:t>–201</w:t>
      </w:r>
      <w:r w:rsidR="005D7F7F">
        <w:t>6</w:t>
      </w:r>
      <w:r w:rsidR="005D7F7F" w:rsidRPr="00554D27">
        <w:t xml:space="preserve"> approved by the Committee at its </w:t>
      </w:r>
      <w:r w:rsidR="005D7F7F">
        <w:t>seven</w:t>
      </w:r>
      <w:r w:rsidR="005D7F7F" w:rsidRPr="00554D27">
        <w:t>th session (</w:t>
      </w:r>
      <w:r w:rsidR="005D7F7F">
        <w:t>see</w:t>
      </w:r>
      <w:r w:rsidR="005D7F7F" w:rsidRPr="00554D27">
        <w:t xml:space="preserve"> </w:t>
      </w:r>
      <w:r w:rsidR="005D7F7F" w:rsidRPr="00A04E8C">
        <w:t>ST/SG/AC.10/C.3/92, paragraph 95</w:t>
      </w:r>
      <w:r w:rsidR="005D7F7F">
        <w:t xml:space="preserve"> and ST/SG/AC.10/</w:t>
      </w:r>
      <w:r w:rsidR="005D7F7F" w:rsidRPr="00A04E8C">
        <w:t>4</w:t>
      </w:r>
      <w:r w:rsidR="005D7F7F">
        <w:t>2</w:t>
      </w:r>
      <w:r w:rsidR="005D7F7F" w:rsidRPr="00A04E8C">
        <w:t>, para. 1</w:t>
      </w:r>
      <w:r w:rsidR="005D7F7F">
        <w:t>5</w:t>
      </w:r>
      <w:r w:rsidR="005D7F7F"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3F4515">
    <w:pPr>
      <w:pStyle w:val="Header"/>
    </w:pPr>
    <w:r>
      <w:t>ST/SG</w:t>
    </w:r>
    <w:r w:rsidR="00811701">
      <w:t>/AC.10/C.3/2016/45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15" w:rsidRPr="00C8779F" w:rsidRDefault="008544D3" w:rsidP="00C8779F">
    <w:pPr>
      <w:pStyle w:val="Header"/>
      <w:jc w:val="right"/>
    </w:pPr>
    <w:r>
      <w:t>ST/</w:t>
    </w:r>
    <w:r w:rsidR="00811701">
      <w:t>SG/AC.10/C.3/2016/45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21" w:rsidRDefault="00090021" w:rsidP="0009002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9CB53F0"/>
    <w:multiLevelType w:val="hybridMultilevel"/>
    <w:tmpl w:val="B636D9F8"/>
    <w:lvl w:ilvl="0" w:tplc="32C400FA">
      <w:start w:val="1"/>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2">
    <w:nsid w:val="0C4C62E9"/>
    <w:multiLevelType w:val="hybridMultilevel"/>
    <w:tmpl w:val="A4363FE0"/>
    <w:lvl w:ilvl="0" w:tplc="F2ECE49A">
      <w:start w:val="1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0984169"/>
    <w:multiLevelType w:val="hybridMultilevel"/>
    <w:tmpl w:val="44E4674C"/>
    <w:lvl w:ilvl="0" w:tplc="4A9EFBEC">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72C0797"/>
    <w:multiLevelType w:val="hybridMultilevel"/>
    <w:tmpl w:val="F022C6BE"/>
    <w:lvl w:ilvl="0" w:tplc="635ADF74">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27760EBF"/>
    <w:multiLevelType w:val="hybridMultilevel"/>
    <w:tmpl w:val="88B65834"/>
    <w:lvl w:ilvl="0" w:tplc="E452C50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2E8A27A8"/>
    <w:multiLevelType w:val="hybridMultilevel"/>
    <w:tmpl w:val="0824B0FA"/>
    <w:lvl w:ilvl="0" w:tplc="AB182446">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B235AD0"/>
    <w:multiLevelType w:val="hybridMultilevel"/>
    <w:tmpl w:val="D764CBA4"/>
    <w:lvl w:ilvl="0" w:tplc="F170D83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B4E55C5"/>
    <w:multiLevelType w:val="hybridMultilevel"/>
    <w:tmpl w:val="363E6790"/>
    <w:lvl w:ilvl="0" w:tplc="E37A503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nsid w:val="3B9A385B"/>
    <w:multiLevelType w:val="hybridMultilevel"/>
    <w:tmpl w:val="905A2F54"/>
    <w:lvl w:ilvl="0" w:tplc="0C06B6D8">
      <w:start w:val="1"/>
      <w:numFmt w:val="decimal"/>
      <w:lvlText w:val="%1."/>
      <w:lvlJc w:val="left"/>
      <w:pPr>
        <w:ind w:left="1689" w:hanging="555"/>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7553F26"/>
    <w:multiLevelType w:val="hybridMultilevel"/>
    <w:tmpl w:val="E21877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516B3"/>
    <w:multiLevelType w:val="hybridMultilevel"/>
    <w:tmpl w:val="092C458E"/>
    <w:lvl w:ilvl="0" w:tplc="8C88E9E2">
      <w:start w:val="5"/>
      <w:numFmt w:val="bullet"/>
      <w:lvlText w:val="-"/>
      <w:lvlJc w:val="left"/>
      <w:pPr>
        <w:ind w:left="2049" w:hanging="360"/>
      </w:pPr>
      <w:rPr>
        <w:rFonts w:ascii="Times New Roman" w:eastAsia="Times New Roman" w:hAnsi="Times New Roman" w:cs="Times New Roman" w:hint="default"/>
        <w:i w:val="0"/>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3">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B502BEA"/>
    <w:multiLevelType w:val="hybridMultilevel"/>
    <w:tmpl w:val="3E0EFDC0"/>
    <w:lvl w:ilvl="0" w:tplc="A40AB946">
      <w:start w:val="9"/>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719A6913"/>
    <w:multiLevelType w:val="hybridMultilevel"/>
    <w:tmpl w:val="20B637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A694EC7"/>
    <w:multiLevelType w:val="hybridMultilevel"/>
    <w:tmpl w:val="E5546262"/>
    <w:lvl w:ilvl="0" w:tplc="18B07A14">
      <w:start w:val="1"/>
      <w:numFmt w:val="decimal"/>
      <w:lvlText w:val="%1."/>
      <w:lvlJc w:val="left"/>
      <w:pPr>
        <w:ind w:left="1725"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7A7F2D74"/>
    <w:multiLevelType w:val="hybridMultilevel"/>
    <w:tmpl w:val="5302C3FE"/>
    <w:lvl w:ilvl="0" w:tplc="F3EE81C8">
      <w:start w:val="5"/>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0"/>
  </w:num>
  <w:num w:numId="14">
    <w:abstractNumId w:val="25"/>
  </w:num>
  <w:num w:numId="15">
    <w:abstractNumId w:val="28"/>
  </w:num>
  <w:num w:numId="16">
    <w:abstractNumId w:val="27"/>
  </w:num>
  <w:num w:numId="17">
    <w:abstractNumId w:val="20"/>
  </w:num>
  <w:num w:numId="18">
    <w:abstractNumId w:val="11"/>
  </w:num>
  <w:num w:numId="19">
    <w:abstractNumId w:val="15"/>
  </w:num>
  <w:num w:numId="20">
    <w:abstractNumId w:val="19"/>
  </w:num>
  <w:num w:numId="21">
    <w:abstractNumId w:val="30"/>
  </w:num>
  <w:num w:numId="22">
    <w:abstractNumId w:val="22"/>
  </w:num>
  <w:num w:numId="23">
    <w:abstractNumId w:val="16"/>
  </w:num>
  <w:num w:numId="24">
    <w:abstractNumId w:val="21"/>
  </w:num>
  <w:num w:numId="25">
    <w:abstractNumId w:val="26"/>
  </w:num>
  <w:num w:numId="26">
    <w:abstractNumId w:val="17"/>
  </w:num>
  <w:num w:numId="27">
    <w:abstractNumId w:val="12"/>
  </w:num>
  <w:num w:numId="28">
    <w:abstractNumId w:val="18"/>
  </w:num>
  <w:num w:numId="29">
    <w:abstractNumId w:val="29"/>
  </w:num>
  <w:num w:numId="30">
    <w:abstractNumId w:val="13"/>
  </w:num>
  <w:num w:numId="31">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3"/>
  </w:docVars>
  <w:rsids>
    <w:rsidRoot w:val="00DA67AD"/>
    <w:rsid w:val="00011638"/>
    <w:rsid w:val="00015AA6"/>
    <w:rsid w:val="00016110"/>
    <w:rsid w:val="0002126E"/>
    <w:rsid w:val="00021DC3"/>
    <w:rsid w:val="00046913"/>
    <w:rsid w:val="00050F6B"/>
    <w:rsid w:val="0005505D"/>
    <w:rsid w:val="00062B3D"/>
    <w:rsid w:val="00064BC7"/>
    <w:rsid w:val="00066216"/>
    <w:rsid w:val="000675A2"/>
    <w:rsid w:val="000722DD"/>
    <w:rsid w:val="00072C8C"/>
    <w:rsid w:val="00083C51"/>
    <w:rsid w:val="00084EAB"/>
    <w:rsid w:val="00090021"/>
    <w:rsid w:val="00091419"/>
    <w:rsid w:val="000931C0"/>
    <w:rsid w:val="00095EA8"/>
    <w:rsid w:val="000A142C"/>
    <w:rsid w:val="000A2524"/>
    <w:rsid w:val="000A4F0C"/>
    <w:rsid w:val="000B175B"/>
    <w:rsid w:val="000B338B"/>
    <w:rsid w:val="000B3A0F"/>
    <w:rsid w:val="000C510E"/>
    <w:rsid w:val="000D6D3C"/>
    <w:rsid w:val="000E0415"/>
    <w:rsid w:val="000E0BE8"/>
    <w:rsid w:val="000E2DD9"/>
    <w:rsid w:val="000F1B5A"/>
    <w:rsid w:val="000F5A01"/>
    <w:rsid w:val="00103768"/>
    <w:rsid w:val="00105DAF"/>
    <w:rsid w:val="00117787"/>
    <w:rsid w:val="00131D42"/>
    <w:rsid w:val="00132912"/>
    <w:rsid w:val="001358E7"/>
    <w:rsid w:val="00136AC7"/>
    <w:rsid w:val="00141482"/>
    <w:rsid w:val="00142260"/>
    <w:rsid w:val="00142A49"/>
    <w:rsid w:val="0014567C"/>
    <w:rsid w:val="001477FF"/>
    <w:rsid w:val="001561C0"/>
    <w:rsid w:val="001633FB"/>
    <w:rsid w:val="00166D19"/>
    <w:rsid w:val="00184035"/>
    <w:rsid w:val="001929E7"/>
    <w:rsid w:val="001A02A2"/>
    <w:rsid w:val="001A5328"/>
    <w:rsid w:val="001B12D4"/>
    <w:rsid w:val="001B4B04"/>
    <w:rsid w:val="001C2162"/>
    <w:rsid w:val="001C641A"/>
    <w:rsid w:val="001C6663"/>
    <w:rsid w:val="001C7895"/>
    <w:rsid w:val="001D26DF"/>
    <w:rsid w:val="001D2FDC"/>
    <w:rsid w:val="00211E0B"/>
    <w:rsid w:val="0021235A"/>
    <w:rsid w:val="00224EC7"/>
    <w:rsid w:val="002309A7"/>
    <w:rsid w:val="00237785"/>
    <w:rsid w:val="00241466"/>
    <w:rsid w:val="0024288B"/>
    <w:rsid w:val="00243235"/>
    <w:rsid w:val="00246F8E"/>
    <w:rsid w:val="002563B1"/>
    <w:rsid w:val="00261156"/>
    <w:rsid w:val="00267EA8"/>
    <w:rsid w:val="002725CA"/>
    <w:rsid w:val="00272E7D"/>
    <w:rsid w:val="0027396B"/>
    <w:rsid w:val="00280EB7"/>
    <w:rsid w:val="00285380"/>
    <w:rsid w:val="00286493"/>
    <w:rsid w:val="002B1CDA"/>
    <w:rsid w:val="002B1EED"/>
    <w:rsid w:val="002B5F2E"/>
    <w:rsid w:val="002C015E"/>
    <w:rsid w:val="002D2F98"/>
    <w:rsid w:val="002E5E63"/>
    <w:rsid w:val="002F4078"/>
    <w:rsid w:val="00301319"/>
    <w:rsid w:val="00303A97"/>
    <w:rsid w:val="00310561"/>
    <w:rsid w:val="003107FA"/>
    <w:rsid w:val="00317403"/>
    <w:rsid w:val="003215AD"/>
    <w:rsid w:val="003229D8"/>
    <w:rsid w:val="00333B7B"/>
    <w:rsid w:val="003876B0"/>
    <w:rsid w:val="0039277A"/>
    <w:rsid w:val="00394B36"/>
    <w:rsid w:val="003972E0"/>
    <w:rsid w:val="003B302B"/>
    <w:rsid w:val="003B3D61"/>
    <w:rsid w:val="003B40AA"/>
    <w:rsid w:val="003C2CC4"/>
    <w:rsid w:val="003D4B23"/>
    <w:rsid w:val="003E4405"/>
    <w:rsid w:val="003E75D3"/>
    <w:rsid w:val="003E77B9"/>
    <w:rsid w:val="003F4515"/>
    <w:rsid w:val="003F5F29"/>
    <w:rsid w:val="003F6401"/>
    <w:rsid w:val="004020D7"/>
    <w:rsid w:val="00402C9F"/>
    <w:rsid w:val="004038FE"/>
    <w:rsid w:val="00414DA1"/>
    <w:rsid w:val="0042100F"/>
    <w:rsid w:val="00421CCA"/>
    <w:rsid w:val="00427241"/>
    <w:rsid w:val="004325CB"/>
    <w:rsid w:val="0043511E"/>
    <w:rsid w:val="0043536F"/>
    <w:rsid w:val="00437F3F"/>
    <w:rsid w:val="00446DE4"/>
    <w:rsid w:val="00454036"/>
    <w:rsid w:val="00454059"/>
    <w:rsid w:val="004666BA"/>
    <w:rsid w:val="004708A9"/>
    <w:rsid w:val="00474469"/>
    <w:rsid w:val="004769D7"/>
    <w:rsid w:val="00480EC3"/>
    <w:rsid w:val="00481C01"/>
    <w:rsid w:val="004835CF"/>
    <w:rsid w:val="00491905"/>
    <w:rsid w:val="004946C6"/>
    <w:rsid w:val="004A03C5"/>
    <w:rsid w:val="004A1F91"/>
    <w:rsid w:val="004A512B"/>
    <w:rsid w:val="004A65C9"/>
    <w:rsid w:val="004A72FD"/>
    <w:rsid w:val="004B2C9D"/>
    <w:rsid w:val="004B664D"/>
    <w:rsid w:val="004B679F"/>
    <w:rsid w:val="004C13BA"/>
    <w:rsid w:val="004C4515"/>
    <w:rsid w:val="004C4962"/>
    <w:rsid w:val="004C61E7"/>
    <w:rsid w:val="004C7765"/>
    <w:rsid w:val="004F1D5F"/>
    <w:rsid w:val="004F205A"/>
    <w:rsid w:val="004F38BF"/>
    <w:rsid w:val="004F7B7A"/>
    <w:rsid w:val="0050088E"/>
    <w:rsid w:val="005010AD"/>
    <w:rsid w:val="00513BF9"/>
    <w:rsid w:val="00517A3F"/>
    <w:rsid w:val="005233DF"/>
    <w:rsid w:val="00524A41"/>
    <w:rsid w:val="00527910"/>
    <w:rsid w:val="0053469A"/>
    <w:rsid w:val="00541319"/>
    <w:rsid w:val="005420F2"/>
    <w:rsid w:val="0054570D"/>
    <w:rsid w:val="0055213B"/>
    <w:rsid w:val="00555ED9"/>
    <w:rsid w:val="00556D9A"/>
    <w:rsid w:val="00571273"/>
    <w:rsid w:val="00574A89"/>
    <w:rsid w:val="00577421"/>
    <w:rsid w:val="00577C7B"/>
    <w:rsid w:val="00577F68"/>
    <w:rsid w:val="00585673"/>
    <w:rsid w:val="00590144"/>
    <w:rsid w:val="005930FC"/>
    <w:rsid w:val="00593B6B"/>
    <w:rsid w:val="00593C1D"/>
    <w:rsid w:val="00595121"/>
    <w:rsid w:val="005A572D"/>
    <w:rsid w:val="005B3DB3"/>
    <w:rsid w:val="005C04D4"/>
    <w:rsid w:val="005C2583"/>
    <w:rsid w:val="005D2558"/>
    <w:rsid w:val="005D4B6D"/>
    <w:rsid w:val="005D7F7F"/>
    <w:rsid w:val="005E60AB"/>
    <w:rsid w:val="005E67FA"/>
    <w:rsid w:val="006021AD"/>
    <w:rsid w:val="00611FC4"/>
    <w:rsid w:val="006123A4"/>
    <w:rsid w:val="006176FB"/>
    <w:rsid w:val="00622A79"/>
    <w:rsid w:val="00624405"/>
    <w:rsid w:val="0063170B"/>
    <w:rsid w:val="00632680"/>
    <w:rsid w:val="006337B5"/>
    <w:rsid w:val="0063419C"/>
    <w:rsid w:val="00634A7A"/>
    <w:rsid w:val="006366A7"/>
    <w:rsid w:val="00637843"/>
    <w:rsid w:val="00640B26"/>
    <w:rsid w:val="006500BA"/>
    <w:rsid w:val="00653131"/>
    <w:rsid w:val="006747AF"/>
    <w:rsid w:val="00676FFB"/>
    <w:rsid w:val="00682BEA"/>
    <w:rsid w:val="0068767F"/>
    <w:rsid w:val="006A38EB"/>
    <w:rsid w:val="006A7392"/>
    <w:rsid w:val="006C0D34"/>
    <w:rsid w:val="006C4493"/>
    <w:rsid w:val="006C50B0"/>
    <w:rsid w:val="006C7692"/>
    <w:rsid w:val="006C7E11"/>
    <w:rsid w:val="006D4C02"/>
    <w:rsid w:val="006D67C6"/>
    <w:rsid w:val="006E12D3"/>
    <w:rsid w:val="006E1922"/>
    <w:rsid w:val="006E1BD5"/>
    <w:rsid w:val="006E564B"/>
    <w:rsid w:val="00700769"/>
    <w:rsid w:val="00703495"/>
    <w:rsid w:val="0072632A"/>
    <w:rsid w:val="0073794D"/>
    <w:rsid w:val="007463C9"/>
    <w:rsid w:val="007573E7"/>
    <w:rsid w:val="00761B45"/>
    <w:rsid w:val="007648E3"/>
    <w:rsid w:val="00767449"/>
    <w:rsid w:val="007677BF"/>
    <w:rsid w:val="00790791"/>
    <w:rsid w:val="007A0257"/>
    <w:rsid w:val="007A5169"/>
    <w:rsid w:val="007B6BA5"/>
    <w:rsid w:val="007B7410"/>
    <w:rsid w:val="007B7C53"/>
    <w:rsid w:val="007C3390"/>
    <w:rsid w:val="007C4F4B"/>
    <w:rsid w:val="007D7521"/>
    <w:rsid w:val="007E1E32"/>
    <w:rsid w:val="007E7A9B"/>
    <w:rsid w:val="007E7BF1"/>
    <w:rsid w:val="007F6611"/>
    <w:rsid w:val="00801F4A"/>
    <w:rsid w:val="0080409A"/>
    <w:rsid w:val="00811701"/>
    <w:rsid w:val="0081336B"/>
    <w:rsid w:val="008175E9"/>
    <w:rsid w:val="008242D7"/>
    <w:rsid w:val="00833AF3"/>
    <w:rsid w:val="00834EB1"/>
    <w:rsid w:val="008420EE"/>
    <w:rsid w:val="008500AB"/>
    <w:rsid w:val="008544D3"/>
    <w:rsid w:val="00857984"/>
    <w:rsid w:val="00871FD5"/>
    <w:rsid w:val="00886E33"/>
    <w:rsid w:val="008979B1"/>
    <w:rsid w:val="008A6B25"/>
    <w:rsid w:val="008A6C4F"/>
    <w:rsid w:val="008B54D1"/>
    <w:rsid w:val="008C7634"/>
    <w:rsid w:val="008D017A"/>
    <w:rsid w:val="008D18D4"/>
    <w:rsid w:val="008D1D99"/>
    <w:rsid w:val="008D6E8F"/>
    <w:rsid w:val="008E0E46"/>
    <w:rsid w:val="008E7B96"/>
    <w:rsid w:val="008F2E9B"/>
    <w:rsid w:val="008F4897"/>
    <w:rsid w:val="00913FF0"/>
    <w:rsid w:val="009143DB"/>
    <w:rsid w:val="00931EEB"/>
    <w:rsid w:val="0093382C"/>
    <w:rsid w:val="00933F7E"/>
    <w:rsid w:val="00941167"/>
    <w:rsid w:val="00941EBC"/>
    <w:rsid w:val="00945A5D"/>
    <w:rsid w:val="00953135"/>
    <w:rsid w:val="00953ABD"/>
    <w:rsid w:val="00953DAB"/>
    <w:rsid w:val="00963CBA"/>
    <w:rsid w:val="00974A7A"/>
    <w:rsid w:val="00974F11"/>
    <w:rsid w:val="00980714"/>
    <w:rsid w:val="00984D85"/>
    <w:rsid w:val="009904AC"/>
    <w:rsid w:val="0099124E"/>
    <w:rsid w:val="00991261"/>
    <w:rsid w:val="009932AC"/>
    <w:rsid w:val="009A5991"/>
    <w:rsid w:val="009C29E9"/>
    <w:rsid w:val="009C3671"/>
    <w:rsid w:val="009D1CB4"/>
    <w:rsid w:val="009D73DC"/>
    <w:rsid w:val="009E02F3"/>
    <w:rsid w:val="009E24EB"/>
    <w:rsid w:val="009F0F06"/>
    <w:rsid w:val="009F1AFF"/>
    <w:rsid w:val="00A03F8D"/>
    <w:rsid w:val="00A04A40"/>
    <w:rsid w:val="00A0684B"/>
    <w:rsid w:val="00A1427D"/>
    <w:rsid w:val="00A249B2"/>
    <w:rsid w:val="00A27CE3"/>
    <w:rsid w:val="00A5642A"/>
    <w:rsid w:val="00A57C4F"/>
    <w:rsid w:val="00A60644"/>
    <w:rsid w:val="00A6390A"/>
    <w:rsid w:val="00A71B77"/>
    <w:rsid w:val="00A72F22"/>
    <w:rsid w:val="00A748A6"/>
    <w:rsid w:val="00A75EC9"/>
    <w:rsid w:val="00A80E21"/>
    <w:rsid w:val="00A879A4"/>
    <w:rsid w:val="00A91667"/>
    <w:rsid w:val="00A92DE1"/>
    <w:rsid w:val="00A94DDF"/>
    <w:rsid w:val="00AC0653"/>
    <w:rsid w:val="00AC5C96"/>
    <w:rsid w:val="00AD34EB"/>
    <w:rsid w:val="00AD65F2"/>
    <w:rsid w:val="00AF67AA"/>
    <w:rsid w:val="00AF7C3E"/>
    <w:rsid w:val="00B03582"/>
    <w:rsid w:val="00B06C69"/>
    <w:rsid w:val="00B10DCB"/>
    <w:rsid w:val="00B26A5B"/>
    <w:rsid w:val="00B30179"/>
    <w:rsid w:val="00B3317B"/>
    <w:rsid w:val="00B36030"/>
    <w:rsid w:val="00B37121"/>
    <w:rsid w:val="00B60BFD"/>
    <w:rsid w:val="00B62FD6"/>
    <w:rsid w:val="00B650CC"/>
    <w:rsid w:val="00B6744B"/>
    <w:rsid w:val="00B74458"/>
    <w:rsid w:val="00B765AF"/>
    <w:rsid w:val="00B77516"/>
    <w:rsid w:val="00B81E12"/>
    <w:rsid w:val="00B833AA"/>
    <w:rsid w:val="00B90237"/>
    <w:rsid w:val="00B93068"/>
    <w:rsid w:val="00B94B7F"/>
    <w:rsid w:val="00BC1973"/>
    <w:rsid w:val="00BC1FB8"/>
    <w:rsid w:val="00BC71A5"/>
    <w:rsid w:val="00BC74E9"/>
    <w:rsid w:val="00BD28F9"/>
    <w:rsid w:val="00BD656D"/>
    <w:rsid w:val="00BE618E"/>
    <w:rsid w:val="00C0208C"/>
    <w:rsid w:val="00C159E9"/>
    <w:rsid w:val="00C22848"/>
    <w:rsid w:val="00C23EF3"/>
    <w:rsid w:val="00C31CAC"/>
    <w:rsid w:val="00C36D4A"/>
    <w:rsid w:val="00C463DD"/>
    <w:rsid w:val="00C52BE8"/>
    <w:rsid w:val="00C543EF"/>
    <w:rsid w:val="00C60635"/>
    <w:rsid w:val="00C62F76"/>
    <w:rsid w:val="00C65C34"/>
    <w:rsid w:val="00C67AED"/>
    <w:rsid w:val="00C73BD2"/>
    <w:rsid w:val="00C745C3"/>
    <w:rsid w:val="00C75C47"/>
    <w:rsid w:val="00C8364F"/>
    <w:rsid w:val="00C841D9"/>
    <w:rsid w:val="00C8779F"/>
    <w:rsid w:val="00C91480"/>
    <w:rsid w:val="00CA113C"/>
    <w:rsid w:val="00CA25AC"/>
    <w:rsid w:val="00CA38BD"/>
    <w:rsid w:val="00CA6EF1"/>
    <w:rsid w:val="00CC043B"/>
    <w:rsid w:val="00CC0678"/>
    <w:rsid w:val="00CC1D32"/>
    <w:rsid w:val="00CC20D4"/>
    <w:rsid w:val="00CC2CC9"/>
    <w:rsid w:val="00CC5051"/>
    <w:rsid w:val="00CD3225"/>
    <w:rsid w:val="00CD6386"/>
    <w:rsid w:val="00CE4A8F"/>
    <w:rsid w:val="00CF2D50"/>
    <w:rsid w:val="00CF4CF4"/>
    <w:rsid w:val="00CF6B5F"/>
    <w:rsid w:val="00D07ADE"/>
    <w:rsid w:val="00D1233D"/>
    <w:rsid w:val="00D13443"/>
    <w:rsid w:val="00D170EC"/>
    <w:rsid w:val="00D17633"/>
    <w:rsid w:val="00D2031B"/>
    <w:rsid w:val="00D23C0C"/>
    <w:rsid w:val="00D25FE2"/>
    <w:rsid w:val="00D304A4"/>
    <w:rsid w:val="00D31716"/>
    <w:rsid w:val="00D31BA4"/>
    <w:rsid w:val="00D369BC"/>
    <w:rsid w:val="00D43252"/>
    <w:rsid w:val="00D44DDA"/>
    <w:rsid w:val="00D477EE"/>
    <w:rsid w:val="00D66E24"/>
    <w:rsid w:val="00D709DB"/>
    <w:rsid w:val="00D72149"/>
    <w:rsid w:val="00D753D8"/>
    <w:rsid w:val="00D776EE"/>
    <w:rsid w:val="00D82BCD"/>
    <w:rsid w:val="00D8529B"/>
    <w:rsid w:val="00D93688"/>
    <w:rsid w:val="00D96CC5"/>
    <w:rsid w:val="00D97486"/>
    <w:rsid w:val="00D978C6"/>
    <w:rsid w:val="00DA67AD"/>
    <w:rsid w:val="00DB3CB9"/>
    <w:rsid w:val="00DD0531"/>
    <w:rsid w:val="00DD247D"/>
    <w:rsid w:val="00DD5A14"/>
    <w:rsid w:val="00DF2B6A"/>
    <w:rsid w:val="00DF52A7"/>
    <w:rsid w:val="00DF57EE"/>
    <w:rsid w:val="00E02B3F"/>
    <w:rsid w:val="00E130AB"/>
    <w:rsid w:val="00E1573D"/>
    <w:rsid w:val="00E15BC3"/>
    <w:rsid w:val="00E36A9E"/>
    <w:rsid w:val="00E4734E"/>
    <w:rsid w:val="00E538BE"/>
    <w:rsid w:val="00E548E8"/>
    <w:rsid w:val="00E5644E"/>
    <w:rsid w:val="00E56DB3"/>
    <w:rsid w:val="00E60C58"/>
    <w:rsid w:val="00E63CAE"/>
    <w:rsid w:val="00E7260F"/>
    <w:rsid w:val="00E739DA"/>
    <w:rsid w:val="00E82263"/>
    <w:rsid w:val="00E8535A"/>
    <w:rsid w:val="00E85AF1"/>
    <w:rsid w:val="00E96630"/>
    <w:rsid w:val="00EA772F"/>
    <w:rsid w:val="00EB258A"/>
    <w:rsid w:val="00EB3CF8"/>
    <w:rsid w:val="00EB6832"/>
    <w:rsid w:val="00EC2735"/>
    <w:rsid w:val="00EC33C5"/>
    <w:rsid w:val="00ED11CD"/>
    <w:rsid w:val="00ED7A2A"/>
    <w:rsid w:val="00EF1D7F"/>
    <w:rsid w:val="00EF441A"/>
    <w:rsid w:val="00EF6496"/>
    <w:rsid w:val="00F0114F"/>
    <w:rsid w:val="00F01D84"/>
    <w:rsid w:val="00F16B99"/>
    <w:rsid w:val="00F40308"/>
    <w:rsid w:val="00F40E75"/>
    <w:rsid w:val="00F43CC1"/>
    <w:rsid w:val="00F4591A"/>
    <w:rsid w:val="00F5125F"/>
    <w:rsid w:val="00F527CE"/>
    <w:rsid w:val="00F54674"/>
    <w:rsid w:val="00F57837"/>
    <w:rsid w:val="00F65E33"/>
    <w:rsid w:val="00F732E7"/>
    <w:rsid w:val="00F908E3"/>
    <w:rsid w:val="00F92677"/>
    <w:rsid w:val="00FA3925"/>
    <w:rsid w:val="00FA7039"/>
    <w:rsid w:val="00FA7F70"/>
    <w:rsid w:val="00FB3011"/>
    <w:rsid w:val="00FC4123"/>
    <w:rsid w:val="00FC68B7"/>
    <w:rsid w:val="00FD0614"/>
    <w:rsid w:val="00FD6B2B"/>
    <w:rsid w:val="00FD6F9A"/>
    <w:rsid w:val="00FE01D6"/>
    <w:rsid w:val="00FE571B"/>
    <w:rsid w:val="00FF03BB"/>
    <w:rsid w:val="00FF1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D3"/>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56D9A"/>
    <w:rPr>
      <w:lang w:val="en-GB" w:eastAsia="en-US" w:bidi="ar-SA"/>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ListParagraph">
    <w:name w:val="List Paragraph"/>
    <w:basedOn w:val="Normal"/>
    <w:uiPriority w:val="34"/>
    <w:qFormat/>
    <w:rsid w:val="00B650CC"/>
    <w:pPr>
      <w:ind w:left="720"/>
    </w:pPr>
  </w:style>
  <w:style w:type="paragraph" w:styleId="BalloonText">
    <w:name w:val="Balloon Text"/>
    <w:basedOn w:val="Normal"/>
    <w:link w:val="BalloonTextChar"/>
    <w:rsid w:val="004038FE"/>
    <w:pPr>
      <w:spacing w:line="240" w:lineRule="auto"/>
    </w:pPr>
    <w:rPr>
      <w:rFonts w:ascii="Segoe UI" w:hAnsi="Segoe UI" w:cs="Segoe UI"/>
      <w:sz w:val="18"/>
      <w:szCs w:val="18"/>
    </w:rPr>
  </w:style>
  <w:style w:type="character" w:customStyle="1" w:styleId="BalloonTextChar">
    <w:name w:val="Balloon Text Char"/>
    <w:link w:val="BalloonText"/>
    <w:rsid w:val="004038FE"/>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D3"/>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56D9A"/>
    <w:rPr>
      <w:lang w:val="en-GB" w:eastAsia="en-US" w:bidi="ar-SA"/>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ListParagraph">
    <w:name w:val="List Paragraph"/>
    <w:basedOn w:val="Normal"/>
    <w:uiPriority w:val="34"/>
    <w:qFormat/>
    <w:rsid w:val="00B650CC"/>
    <w:pPr>
      <w:ind w:left="720"/>
    </w:pPr>
  </w:style>
  <w:style w:type="paragraph" w:styleId="BalloonText">
    <w:name w:val="Balloon Text"/>
    <w:basedOn w:val="Normal"/>
    <w:link w:val="BalloonTextChar"/>
    <w:rsid w:val="004038FE"/>
    <w:pPr>
      <w:spacing w:line="240" w:lineRule="auto"/>
    </w:pPr>
    <w:rPr>
      <w:rFonts w:ascii="Segoe UI" w:hAnsi="Segoe UI" w:cs="Segoe UI"/>
      <w:sz w:val="18"/>
      <w:szCs w:val="18"/>
    </w:rPr>
  </w:style>
  <w:style w:type="character" w:customStyle="1" w:styleId="BalloonTextChar">
    <w:name w:val="Balloon Text Char"/>
    <w:link w:val="BalloonText"/>
    <w:rsid w:val="004038F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81DE-318A-4A6D-AC71-63B5792C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1182</Words>
  <Characters>6371</Characters>
  <Application>Microsoft Office Word</Application>
  <DocSecurity>0</DocSecurity>
  <Lines>172</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6</cp:revision>
  <cp:lastPrinted>2016-04-13T13:46:00Z</cp:lastPrinted>
  <dcterms:created xsi:type="dcterms:W3CDTF">2016-04-11T09:12:00Z</dcterms:created>
  <dcterms:modified xsi:type="dcterms:W3CDTF">2016-04-13T13:46:00Z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13891697.1</vt:lpwstr>
  </property>
</Properties>
</file>