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B77765" w:rsidTr="000305D3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B77765" w:rsidRDefault="00132EA9" w:rsidP="0077105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B77765" w:rsidRDefault="00132EA9" w:rsidP="009C3129">
            <w:pPr>
              <w:spacing w:after="80" w:line="300" w:lineRule="exact"/>
              <w:rPr>
                <w:sz w:val="28"/>
              </w:rPr>
            </w:pPr>
            <w:r w:rsidRPr="00B7776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B77765" w:rsidRDefault="00771054" w:rsidP="00771054">
            <w:pPr>
              <w:jc w:val="right"/>
            </w:pPr>
            <w:r w:rsidRPr="00B77765">
              <w:rPr>
                <w:sz w:val="40"/>
              </w:rPr>
              <w:t>ST</w:t>
            </w:r>
            <w:r w:rsidRPr="00B77765">
              <w:t>/SG/AC.10/C.3/2016/41</w:t>
            </w:r>
          </w:p>
        </w:tc>
      </w:tr>
      <w:tr w:rsidR="00132EA9" w:rsidRPr="00B77765" w:rsidTr="009C312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B77765" w:rsidRDefault="00132EA9" w:rsidP="009C3129">
            <w:pPr>
              <w:spacing w:before="120"/>
              <w:jc w:val="center"/>
            </w:pPr>
            <w:r w:rsidRPr="00B77765">
              <w:rPr>
                <w:noProof/>
                <w:lang w:val="en-GB" w:eastAsia="en-GB"/>
              </w:rPr>
              <w:drawing>
                <wp:inline distT="0" distB="0" distL="0" distR="0" wp14:anchorId="0831C0DA" wp14:editId="77C0139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B77765" w:rsidRDefault="00132EA9" w:rsidP="009C312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B77765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B77765" w:rsidRDefault="00771054" w:rsidP="009C3129">
            <w:pPr>
              <w:spacing w:before="240"/>
            </w:pPr>
            <w:r w:rsidRPr="00B77765">
              <w:t>Distr. générale</w:t>
            </w:r>
          </w:p>
          <w:p w:rsidR="00771054" w:rsidRPr="00B77765" w:rsidRDefault="00771054" w:rsidP="00771054">
            <w:pPr>
              <w:spacing w:line="240" w:lineRule="exact"/>
            </w:pPr>
            <w:r w:rsidRPr="00B77765">
              <w:t>11 avril 2016</w:t>
            </w:r>
          </w:p>
          <w:p w:rsidR="00771054" w:rsidRPr="00B77765" w:rsidRDefault="00771054" w:rsidP="00771054">
            <w:pPr>
              <w:spacing w:line="240" w:lineRule="exact"/>
            </w:pPr>
            <w:r w:rsidRPr="00B77765">
              <w:t>Français</w:t>
            </w:r>
          </w:p>
          <w:p w:rsidR="00771054" w:rsidRPr="00B77765" w:rsidRDefault="00771054" w:rsidP="00771054">
            <w:pPr>
              <w:spacing w:line="240" w:lineRule="exact"/>
            </w:pPr>
            <w:r w:rsidRPr="00B77765">
              <w:t>Original : anglais</w:t>
            </w:r>
          </w:p>
        </w:tc>
      </w:tr>
    </w:tbl>
    <w:p w:rsidR="005442F6" w:rsidRPr="00B77765" w:rsidRDefault="005442F6" w:rsidP="000305D3">
      <w:pPr>
        <w:spacing w:before="120"/>
        <w:rPr>
          <w:b/>
          <w:sz w:val="24"/>
          <w:szCs w:val="24"/>
        </w:rPr>
      </w:pPr>
      <w:r w:rsidRPr="00B77765">
        <w:rPr>
          <w:b/>
          <w:sz w:val="24"/>
          <w:szCs w:val="24"/>
        </w:rPr>
        <w:t>Comité d</w:t>
      </w:r>
      <w:r w:rsidR="00774F14">
        <w:rPr>
          <w:b/>
          <w:sz w:val="24"/>
          <w:szCs w:val="24"/>
        </w:rPr>
        <w:t>’</w:t>
      </w:r>
      <w:r w:rsidRPr="00B77765">
        <w:rPr>
          <w:b/>
          <w:sz w:val="24"/>
          <w:szCs w:val="24"/>
        </w:rPr>
        <w:t>experts du transport des marchandises dangereuses</w:t>
      </w:r>
      <w:r w:rsidRPr="00B77765">
        <w:rPr>
          <w:b/>
          <w:sz w:val="24"/>
          <w:szCs w:val="24"/>
        </w:rPr>
        <w:br/>
        <w:t>et du Système général harmonisé de classification</w:t>
      </w:r>
      <w:r w:rsidRPr="00B77765">
        <w:rPr>
          <w:b/>
          <w:sz w:val="24"/>
          <w:szCs w:val="24"/>
        </w:rPr>
        <w:br/>
        <w:t>et d</w:t>
      </w:r>
      <w:r w:rsidR="00774F14">
        <w:rPr>
          <w:b/>
          <w:sz w:val="24"/>
          <w:szCs w:val="24"/>
        </w:rPr>
        <w:t>’</w:t>
      </w:r>
      <w:r w:rsidRPr="00B77765">
        <w:rPr>
          <w:b/>
          <w:sz w:val="24"/>
          <w:szCs w:val="24"/>
        </w:rPr>
        <w:t>étiquetage des produits chimiques</w:t>
      </w:r>
    </w:p>
    <w:p w:rsidR="005442F6" w:rsidRPr="00B77765" w:rsidRDefault="005442F6" w:rsidP="000305D3">
      <w:pPr>
        <w:spacing w:before="120"/>
        <w:rPr>
          <w:b/>
        </w:rPr>
      </w:pPr>
      <w:r w:rsidRPr="00B77765">
        <w:rPr>
          <w:b/>
        </w:rPr>
        <w:t>Sous-Comité d</w:t>
      </w:r>
      <w:r w:rsidR="00774F14">
        <w:rPr>
          <w:b/>
        </w:rPr>
        <w:t>’</w:t>
      </w:r>
      <w:r w:rsidRPr="00B77765">
        <w:rPr>
          <w:b/>
        </w:rPr>
        <w:t>experts du transport des marchandises dangereuses</w:t>
      </w:r>
    </w:p>
    <w:p w:rsidR="005442F6" w:rsidRPr="00B77765" w:rsidRDefault="005442F6" w:rsidP="000305D3">
      <w:pPr>
        <w:spacing w:before="120"/>
        <w:rPr>
          <w:b/>
        </w:rPr>
      </w:pPr>
      <w:r w:rsidRPr="00B77765">
        <w:rPr>
          <w:b/>
        </w:rPr>
        <w:t>Quarante-neuvième session</w:t>
      </w:r>
    </w:p>
    <w:p w:rsidR="005442F6" w:rsidRPr="00B77765" w:rsidRDefault="005442F6" w:rsidP="000305D3">
      <w:r w:rsidRPr="00B77765">
        <w:t>Genève, 27 juin-6 juillet 2016</w:t>
      </w:r>
    </w:p>
    <w:p w:rsidR="005442F6" w:rsidRPr="00B77765" w:rsidRDefault="005442F6" w:rsidP="000305D3">
      <w:r w:rsidRPr="00B77765">
        <w:t>Point 4 d) de l</w:t>
      </w:r>
      <w:r w:rsidR="00774F14">
        <w:t>’</w:t>
      </w:r>
      <w:r w:rsidRPr="00B77765">
        <w:t>ordre du jour provisoire</w:t>
      </w:r>
    </w:p>
    <w:p w:rsidR="00446FE5" w:rsidRPr="00B77765" w:rsidRDefault="005442F6" w:rsidP="00AC3823">
      <w:pPr>
        <w:rPr>
          <w:b/>
        </w:rPr>
      </w:pPr>
      <w:r w:rsidRPr="00B77765">
        <w:rPr>
          <w:b/>
        </w:rPr>
        <w:t>Systèmes de stockage de l</w:t>
      </w:r>
      <w:r w:rsidR="00774F14">
        <w:rPr>
          <w:b/>
        </w:rPr>
        <w:t>’</w:t>
      </w:r>
      <w:r w:rsidRPr="00B77765">
        <w:rPr>
          <w:b/>
        </w:rPr>
        <w:t>électricité</w:t>
      </w:r>
      <w:r w:rsidR="00AC6D19">
        <w:rPr>
          <w:b/>
        </w:rPr>
        <w:t> </w:t>
      </w:r>
      <w:r w:rsidRPr="00B77765">
        <w:rPr>
          <w:b/>
        </w:rPr>
        <w:t>: questions diverses</w:t>
      </w:r>
    </w:p>
    <w:p w:rsidR="005442F6" w:rsidRPr="00B77765" w:rsidRDefault="005442F6" w:rsidP="005442F6">
      <w:pPr>
        <w:pStyle w:val="HChG"/>
      </w:pPr>
      <w:r w:rsidRPr="00B77765">
        <w:tab/>
      </w:r>
      <w:r w:rsidRPr="00B77765">
        <w:tab/>
        <w:t xml:space="preserve">Dispositions relatives aux batteries au lithium équipant </w:t>
      </w:r>
      <w:r w:rsidRPr="00B77765">
        <w:br/>
        <w:t>des engins de transport fermés</w:t>
      </w:r>
    </w:p>
    <w:p w:rsidR="005442F6" w:rsidRPr="00B77765" w:rsidRDefault="005442F6" w:rsidP="005442F6">
      <w:pPr>
        <w:pStyle w:val="H1G"/>
      </w:pPr>
      <w:r w:rsidRPr="00B77765">
        <w:tab/>
      </w:r>
      <w:r w:rsidRPr="00B77765">
        <w:tab/>
        <w:t>Communication de la Rechargeable Battery Association (PRBA)</w:t>
      </w:r>
      <w:r w:rsidRPr="00B77765">
        <w:rPr>
          <w:b w:val="0"/>
          <w:sz w:val="18"/>
          <w:szCs w:val="18"/>
          <w:vertAlign w:val="superscript"/>
        </w:rPr>
        <w:footnoteReference w:id="2"/>
      </w:r>
    </w:p>
    <w:p w:rsidR="005442F6" w:rsidRPr="00B77765" w:rsidRDefault="005442F6" w:rsidP="005442F6">
      <w:pPr>
        <w:pStyle w:val="HChG"/>
      </w:pPr>
      <w:r w:rsidRPr="00B77765">
        <w:tab/>
      </w:r>
      <w:r w:rsidRPr="00B77765">
        <w:tab/>
        <w:t>Introduction</w:t>
      </w:r>
    </w:p>
    <w:p w:rsidR="005442F6" w:rsidRPr="00B77765" w:rsidRDefault="005442F6" w:rsidP="005442F6">
      <w:pPr>
        <w:pStyle w:val="SingleTxtG"/>
        <w:numPr>
          <w:ilvl w:val="0"/>
          <w:numId w:val="15"/>
        </w:numPr>
        <w:ind w:left="1134" w:firstLine="0"/>
      </w:pPr>
      <w:r w:rsidRPr="00B77765">
        <w:t xml:space="preserve">À sa quarante-huitième session, le Sous-Comité a examiné le document ST/SG/AC.10/C.3/2015/56 (communication de la PRBA), </w:t>
      </w:r>
      <w:r w:rsidRPr="00B77765">
        <w:rPr>
          <w:bCs/>
        </w:rPr>
        <w:t>dans lequel il était proposé d</w:t>
      </w:r>
      <w:r w:rsidR="00774F14">
        <w:rPr>
          <w:bCs/>
        </w:rPr>
        <w:t>’</w:t>
      </w:r>
      <w:r w:rsidRPr="00B77765">
        <w:rPr>
          <w:bCs/>
        </w:rPr>
        <w:t>ajouter certaines dispositions relatives aux systèmes d</w:t>
      </w:r>
      <w:r w:rsidR="00774F14">
        <w:rPr>
          <w:bCs/>
        </w:rPr>
        <w:t>’</w:t>
      </w:r>
      <w:r w:rsidRPr="00B77765">
        <w:rPr>
          <w:bCs/>
        </w:rPr>
        <w:t>alimentation électrique transportables constitués de grandes batteries d</w:t>
      </w:r>
      <w:r w:rsidR="00774F14">
        <w:rPr>
          <w:bCs/>
        </w:rPr>
        <w:t>’</w:t>
      </w:r>
      <w:r w:rsidRPr="00B77765">
        <w:rPr>
          <w:bCs/>
        </w:rPr>
        <w:t>accumulateurs au lithium.</w:t>
      </w:r>
      <w:r w:rsidRPr="00B77765">
        <w:t xml:space="preserve"> Comme l</w:t>
      </w:r>
      <w:r w:rsidR="00774F14">
        <w:t>’</w:t>
      </w:r>
      <w:r w:rsidRPr="00B77765">
        <w:t>indique ce document, ces batteries sont en général des rangées d</w:t>
      </w:r>
      <w:r w:rsidR="00774F14">
        <w:t>’</w:t>
      </w:r>
      <w:r w:rsidRPr="00B77765">
        <w:t>accumulateurs au lithium-ion reliés électriquement et munis des systèmes de gestion nécessaires, arrimés sur des étagères, des rayonnages d</w:t>
      </w:r>
      <w:r w:rsidR="00774F14">
        <w:t>’</w:t>
      </w:r>
      <w:r w:rsidRPr="00B77765">
        <w:t>armoires ou des structures similaires, ces structures étant elles</w:t>
      </w:r>
      <w:r w:rsidR="009C50EB">
        <w:noBreakHyphen/>
      </w:r>
      <w:r w:rsidRPr="00B77765">
        <w:t>mêmes fixées à l</w:t>
      </w:r>
      <w:r w:rsidR="00774F14">
        <w:t>’</w:t>
      </w:r>
      <w:r w:rsidRPr="00B77765">
        <w:t>intérieur d</w:t>
      </w:r>
      <w:r w:rsidR="00774F14">
        <w:t>’</w:t>
      </w:r>
      <w:r w:rsidRPr="00B77765">
        <w:t>engins de transport fermés (généralement des conteneurs et des véhicules de transport de marchandises)</w:t>
      </w:r>
      <w:r w:rsidR="00233841">
        <w:t>.</w:t>
      </w:r>
      <w:r w:rsidRPr="00B77765">
        <w:t xml:space="preserve"> L</w:t>
      </w:r>
      <w:r w:rsidR="00774F14">
        <w:t>’</w:t>
      </w:r>
      <w:r w:rsidRPr="00B77765">
        <w:t>engin de transport fermé est de ce fait le contenant d</w:t>
      </w:r>
      <w:r w:rsidR="00774F14">
        <w:t>’</w:t>
      </w:r>
      <w:r w:rsidRPr="00B77765">
        <w:t>une batterie d</w:t>
      </w:r>
      <w:r w:rsidR="00774F14">
        <w:t>’</w:t>
      </w:r>
      <w:r w:rsidRPr="00B77765">
        <w:t>accumulateurs au lithium-ion de très grande taille. Ces batteries d</w:t>
      </w:r>
      <w:r w:rsidR="00774F14">
        <w:t>’</w:t>
      </w:r>
      <w:r w:rsidRPr="00B77765">
        <w:t>accumulateurs sont utilisées dans toute une série de réseaux électriques et d</w:t>
      </w:r>
      <w:r w:rsidR="00774F14">
        <w:t>’</w:t>
      </w:r>
      <w:r w:rsidRPr="00B77765">
        <w:t>applications similaires, par exemple pour la conservation de l</w:t>
      </w:r>
      <w:r w:rsidR="00774F14">
        <w:t>’</w:t>
      </w:r>
      <w:r w:rsidRPr="00B77765">
        <w:t>énergie produite par des parcs de grandes éoliennes, ou en tant que sources d</w:t>
      </w:r>
      <w:r w:rsidR="00774F14">
        <w:t>’</w:t>
      </w:r>
      <w:r w:rsidRPr="00B77765">
        <w:t>énergie électrique de secours.</w:t>
      </w:r>
    </w:p>
    <w:p w:rsidR="005442F6" w:rsidRPr="00B77765" w:rsidRDefault="005442F6" w:rsidP="005442F6">
      <w:pPr>
        <w:pStyle w:val="SingleTxtG"/>
        <w:numPr>
          <w:ilvl w:val="0"/>
          <w:numId w:val="15"/>
        </w:numPr>
        <w:ind w:left="1134" w:firstLine="0"/>
      </w:pPr>
      <w:r w:rsidRPr="00B77765">
        <w:t>Le transport de ce type de système étant en augmentation, le Sous-Comité s</w:t>
      </w:r>
      <w:r w:rsidR="00774F14">
        <w:t>’</w:t>
      </w:r>
      <w:r w:rsidRPr="00B77765">
        <w:t>est montré favorable, dans l</w:t>
      </w:r>
      <w:r w:rsidR="00774F14">
        <w:t>’</w:t>
      </w:r>
      <w:r w:rsidRPr="00B77765">
        <w:t>ensemble, à l</w:t>
      </w:r>
      <w:r w:rsidR="00774F14">
        <w:t>’</w:t>
      </w:r>
      <w:r w:rsidRPr="00B77765">
        <w:t xml:space="preserve">ajout de dispositions appropriées dans le Règlement type, concernant les </w:t>
      </w:r>
      <w:r w:rsidRPr="00B77765">
        <w:rPr>
          <w:bCs/>
        </w:rPr>
        <w:t>systèmes d</w:t>
      </w:r>
      <w:r w:rsidR="00774F14">
        <w:rPr>
          <w:bCs/>
        </w:rPr>
        <w:t>’</w:t>
      </w:r>
      <w:r w:rsidRPr="00B77765">
        <w:rPr>
          <w:bCs/>
        </w:rPr>
        <w:t xml:space="preserve">alimentation électrique transportables constitués de </w:t>
      </w:r>
      <w:r w:rsidRPr="00B77765">
        <w:rPr>
          <w:bCs/>
        </w:rPr>
        <w:lastRenderedPageBreak/>
        <w:t>batteries d</w:t>
      </w:r>
      <w:r w:rsidR="00774F14">
        <w:rPr>
          <w:bCs/>
        </w:rPr>
        <w:t>’</w:t>
      </w:r>
      <w:r w:rsidRPr="00B77765">
        <w:rPr>
          <w:bCs/>
        </w:rPr>
        <w:t>accumulateurs au lithium</w:t>
      </w:r>
      <w:r w:rsidRPr="00B77765">
        <w:t>. Les propositions de la PRBA ont toutefois suscité des</w:t>
      </w:r>
      <w:r w:rsidR="00456F7E">
        <w:t> </w:t>
      </w:r>
      <w:r w:rsidRPr="00B77765">
        <w:t>observations et des suggestions, ce dont elle se félicite. Les ayant prises en compte dans le présent document, l</w:t>
      </w:r>
      <w:r w:rsidR="00774F14">
        <w:t>’</w:t>
      </w:r>
      <w:r w:rsidRPr="00B77765">
        <w:t>Association offre ici une nouvelle mouture de ses propositions en la matière</w:t>
      </w:r>
      <w:r w:rsidR="00596275" w:rsidRPr="00B77765">
        <w:t>.</w:t>
      </w:r>
    </w:p>
    <w:p w:rsidR="005442F6" w:rsidRPr="00B77765" w:rsidRDefault="005442F6" w:rsidP="005442F6">
      <w:pPr>
        <w:pStyle w:val="SingleTxtG"/>
        <w:numPr>
          <w:ilvl w:val="0"/>
          <w:numId w:val="15"/>
        </w:numPr>
        <w:ind w:left="1134" w:firstLine="0"/>
      </w:pPr>
      <w:r w:rsidRPr="00B77765">
        <w:t>Au cours de la session précédente, certains membres du Sous-Comité ont estimé qu</w:t>
      </w:r>
      <w:r w:rsidR="00774F14">
        <w:t>’</w:t>
      </w:r>
      <w:r w:rsidRPr="00B77765">
        <w:t xml:space="preserve">il pourrait être utile de créer une rubrique spéciale pour les </w:t>
      </w:r>
      <w:r w:rsidRPr="00B77765">
        <w:rPr>
          <w:bCs/>
        </w:rPr>
        <w:t>systèmes d</w:t>
      </w:r>
      <w:r w:rsidR="00774F14">
        <w:rPr>
          <w:bCs/>
        </w:rPr>
        <w:t>’</w:t>
      </w:r>
      <w:r w:rsidRPr="00B77765">
        <w:rPr>
          <w:bCs/>
        </w:rPr>
        <w:t>alimentation électrique transportables constitués de batteries d</w:t>
      </w:r>
      <w:r w:rsidR="00774F14">
        <w:rPr>
          <w:bCs/>
        </w:rPr>
        <w:t>’</w:t>
      </w:r>
      <w:r w:rsidRPr="00B77765">
        <w:rPr>
          <w:bCs/>
        </w:rPr>
        <w:t>accumulateurs au lithium</w:t>
      </w:r>
      <w:r w:rsidRPr="00B77765">
        <w:t>. D</w:t>
      </w:r>
      <w:r w:rsidR="00774F14">
        <w:t>’</w:t>
      </w:r>
      <w:r w:rsidRPr="00B77765">
        <w:t>autres ont estimé</w:t>
      </w:r>
      <w:r w:rsidR="00596275" w:rsidRPr="00B77765">
        <w:t xml:space="preserve"> </w:t>
      </w:r>
      <w:r w:rsidRPr="00B77765">
        <w:t>qu</w:t>
      </w:r>
      <w:r w:rsidR="00774F14">
        <w:t>’</w:t>
      </w:r>
      <w:r w:rsidRPr="00B77765">
        <w:t>il était inutile de proposer une nouvelle instruction d</w:t>
      </w:r>
      <w:r w:rsidR="00774F14">
        <w:t>’</w:t>
      </w:r>
      <w:r w:rsidRPr="00B77765">
        <w:t xml:space="preserve">emballage et que toutes les prescriptions pertinentes pourraient figurer dans une nouvelle disposition spéciale, un peu comme pour le </w:t>
      </w:r>
      <w:r w:rsidR="00596275" w:rsidRPr="00B77765">
        <w:t>No ONU </w:t>
      </w:r>
      <w:r w:rsidRPr="00B77765">
        <w:t>3166 (</w:t>
      </w:r>
      <w:r w:rsidR="00596275" w:rsidRPr="00B77765">
        <w:t>« </w:t>
      </w:r>
      <w:r w:rsidRPr="00B77765">
        <w:t>VÉHICULES…</w:t>
      </w:r>
      <w:r w:rsidR="00596275" w:rsidRPr="00B77765">
        <w:t> »</w:t>
      </w:r>
      <w:r w:rsidRPr="00B77765">
        <w:t>). La PRBA n</w:t>
      </w:r>
      <w:r w:rsidR="00774F14">
        <w:t>’</w:t>
      </w:r>
      <w:r w:rsidRPr="00B77765">
        <w:t>est toujours pas convaincue de la nécessité d</w:t>
      </w:r>
      <w:r w:rsidR="00774F14">
        <w:t>’</w:t>
      </w:r>
      <w:r w:rsidRPr="00B77765">
        <w:t>une rubrique distincte, mais reconnaît qu</w:t>
      </w:r>
      <w:r w:rsidR="00774F14">
        <w:t>’</w:t>
      </w:r>
      <w:r w:rsidRPr="00B77765">
        <w:t>elle présenterait l</w:t>
      </w:r>
      <w:r w:rsidR="00774F14">
        <w:t>’</w:t>
      </w:r>
      <w:r w:rsidRPr="00B77765">
        <w:t>avantage d</w:t>
      </w:r>
      <w:r w:rsidR="00774F14">
        <w:t>’</w:t>
      </w:r>
      <w:r w:rsidRPr="00B77765">
        <w:t>établir une distinction entre les grandes batteries d</w:t>
      </w:r>
      <w:r w:rsidR="00774F14">
        <w:t>’</w:t>
      </w:r>
      <w:r w:rsidRPr="00B77765">
        <w:t>accumulateurs installées dans les engins de transport et celles qui y sont simplement transportées. Il est donc proposé au Sous-Comité d</w:t>
      </w:r>
      <w:r w:rsidR="00774F14">
        <w:t>’</w:t>
      </w:r>
      <w:r w:rsidRPr="00B77765">
        <w:t>envisager deux possibilités. La première consiste simplement à ajouter, aux rubriques concernant les accumulateurs au lithium-ion ou au lithium métal (</w:t>
      </w:r>
      <w:r w:rsidR="00596275" w:rsidRPr="00B77765">
        <w:t>Nos </w:t>
      </w:r>
      <w:r w:rsidRPr="00B77765">
        <w:t>ONU</w:t>
      </w:r>
      <w:r w:rsidR="00920A7D">
        <w:t> </w:t>
      </w:r>
      <w:r w:rsidRPr="00B77765">
        <w:t xml:space="preserve">3480 et 3090), une disposition spéciale XXX contenant toutes les prescriptions pertinentes. La deuxième consiste à créer dans la classe 9 une nouvelle rubrique intitulée </w:t>
      </w:r>
      <w:r w:rsidR="0022753F" w:rsidRPr="00B77765">
        <w:t>« </w:t>
      </w:r>
      <w:r w:rsidRPr="00B77765">
        <w:t>SYSTÈME D</w:t>
      </w:r>
      <w:r w:rsidR="00774F14">
        <w:t>’</w:t>
      </w:r>
      <w:r w:rsidRPr="00B77765">
        <w:t>ALIMENTATION ÉLECTRIQUE TRANSPORTABLE, constitué de batteries d</w:t>
      </w:r>
      <w:r w:rsidR="00774F14">
        <w:t>’</w:t>
      </w:r>
      <w:r w:rsidRPr="00B77765">
        <w:t>accumulateurs au lithium</w:t>
      </w:r>
      <w:r w:rsidR="0022753F" w:rsidRPr="00B77765">
        <w:t> »</w:t>
      </w:r>
      <w:r w:rsidRPr="00B77765">
        <w:t xml:space="preserve">, assortie de la nouvelle disposition spéciale XXX. Cette nouvelle rubrique serait calquée sur la rubrique </w:t>
      </w:r>
      <w:r w:rsidR="0022753F" w:rsidRPr="00B77765">
        <w:t>« </w:t>
      </w:r>
      <w:r w:rsidRPr="00B77765">
        <w:t>VÉHICULES</w:t>
      </w:r>
      <w:r w:rsidR="0022753F" w:rsidRPr="00B77765">
        <w:t> »</w:t>
      </w:r>
      <w:r w:rsidRPr="00B77765">
        <w:t xml:space="preserve"> (</w:t>
      </w:r>
      <w:r w:rsidR="0022753F" w:rsidRPr="00B77765">
        <w:t>No ONU </w:t>
      </w:r>
      <w:r w:rsidRPr="00B77765">
        <w:t>3166), dans la mesure où elle ne renverrait à aucune instruction d</w:t>
      </w:r>
      <w:r w:rsidR="00774F14">
        <w:t>’</w:t>
      </w:r>
      <w:r w:rsidRPr="00B77765">
        <w:t>emballage et où les prescriptions pertinentes seraient énoncées dans une disposition spéciale. Le Sous-Comité est invité à choisir entre ces deux possibilités.</w:t>
      </w:r>
    </w:p>
    <w:p w:rsidR="005442F6" w:rsidRPr="00B77765" w:rsidRDefault="005442F6" w:rsidP="005442F6">
      <w:pPr>
        <w:pStyle w:val="SingleTxtG"/>
        <w:numPr>
          <w:ilvl w:val="0"/>
          <w:numId w:val="15"/>
        </w:numPr>
        <w:ind w:left="1134" w:firstLine="0"/>
      </w:pPr>
      <w:r w:rsidRPr="00B77765">
        <w:t>La disposition spéciale proposée énumère toutes les prescriptions relatives aux systèmes d</w:t>
      </w:r>
      <w:r w:rsidR="00774F14">
        <w:t>’</w:t>
      </w:r>
      <w:r w:rsidRPr="00B77765">
        <w:t>alimentation électrique transportables constitués de batteries d</w:t>
      </w:r>
      <w:r w:rsidR="00774F14">
        <w:t>’</w:t>
      </w:r>
      <w:r w:rsidRPr="00B77765">
        <w:t>accumulateurs au lithium. Ces prescriptions s</w:t>
      </w:r>
      <w:r w:rsidR="00774F14">
        <w:t>’</w:t>
      </w:r>
      <w:r w:rsidRPr="00B77765">
        <w:t>inspirent largement de celles qui, dans le document précédent de la PRBA, figuraient dans une proposition de nouvelle instruction d</w:t>
      </w:r>
      <w:r w:rsidR="00774F14">
        <w:t>’</w:t>
      </w:r>
      <w:r w:rsidRPr="00B77765">
        <w:t>emballage et qui, au vu des observations du Sous-Comité, ont été perçues dans l</w:t>
      </w:r>
      <w:r w:rsidR="00774F14">
        <w:t>’</w:t>
      </w:r>
      <w:r w:rsidRPr="00B77765">
        <w:t>ensemble comme appropriées et acceptables. Ainsi qu</w:t>
      </w:r>
      <w:r w:rsidR="00774F14">
        <w:t>’</w:t>
      </w:r>
      <w:r w:rsidRPr="00B77765">
        <w:t>il est indiqué dans le document précédent de la PRBA, ces ensembles sont souvent équipés d</w:t>
      </w:r>
      <w:r w:rsidR="00774F14">
        <w:t>’</w:t>
      </w:r>
      <w:r w:rsidRPr="00B77765">
        <w:t>extincteurs fixes et de systèmes de réfrigération internes qui sont eux-mêmes, dans la mesure où ils sont remplis de gaz liquéfiés, des marchandises dangereuses. La PRBA avait proposé certaines prescriptions concernant ces marchandises dangereuses auxiliaires, mais plusieurs membres du Sous-Comité ont pensé qu</w:t>
      </w:r>
      <w:r w:rsidR="00774F14">
        <w:t>’</w:t>
      </w:r>
      <w:r w:rsidRPr="00B77765">
        <w:t xml:space="preserve">il serait préférable de suivre une logique similaire à celle adoptée dans la disposition spéciale 385 pour le </w:t>
      </w:r>
      <w:r w:rsidR="0022753F" w:rsidRPr="00B77765">
        <w:t>No </w:t>
      </w:r>
      <w:r w:rsidRPr="00B77765">
        <w:t>ONU</w:t>
      </w:r>
      <w:r w:rsidR="0022753F" w:rsidRPr="00B77765">
        <w:t> </w:t>
      </w:r>
      <w:r w:rsidRPr="00B77765">
        <w:t>3166, et elle a suivi cette voie. Il est donc proposé que la nouvelle disposition spéciale XXX prévoie simplement que lorsque des marchandises dangereuses sont présentes dans les dispositifs nécessaires à la sécurité et au bon fonctionnement du système d</w:t>
      </w:r>
      <w:r w:rsidR="00774F14">
        <w:t>’</w:t>
      </w:r>
      <w:r w:rsidRPr="00B77765">
        <w:t>alimentation électrique transportable, tels que les installations de lutte contre l</w:t>
      </w:r>
      <w:r w:rsidR="00774F14">
        <w:t>’</w:t>
      </w:r>
      <w:r w:rsidRPr="00B77765">
        <w:t>incendie et les systèmes de climatisation, elles soient solidement fixées dans l</w:t>
      </w:r>
      <w:r w:rsidR="00774F14">
        <w:t>’</w:t>
      </w:r>
      <w:r w:rsidRPr="00B77765">
        <w:t xml:space="preserve">engin de transport fermé et ne soient pas, de ce fait, soumises aux </w:t>
      </w:r>
      <w:r w:rsidR="0022753F" w:rsidRPr="00B77765">
        <w:t>dispositions du Règlement type.</w:t>
      </w:r>
    </w:p>
    <w:p w:rsidR="005442F6" w:rsidRPr="00B77765" w:rsidRDefault="005442F6" w:rsidP="005442F6">
      <w:pPr>
        <w:pStyle w:val="SingleTxtG"/>
        <w:numPr>
          <w:ilvl w:val="0"/>
          <w:numId w:val="15"/>
        </w:numPr>
        <w:ind w:left="1134" w:firstLine="0"/>
      </w:pPr>
      <w:r w:rsidRPr="00B77765">
        <w:t>Compte tenu de ce qui précède, le Sous-Comité est invité à examiner les propositions ci-après.</w:t>
      </w:r>
    </w:p>
    <w:p w:rsidR="005442F6" w:rsidRPr="00B77765" w:rsidRDefault="005442F6" w:rsidP="0022753F">
      <w:pPr>
        <w:pStyle w:val="HChG"/>
      </w:pPr>
      <w:r w:rsidRPr="00B77765">
        <w:tab/>
      </w:r>
      <w:r w:rsidRPr="00B77765">
        <w:tab/>
        <w:t>Propositions</w:t>
      </w:r>
    </w:p>
    <w:p w:rsidR="005442F6" w:rsidRPr="00B77765" w:rsidRDefault="005442F6" w:rsidP="005442F6">
      <w:pPr>
        <w:pStyle w:val="SingleTxtG"/>
        <w:numPr>
          <w:ilvl w:val="0"/>
          <w:numId w:val="15"/>
        </w:numPr>
        <w:ind w:left="1134" w:firstLine="0"/>
      </w:pPr>
      <w:r w:rsidRPr="00B77765">
        <w:t>Dans la liste des marchandises dangereuses du chapitre</w:t>
      </w:r>
      <w:r w:rsidR="0022753F" w:rsidRPr="00B77765">
        <w:t> </w:t>
      </w:r>
      <w:r w:rsidRPr="00B77765">
        <w:t>3.2, au choix</w:t>
      </w:r>
      <w:r w:rsidR="0022753F" w:rsidRPr="00B77765">
        <w:t> </w:t>
      </w:r>
      <w:r w:rsidRPr="00B77765">
        <w:t>:</w:t>
      </w:r>
    </w:p>
    <w:p w:rsidR="005442F6" w:rsidRPr="00B77765" w:rsidRDefault="005442F6" w:rsidP="0022753F">
      <w:pPr>
        <w:pStyle w:val="SingleTxtG"/>
        <w:ind w:firstLine="567"/>
      </w:pPr>
      <w:r w:rsidRPr="00B77765">
        <w:t>a)</w:t>
      </w:r>
      <w:r w:rsidRPr="00B77765">
        <w:tab/>
        <w:t xml:space="preserve">Ajouter, pour les </w:t>
      </w:r>
      <w:r w:rsidR="0022753F" w:rsidRPr="00B77765">
        <w:t>Nos </w:t>
      </w:r>
      <w:r w:rsidRPr="00B77765">
        <w:t>ONU</w:t>
      </w:r>
      <w:r w:rsidR="0022753F" w:rsidRPr="00B77765">
        <w:t> </w:t>
      </w:r>
      <w:r w:rsidRPr="00B77765">
        <w:t xml:space="preserve">3090 et 3480, la disposition spéciale </w:t>
      </w:r>
      <w:r w:rsidR="0022753F" w:rsidRPr="00B77765">
        <w:t>« </w:t>
      </w:r>
      <w:r w:rsidRPr="00B77765">
        <w:t>XXX</w:t>
      </w:r>
      <w:r w:rsidR="0022753F" w:rsidRPr="00B77765">
        <w:t> »</w:t>
      </w:r>
      <w:r w:rsidRPr="00B77765">
        <w:t xml:space="preserve"> dans la colonne (6)</w:t>
      </w:r>
      <w:r w:rsidR="0022753F" w:rsidRPr="00B77765">
        <w:t> ;</w:t>
      </w:r>
    </w:p>
    <w:p w:rsidR="005442F6" w:rsidRPr="00B77765" w:rsidRDefault="005442F6" w:rsidP="005442F6">
      <w:pPr>
        <w:pStyle w:val="SingleTxtG"/>
        <w:rPr>
          <w:u w:val="single"/>
        </w:rPr>
      </w:pPr>
      <w:proofErr w:type="gramStart"/>
      <w:r w:rsidRPr="00B77765">
        <w:t>ou</w:t>
      </w:r>
      <w:proofErr w:type="gramEnd"/>
      <w:r w:rsidR="0022753F" w:rsidRPr="00B77765">
        <w:t> </w:t>
      </w:r>
      <w:r w:rsidRPr="00B77765">
        <w:t>:</w:t>
      </w:r>
    </w:p>
    <w:p w:rsidR="005442F6" w:rsidRPr="00B77765" w:rsidRDefault="005442F6" w:rsidP="0022753F">
      <w:pPr>
        <w:pStyle w:val="SingleTxtG"/>
        <w:ind w:firstLine="567"/>
      </w:pPr>
      <w:r w:rsidRPr="00B77765">
        <w:lastRenderedPageBreak/>
        <w:t>b)</w:t>
      </w:r>
      <w:r w:rsidRPr="00B77765">
        <w:tab/>
        <w:t>Insérer la nouvelle rubrique suivante</w:t>
      </w:r>
      <w:r w:rsidR="0022753F" w:rsidRPr="00B77765">
        <w:t> </w:t>
      </w:r>
      <w:r w:rsidRPr="00B77765">
        <w:t>:</w:t>
      </w:r>
    </w:p>
    <w:tbl>
      <w:tblPr>
        <w:tblW w:w="0" w:type="auto"/>
        <w:jc w:val="center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325"/>
        <w:gridCol w:w="623"/>
        <w:gridCol w:w="567"/>
        <w:gridCol w:w="680"/>
        <w:gridCol w:w="680"/>
        <w:gridCol w:w="454"/>
        <w:gridCol w:w="454"/>
        <w:gridCol w:w="907"/>
        <w:gridCol w:w="907"/>
        <w:gridCol w:w="851"/>
        <w:gridCol w:w="737"/>
      </w:tblGrid>
      <w:tr w:rsidR="003F28EF" w:rsidRPr="00B77765" w:rsidTr="00BD3B5E">
        <w:trPr>
          <w:trHeight w:val="20"/>
          <w:tblHeader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8EF" w:rsidRPr="00B77765" w:rsidRDefault="003F28EF" w:rsidP="00BD3B5E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765">
              <w:rPr>
                <w:b/>
                <w:bCs/>
                <w:color w:val="000000"/>
                <w:sz w:val="16"/>
                <w:szCs w:val="16"/>
              </w:rPr>
              <w:t>N° ONU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8EF" w:rsidRPr="00B77765" w:rsidRDefault="003F28EF" w:rsidP="00BD3B5E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765">
              <w:rPr>
                <w:b/>
                <w:bCs/>
                <w:color w:val="000000"/>
                <w:sz w:val="16"/>
                <w:szCs w:val="16"/>
              </w:rPr>
              <w:t>Nom et description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8EF" w:rsidRPr="00B77765" w:rsidRDefault="003F28EF" w:rsidP="00BD3B5E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765">
              <w:rPr>
                <w:b/>
                <w:bCs/>
                <w:color w:val="000000"/>
                <w:sz w:val="16"/>
                <w:szCs w:val="16"/>
              </w:rPr>
              <w:t>Classe ou division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8EF" w:rsidRPr="00B77765" w:rsidRDefault="003F28EF" w:rsidP="00BD3B5E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765">
              <w:rPr>
                <w:b/>
                <w:bCs/>
                <w:color w:val="000000"/>
                <w:sz w:val="16"/>
                <w:szCs w:val="16"/>
              </w:rPr>
              <w:t>Risque subsi-diaire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8EF" w:rsidRPr="00B77765" w:rsidRDefault="003F28EF" w:rsidP="00BD3B5E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765">
              <w:rPr>
                <w:b/>
                <w:bCs/>
                <w:color w:val="000000"/>
                <w:sz w:val="16"/>
                <w:szCs w:val="16"/>
              </w:rPr>
              <w:t>Groupe d</w:t>
            </w:r>
            <w:r w:rsidR="00774F14">
              <w:rPr>
                <w:b/>
                <w:bCs/>
                <w:color w:val="000000"/>
                <w:sz w:val="16"/>
                <w:szCs w:val="16"/>
              </w:rPr>
              <w:t>’</w:t>
            </w:r>
            <w:r w:rsidRPr="00B77765">
              <w:rPr>
                <w:b/>
                <w:bCs/>
                <w:color w:val="000000"/>
                <w:sz w:val="16"/>
                <w:szCs w:val="16"/>
              </w:rPr>
              <w:t>embal-lage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8EF" w:rsidRPr="00B77765" w:rsidRDefault="003F28EF" w:rsidP="00BD3B5E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765">
              <w:rPr>
                <w:b/>
                <w:bCs/>
                <w:color w:val="000000"/>
                <w:sz w:val="16"/>
                <w:szCs w:val="16"/>
              </w:rPr>
              <w:t>Dispo-sitions spéciales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8EF" w:rsidRPr="00B77765" w:rsidRDefault="003F28EF" w:rsidP="00BD3B5E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  <w:r w:rsidRPr="00B77765">
              <w:rPr>
                <w:b/>
                <w:bCs/>
                <w:color w:val="000000"/>
                <w:sz w:val="16"/>
                <w:szCs w:val="16"/>
              </w:rPr>
              <w:t>Quantités limitées et quantités exceptées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8EF" w:rsidRPr="00B77765" w:rsidRDefault="003F28EF" w:rsidP="00BD3B5E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765">
              <w:rPr>
                <w:b/>
                <w:bCs/>
                <w:color w:val="000000"/>
                <w:sz w:val="16"/>
                <w:szCs w:val="16"/>
              </w:rPr>
              <w:t>Emballages et GRV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8EF" w:rsidRPr="00B77765" w:rsidRDefault="003F28EF" w:rsidP="00BD3B5E">
            <w:pPr>
              <w:spacing w:before="60" w:after="60" w:line="200" w:lineRule="exact"/>
              <w:ind w:right="-5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765">
              <w:rPr>
                <w:b/>
                <w:bCs/>
                <w:color w:val="000000"/>
                <w:sz w:val="16"/>
                <w:szCs w:val="16"/>
              </w:rPr>
              <w:t>Citernes mobiles et conteneurs pour vrac</w:t>
            </w:r>
          </w:p>
        </w:tc>
      </w:tr>
      <w:tr w:rsidR="003F28EF" w:rsidRPr="00B77765" w:rsidTr="00BD3B5E">
        <w:trPr>
          <w:trHeight w:val="20"/>
          <w:tblHeader/>
          <w:jc w:val="center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8EF" w:rsidRPr="00B77765" w:rsidRDefault="003F28EF" w:rsidP="00BD3B5E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8EF" w:rsidRPr="00B77765" w:rsidRDefault="003F28EF" w:rsidP="00BD3B5E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8EF" w:rsidRPr="00B77765" w:rsidRDefault="003F28EF" w:rsidP="00BD3B5E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8EF" w:rsidRPr="00B77765" w:rsidRDefault="003F28EF" w:rsidP="00BD3B5E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8EF" w:rsidRPr="00B77765" w:rsidRDefault="003F28EF" w:rsidP="00BD3B5E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8EF" w:rsidRPr="00B77765" w:rsidRDefault="003F28EF" w:rsidP="00BD3B5E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8EF" w:rsidRPr="00B77765" w:rsidRDefault="003F28EF" w:rsidP="00BD3B5E">
            <w:pPr>
              <w:spacing w:before="60" w:after="6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8EF" w:rsidRPr="00B77765" w:rsidRDefault="003F28EF" w:rsidP="00BD3B5E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765">
              <w:rPr>
                <w:b/>
                <w:bCs/>
                <w:color w:val="000000"/>
                <w:sz w:val="16"/>
                <w:szCs w:val="16"/>
              </w:rPr>
              <w:t>Instructions d</w:t>
            </w:r>
            <w:r w:rsidR="00774F14">
              <w:rPr>
                <w:b/>
                <w:bCs/>
                <w:color w:val="000000"/>
                <w:sz w:val="16"/>
                <w:szCs w:val="16"/>
              </w:rPr>
              <w:t>’</w:t>
            </w:r>
            <w:r w:rsidRPr="00B77765">
              <w:rPr>
                <w:b/>
                <w:bCs/>
                <w:color w:val="000000"/>
                <w:sz w:val="16"/>
                <w:szCs w:val="16"/>
              </w:rPr>
              <w:t>emballage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8EF" w:rsidRPr="00B77765" w:rsidRDefault="003F28EF" w:rsidP="00BD3B5E">
            <w:pPr>
              <w:spacing w:before="60" w:after="60" w:line="200" w:lineRule="exact"/>
              <w:ind w:left="-76" w:right="-7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765">
              <w:rPr>
                <w:b/>
                <w:bCs/>
                <w:color w:val="000000"/>
                <w:sz w:val="16"/>
                <w:szCs w:val="16"/>
              </w:rPr>
              <w:t>Dispositions spéciales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8EF" w:rsidRPr="00B77765" w:rsidRDefault="003F28EF" w:rsidP="00BD3B5E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765">
              <w:rPr>
                <w:b/>
                <w:bCs/>
                <w:color w:val="000000"/>
                <w:sz w:val="16"/>
                <w:szCs w:val="16"/>
              </w:rPr>
              <w:t>Instruc-tions de transport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8EF" w:rsidRPr="00B77765" w:rsidRDefault="003F28EF" w:rsidP="00BD3B5E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765">
              <w:rPr>
                <w:b/>
                <w:bCs/>
                <w:color w:val="000000"/>
                <w:sz w:val="16"/>
                <w:szCs w:val="16"/>
              </w:rPr>
              <w:t>Disposi-tions spéciales</w:t>
            </w:r>
          </w:p>
        </w:tc>
      </w:tr>
      <w:tr w:rsidR="003F28EF" w:rsidRPr="00B77765" w:rsidTr="00BD3B5E">
        <w:trPr>
          <w:trHeight w:val="20"/>
          <w:tblHeader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8EF" w:rsidRPr="00B77765" w:rsidRDefault="003F28EF" w:rsidP="00BD3B5E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765">
              <w:rPr>
                <w:b/>
                <w:bCs/>
                <w:color w:val="000000"/>
                <w:sz w:val="16"/>
                <w:szCs w:val="16"/>
              </w:rPr>
              <w:t>(1)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8EF" w:rsidRPr="00B77765" w:rsidRDefault="003F28EF" w:rsidP="00BD3B5E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765">
              <w:rPr>
                <w:b/>
                <w:b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8EF" w:rsidRPr="00B77765" w:rsidRDefault="003F28EF" w:rsidP="00BD3B5E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765">
              <w:rPr>
                <w:b/>
                <w:bCs/>
                <w:color w:val="000000"/>
                <w:sz w:val="16"/>
                <w:szCs w:val="16"/>
              </w:rPr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8EF" w:rsidRPr="00B77765" w:rsidRDefault="003F28EF" w:rsidP="00BD3B5E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765">
              <w:rPr>
                <w:b/>
                <w:bCs/>
                <w:color w:val="000000"/>
                <w:sz w:val="16"/>
                <w:szCs w:val="16"/>
              </w:rPr>
              <w:t>(4)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8EF" w:rsidRPr="00B77765" w:rsidRDefault="003F28EF" w:rsidP="00BD3B5E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765">
              <w:rPr>
                <w:b/>
                <w:bCs/>
                <w:color w:val="000000"/>
                <w:sz w:val="16"/>
                <w:szCs w:val="16"/>
              </w:rPr>
              <w:t>(5)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8EF" w:rsidRPr="00B77765" w:rsidRDefault="003F28EF" w:rsidP="00BD3B5E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765">
              <w:rPr>
                <w:b/>
                <w:bCs/>
                <w:color w:val="000000"/>
                <w:sz w:val="16"/>
                <w:szCs w:val="16"/>
              </w:rPr>
              <w:t>(6)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8EF" w:rsidRPr="00B77765" w:rsidRDefault="003F28EF" w:rsidP="00BD3B5E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765">
              <w:rPr>
                <w:b/>
                <w:bCs/>
                <w:color w:val="000000"/>
                <w:sz w:val="16"/>
                <w:szCs w:val="16"/>
              </w:rPr>
              <w:t>(7a)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8EF" w:rsidRPr="00B77765" w:rsidRDefault="003F28EF" w:rsidP="00BD3B5E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765">
              <w:rPr>
                <w:b/>
                <w:bCs/>
                <w:color w:val="000000"/>
                <w:sz w:val="16"/>
                <w:szCs w:val="16"/>
              </w:rPr>
              <w:t>(7b)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8EF" w:rsidRPr="00B77765" w:rsidRDefault="003F28EF" w:rsidP="00BD3B5E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765">
              <w:rPr>
                <w:b/>
                <w:bCs/>
                <w:color w:val="000000"/>
                <w:sz w:val="16"/>
                <w:szCs w:val="16"/>
              </w:rPr>
              <w:t>(8)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8EF" w:rsidRPr="00B77765" w:rsidRDefault="003F28EF" w:rsidP="00BD3B5E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765">
              <w:rPr>
                <w:b/>
                <w:bCs/>
                <w:color w:val="000000"/>
                <w:sz w:val="16"/>
                <w:szCs w:val="16"/>
              </w:rPr>
              <w:t>(9)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8EF" w:rsidRPr="00B77765" w:rsidRDefault="003F28EF" w:rsidP="00BD3B5E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765">
              <w:rPr>
                <w:b/>
                <w:bCs/>
                <w:color w:val="000000"/>
                <w:sz w:val="16"/>
                <w:szCs w:val="16"/>
              </w:rPr>
              <w:t>(10)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8EF" w:rsidRPr="00B77765" w:rsidRDefault="003F28EF" w:rsidP="00BD3B5E">
            <w:pPr>
              <w:spacing w:before="60" w:after="60" w:line="200" w:lineRule="exac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765">
              <w:rPr>
                <w:b/>
                <w:bCs/>
                <w:color w:val="000000"/>
                <w:sz w:val="16"/>
                <w:szCs w:val="16"/>
              </w:rPr>
              <w:t>(11)</w:t>
            </w:r>
          </w:p>
        </w:tc>
      </w:tr>
      <w:tr w:rsidR="003F28EF" w:rsidRPr="00B77765" w:rsidTr="00BD3B5E">
        <w:trPr>
          <w:trHeight w:val="2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8EF" w:rsidRPr="00B77765" w:rsidRDefault="003F28EF" w:rsidP="00BD3B5E">
            <w:pPr>
              <w:spacing w:before="60" w:after="60" w:line="200" w:lineRule="atLeast"/>
              <w:jc w:val="center"/>
              <w:rPr>
                <w:sz w:val="16"/>
                <w:szCs w:val="16"/>
              </w:rPr>
            </w:pPr>
            <w:r w:rsidRPr="00B77765">
              <w:rPr>
                <w:sz w:val="16"/>
                <w:szCs w:val="16"/>
              </w:rPr>
              <w:t>35AB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8EF" w:rsidRPr="00B77765" w:rsidRDefault="003F28EF" w:rsidP="00CC24AC">
            <w:pPr>
              <w:spacing w:before="60" w:after="60" w:line="200" w:lineRule="atLeast"/>
              <w:rPr>
                <w:sz w:val="16"/>
                <w:szCs w:val="16"/>
              </w:rPr>
            </w:pPr>
            <w:r w:rsidRPr="00B77765">
              <w:rPr>
                <w:sz w:val="16"/>
                <w:szCs w:val="16"/>
              </w:rPr>
              <w:t>SYSTÈME D</w:t>
            </w:r>
            <w:r w:rsidR="00774F14">
              <w:rPr>
                <w:sz w:val="16"/>
                <w:szCs w:val="16"/>
              </w:rPr>
              <w:t>’</w:t>
            </w:r>
            <w:r w:rsidRPr="00B77765">
              <w:rPr>
                <w:sz w:val="16"/>
                <w:szCs w:val="16"/>
              </w:rPr>
              <w:t>ALIMENTATION ÉLECTRIQUE TRANSPORTABLE, constitué de</w:t>
            </w:r>
            <w:r w:rsidR="00CC24AC" w:rsidRPr="00B77765">
              <w:rPr>
                <w:sz w:val="16"/>
                <w:szCs w:val="16"/>
              </w:rPr>
              <w:t> </w:t>
            </w:r>
            <w:r w:rsidRPr="00B77765">
              <w:rPr>
                <w:sz w:val="16"/>
                <w:szCs w:val="16"/>
              </w:rPr>
              <w:t>batteries d</w:t>
            </w:r>
            <w:r w:rsidR="00774F14">
              <w:rPr>
                <w:sz w:val="16"/>
                <w:szCs w:val="16"/>
              </w:rPr>
              <w:t>’</w:t>
            </w:r>
            <w:r w:rsidRPr="00B77765">
              <w:rPr>
                <w:sz w:val="16"/>
                <w:szCs w:val="16"/>
              </w:rPr>
              <w:t>accumulateurs au</w:t>
            </w:r>
            <w:r w:rsidR="00CC24AC" w:rsidRPr="00B77765">
              <w:rPr>
                <w:sz w:val="16"/>
                <w:szCs w:val="16"/>
              </w:rPr>
              <w:t> </w:t>
            </w:r>
            <w:r w:rsidRPr="00B77765">
              <w:rPr>
                <w:sz w:val="16"/>
                <w:szCs w:val="16"/>
              </w:rPr>
              <w:t>lithium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8EF" w:rsidRPr="00B77765" w:rsidRDefault="003F28EF" w:rsidP="00BD3B5E">
            <w:pPr>
              <w:spacing w:before="60" w:after="60" w:line="200" w:lineRule="atLeast"/>
              <w:jc w:val="center"/>
              <w:rPr>
                <w:sz w:val="16"/>
                <w:szCs w:val="16"/>
              </w:rPr>
            </w:pPr>
            <w:r w:rsidRPr="00B77765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8EF" w:rsidRPr="00B77765" w:rsidRDefault="003F28EF" w:rsidP="00BD3B5E">
            <w:pPr>
              <w:spacing w:before="60" w:after="60" w:line="200" w:lineRule="atLeast"/>
              <w:jc w:val="center"/>
              <w:rPr>
                <w:sz w:val="16"/>
                <w:szCs w:val="16"/>
              </w:rPr>
            </w:pPr>
            <w:r w:rsidRPr="00B77765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8EF" w:rsidRPr="00B77765" w:rsidRDefault="003F28EF" w:rsidP="00BD3B5E">
            <w:pPr>
              <w:spacing w:before="60" w:after="60" w:line="200" w:lineRule="atLeast"/>
              <w:jc w:val="center"/>
              <w:rPr>
                <w:sz w:val="16"/>
                <w:szCs w:val="16"/>
              </w:rPr>
            </w:pPr>
            <w:r w:rsidRPr="00B77765">
              <w:rPr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8EF" w:rsidRPr="00B77765" w:rsidRDefault="003F28EF" w:rsidP="00BD3B5E">
            <w:pPr>
              <w:spacing w:before="60" w:after="60" w:line="200" w:lineRule="atLeast"/>
              <w:jc w:val="center"/>
              <w:rPr>
                <w:sz w:val="16"/>
                <w:szCs w:val="16"/>
              </w:rPr>
            </w:pPr>
            <w:r w:rsidRPr="00B77765">
              <w:rPr>
                <w:sz w:val="16"/>
                <w:szCs w:val="16"/>
              </w:rPr>
              <w:t>XXX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8EF" w:rsidRPr="00B77765" w:rsidRDefault="003F28EF" w:rsidP="003F28EF">
            <w:pPr>
              <w:spacing w:before="60" w:after="60" w:line="200" w:lineRule="atLeast"/>
              <w:jc w:val="center"/>
              <w:rPr>
                <w:sz w:val="16"/>
                <w:szCs w:val="16"/>
              </w:rPr>
            </w:pPr>
            <w:r w:rsidRPr="00B77765">
              <w:rPr>
                <w:sz w:val="16"/>
                <w:szCs w:val="16"/>
              </w:rPr>
              <w:t>E0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8EF" w:rsidRPr="00B77765" w:rsidRDefault="003F28EF" w:rsidP="00BD3B5E">
            <w:pPr>
              <w:spacing w:before="60" w:after="60" w:line="200" w:lineRule="atLeast"/>
              <w:jc w:val="center"/>
              <w:rPr>
                <w:sz w:val="16"/>
                <w:szCs w:val="16"/>
              </w:rPr>
            </w:pPr>
            <w:r w:rsidRPr="00B77765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8EF" w:rsidRPr="00B77765" w:rsidRDefault="003F28EF" w:rsidP="00BD3B5E">
            <w:pPr>
              <w:spacing w:before="60" w:after="60" w:line="200" w:lineRule="atLeast"/>
              <w:jc w:val="center"/>
              <w:rPr>
                <w:sz w:val="16"/>
                <w:szCs w:val="16"/>
              </w:rPr>
            </w:pPr>
            <w:r w:rsidRPr="00B77765">
              <w:rPr>
                <w:sz w:val="16"/>
                <w:szCs w:val="16"/>
              </w:rPr>
              <w:t>AUCUNE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8EF" w:rsidRPr="00B77765" w:rsidRDefault="003F28EF" w:rsidP="00BD3B5E">
            <w:pPr>
              <w:spacing w:before="60" w:after="60" w:line="2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8EF" w:rsidRPr="00B77765" w:rsidRDefault="003F28EF" w:rsidP="00BD3B5E">
            <w:pPr>
              <w:spacing w:before="60" w:after="60" w:line="200" w:lineRule="atLeast"/>
              <w:jc w:val="center"/>
              <w:rPr>
                <w:sz w:val="16"/>
                <w:szCs w:val="16"/>
              </w:rPr>
            </w:pPr>
            <w:r w:rsidRPr="00B77765">
              <w:rPr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F28EF" w:rsidRPr="00B77765" w:rsidRDefault="003F28EF" w:rsidP="00BD3B5E">
            <w:pPr>
              <w:spacing w:before="60" w:after="60" w:line="200" w:lineRule="atLeast"/>
              <w:jc w:val="center"/>
              <w:rPr>
                <w:sz w:val="16"/>
                <w:szCs w:val="16"/>
              </w:rPr>
            </w:pPr>
            <w:r w:rsidRPr="00B77765">
              <w:rPr>
                <w:sz w:val="16"/>
                <w:szCs w:val="16"/>
              </w:rPr>
              <w:t> </w:t>
            </w:r>
          </w:p>
        </w:tc>
      </w:tr>
    </w:tbl>
    <w:p w:rsidR="00B77765" w:rsidRPr="00B77765" w:rsidRDefault="00B77765" w:rsidP="00B77765">
      <w:pPr>
        <w:kinsoku/>
        <w:overflowPunct/>
        <w:autoSpaceDE/>
        <w:autoSpaceDN/>
        <w:adjustRightInd/>
        <w:snapToGrid/>
        <w:spacing w:before="240" w:after="120" w:line="360" w:lineRule="auto"/>
        <w:ind w:left="1134" w:right="1134"/>
      </w:pPr>
      <w:r w:rsidRPr="00B77765">
        <w:t>7.</w:t>
      </w:r>
      <w:r w:rsidRPr="00B77765">
        <w:tab/>
        <w:t>Au chapitre 3.3, ajouter une nouvelle disposition spéciale XXX libellée comme suit :</w:t>
      </w:r>
    </w:p>
    <w:p w:rsidR="003F28EF" w:rsidRPr="00B77765" w:rsidRDefault="00B77765" w:rsidP="00B77765">
      <w:pPr>
        <w:pStyle w:val="SingleTxtG"/>
        <w:ind w:left="1701"/>
      </w:pPr>
      <w:r w:rsidRPr="00B77765">
        <w:t>« XXX Le transport des accumulateurs au lithium-ion et au lithium-métal répondant aux prescriptions du 2.9.4 a) à e) est autorisé lorsqu</w:t>
      </w:r>
      <w:r w:rsidR="00774F14">
        <w:t>’</w:t>
      </w:r>
      <w:r w:rsidRPr="00B77765">
        <w:t>ils sont installés dans un engin de transport fermé (par exemple, un conteneur ou un véhicule de transport de marchandises) de façon à constituer un système d</w:t>
      </w:r>
      <w:r w:rsidR="00774F14">
        <w:t>’</w:t>
      </w:r>
      <w:r w:rsidRPr="00B77765">
        <w:t>alimentation électrique transportable. À l</w:t>
      </w:r>
      <w:r w:rsidR="00774F14">
        <w:t>’</w:t>
      </w:r>
      <w:r w:rsidRPr="00B77765">
        <w:t>intérieur de l</w:t>
      </w:r>
      <w:r w:rsidR="00774F14">
        <w:t>’</w:t>
      </w:r>
      <w:r w:rsidRPr="00B77765">
        <w:t>engin de transport fermé, les batteries d</w:t>
      </w:r>
      <w:r w:rsidR="00774F14">
        <w:t>’</w:t>
      </w:r>
      <w:r w:rsidRPr="00B77765">
        <w:t>accumulateurs et les accumulateurs qui les composent doivent être arrimés (par exemple sur des étagères ou dans des armoires) de manière à empêcher tout court</w:t>
      </w:r>
      <w:r w:rsidRPr="00B77765">
        <w:noBreakHyphen/>
        <w:t>circuit, tout fonctionnement accidentel ou tout mouvement significatif lorsque l</w:t>
      </w:r>
      <w:r w:rsidR="00774F14">
        <w:t>’</w:t>
      </w:r>
      <w:r w:rsidRPr="00B77765">
        <w:t>engin de transport fermé subit des chocs, est manutentionné, ou est soumis à des vibrations inhérentes au transport. Lorsqu</w:t>
      </w:r>
      <w:r w:rsidR="00774F14">
        <w:t>’</w:t>
      </w:r>
      <w:r w:rsidRPr="00B77765">
        <w:t>elles servent à assurer la sécurité et le bon fonctionnement d</w:t>
      </w:r>
      <w:r w:rsidR="00774F14">
        <w:t>’</w:t>
      </w:r>
      <w:r w:rsidRPr="00B77765">
        <w:t>installations de lutte contre l</w:t>
      </w:r>
      <w:r w:rsidR="00774F14">
        <w:t>’</w:t>
      </w:r>
      <w:r w:rsidRPr="00B77765">
        <w:t>incendie et de systèmes de climatisation, les marchandises dangereuses à bord d</w:t>
      </w:r>
      <w:r w:rsidR="00774F14">
        <w:t>’</w:t>
      </w:r>
      <w:r w:rsidRPr="00B77765">
        <w:t>engins de transport fermés doivent y être correctement fixées ou installées et ne sont donc pas visées par le Règlement.</w:t>
      </w:r>
      <w:r>
        <w:t> ».</w:t>
      </w:r>
    </w:p>
    <w:p w:rsidR="0022753F" w:rsidRPr="00B77765" w:rsidRDefault="00B77765" w:rsidP="00B7776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2753F" w:rsidRPr="00B77765" w:rsidSect="0077105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3D" w:rsidRDefault="00295B3D" w:rsidP="00F95C08">
      <w:pPr>
        <w:spacing w:line="240" w:lineRule="auto"/>
      </w:pPr>
    </w:p>
  </w:endnote>
  <w:endnote w:type="continuationSeparator" w:id="0">
    <w:p w:rsidR="00295B3D" w:rsidRPr="00AC3823" w:rsidRDefault="00295B3D" w:rsidP="00AC3823">
      <w:pPr>
        <w:pStyle w:val="Footer"/>
      </w:pPr>
    </w:p>
  </w:endnote>
  <w:endnote w:type="continuationNotice" w:id="1">
    <w:p w:rsidR="00295B3D" w:rsidRDefault="00295B3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54" w:rsidRPr="00771054" w:rsidRDefault="00771054" w:rsidP="00771054">
    <w:pPr>
      <w:pStyle w:val="Footer"/>
      <w:tabs>
        <w:tab w:val="right" w:pos="9638"/>
      </w:tabs>
    </w:pPr>
    <w:r w:rsidRPr="00771054">
      <w:rPr>
        <w:b/>
        <w:sz w:val="18"/>
      </w:rPr>
      <w:fldChar w:fldCharType="begin"/>
    </w:r>
    <w:r w:rsidRPr="00771054">
      <w:rPr>
        <w:b/>
        <w:sz w:val="18"/>
      </w:rPr>
      <w:instrText xml:space="preserve"> PAGE  \* MERGEFORMAT </w:instrText>
    </w:r>
    <w:r w:rsidRPr="00771054">
      <w:rPr>
        <w:b/>
        <w:sz w:val="18"/>
      </w:rPr>
      <w:fldChar w:fldCharType="separate"/>
    </w:r>
    <w:r w:rsidR="000950E6">
      <w:rPr>
        <w:b/>
        <w:noProof/>
        <w:sz w:val="18"/>
      </w:rPr>
      <w:t>2</w:t>
    </w:r>
    <w:r w:rsidRPr="00771054">
      <w:rPr>
        <w:b/>
        <w:sz w:val="18"/>
      </w:rPr>
      <w:fldChar w:fldCharType="end"/>
    </w:r>
    <w:r>
      <w:rPr>
        <w:b/>
        <w:sz w:val="18"/>
      </w:rPr>
      <w:tab/>
    </w:r>
    <w:r>
      <w:t>GE.16-05854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54" w:rsidRPr="00771054" w:rsidRDefault="00771054" w:rsidP="00771054">
    <w:pPr>
      <w:pStyle w:val="Footer"/>
      <w:tabs>
        <w:tab w:val="right" w:pos="9638"/>
      </w:tabs>
      <w:rPr>
        <w:b/>
        <w:sz w:val="18"/>
      </w:rPr>
    </w:pPr>
    <w:r>
      <w:t>GE.16-05854</w:t>
    </w:r>
    <w:r>
      <w:tab/>
    </w:r>
    <w:r w:rsidRPr="00771054">
      <w:rPr>
        <w:b/>
        <w:sz w:val="18"/>
      </w:rPr>
      <w:fldChar w:fldCharType="begin"/>
    </w:r>
    <w:r w:rsidRPr="00771054">
      <w:rPr>
        <w:b/>
        <w:sz w:val="18"/>
      </w:rPr>
      <w:instrText xml:space="preserve"> PAGE  \* MERGEFORMAT </w:instrText>
    </w:r>
    <w:r w:rsidRPr="00771054">
      <w:rPr>
        <w:b/>
        <w:sz w:val="18"/>
      </w:rPr>
      <w:fldChar w:fldCharType="separate"/>
    </w:r>
    <w:r w:rsidR="000950E6">
      <w:rPr>
        <w:b/>
        <w:noProof/>
        <w:sz w:val="18"/>
      </w:rPr>
      <w:t>3</w:t>
    </w:r>
    <w:r w:rsidRPr="0077105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771054" w:rsidRDefault="00771054" w:rsidP="00771054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42191CEA" wp14:editId="58771A7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16-05854  (F)</w:t>
    </w:r>
    <w:r w:rsidR="009C55B7">
      <w:rPr>
        <w:sz w:val="20"/>
      </w:rPr>
      <w:t xml:space="preserve">    180516    190516</w:t>
    </w:r>
    <w:r>
      <w:rPr>
        <w:sz w:val="20"/>
      </w:rPr>
      <w:br/>
    </w:r>
    <w:r w:rsidRPr="00771054">
      <w:rPr>
        <w:rFonts w:ascii="C39T30Lfz" w:hAnsi="C39T30Lfz"/>
        <w:sz w:val="56"/>
      </w:rPr>
      <w:t></w:t>
    </w:r>
    <w:r w:rsidRPr="00771054">
      <w:rPr>
        <w:rFonts w:ascii="C39T30Lfz" w:hAnsi="C39T30Lfz"/>
        <w:sz w:val="56"/>
      </w:rPr>
      <w:t></w:t>
    </w:r>
    <w:r w:rsidRPr="00771054">
      <w:rPr>
        <w:rFonts w:ascii="C39T30Lfz" w:hAnsi="C39T30Lfz"/>
        <w:sz w:val="56"/>
      </w:rPr>
      <w:t></w:t>
    </w:r>
    <w:r w:rsidRPr="00771054">
      <w:rPr>
        <w:rFonts w:ascii="C39T30Lfz" w:hAnsi="C39T30Lfz"/>
        <w:sz w:val="56"/>
      </w:rPr>
      <w:t></w:t>
    </w:r>
    <w:r w:rsidRPr="00771054">
      <w:rPr>
        <w:rFonts w:ascii="C39T30Lfz" w:hAnsi="C39T30Lfz"/>
        <w:sz w:val="56"/>
      </w:rPr>
      <w:t></w:t>
    </w:r>
    <w:r w:rsidRPr="00771054">
      <w:rPr>
        <w:rFonts w:ascii="C39T30Lfz" w:hAnsi="C39T30Lfz"/>
        <w:sz w:val="56"/>
      </w:rPr>
      <w:t></w:t>
    </w:r>
    <w:r w:rsidRPr="00771054">
      <w:rPr>
        <w:rFonts w:ascii="C39T30Lfz" w:hAnsi="C39T30Lfz"/>
        <w:sz w:val="56"/>
      </w:rPr>
      <w:t></w:t>
    </w:r>
    <w:r w:rsidRPr="00771054">
      <w:rPr>
        <w:rFonts w:ascii="C39T30Lfz" w:hAnsi="C39T30Lfz"/>
        <w:sz w:val="56"/>
      </w:rPr>
      <w:t></w:t>
    </w:r>
    <w:r w:rsidRPr="00771054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ST/SG/AC.10/C.3/2016/4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ST/SG/AC.10/C.3/2016/4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3D" w:rsidRPr="00AC3823" w:rsidRDefault="00295B3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95B3D" w:rsidRPr="00AC3823" w:rsidRDefault="00295B3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95B3D" w:rsidRPr="00AC3823" w:rsidRDefault="00295B3D">
      <w:pPr>
        <w:spacing w:line="240" w:lineRule="auto"/>
        <w:rPr>
          <w:sz w:val="2"/>
          <w:szCs w:val="2"/>
        </w:rPr>
      </w:pPr>
    </w:p>
  </w:footnote>
  <w:footnote w:id="2">
    <w:p w:rsidR="005442F6" w:rsidRPr="001C641A" w:rsidRDefault="005442F6" w:rsidP="005442F6">
      <w:pPr>
        <w:pStyle w:val="FootnoteText"/>
      </w:pPr>
      <w:r>
        <w:rPr>
          <w:lang w:val="fr-FR"/>
        </w:rPr>
        <w:tab/>
      </w:r>
      <w:r w:rsidRPr="005442F6">
        <w:rPr>
          <w:rStyle w:val="FootnoteReference"/>
        </w:rPr>
        <w:footnoteRef/>
      </w:r>
      <w:r>
        <w:rPr>
          <w:lang w:val="fr-FR"/>
        </w:rPr>
        <w:tab/>
        <w:t>Conformément au programme de travail du Sous-Comité pour la période 2015-2016 adopté par le Comité à sa septième session (voir ST/SG/AC.10/C.3/92, par. 95, et ST/SG/AC.10/42, par. 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54" w:rsidRPr="00771054" w:rsidRDefault="00771054">
    <w:pPr>
      <w:pStyle w:val="Header"/>
    </w:pPr>
    <w:r>
      <w:t>ST/SG/AC.10/C.3/2016/41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54" w:rsidRPr="00771054" w:rsidRDefault="00771054" w:rsidP="00771054">
    <w:pPr>
      <w:pStyle w:val="Header"/>
      <w:jc w:val="right"/>
    </w:pPr>
    <w:r>
      <w:t>ST/SG/AC.10/C.3/2016/41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51BB6"/>
    <w:multiLevelType w:val="hybridMultilevel"/>
    <w:tmpl w:val="0A5CCCFA"/>
    <w:lvl w:ilvl="0" w:tplc="12CA4BD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599C7572"/>
    <w:multiLevelType w:val="hybridMultilevel"/>
    <w:tmpl w:val="D8E8BF3E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3D"/>
    <w:rsid w:val="00017F94"/>
    <w:rsid w:val="00023842"/>
    <w:rsid w:val="000305D3"/>
    <w:rsid w:val="000334F9"/>
    <w:rsid w:val="0007796D"/>
    <w:rsid w:val="000950E6"/>
    <w:rsid w:val="000B7790"/>
    <w:rsid w:val="000F7061"/>
    <w:rsid w:val="00111F2F"/>
    <w:rsid w:val="00132EA9"/>
    <w:rsid w:val="0014365E"/>
    <w:rsid w:val="00176178"/>
    <w:rsid w:val="0018165A"/>
    <w:rsid w:val="001F525A"/>
    <w:rsid w:val="00223272"/>
    <w:rsid w:val="0022753F"/>
    <w:rsid w:val="00233841"/>
    <w:rsid w:val="0024779E"/>
    <w:rsid w:val="00283190"/>
    <w:rsid w:val="002832AC"/>
    <w:rsid w:val="00295B3D"/>
    <w:rsid w:val="002D7C93"/>
    <w:rsid w:val="003F28EF"/>
    <w:rsid w:val="00420914"/>
    <w:rsid w:val="00441C3B"/>
    <w:rsid w:val="00446FE5"/>
    <w:rsid w:val="00452396"/>
    <w:rsid w:val="00456F7E"/>
    <w:rsid w:val="0048748B"/>
    <w:rsid w:val="004E468C"/>
    <w:rsid w:val="005442F6"/>
    <w:rsid w:val="005505B7"/>
    <w:rsid w:val="00573BE5"/>
    <w:rsid w:val="00574037"/>
    <w:rsid w:val="00586ED3"/>
    <w:rsid w:val="00596275"/>
    <w:rsid w:val="00596AA9"/>
    <w:rsid w:val="0068456F"/>
    <w:rsid w:val="0071601D"/>
    <w:rsid w:val="00771054"/>
    <w:rsid w:val="00774F14"/>
    <w:rsid w:val="007A62E6"/>
    <w:rsid w:val="0080684C"/>
    <w:rsid w:val="00871C75"/>
    <w:rsid w:val="008776DC"/>
    <w:rsid w:val="00920A7D"/>
    <w:rsid w:val="009705C8"/>
    <w:rsid w:val="009C1CF4"/>
    <w:rsid w:val="009C50EB"/>
    <w:rsid w:val="009C55B7"/>
    <w:rsid w:val="00A30353"/>
    <w:rsid w:val="00A67DA6"/>
    <w:rsid w:val="00AC3823"/>
    <w:rsid w:val="00AC6D19"/>
    <w:rsid w:val="00AE323C"/>
    <w:rsid w:val="00B00181"/>
    <w:rsid w:val="00B00B0D"/>
    <w:rsid w:val="00B765F7"/>
    <w:rsid w:val="00B77765"/>
    <w:rsid w:val="00BA0CA9"/>
    <w:rsid w:val="00C02897"/>
    <w:rsid w:val="00CC24AC"/>
    <w:rsid w:val="00D3439C"/>
    <w:rsid w:val="00DB1831"/>
    <w:rsid w:val="00DD3BFD"/>
    <w:rsid w:val="00DF6678"/>
    <w:rsid w:val="00E37E0B"/>
    <w:rsid w:val="00E97B5E"/>
    <w:rsid w:val="00EF2E22"/>
    <w:rsid w:val="00F660DF"/>
    <w:rsid w:val="00F730C8"/>
    <w:rsid w:val="00F94C87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ST/SG/AC.10/C.3/2016/41</vt:lpstr>
      <vt:lpstr>ST/SG/AC.10/C.3/2016/41</vt:lpstr>
    </vt:vector>
  </TitlesOfParts>
  <Company>DCM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ST/SG/AC.10/C.3/2016/41</dc:title>
  <dc:creator>Robert Corinne</dc:creator>
  <cp:lastModifiedBy>Laurence Berthet</cp:lastModifiedBy>
  <cp:revision>2</cp:revision>
  <cp:lastPrinted>2016-05-19T13:28:00Z</cp:lastPrinted>
  <dcterms:created xsi:type="dcterms:W3CDTF">2016-05-19T13:31:00Z</dcterms:created>
  <dcterms:modified xsi:type="dcterms:W3CDTF">2016-05-19T13:31:00Z</dcterms:modified>
</cp:coreProperties>
</file>