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A32D41">
        <w:trPr>
          <w:trHeight w:val="851"/>
        </w:trPr>
        <w:tc>
          <w:tcPr>
            <w:tcW w:w="1259" w:type="dxa"/>
            <w:tcBorders>
              <w:top w:val="nil"/>
              <w:left w:val="nil"/>
              <w:bottom w:val="single" w:sz="4" w:space="0" w:color="auto"/>
              <w:right w:val="nil"/>
            </w:tcBorders>
          </w:tcPr>
          <w:p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9461DD" w:rsidP="000878C4">
            <w:pPr>
              <w:jc w:val="right"/>
            </w:pPr>
            <w:r w:rsidRPr="00A32D41">
              <w:rPr>
                <w:sz w:val="40"/>
              </w:rPr>
              <w:t>ST</w:t>
            </w:r>
            <w:r w:rsidR="003466AC">
              <w:t>/</w:t>
            </w:r>
            <w:r>
              <w:t>SG</w:t>
            </w:r>
            <w:r w:rsidR="003466AC">
              <w:t>/</w:t>
            </w:r>
            <w:r>
              <w:t>AC.10/C</w:t>
            </w:r>
            <w:r w:rsidR="003466AC">
              <w:t>.3/</w:t>
            </w:r>
            <w:r w:rsidR="00BD10E7">
              <w:t>201</w:t>
            </w:r>
            <w:r w:rsidR="005279D0">
              <w:t>6</w:t>
            </w:r>
            <w:r w:rsidR="003466AC">
              <w:t>/</w:t>
            </w:r>
            <w:r w:rsidR="002C0818">
              <w:t>3</w:t>
            </w:r>
            <w:r w:rsidR="000878C4">
              <w:t>8</w:t>
            </w:r>
          </w:p>
        </w:tc>
      </w:tr>
      <w:tr w:rsidR="003107FA" w:rsidRPr="006500BA" w:rsidTr="00A32D41">
        <w:trPr>
          <w:trHeight w:val="2835"/>
        </w:trPr>
        <w:tc>
          <w:tcPr>
            <w:tcW w:w="1259" w:type="dxa"/>
            <w:tcBorders>
              <w:top w:val="single" w:sz="4" w:space="0" w:color="auto"/>
              <w:left w:val="nil"/>
              <w:bottom w:val="single" w:sz="12" w:space="0" w:color="auto"/>
              <w:right w:val="nil"/>
            </w:tcBorders>
          </w:tcPr>
          <w:p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rsidR="003466AC" w:rsidRDefault="003466AC" w:rsidP="00A32D41">
            <w:pPr>
              <w:spacing w:before="240" w:line="240" w:lineRule="exact"/>
            </w:pPr>
            <w:r>
              <w:t>Distr.: General</w:t>
            </w:r>
          </w:p>
          <w:p w:rsidR="003466AC" w:rsidRDefault="002C0818" w:rsidP="00A32D41">
            <w:pPr>
              <w:spacing w:line="240" w:lineRule="exact"/>
            </w:pPr>
            <w:r>
              <w:t>4</w:t>
            </w:r>
            <w:r w:rsidR="000E0662">
              <w:t xml:space="preserve"> </w:t>
            </w:r>
            <w:r w:rsidR="00A22FD5">
              <w:t>April</w:t>
            </w:r>
            <w:r w:rsidR="00B757DF">
              <w:t xml:space="preserve"> </w:t>
            </w:r>
            <w:r w:rsidR="00230AFE">
              <w:t>201</w:t>
            </w:r>
            <w:r w:rsidR="00870CE1">
              <w:t>6</w:t>
            </w:r>
          </w:p>
          <w:p w:rsidR="003466AC" w:rsidRDefault="003466AC" w:rsidP="00A32D41">
            <w:pPr>
              <w:spacing w:line="240" w:lineRule="exact"/>
            </w:pPr>
          </w:p>
          <w:p w:rsidR="003107FA" w:rsidRPr="006500BA" w:rsidRDefault="003466AC" w:rsidP="00A32D41">
            <w:pPr>
              <w:spacing w:line="240" w:lineRule="exact"/>
            </w:pPr>
            <w:r>
              <w:t>Original: English</w:t>
            </w:r>
          </w:p>
        </w:tc>
      </w:tr>
    </w:tbl>
    <w:p w:rsidR="00D35506" w:rsidRDefault="009F0F06" w:rsidP="005176C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041765" w:rsidRDefault="00041765" w:rsidP="00041765">
      <w:pPr>
        <w:spacing w:before="120"/>
        <w:rPr>
          <w:b/>
        </w:rPr>
      </w:pPr>
      <w:r w:rsidRPr="000216CC">
        <w:rPr>
          <w:b/>
        </w:rPr>
        <w:t>Sub-Committ</w:t>
      </w:r>
      <w:r w:rsidR="00A22FD5">
        <w:rPr>
          <w:b/>
        </w:rPr>
        <w:t xml:space="preserve">ee of Experts on the Transport </w:t>
      </w:r>
      <w:r w:rsidRPr="000216CC">
        <w:rPr>
          <w:b/>
        </w:rPr>
        <w:t xml:space="preserve">of Dangerous Goods </w:t>
      </w:r>
    </w:p>
    <w:p w:rsidR="00041765" w:rsidRDefault="00041765" w:rsidP="005176CD">
      <w:pPr>
        <w:spacing w:before="120"/>
        <w:rPr>
          <w:b/>
        </w:rPr>
      </w:pPr>
      <w:r>
        <w:rPr>
          <w:b/>
        </w:rPr>
        <w:t xml:space="preserve">Forty-ninth </w:t>
      </w:r>
      <w:proofErr w:type="gramStart"/>
      <w:r>
        <w:rPr>
          <w:b/>
        </w:rPr>
        <w:t>session</w:t>
      </w:r>
      <w:proofErr w:type="gramEnd"/>
    </w:p>
    <w:p w:rsidR="00041765" w:rsidRPr="00A22A58" w:rsidRDefault="00041765" w:rsidP="00041765">
      <w:pPr>
        <w:rPr>
          <w:sz w:val="19"/>
          <w:szCs w:val="19"/>
          <w:lang w:val="en-US"/>
        </w:rPr>
      </w:pPr>
      <w:r w:rsidRPr="00A22A58">
        <w:rPr>
          <w:sz w:val="19"/>
          <w:szCs w:val="19"/>
          <w:lang w:val="en-US"/>
        </w:rPr>
        <w:t>Geneva, 27 June – 6 July 2016</w:t>
      </w:r>
    </w:p>
    <w:p w:rsidR="00041765" w:rsidRPr="0051274C" w:rsidRDefault="00041765" w:rsidP="00041765">
      <w:r w:rsidRPr="0051274C">
        <w:t xml:space="preserve">Item </w:t>
      </w:r>
      <w:r w:rsidR="00036D92">
        <w:t>6 (b)</w:t>
      </w:r>
      <w:r w:rsidRPr="0051274C">
        <w:t xml:space="preserve"> of the provisional agenda</w:t>
      </w:r>
    </w:p>
    <w:p w:rsidR="008C3CB0" w:rsidRPr="00036D92" w:rsidRDefault="00036D92" w:rsidP="00041765">
      <w:pPr>
        <w:rPr>
          <w:b/>
        </w:rPr>
      </w:pPr>
      <w:r w:rsidRPr="00036D92">
        <w:rPr>
          <w:b/>
        </w:rPr>
        <w:t>Miscellaneous proposals for amendments to the Model Regulations</w:t>
      </w:r>
      <w:r>
        <w:rPr>
          <w:b/>
        </w:rPr>
        <w:br/>
      </w:r>
      <w:r w:rsidRPr="00036D92">
        <w:rPr>
          <w:b/>
        </w:rPr>
        <w:t>on the Transport of Dangerous Goods</w:t>
      </w:r>
      <w:r>
        <w:rPr>
          <w:b/>
        </w:rPr>
        <w:t>: marking and labelling</w:t>
      </w:r>
    </w:p>
    <w:p w:rsidR="0046455D" w:rsidRPr="00A80BB6" w:rsidRDefault="0046455D" w:rsidP="0046455D">
      <w:pPr>
        <w:pStyle w:val="HChG"/>
      </w:pPr>
      <w:r>
        <w:rPr>
          <w:rFonts w:eastAsia="MS Mincho"/>
          <w:lang w:eastAsia="ja-JP"/>
        </w:rPr>
        <w:tab/>
      </w:r>
      <w:r>
        <w:rPr>
          <w:rFonts w:eastAsia="MS Mincho"/>
          <w:lang w:eastAsia="ja-JP"/>
        </w:rPr>
        <w:tab/>
      </w:r>
      <w:r w:rsidRPr="0046455D">
        <w:t>Hazard</w:t>
      </w:r>
      <w:r>
        <w:t xml:space="preserve"> </w:t>
      </w:r>
      <w:r w:rsidR="00036D92">
        <w:t>c</w:t>
      </w:r>
      <w:r>
        <w:t xml:space="preserve">ommunication Requirements for </w:t>
      </w:r>
      <w:r w:rsidR="00036D92">
        <w:t>b</w:t>
      </w:r>
      <w:r>
        <w:t xml:space="preserve">ulk </w:t>
      </w:r>
      <w:r w:rsidR="00036D92">
        <w:t>c</w:t>
      </w:r>
      <w:r w:rsidRPr="00A80BB6">
        <w:t>ontainers</w:t>
      </w:r>
    </w:p>
    <w:p w:rsidR="0046455D" w:rsidRPr="00A80BB6" w:rsidRDefault="0046455D" w:rsidP="0046455D">
      <w:pPr>
        <w:pStyle w:val="H1G"/>
      </w:pPr>
      <w:r w:rsidRPr="00A80BB6">
        <w:tab/>
      </w:r>
      <w:r w:rsidRPr="00A80BB6">
        <w:tab/>
        <w:t xml:space="preserve">Transmitted by the expert from </w:t>
      </w:r>
      <w:r w:rsidRPr="00A80BB6">
        <w:rPr>
          <w:bCs/>
        </w:rPr>
        <w:t>the United States of America</w:t>
      </w:r>
      <w:r>
        <w:rPr>
          <w:rStyle w:val="FootnoteReference"/>
          <w:bCs/>
        </w:rPr>
        <w:footnoteReference w:id="2"/>
      </w:r>
      <w:r w:rsidRPr="00A80BB6">
        <w:rPr>
          <w:bCs/>
        </w:rPr>
        <w:t xml:space="preserve"> </w:t>
      </w:r>
    </w:p>
    <w:p w:rsidR="0046455D" w:rsidRPr="00A80BB6" w:rsidRDefault="0046455D" w:rsidP="0046455D">
      <w:pPr>
        <w:keepNext/>
        <w:keepLines/>
        <w:tabs>
          <w:tab w:val="right" w:pos="851"/>
        </w:tabs>
        <w:spacing w:before="360" w:after="240" w:line="300" w:lineRule="exact"/>
        <w:ind w:left="1134" w:right="1134" w:hanging="1134"/>
        <w:rPr>
          <w:b/>
          <w:sz w:val="28"/>
        </w:rPr>
      </w:pPr>
      <w:r w:rsidRPr="00A80BB6">
        <w:rPr>
          <w:b/>
          <w:sz w:val="28"/>
        </w:rPr>
        <w:tab/>
      </w:r>
      <w:r w:rsidRPr="00A80BB6">
        <w:rPr>
          <w:b/>
          <w:sz w:val="28"/>
        </w:rPr>
        <w:tab/>
        <w:t>Introduction</w:t>
      </w:r>
    </w:p>
    <w:p w:rsidR="0046455D" w:rsidRPr="00A80BB6" w:rsidDel="00320A76" w:rsidRDefault="0046455D" w:rsidP="0046455D">
      <w:pPr>
        <w:pStyle w:val="SingleTxtG"/>
        <w:rPr>
          <w:lang w:val="x-none"/>
        </w:rPr>
      </w:pPr>
      <w:r w:rsidRPr="00A80BB6">
        <w:t>1.</w:t>
      </w:r>
      <w:r w:rsidRPr="00A80BB6">
        <w:tab/>
        <w:t xml:space="preserve">The secretariat reported in </w:t>
      </w:r>
      <w:r w:rsidR="00036D92">
        <w:t xml:space="preserve">informal document </w:t>
      </w:r>
      <w:r w:rsidRPr="00A80BB6">
        <w:t xml:space="preserve">INF.16 </w:t>
      </w:r>
      <w:r w:rsidR="00036D92">
        <w:t>(48</w:t>
      </w:r>
      <w:r w:rsidR="00036D92" w:rsidRPr="00036D92">
        <w:rPr>
          <w:vertAlign w:val="superscript"/>
        </w:rPr>
        <w:t>th</w:t>
      </w:r>
      <w:r w:rsidR="00036D92">
        <w:t xml:space="preserve"> session) </w:t>
      </w:r>
      <w:r w:rsidRPr="00A80BB6">
        <w:t xml:space="preserve">that the recent implementation of provisions for the transportation of dangerous goods in Flexible Bulk Containers (FBC’s) had led to questions as to whether bulk containers not meeting the definition of cargo transport units should be labelled as a package or be subject to the provisions of Chapter 5.3 on placarding and marking.  The Sub-Committee discussed the issue at the 48th session, and as noted in the report, concluded that bulk containers that did not meet the definition of cargo transport units, including FBCs, are subject to the provisions of Chapter 5.3 and that a clarification was warranted.  </w:t>
      </w:r>
    </w:p>
    <w:p w:rsidR="0046455D" w:rsidRPr="00A80BB6" w:rsidRDefault="0046455D" w:rsidP="0046455D">
      <w:pPr>
        <w:pStyle w:val="HChG"/>
      </w:pPr>
      <w:r w:rsidRPr="00A80BB6">
        <w:tab/>
      </w:r>
      <w:r w:rsidRPr="00A80BB6">
        <w:tab/>
        <w:t>Discussion</w:t>
      </w:r>
    </w:p>
    <w:p w:rsidR="0046455D" w:rsidRPr="00A80BB6" w:rsidRDefault="0046455D" w:rsidP="0046455D">
      <w:pPr>
        <w:pStyle w:val="SingleTxtG"/>
      </w:pPr>
      <w:r>
        <w:t>2.</w:t>
      </w:r>
      <w:r>
        <w:tab/>
      </w:r>
      <w:r w:rsidRPr="00A80BB6">
        <w:t xml:space="preserve">The view of the Sub-Committee that flexible bulk containers are subject to the placarding and marking provisions of Chapter 5.3 is further validated by existing requirements in 5.3.1.1.4 and 5.3.2.1.1 that require placarding of empty </w:t>
      </w:r>
      <w:proofErr w:type="spellStart"/>
      <w:r w:rsidRPr="00A80BB6">
        <w:t>uncleaned</w:t>
      </w:r>
      <w:proofErr w:type="spellEnd"/>
      <w:r w:rsidRPr="00A80BB6">
        <w:t xml:space="preserve"> bulk containers and marking in accordance with the requirements of 5.3.2 respectively.  </w:t>
      </w:r>
    </w:p>
    <w:p w:rsidR="0046455D" w:rsidRPr="00A80BB6" w:rsidRDefault="0046455D" w:rsidP="00036D92">
      <w:pPr>
        <w:pStyle w:val="SingleTxtG"/>
      </w:pPr>
      <w:bookmarkStart w:id="0" w:name="_GoBack"/>
      <w:bookmarkEnd w:id="0"/>
      <w:r>
        <w:lastRenderedPageBreak/>
        <w:t>3.</w:t>
      </w:r>
      <w:r>
        <w:tab/>
      </w:r>
      <w:r w:rsidRPr="00A80BB6">
        <w:t>Chapter 5.3 currently applies to the marking and labelling of cargo transport units.  There are two definitions in Chapter 1.2 relevant to this discussion:</w:t>
      </w:r>
    </w:p>
    <w:p w:rsidR="0046455D" w:rsidRPr="00A80BB6" w:rsidRDefault="0046455D" w:rsidP="0046455D">
      <w:pPr>
        <w:pStyle w:val="SingleTxtG"/>
        <w:ind w:left="1701"/>
      </w:pPr>
      <w:r w:rsidRPr="00A80BB6">
        <w:t xml:space="preserve">A </w:t>
      </w:r>
      <w:r w:rsidRPr="00A80BB6">
        <w:rPr>
          <w:u w:val="single"/>
        </w:rPr>
        <w:t>cargo transport unit</w:t>
      </w:r>
      <w:r w:rsidRPr="00A80BB6">
        <w:t xml:space="preserve"> is “a road transport tank or freight vehicle, a railway transport unit, a railway transport tank or freight wagon, a multimodal freight container or portable tank, or a MEGC”; and</w:t>
      </w:r>
    </w:p>
    <w:p w:rsidR="0046455D" w:rsidRPr="00A80BB6" w:rsidRDefault="0046455D" w:rsidP="0046455D">
      <w:pPr>
        <w:pStyle w:val="SingleTxtG"/>
        <w:ind w:left="1701"/>
      </w:pPr>
      <w:r w:rsidRPr="00A80BB6">
        <w:t xml:space="preserve">A </w:t>
      </w:r>
      <w:r w:rsidRPr="00A80BB6">
        <w:rPr>
          <w:u w:val="single"/>
        </w:rPr>
        <w:t>bulk container</w:t>
      </w:r>
      <w:r w:rsidRPr="00A80BB6">
        <w:t xml:space="preserve"> is “a containment system (including any liner or coating) intended for the transport of solid substances which are in direct contact with the containment system. </w:t>
      </w:r>
      <w:proofErr w:type="spellStart"/>
      <w:r w:rsidRPr="00A80BB6">
        <w:t>Packagings</w:t>
      </w:r>
      <w:proofErr w:type="spellEnd"/>
      <w:r w:rsidRPr="00A80BB6">
        <w:t xml:space="preserve">, intermediate bulk containers, large </w:t>
      </w:r>
      <w:proofErr w:type="spellStart"/>
      <w:r w:rsidRPr="00A80BB6">
        <w:t>packagings</w:t>
      </w:r>
      <w:proofErr w:type="spellEnd"/>
      <w:r w:rsidRPr="00A80BB6">
        <w:t xml:space="preserve"> and portable tanks are not included. A bulk container is:</w:t>
      </w:r>
    </w:p>
    <w:p w:rsidR="0046455D" w:rsidRPr="00A80BB6" w:rsidRDefault="0046455D" w:rsidP="0046455D">
      <w:pPr>
        <w:pStyle w:val="SingleTxtG"/>
        <w:ind w:left="2268" w:hanging="567"/>
      </w:pPr>
      <w:r>
        <w:t>–</w:t>
      </w:r>
      <w:r>
        <w:tab/>
        <w:t>O</w:t>
      </w:r>
      <w:r w:rsidRPr="00A80BB6">
        <w:t>f a permanent character and accordingly strong enough to be suitable for repeated use;</w:t>
      </w:r>
    </w:p>
    <w:p w:rsidR="0046455D" w:rsidRPr="00A80BB6" w:rsidRDefault="0046455D" w:rsidP="0046455D">
      <w:pPr>
        <w:pStyle w:val="SingleTxtG"/>
        <w:ind w:left="2268" w:hanging="567"/>
      </w:pPr>
      <w:r>
        <w:t>–</w:t>
      </w:r>
      <w:r w:rsidRPr="00A80BB6">
        <w:tab/>
      </w:r>
      <w:r>
        <w:t>S</w:t>
      </w:r>
      <w:r w:rsidRPr="00A80BB6">
        <w:t>pecially designed to facilitate the transport of goods by one or more means of transport without intermediate reloading;</w:t>
      </w:r>
    </w:p>
    <w:p w:rsidR="0046455D" w:rsidRPr="00A80BB6" w:rsidRDefault="0046455D" w:rsidP="0046455D">
      <w:pPr>
        <w:pStyle w:val="SingleTxtG"/>
        <w:ind w:left="1701"/>
      </w:pPr>
      <w:r>
        <w:t>–</w:t>
      </w:r>
      <w:r w:rsidRPr="00A80BB6">
        <w:tab/>
      </w:r>
      <w:r>
        <w:t>F</w:t>
      </w:r>
      <w:r w:rsidRPr="00A80BB6">
        <w:t>itted with devices permitting its ready handling;</w:t>
      </w:r>
    </w:p>
    <w:p w:rsidR="0046455D" w:rsidRPr="00A80BB6" w:rsidRDefault="0046455D" w:rsidP="0046455D">
      <w:pPr>
        <w:pStyle w:val="SingleTxtG"/>
        <w:ind w:left="1701"/>
      </w:pPr>
      <w:r>
        <w:t>–</w:t>
      </w:r>
      <w:r w:rsidRPr="00A80BB6">
        <w:tab/>
      </w:r>
      <w:r>
        <w:t>O</w:t>
      </w:r>
      <w:r w:rsidRPr="00A80BB6">
        <w:t>f a capacity of not less than 1.0 m</w:t>
      </w:r>
      <w:r w:rsidRPr="00A80BB6">
        <w:rPr>
          <w:vertAlign w:val="superscript"/>
        </w:rPr>
        <w:t>3</w:t>
      </w:r>
      <w:r w:rsidRPr="00A80BB6">
        <w:t>.</w:t>
      </w:r>
    </w:p>
    <w:p w:rsidR="0046455D" w:rsidRPr="00A80BB6" w:rsidRDefault="0046455D" w:rsidP="0046455D">
      <w:pPr>
        <w:pStyle w:val="SingleTxtG"/>
        <w:ind w:left="1701"/>
      </w:pPr>
      <w:r w:rsidRPr="00A80BB6">
        <w:t>Examples of bulk containers are freight containers, offshore bulk containers, skips, bulk bins, swap bodies, trough-shaped containers, roller containers, load compartments of vehicles, flexible bulk containers;”</w:t>
      </w:r>
    </w:p>
    <w:p w:rsidR="0046455D" w:rsidRPr="00A80BB6" w:rsidRDefault="0046455D" w:rsidP="0046455D">
      <w:pPr>
        <w:pStyle w:val="SingleTxtG"/>
      </w:pPr>
      <w:r>
        <w:t>4.</w:t>
      </w:r>
      <w:r>
        <w:tab/>
      </w:r>
      <w:r w:rsidRPr="00A80BB6">
        <w:t xml:space="preserve">To ensure all means of containment meeting the definition of a “bulk container” are </w:t>
      </w:r>
      <w:proofErr w:type="spellStart"/>
      <w:r w:rsidRPr="00A80BB6">
        <w:t>placarded</w:t>
      </w:r>
      <w:proofErr w:type="spellEnd"/>
      <w:r w:rsidRPr="00A80BB6">
        <w:t xml:space="preserve"> in accordance with the requirements of Chapter 5.3, amendments to 5.3.1.1.2 and the titl</w:t>
      </w:r>
      <w:r>
        <w:t xml:space="preserve">e of Chapter 5.3 are proposed. </w:t>
      </w:r>
      <w:r w:rsidRPr="00A80BB6">
        <w:t>The general marking requirements of Chapter 5.3 are applicable to solids in bulk containers under existin</w:t>
      </w:r>
      <w:r>
        <w:t>g requirements in 5.3.2.1.1(b).</w:t>
      </w:r>
      <w:r w:rsidRPr="00A80BB6">
        <w:t xml:space="preserve"> To ensure all means of containment meeting the definition of a “bulk container” containing environmentally hazardous substances are marked appropriately additional editorial amendments to 5.3.2.3.1 and 5.3.2.3.2 are proposed.</w:t>
      </w:r>
    </w:p>
    <w:p w:rsidR="0046455D" w:rsidRPr="00A80BB6" w:rsidRDefault="0046455D" w:rsidP="0046455D">
      <w:pPr>
        <w:pStyle w:val="HChG"/>
      </w:pPr>
      <w:r>
        <w:tab/>
      </w:r>
      <w:r>
        <w:tab/>
      </w:r>
      <w:r w:rsidRPr="00A80BB6">
        <w:t>Proposal</w:t>
      </w:r>
    </w:p>
    <w:p w:rsidR="0046455D" w:rsidRPr="00A80BB6" w:rsidRDefault="0046455D" w:rsidP="0046455D">
      <w:pPr>
        <w:pStyle w:val="SingleTxtG"/>
      </w:pPr>
      <w:r>
        <w:t>5.</w:t>
      </w:r>
      <w:r>
        <w:tab/>
        <w:t>(</w:t>
      </w:r>
      <w:proofErr w:type="gramStart"/>
      <w:r>
        <w:t>a</w:t>
      </w:r>
      <w:proofErr w:type="gramEnd"/>
      <w:r>
        <w:t>)</w:t>
      </w:r>
      <w:r>
        <w:tab/>
      </w:r>
      <w:r w:rsidRPr="00A80BB6">
        <w:t>Amend the title of Chapter 5.3 to read as follows:</w:t>
      </w:r>
    </w:p>
    <w:p w:rsidR="0046455D" w:rsidRPr="00A80BB6" w:rsidRDefault="0046455D" w:rsidP="0046455D">
      <w:pPr>
        <w:spacing w:after="120"/>
        <w:ind w:left="2268" w:right="1134"/>
        <w:jc w:val="both"/>
        <w:rPr>
          <w:u w:val="single"/>
        </w:rPr>
      </w:pPr>
      <w:r w:rsidRPr="00A80BB6">
        <w:t xml:space="preserve">PLACARDING AND MARKING OF CARGO TRANSPORT UNITS </w:t>
      </w:r>
      <w:r w:rsidRPr="00A80BB6">
        <w:rPr>
          <w:u w:val="single"/>
        </w:rPr>
        <w:t xml:space="preserve">AND BULK CONTAINERS </w:t>
      </w:r>
    </w:p>
    <w:p w:rsidR="0046455D" w:rsidRPr="00A80BB6" w:rsidRDefault="0046455D" w:rsidP="0046455D">
      <w:pPr>
        <w:spacing w:after="120"/>
        <w:ind w:left="1134" w:right="1134" w:firstLine="567"/>
        <w:jc w:val="both"/>
      </w:pPr>
      <w:r>
        <w:t>(b)</w:t>
      </w:r>
      <w:r>
        <w:tab/>
      </w:r>
      <w:r w:rsidRPr="00A80BB6">
        <w:t>Amend the introductory paragraph of 5.3.1.1.2 to read as follows:</w:t>
      </w:r>
    </w:p>
    <w:p w:rsidR="0046455D" w:rsidRPr="00A80BB6" w:rsidRDefault="0046455D" w:rsidP="0046455D">
      <w:pPr>
        <w:spacing w:after="120"/>
        <w:ind w:left="2268" w:right="1134"/>
        <w:jc w:val="both"/>
      </w:pPr>
      <w:r w:rsidRPr="00A80BB6">
        <w:t>“Placards shall be affixed to the exterior surface of cargo transport units</w:t>
      </w:r>
      <w:r w:rsidRPr="00A80BB6">
        <w:rPr>
          <w:u w:val="single"/>
        </w:rPr>
        <w:t xml:space="preserve"> and bulk containers</w:t>
      </w:r>
      <w:r w:rsidRPr="00A80BB6">
        <w:t xml:space="preserve"> to provide a warning that the contents of the unit are dangerous goods and present risks.  Placards shall correspond to the primary risk of the goods contained in the cargo transport unit</w:t>
      </w:r>
      <w:r w:rsidRPr="00A80BB6">
        <w:rPr>
          <w:u w:val="single"/>
        </w:rPr>
        <w:t xml:space="preserve"> or bulk container</w:t>
      </w:r>
      <w:r w:rsidRPr="00A80BB6">
        <w:t xml:space="preserve"> except that:”</w:t>
      </w:r>
    </w:p>
    <w:p w:rsidR="0046455D" w:rsidRPr="00A80BB6" w:rsidRDefault="0046455D" w:rsidP="0046455D">
      <w:pPr>
        <w:spacing w:after="120"/>
        <w:ind w:left="1701" w:right="1134"/>
        <w:jc w:val="both"/>
      </w:pPr>
      <w:r>
        <w:t>(c)</w:t>
      </w:r>
      <w:r>
        <w:tab/>
      </w:r>
      <w:r w:rsidRPr="00A80BB6">
        <w:t>Amend paragraph 5.3.2.3.1 to read as follows:</w:t>
      </w:r>
    </w:p>
    <w:p w:rsidR="0046455D" w:rsidRPr="00A80BB6" w:rsidRDefault="0046455D" w:rsidP="0046455D">
      <w:pPr>
        <w:spacing w:after="120"/>
        <w:ind w:left="2268" w:right="1134"/>
        <w:jc w:val="both"/>
      </w:pPr>
      <w:r w:rsidRPr="00A80BB6">
        <w:t xml:space="preserve">“A cargo transport unit </w:t>
      </w:r>
      <w:r w:rsidRPr="00A80BB6">
        <w:rPr>
          <w:u w:val="single"/>
        </w:rPr>
        <w:t>or bulk container</w:t>
      </w:r>
      <w:r w:rsidRPr="00A80BB6">
        <w:t xml:space="preserve"> containing environmentally hazardous substances meeting the criteria of 2.9.3 (UN Nos. 3077 and 3082) shall be marked on at least two opposing sides of the unit </w:t>
      </w:r>
      <w:r w:rsidR="00036D92">
        <w:t xml:space="preserve">or bulk container </w:t>
      </w:r>
      <w:r w:rsidRPr="00A80BB6">
        <w:t xml:space="preserve">and in any case in such a position as may be seen by all those involved in the loading or unloading process, with the environmentally hazardous substance mark to be affixed in accordance with the provisions of 5.3.1.1.4 for placards.” </w:t>
      </w:r>
    </w:p>
    <w:p w:rsidR="0046455D" w:rsidRPr="00A80BB6" w:rsidRDefault="0046455D" w:rsidP="00036D92">
      <w:pPr>
        <w:spacing w:after="120"/>
        <w:ind w:left="1701" w:right="1134"/>
        <w:jc w:val="both"/>
      </w:pPr>
      <w:r>
        <w:lastRenderedPageBreak/>
        <w:t>(d)</w:t>
      </w:r>
      <w:r>
        <w:tab/>
      </w:r>
      <w:r w:rsidRPr="00A80BB6">
        <w:t>Amend paragraph 5.3.2.3.2 to read as follows:</w:t>
      </w:r>
    </w:p>
    <w:p w:rsidR="0046455D" w:rsidRPr="00A80BB6" w:rsidRDefault="0046455D" w:rsidP="0046455D">
      <w:pPr>
        <w:spacing w:after="120"/>
        <w:ind w:left="2268" w:right="1134"/>
        <w:jc w:val="both"/>
      </w:pPr>
      <w:r w:rsidRPr="00A80BB6">
        <w:t xml:space="preserve">“The environmentally hazardous substance mark for cargo transport units </w:t>
      </w:r>
      <w:r w:rsidRPr="00A80BB6">
        <w:rPr>
          <w:u w:val="single"/>
        </w:rPr>
        <w:t>and bulk containers</w:t>
      </w:r>
      <w:r w:rsidRPr="00A80BB6">
        <w:t xml:space="preserve"> shall be as described in 5.2.1.6.3 and Figure 5.2.2, except that the minimum dimensions shall be 250 mm x 250 mm.  For portable tanks with a capaci</w:t>
      </w:r>
      <w:r w:rsidR="00036D92">
        <w:t>ty of not more than 3 000 lit</w:t>
      </w:r>
      <w:r w:rsidRPr="00A80BB6">
        <w:t xml:space="preserve"> and with an available surface area insufficient to affix the prescribed marks, the minimum dimensions may be reduced to 100 mm x 100 mm.”  </w:t>
      </w:r>
    </w:p>
    <w:p w:rsidR="0046455D" w:rsidRPr="0046455D" w:rsidRDefault="0046455D" w:rsidP="0046455D">
      <w:pPr>
        <w:pStyle w:val="SingleTxtG"/>
        <w:spacing w:before="240" w:after="0"/>
        <w:jc w:val="center"/>
        <w:rPr>
          <w:u w:val="single"/>
        </w:rPr>
      </w:pPr>
      <w:r>
        <w:rPr>
          <w:u w:val="single"/>
        </w:rPr>
        <w:tab/>
      </w:r>
      <w:r>
        <w:rPr>
          <w:u w:val="single"/>
        </w:rPr>
        <w:tab/>
      </w:r>
      <w:r>
        <w:rPr>
          <w:u w:val="single"/>
        </w:rPr>
        <w:tab/>
      </w:r>
    </w:p>
    <w:sectPr w:rsidR="0046455D" w:rsidRPr="0046455D" w:rsidSect="003466A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3D" w:rsidRDefault="00C41E3D"/>
  </w:endnote>
  <w:endnote w:type="continuationSeparator" w:id="0">
    <w:p w:rsidR="00C41E3D" w:rsidRDefault="00C41E3D"/>
  </w:endnote>
  <w:endnote w:type="continuationNotice" w:id="1">
    <w:p w:rsidR="00C41E3D" w:rsidRDefault="00C41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036D92">
      <w:rPr>
        <w:b/>
        <w:noProof/>
        <w:sz w:val="18"/>
      </w:rPr>
      <w:t>2</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036D92">
      <w:rPr>
        <w:b/>
        <w:noProof/>
        <w:sz w:val="18"/>
      </w:rPr>
      <w:t>3</w:t>
    </w:r>
    <w:r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3D" w:rsidRPr="000B175B" w:rsidRDefault="00C41E3D" w:rsidP="000B175B">
      <w:pPr>
        <w:tabs>
          <w:tab w:val="right" w:pos="2155"/>
        </w:tabs>
        <w:spacing w:after="80"/>
        <w:ind w:left="680"/>
        <w:rPr>
          <w:u w:val="single"/>
        </w:rPr>
      </w:pPr>
      <w:r>
        <w:rPr>
          <w:u w:val="single"/>
        </w:rPr>
        <w:tab/>
      </w:r>
    </w:p>
  </w:footnote>
  <w:footnote w:type="continuationSeparator" w:id="0">
    <w:p w:rsidR="00C41E3D" w:rsidRPr="00FC68B7" w:rsidRDefault="00C41E3D" w:rsidP="00FC68B7">
      <w:pPr>
        <w:tabs>
          <w:tab w:val="left" w:pos="2155"/>
        </w:tabs>
        <w:spacing w:after="80"/>
        <w:ind w:left="680"/>
        <w:rPr>
          <w:u w:val="single"/>
        </w:rPr>
      </w:pPr>
      <w:r>
        <w:rPr>
          <w:u w:val="single"/>
        </w:rPr>
        <w:tab/>
      </w:r>
    </w:p>
  </w:footnote>
  <w:footnote w:type="continuationNotice" w:id="1">
    <w:p w:rsidR="00C41E3D" w:rsidRDefault="00C41E3D"/>
  </w:footnote>
  <w:footnote w:id="2">
    <w:p w:rsidR="0046455D" w:rsidRDefault="0046455D" w:rsidP="0046455D">
      <w:pPr>
        <w:pStyle w:val="FootnoteText"/>
        <w:ind w:left="1170" w:hanging="36"/>
      </w:pPr>
      <w:r>
        <w:rPr>
          <w:rStyle w:val="FootnoteReference"/>
        </w:rPr>
        <w:footnoteRef/>
      </w:r>
      <w:r>
        <w:t xml:space="preserve"> </w:t>
      </w:r>
      <w:r w:rsidRPr="0006006D">
        <w:t xml:space="preserve">In accordance with the programme of work of the Sub-Committee for 2015–2016 approved by the </w:t>
      </w:r>
      <w:r>
        <w:t xml:space="preserve">   </w:t>
      </w:r>
      <w:r w:rsidRPr="0006006D">
        <w:t>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46455D">
    <w:pPr>
      <w:pStyle w:val="Header"/>
    </w:pPr>
    <w:r>
      <w:t>ST/SG/AC.10/C.3/2016/38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4A7B6C" w:rsidRDefault="0046455D" w:rsidP="004A7B6C">
    <w:pPr>
      <w:pStyle w:val="Header"/>
      <w:jc w:val="right"/>
    </w:pPr>
    <w:r>
      <w:t>ST/SG/AC.10/C.3/2016/38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0D006861"/>
    <w:multiLevelType w:val="hybridMultilevel"/>
    <w:tmpl w:val="6EA636DC"/>
    <w:lvl w:ilvl="0" w:tplc="4CDAB5D0">
      <w:start w:val="2"/>
      <w:numFmt w:val="decimal"/>
      <w:lvlText w:val="%1."/>
      <w:lvlJc w:val="left"/>
      <w:pPr>
        <w:ind w:left="1494" w:hanging="360"/>
      </w:pPr>
      <w:rPr>
        <w:rFonts w:hint="default"/>
      </w:rPr>
    </w:lvl>
    <w:lvl w:ilvl="1" w:tplc="0409000F">
      <w:start w:val="1"/>
      <w:numFmt w:val="decimal"/>
      <w:lvlText w:val="%2."/>
      <w:lvlJc w:val="left"/>
      <w:pPr>
        <w:tabs>
          <w:tab w:val="num" w:pos="2355"/>
        </w:tabs>
        <w:ind w:left="2355" w:hanging="360"/>
      </w:pPr>
      <w:rPr>
        <w:rFonts w:hint="default"/>
      </w:rPr>
    </w:lvl>
    <w:lvl w:ilvl="2" w:tplc="0409000F">
      <w:start w:val="1"/>
      <w:numFmt w:val="decimal"/>
      <w:lvlText w:val="%3."/>
      <w:lvlJc w:val="lef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0">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214A588D"/>
    <w:multiLevelType w:val="hybridMultilevel"/>
    <w:tmpl w:val="24C89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1"/>
  </w:num>
  <w:num w:numId="12">
    <w:abstractNumId w:val="18"/>
  </w:num>
  <w:num w:numId="13">
    <w:abstractNumId w:val="14"/>
  </w:num>
  <w:num w:numId="14">
    <w:abstractNumId w:val="34"/>
  </w:num>
  <w:num w:numId="15">
    <w:abstractNumId w:val="37"/>
  </w:num>
  <w:num w:numId="16">
    <w:abstractNumId w:val="11"/>
  </w:num>
  <w:num w:numId="17">
    <w:abstractNumId w:val="12"/>
  </w:num>
  <w:num w:numId="18">
    <w:abstractNumId w:val="15"/>
  </w:num>
  <w:num w:numId="19">
    <w:abstractNumId w:val="25"/>
  </w:num>
  <w:num w:numId="20">
    <w:abstractNumId w:val="35"/>
  </w:num>
  <w:num w:numId="21">
    <w:abstractNumId w:val="32"/>
  </w:num>
  <w:num w:numId="22">
    <w:abstractNumId w:val="30"/>
  </w:num>
  <w:num w:numId="23">
    <w:abstractNumId w:val="21"/>
  </w:num>
  <w:num w:numId="24">
    <w:abstractNumId w:val="24"/>
  </w:num>
  <w:num w:numId="25">
    <w:abstractNumId w:val="26"/>
  </w:num>
  <w:num w:numId="26">
    <w:abstractNumId w:val="0"/>
  </w:num>
  <w:num w:numId="27">
    <w:abstractNumId w:val="27"/>
  </w:num>
  <w:num w:numId="28">
    <w:abstractNumId w:val="22"/>
  </w:num>
  <w:num w:numId="29">
    <w:abstractNumId w:val="13"/>
  </w:num>
  <w:num w:numId="30">
    <w:abstractNumId w:val="38"/>
  </w:num>
  <w:num w:numId="31">
    <w:abstractNumId w:val="33"/>
  </w:num>
  <w:num w:numId="32">
    <w:abstractNumId w:val="28"/>
  </w:num>
  <w:num w:numId="33">
    <w:abstractNumId w:val="36"/>
  </w:num>
  <w:num w:numId="34">
    <w:abstractNumId w:val="16"/>
  </w:num>
  <w:num w:numId="35">
    <w:abstractNumId w:val="20"/>
  </w:num>
  <w:num w:numId="36">
    <w:abstractNumId w:val="19"/>
  </w:num>
  <w:num w:numId="37">
    <w:abstractNumId w:val="39"/>
  </w:num>
  <w:num w:numId="38">
    <w:abstractNumId w:val="29"/>
  </w:num>
  <w:num w:numId="39">
    <w:abstractNumId w:val="23"/>
  </w:num>
  <w:num w:numId="4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36D92"/>
    <w:rsid w:val="00041765"/>
    <w:rsid w:val="00041E8E"/>
    <w:rsid w:val="00043A96"/>
    <w:rsid w:val="00043CD1"/>
    <w:rsid w:val="00046C4F"/>
    <w:rsid w:val="00050F6B"/>
    <w:rsid w:val="0005114D"/>
    <w:rsid w:val="000551EC"/>
    <w:rsid w:val="000669BF"/>
    <w:rsid w:val="00072C8C"/>
    <w:rsid w:val="000765A2"/>
    <w:rsid w:val="00082FBF"/>
    <w:rsid w:val="000878C4"/>
    <w:rsid w:val="00091419"/>
    <w:rsid w:val="000931C0"/>
    <w:rsid w:val="000933F0"/>
    <w:rsid w:val="00097227"/>
    <w:rsid w:val="000A626F"/>
    <w:rsid w:val="000B175B"/>
    <w:rsid w:val="000B2297"/>
    <w:rsid w:val="000B3A0F"/>
    <w:rsid w:val="000B5B37"/>
    <w:rsid w:val="000C2AF9"/>
    <w:rsid w:val="000C3CA0"/>
    <w:rsid w:val="000C6232"/>
    <w:rsid w:val="000C6538"/>
    <w:rsid w:val="000D7AAB"/>
    <w:rsid w:val="000E0415"/>
    <w:rsid w:val="000E0662"/>
    <w:rsid w:val="000E6BA2"/>
    <w:rsid w:val="000E7174"/>
    <w:rsid w:val="000F38EF"/>
    <w:rsid w:val="000F55F3"/>
    <w:rsid w:val="000F6A97"/>
    <w:rsid w:val="001026FB"/>
    <w:rsid w:val="00113A17"/>
    <w:rsid w:val="0011420F"/>
    <w:rsid w:val="00115106"/>
    <w:rsid w:val="00117787"/>
    <w:rsid w:val="00123FB1"/>
    <w:rsid w:val="001311AD"/>
    <w:rsid w:val="00131D42"/>
    <w:rsid w:val="00133B0D"/>
    <w:rsid w:val="0013619A"/>
    <w:rsid w:val="00144D36"/>
    <w:rsid w:val="00150BD0"/>
    <w:rsid w:val="0015105B"/>
    <w:rsid w:val="00151EB2"/>
    <w:rsid w:val="0015303B"/>
    <w:rsid w:val="00153FB7"/>
    <w:rsid w:val="001551D6"/>
    <w:rsid w:val="00162B16"/>
    <w:rsid w:val="001633FB"/>
    <w:rsid w:val="00175631"/>
    <w:rsid w:val="00176B7E"/>
    <w:rsid w:val="001779D9"/>
    <w:rsid w:val="0018094B"/>
    <w:rsid w:val="00180C03"/>
    <w:rsid w:val="00184A9C"/>
    <w:rsid w:val="00190AC6"/>
    <w:rsid w:val="00194EA4"/>
    <w:rsid w:val="0019568D"/>
    <w:rsid w:val="001A13D6"/>
    <w:rsid w:val="001A425A"/>
    <w:rsid w:val="001B4B04"/>
    <w:rsid w:val="001B7130"/>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326C"/>
    <w:rsid w:val="00211E0B"/>
    <w:rsid w:val="002141E2"/>
    <w:rsid w:val="002168A8"/>
    <w:rsid w:val="002172A0"/>
    <w:rsid w:val="00223481"/>
    <w:rsid w:val="002309A7"/>
    <w:rsid w:val="00230AFE"/>
    <w:rsid w:val="00237785"/>
    <w:rsid w:val="00241466"/>
    <w:rsid w:val="00243A83"/>
    <w:rsid w:val="00244717"/>
    <w:rsid w:val="00244943"/>
    <w:rsid w:val="00244EF4"/>
    <w:rsid w:val="00245539"/>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0818"/>
    <w:rsid w:val="002C4E7D"/>
    <w:rsid w:val="002C6766"/>
    <w:rsid w:val="002D22E5"/>
    <w:rsid w:val="002D503D"/>
    <w:rsid w:val="002D7539"/>
    <w:rsid w:val="002E0746"/>
    <w:rsid w:val="002E4861"/>
    <w:rsid w:val="002E75F6"/>
    <w:rsid w:val="003006DC"/>
    <w:rsid w:val="0030155B"/>
    <w:rsid w:val="003107FA"/>
    <w:rsid w:val="0031424A"/>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827B0"/>
    <w:rsid w:val="00382BB1"/>
    <w:rsid w:val="00387614"/>
    <w:rsid w:val="00390028"/>
    <w:rsid w:val="00390D3D"/>
    <w:rsid w:val="0039277A"/>
    <w:rsid w:val="003972E0"/>
    <w:rsid w:val="003A077E"/>
    <w:rsid w:val="003A3F7F"/>
    <w:rsid w:val="003B1D06"/>
    <w:rsid w:val="003B2C2B"/>
    <w:rsid w:val="003C1755"/>
    <w:rsid w:val="003C1832"/>
    <w:rsid w:val="003C2441"/>
    <w:rsid w:val="003C2CC4"/>
    <w:rsid w:val="003C750C"/>
    <w:rsid w:val="003D1000"/>
    <w:rsid w:val="003D39F8"/>
    <w:rsid w:val="003D4B23"/>
    <w:rsid w:val="004021DC"/>
    <w:rsid w:val="004043B5"/>
    <w:rsid w:val="00407E8D"/>
    <w:rsid w:val="00423D3D"/>
    <w:rsid w:val="00424EDD"/>
    <w:rsid w:val="004325CB"/>
    <w:rsid w:val="00437F3F"/>
    <w:rsid w:val="00444524"/>
    <w:rsid w:val="00446DE4"/>
    <w:rsid w:val="00454036"/>
    <w:rsid w:val="0045652B"/>
    <w:rsid w:val="00460062"/>
    <w:rsid w:val="0046419A"/>
    <w:rsid w:val="0046455D"/>
    <w:rsid w:val="00473948"/>
    <w:rsid w:val="00484E32"/>
    <w:rsid w:val="0049147A"/>
    <w:rsid w:val="00491634"/>
    <w:rsid w:val="004925FF"/>
    <w:rsid w:val="00493BDC"/>
    <w:rsid w:val="0049434E"/>
    <w:rsid w:val="00496C2B"/>
    <w:rsid w:val="004A1AAA"/>
    <w:rsid w:val="004A7B6C"/>
    <w:rsid w:val="004B2C9D"/>
    <w:rsid w:val="004B550A"/>
    <w:rsid w:val="004C110B"/>
    <w:rsid w:val="004C48D9"/>
    <w:rsid w:val="004C4C63"/>
    <w:rsid w:val="004D0BAA"/>
    <w:rsid w:val="004D3BA2"/>
    <w:rsid w:val="004D4071"/>
    <w:rsid w:val="004D4993"/>
    <w:rsid w:val="004D5B50"/>
    <w:rsid w:val="004E4B59"/>
    <w:rsid w:val="004F1403"/>
    <w:rsid w:val="004F511C"/>
    <w:rsid w:val="004F5ADD"/>
    <w:rsid w:val="00505080"/>
    <w:rsid w:val="005113BE"/>
    <w:rsid w:val="0051274C"/>
    <w:rsid w:val="005132B7"/>
    <w:rsid w:val="00513567"/>
    <w:rsid w:val="005176CD"/>
    <w:rsid w:val="00517A3F"/>
    <w:rsid w:val="0052254F"/>
    <w:rsid w:val="00523525"/>
    <w:rsid w:val="00527910"/>
    <w:rsid w:val="005279BF"/>
    <w:rsid w:val="005279D0"/>
    <w:rsid w:val="00531781"/>
    <w:rsid w:val="005420F2"/>
    <w:rsid w:val="00542A15"/>
    <w:rsid w:val="0055467D"/>
    <w:rsid w:val="005644BC"/>
    <w:rsid w:val="005666F6"/>
    <w:rsid w:val="00573908"/>
    <w:rsid w:val="0057643F"/>
    <w:rsid w:val="0058227C"/>
    <w:rsid w:val="00590144"/>
    <w:rsid w:val="00591F7A"/>
    <w:rsid w:val="00593B86"/>
    <w:rsid w:val="005A4F15"/>
    <w:rsid w:val="005A5811"/>
    <w:rsid w:val="005A6C02"/>
    <w:rsid w:val="005A7537"/>
    <w:rsid w:val="005B3DB3"/>
    <w:rsid w:val="005D04B3"/>
    <w:rsid w:val="005D0EBF"/>
    <w:rsid w:val="005D3656"/>
    <w:rsid w:val="005E178F"/>
    <w:rsid w:val="005E5115"/>
    <w:rsid w:val="0060435F"/>
    <w:rsid w:val="00604C8E"/>
    <w:rsid w:val="0060709C"/>
    <w:rsid w:val="00611FC4"/>
    <w:rsid w:val="006176FB"/>
    <w:rsid w:val="00624237"/>
    <w:rsid w:val="006246A3"/>
    <w:rsid w:val="00633B43"/>
    <w:rsid w:val="0063419C"/>
    <w:rsid w:val="00640B26"/>
    <w:rsid w:val="00642EDA"/>
    <w:rsid w:val="00645121"/>
    <w:rsid w:val="00645A1A"/>
    <w:rsid w:val="006500BA"/>
    <w:rsid w:val="006504FE"/>
    <w:rsid w:val="00651D6C"/>
    <w:rsid w:val="00651DCB"/>
    <w:rsid w:val="00652193"/>
    <w:rsid w:val="006524E0"/>
    <w:rsid w:val="00653001"/>
    <w:rsid w:val="00663491"/>
    <w:rsid w:val="00672E30"/>
    <w:rsid w:val="00675A95"/>
    <w:rsid w:val="0067677C"/>
    <w:rsid w:val="006837D8"/>
    <w:rsid w:val="006927B6"/>
    <w:rsid w:val="006A24C7"/>
    <w:rsid w:val="006A3B7F"/>
    <w:rsid w:val="006A4E98"/>
    <w:rsid w:val="006A66FA"/>
    <w:rsid w:val="006A6E59"/>
    <w:rsid w:val="006A7392"/>
    <w:rsid w:val="006B18DD"/>
    <w:rsid w:val="006C0D34"/>
    <w:rsid w:val="006C0D6C"/>
    <w:rsid w:val="006C2985"/>
    <w:rsid w:val="006C7C4D"/>
    <w:rsid w:val="006C7E11"/>
    <w:rsid w:val="006D0270"/>
    <w:rsid w:val="006D10CC"/>
    <w:rsid w:val="006D3D21"/>
    <w:rsid w:val="006D6FB3"/>
    <w:rsid w:val="006E4A58"/>
    <w:rsid w:val="006E564B"/>
    <w:rsid w:val="006E603B"/>
    <w:rsid w:val="006E7ABF"/>
    <w:rsid w:val="006F585C"/>
    <w:rsid w:val="007016BE"/>
    <w:rsid w:val="0071032E"/>
    <w:rsid w:val="00716EAD"/>
    <w:rsid w:val="0072632A"/>
    <w:rsid w:val="0073035D"/>
    <w:rsid w:val="007321DB"/>
    <w:rsid w:val="007332E8"/>
    <w:rsid w:val="00736305"/>
    <w:rsid w:val="00736D0A"/>
    <w:rsid w:val="00736E1D"/>
    <w:rsid w:val="007478B0"/>
    <w:rsid w:val="00750CB8"/>
    <w:rsid w:val="00753561"/>
    <w:rsid w:val="00753641"/>
    <w:rsid w:val="00755DDF"/>
    <w:rsid w:val="0076317E"/>
    <w:rsid w:val="007656AE"/>
    <w:rsid w:val="00767DC6"/>
    <w:rsid w:val="007832B8"/>
    <w:rsid w:val="00790791"/>
    <w:rsid w:val="0079544F"/>
    <w:rsid w:val="00795FD2"/>
    <w:rsid w:val="007B33F4"/>
    <w:rsid w:val="007B345B"/>
    <w:rsid w:val="007B4CF7"/>
    <w:rsid w:val="007B5CA0"/>
    <w:rsid w:val="007B6BA5"/>
    <w:rsid w:val="007C3390"/>
    <w:rsid w:val="007C4F4B"/>
    <w:rsid w:val="007D087E"/>
    <w:rsid w:val="007E110F"/>
    <w:rsid w:val="007F52DF"/>
    <w:rsid w:val="007F6611"/>
    <w:rsid w:val="00802ED5"/>
    <w:rsid w:val="008037E8"/>
    <w:rsid w:val="0080388F"/>
    <w:rsid w:val="0080400A"/>
    <w:rsid w:val="00805746"/>
    <w:rsid w:val="00805C8D"/>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0CE1"/>
    <w:rsid w:val="00871FD5"/>
    <w:rsid w:val="00874585"/>
    <w:rsid w:val="00875DBB"/>
    <w:rsid w:val="00887592"/>
    <w:rsid w:val="008979B1"/>
    <w:rsid w:val="008979ED"/>
    <w:rsid w:val="008A04A8"/>
    <w:rsid w:val="008A12EC"/>
    <w:rsid w:val="008A289B"/>
    <w:rsid w:val="008A2B22"/>
    <w:rsid w:val="008A4052"/>
    <w:rsid w:val="008A5A71"/>
    <w:rsid w:val="008A6B25"/>
    <w:rsid w:val="008A6C4F"/>
    <w:rsid w:val="008C22A0"/>
    <w:rsid w:val="008C3CB0"/>
    <w:rsid w:val="008C542B"/>
    <w:rsid w:val="008D1274"/>
    <w:rsid w:val="008D1A84"/>
    <w:rsid w:val="008E01C8"/>
    <w:rsid w:val="008E0613"/>
    <w:rsid w:val="008E0E46"/>
    <w:rsid w:val="008F5E8D"/>
    <w:rsid w:val="009043BF"/>
    <w:rsid w:val="0091608D"/>
    <w:rsid w:val="00916D07"/>
    <w:rsid w:val="0092475B"/>
    <w:rsid w:val="009341E2"/>
    <w:rsid w:val="00941F06"/>
    <w:rsid w:val="00942C4F"/>
    <w:rsid w:val="00945A5D"/>
    <w:rsid w:val="009461DD"/>
    <w:rsid w:val="0095511A"/>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B1A1B"/>
    <w:rsid w:val="009B4D27"/>
    <w:rsid w:val="009B6E3B"/>
    <w:rsid w:val="009B7D51"/>
    <w:rsid w:val="009C0CE1"/>
    <w:rsid w:val="009C2400"/>
    <w:rsid w:val="009C3671"/>
    <w:rsid w:val="009D3C39"/>
    <w:rsid w:val="009D3D51"/>
    <w:rsid w:val="009D4BA2"/>
    <w:rsid w:val="009E190F"/>
    <w:rsid w:val="009E67D4"/>
    <w:rsid w:val="009E76E2"/>
    <w:rsid w:val="009F0F06"/>
    <w:rsid w:val="009F2FAA"/>
    <w:rsid w:val="009F66A7"/>
    <w:rsid w:val="00A02F78"/>
    <w:rsid w:val="00A1341E"/>
    <w:rsid w:val="00A1427D"/>
    <w:rsid w:val="00A1568F"/>
    <w:rsid w:val="00A222C4"/>
    <w:rsid w:val="00A22A58"/>
    <w:rsid w:val="00A22FD5"/>
    <w:rsid w:val="00A24F0D"/>
    <w:rsid w:val="00A32D41"/>
    <w:rsid w:val="00A40A95"/>
    <w:rsid w:val="00A46896"/>
    <w:rsid w:val="00A51C77"/>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B340F"/>
    <w:rsid w:val="00AC4748"/>
    <w:rsid w:val="00AC52CF"/>
    <w:rsid w:val="00AC7C65"/>
    <w:rsid w:val="00AD1098"/>
    <w:rsid w:val="00AD145B"/>
    <w:rsid w:val="00AE1A69"/>
    <w:rsid w:val="00AE1BDD"/>
    <w:rsid w:val="00AE5C8F"/>
    <w:rsid w:val="00AE7E01"/>
    <w:rsid w:val="00AF09CC"/>
    <w:rsid w:val="00AF6F99"/>
    <w:rsid w:val="00B138BE"/>
    <w:rsid w:val="00B16BD4"/>
    <w:rsid w:val="00B22191"/>
    <w:rsid w:val="00B3008F"/>
    <w:rsid w:val="00B30179"/>
    <w:rsid w:val="00B3317B"/>
    <w:rsid w:val="00B4216B"/>
    <w:rsid w:val="00B457A8"/>
    <w:rsid w:val="00B45B5C"/>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71E"/>
    <w:rsid w:val="00BA1EA9"/>
    <w:rsid w:val="00BA7B65"/>
    <w:rsid w:val="00BB4145"/>
    <w:rsid w:val="00BB66A8"/>
    <w:rsid w:val="00BC1657"/>
    <w:rsid w:val="00BC309B"/>
    <w:rsid w:val="00BC5E5C"/>
    <w:rsid w:val="00BC74E9"/>
    <w:rsid w:val="00BD10E7"/>
    <w:rsid w:val="00BD21C4"/>
    <w:rsid w:val="00BD60DD"/>
    <w:rsid w:val="00BE618E"/>
    <w:rsid w:val="00C179A3"/>
    <w:rsid w:val="00C25F5C"/>
    <w:rsid w:val="00C26E34"/>
    <w:rsid w:val="00C414AF"/>
    <w:rsid w:val="00C41B4A"/>
    <w:rsid w:val="00C41E3D"/>
    <w:rsid w:val="00C43318"/>
    <w:rsid w:val="00C44F0B"/>
    <w:rsid w:val="00C45CEB"/>
    <w:rsid w:val="00C463DD"/>
    <w:rsid w:val="00C4753A"/>
    <w:rsid w:val="00C5346F"/>
    <w:rsid w:val="00C5779A"/>
    <w:rsid w:val="00C620C6"/>
    <w:rsid w:val="00C62F76"/>
    <w:rsid w:val="00C63172"/>
    <w:rsid w:val="00C66B28"/>
    <w:rsid w:val="00C709F7"/>
    <w:rsid w:val="00C70FB3"/>
    <w:rsid w:val="00C73898"/>
    <w:rsid w:val="00C745C3"/>
    <w:rsid w:val="00C81A91"/>
    <w:rsid w:val="00C91393"/>
    <w:rsid w:val="00C97310"/>
    <w:rsid w:val="00CA123A"/>
    <w:rsid w:val="00CA12AA"/>
    <w:rsid w:val="00CA46AE"/>
    <w:rsid w:val="00CB4D07"/>
    <w:rsid w:val="00CB6EE8"/>
    <w:rsid w:val="00CB6FB4"/>
    <w:rsid w:val="00CC1247"/>
    <w:rsid w:val="00CC2AA5"/>
    <w:rsid w:val="00CC3494"/>
    <w:rsid w:val="00CC58CB"/>
    <w:rsid w:val="00CD1364"/>
    <w:rsid w:val="00CD3225"/>
    <w:rsid w:val="00CD3B29"/>
    <w:rsid w:val="00CD5CA5"/>
    <w:rsid w:val="00CE0F95"/>
    <w:rsid w:val="00CE2508"/>
    <w:rsid w:val="00CE4A8F"/>
    <w:rsid w:val="00CE5D72"/>
    <w:rsid w:val="00CE6891"/>
    <w:rsid w:val="00CF18E6"/>
    <w:rsid w:val="00CF520A"/>
    <w:rsid w:val="00D10B1E"/>
    <w:rsid w:val="00D10D4D"/>
    <w:rsid w:val="00D1673B"/>
    <w:rsid w:val="00D2031B"/>
    <w:rsid w:val="00D21B90"/>
    <w:rsid w:val="00D22FAA"/>
    <w:rsid w:val="00D2426E"/>
    <w:rsid w:val="00D25FE2"/>
    <w:rsid w:val="00D317E0"/>
    <w:rsid w:val="00D3259D"/>
    <w:rsid w:val="00D341A4"/>
    <w:rsid w:val="00D35506"/>
    <w:rsid w:val="00D429FC"/>
    <w:rsid w:val="00D43252"/>
    <w:rsid w:val="00D47F6D"/>
    <w:rsid w:val="00D55608"/>
    <w:rsid w:val="00D62D60"/>
    <w:rsid w:val="00D65926"/>
    <w:rsid w:val="00D715EE"/>
    <w:rsid w:val="00D71928"/>
    <w:rsid w:val="00D753D8"/>
    <w:rsid w:val="00D803CC"/>
    <w:rsid w:val="00D861E0"/>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294B"/>
    <w:rsid w:val="00E25793"/>
    <w:rsid w:val="00E33A7D"/>
    <w:rsid w:val="00E36504"/>
    <w:rsid w:val="00E44B05"/>
    <w:rsid w:val="00E50BEB"/>
    <w:rsid w:val="00E5189E"/>
    <w:rsid w:val="00E549AA"/>
    <w:rsid w:val="00E5644E"/>
    <w:rsid w:val="00E57356"/>
    <w:rsid w:val="00E63FF3"/>
    <w:rsid w:val="00E64AEB"/>
    <w:rsid w:val="00E674D3"/>
    <w:rsid w:val="00E7260F"/>
    <w:rsid w:val="00E7609D"/>
    <w:rsid w:val="00E845AE"/>
    <w:rsid w:val="00E8535A"/>
    <w:rsid w:val="00E8656C"/>
    <w:rsid w:val="00E86DFE"/>
    <w:rsid w:val="00E877F7"/>
    <w:rsid w:val="00E96630"/>
    <w:rsid w:val="00EA772F"/>
    <w:rsid w:val="00EB0430"/>
    <w:rsid w:val="00EB0D72"/>
    <w:rsid w:val="00EB226B"/>
    <w:rsid w:val="00EB6832"/>
    <w:rsid w:val="00EC1092"/>
    <w:rsid w:val="00EC18CA"/>
    <w:rsid w:val="00EC76A6"/>
    <w:rsid w:val="00ED67B4"/>
    <w:rsid w:val="00ED7A2A"/>
    <w:rsid w:val="00EE228C"/>
    <w:rsid w:val="00EE6CCA"/>
    <w:rsid w:val="00EF1D7F"/>
    <w:rsid w:val="00EF2C6C"/>
    <w:rsid w:val="00F00672"/>
    <w:rsid w:val="00F11769"/>
    <w:rsid w:val="00F13CAD"/>
    <w:rsid w:val="00F1540D"/>
    <w:rsid w:val="00F2273C"/>
    <w:rsid w:val="00F2538A"/>
    <w:rsid w:val="00F27C06"/>
    <w:rsid w:val="00F40DB9"/>
    <w:rsid w:val="00F40E75"/>
    <w:rsid w:val="00F51C2A"/>
    <w:rsid w:val="00F52F38"/>
    <w:rsid w:val="00F54674"/>
    <w:rsid w:val="00F5709A"/>
    <w:rsid w:val="00F60B87"/>
    <w:rsid w:val="00F72C19"/>
    <w:rsid w:val="00F731E5"/>
    <w:rsid w:val="00F75F55"/>
    <w:rsid w:val="00F7684E"/>
    <w:rsid w:val="00F835C7"/>
    <w:rsid w:val="00F862EF"/>
    <w:rsid w:val="00F871D5"/>
    <w:rsid w:val="00F90E19"/>
    <w:rsid w:val="00F91A6C"/>
    <w:rsid w:val="00F95FC2"/>
    <w:rsid w:val="00FA1207"/>
    <w:rsid w:val="00FA51F0"/>
    <w:rsid w:val="00FA5E57"/>
    <w:rsid w:val="00FB01FC"/>
    <w:rsid w:val="00FB1972"/>
    <w:rsid w:val="00FB57F7"/>
    <w:rsid w:val="00FB6B59"/>
    <w:rsid w:val="00FB79C8"/>
    <w:rsid w:val="00FC0F6F"/>
    <w:rsid w:val="00FC68B7"/>
    <w:rsid w:val="00FD3379"/>
    <w:rsid w:val="00FD6B2B"/>
    <w:rsid w:val="00FE1B9F"/>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 w:type="character" w:customStyle="1" w:styleId="FootnoteTextChar">
    <w:name w:val="Footnote Text Char"/>
    <w:aliases w:val="5_G Char"/>
    <w:basedOn w:val="DefaultParagraphFont"/>
    <w:link w:val="FootnoteText"/>
    <w:uiPriority w:val="99"/>
    <w:rsid w:val="0046455D"/>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 w:type="character" w:customStyle="1" w:styleId="FootnoteTextChar">
    <w:name w:val="Footnote Text Char"/>
    <w:aliases w:val="5_G Char"/>
    <w:basedOn w:val="DefaultParagraphFont"/>
    <w:link w:val="FootnoteText"/>
    <w:uiPriority w:val="99"/>
    <w:rsid w:val="0046455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892">
      <w:bodyDiv w:val="1"/>
      <w:marLeft w:val="0"/>
      <w:marRight w:val="0"/>
      <w:marTop w:val="0"/>
      <w:marBottom w:val="0"/>
      <w:divBdr>
        <w:top w:val="none" w:sz="0" w:space="0" w:color="auto"/>
        <w:left w:val="none" w:sz="0" w:space="0" w:color="auto"/>
        <w:bottom w:val="none" w:sz="0" w:space="0" w:color="auto"/>
        <w:right w:val="none" w:sz="0" w:space="0" w:color="auto"/>
      </w:divBdr>
    </w:div>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C2B1-5857-480C-B457-A545AF44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4926</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barrio-champeau</cp:lastModifiedBy>
  <cp:revision>5</cp:revision>
  <cp:lastPrinted>2016-04-01T17:53:00Z</cp:lastPrinted>
  <dcterms:created xsi:type="dcterms:W3CDTF">2016-04-01T17:47:00Z</dcterms:created>
  <dcterms:modified xsi:type="dcterms:W3CDTF">2016-04-04T08:40:00Z</dcterms:modified>
</cp:coreProperties>
</file>