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A32D41">
        <w:trPr>
          <w:trHeight w:val="851"/>
        </w:trPr>
        <w:tc>
          <w:tcPr>
            <w:tcW w:w="1259" w:type="dxa"/>
            <w:tcBorders>
              <w:top w:val="nil"/>
              <w:left w:val="nil"/>
              <w:bottom w:val="single" w:sz="4" w:space="0" w:color="auto"/>
              <w:right w:val="nil"/>
            </w:tcBorders>
          </w:tcPr>
          <w:p w:rsidR="00446DE4" w:rsidRPr="006500BA" w:rsidRDefault="00446DE4" w:rsidP="00A32D41">
            <w:pPr>
              <w:spacing w:after="80" w:line="340" w:lineRule="exact"/>
            </w:pPr>
          </w:p>
        </w:tc>
        <w:tc>
          <w:tcPr>
            <w:tcW w:w="2236" w:type="dxa"/>
            <w:tcBorders>
              <w:top w:val="nil"/>
              <w:left w:val="nil"/>
              <w:bottom w:val="single" w:sz="4" w:space="0" w:color="auto"/>
              <w:right w:val="nil"/>
            </w:tcBorders>
            <w:vAlign w:val="bottom"/>
          </w:tcPr>
          <w:p w:rsidR="00446DE4" w:rsidRPr="00A32D41" w:rsidRDefault="00B3317B" w:rsidP="00A32D41">
            <w:pPr>
              <w:spacing w:after="80" w:line="340" w:lineRule="exact"/>
              <w:rPr>
                <w:sz w:val="28"/>
                <w:szCs w:val="28"/>
              </w:rPr>
            </w:pPr>
            <w:r w:rsidRPr="00A32D41">
              <w:rPr>
                <w:sz w:val="28"/>
                <w:szCs w:val="28"/>
              </w:rPr>
              <w:t>United Nations</w:t>
            </w:r>
          </w:p>
        </w:tc>
        <w:tc>
          <w:tcPr>
            <w:tcW w:w="6144" w:type="dxa"/>
            <w:gridSpan w:val="2"/>
            <w:tcBorders>
              <w:top w:val="nil"/>
              <w:left w:val="nil"/>
              <w:bottom w:val="single" w:sz="4" w:space="0" w:color="auto"/>
              <w:right w:val="nil"/>
            </w:tcBorders>
            <w:vAlign w:val="bottom"/>
          </w:tcPr>
          <w:p w:rsidR="00446DE4" w:rsidRPr="006500BA" w:rsidRDefault="009461DD" w:rsidP="002C0818">
            <w:pPr>
              <w:jc w:val="right"/>
            </w:pPr>
            <w:r w:rsidRPr="00A32D41">
              <w:rPr>
                <w:sz w:val="40"/>
              </w:rPr>
              <w:t>ST</w:t>
            </w:r>
            <w:r w:rsidR="003466AC">
              <w:t>/</w:t>
            </w:r>
            <w:r>
              <w:t>SG</w:t>
            </w:r>
            <w:r w:rsidR="003466AC">
              <w:t>/</w:t>
            </w:r>
            <w:r>
              <w:t>AC.10/C</w:t>
            </w:r>
            <w:r w:rsidR="003466AC">
              <w:t>.3/</w:t>
            </w:r>
            <w:r w:rsidR="00BD10E7">
              <w:t>201</w:t>
            </w:r>
            <w:r w:rsidR="005279D0">
              <w:t>6</w:t>
            </w:r>
            <w:r w:rsidR="003466AC">
              <w:t>/</w:t>
            </w:r>
            <w:r w:rsidR="002C0818">
              <w:t>37</w:t>
            </w:r>
          </w:p>
        </w:tc>
      </w:tr>
      <w:tr w:rsidR="003107FA" w:rsidRPr="006500BA" w:rsidTr="00A32D41">
        <w:trPr>
          <w:trHeight w:val="2835"/>
        </w:trPr>
        <w:tc>
          <w:tcPr>
            <w:tcW w:w="1259" w:type="dxa"/>
            <w:tcBorders>
              <w:top w:val="single" w:sz="4" w:space="0" w:color="auto"/>
              <w:left w:val="nil"/>
              <w:bottom w:val="single" w:sz="12" w:space="0" w:color="auto"/>
              <w:right w:val="nil"/>
            </w:tcBorders>
          </w:tcPr>
          <w:p w:rsidR="003107FA" w:rsidRPr="006500BA" w:rsidRDefault="005132B7" w:rsidP="00A32D41">
            <w:pPr>
              <w:spacing w:before="120"/>
              <w:jc w:val="center"/>
            </w:pPr>
            <w:r>
              <w:rPr>
                <w:noProof/>
                <w:lang w:eastAsia="en-GB"/>
              </w:rPr>
              <w:drawing>
                <wp:inline distT="0" distB="0" distL="0" distR="0" wp14:anchorId="5B1AB55C" wp14:editId="2AAC7E6A">
                  <wp:extent cx="711200" cy="58928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20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A32D41" w:rsidRDefault="00D96CC5" w:rsidP="00A32D41">
            <w:pPr>
              <w:spacing w:before="120" w:line="420" w:lineRule="exact"/>
              <w:rPr>
                <w:b/>
                <w:sz w:val="40"/>
                <w:szCs w:val="40"/>
              </w:rPr>
            </w:pPr>
            <w:r w:rsidRPr="00A32D41">
              <w:rPr>
                <w:b/>
                <w:sz w:val="40"/>
                <w:szCs w:val="40"/>
              </w:rPr>
              <w:t>Secretariat</w:t>
            </w:r>
          </w:p>
        </w:tc>
        <w:tc>
          <w:tcPr>
            <w:tcW w:w="2930" w:type="dxa"/>
            <w:tcBorders>
              <w:top w:val="single" w:sz="4" w:space="0" w:color="auto"/>
              <w:left w:val="nil"/>
              <w:bottom w:val="single" w:sz="12" w:space="0" w:color="auto"/>
              <w:right w:val="nil"/>
            </w:tcBorders>
          </w:tcPr>
          <w:p w:rsidR="003466AC" w:rsidRDefault="003466AC" w:rsidP="00A32D41">
            <w:pPr>
              <w:spacing w:before="240" w:line="240" w:lineRule="exact"/>
            </w:pPr>
            <w:r>
              <w:t>Distr.: General</w:t>
            </w:r>
          </w:p>
          <w:p w:rsidR="003466AC" w:rsidRDefault="002C0818" w:rsidP="00A32D41">
            <w:pPr>
              <w:spacing w:line="240" w:lineRule="exact"/>
            </w:pPr>
            <w:r>
              <w:t>4</w:t>
            </w:r>
            <w:r w:rsidR="000E0662">
              <w:t xml:space="preserve"> </w:t>
            </w:r>
            <w:r w:rsidR="00A22FD5">
              <w:t>April</w:t>
            </w:r>
            <w:r w:rsidR="00B757DF">
              <w:t xml:space="preserve"> </w:t>
            </w:r>
            <w:r w:rsidR="00230AFE">
              <w:t>201</w:t>
            </w:r>
            <w:r w:rsidR="00870CE1">
              <w:t>6</w:t>
            </w:r>
          </w:p>
          <w:p w:rsidR="003466AC" w:rsidRDefault="003466AC" w:rsidP="00A32D41">
            <w:pPr>
              <w:spacing w:line="240" w:lineRule="exact"/>
            </w:pPr>
          </w:p>
          <w:p w:rsidR="003107FA" w:rsidRPr="006500BA" w:rsidRDefault="003466AC" w:rsidP="00A32D41">
            <w:pPr>
              <w:spacing w:line="240" w:lineRule="exact"/>
            </w:pPr>
            <w:r>
              <w:t>Original: English</w:t>
            </w:r>
          </w:p>
        </w:tc>
      </w:tr>
    </w:tbl>
    <w:p w:rsidR="00D35506" w:rsidRDefault="009F0F06" w:rsidP="005176CD">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rsidR="00041765" w:rsidRDefault="00041765" w:rsidP="00041765">
      <w:pPr>
        <w:spacing w:before="120"/>
        <w:rPr>
          <w:b/>
        </w:rPr>
      </w:pPr>
      <w:r w:rsidRPr="000216CC">
        <w:rPr>
          <w:b/>
        </w:rPr>
        <w:t>Sub-Committ</w:t>
      </w:r>
      <w:r w:rsidR="00A22FD5">
        <w:rPr>
          <w:b/>
        </w:rPr>
        <w:t xml:space="preserve">ee of Experts on the Transport </w:t>
      </w:r>
      <w:r w:rsidRPr="000216CC">
        <w:rPr>
          <w:b/>
        </w:rPr>
        <w:t xml:space="preserve">of Dangerous Goods </w:t>
      </w:r>
    </w:p>
    <w:p w:rsidR="00041765" w:rsidRDefault="00041765" w:rsidP="005176CD">
      <w:pPr>
        <w:spacing w:before="120"/>
        <w:rPr>
          <w:b/>
        </w:rPr>
      </w:pPr>
      <w:r>
        <w:rPr>
          <w:b/>
        </w:rPr>
        <w:t xml:space="preserve">Forty-ninth </w:t>
      </w:r>
      <w:proofErr w:type="gramStart"/>
      <w:r>
        <w:rPr>
          <w:b/>
        </w:rPr>
        <w:t>session</w:t>
      </w:r>
      <w:proofErr w:type="gramEnd"/>
    </w:p>
    <w:p w:rsidR="00041765" w:rsidRPr="00A22A58" w:rsidRDefault="00041765" w:rsidP="00041765">
      <w:pPr>
        <w:rPr>
          <w:sz w:val="19"/>
          <w:szCs w:val="19"/>
          <w:lang w:val="en-US"/>
        </w:rPr>
      </w:pPr>
      <w:r w:rsidRPr="00A22A58">
        <w:rPr>
          <w:sz w:val="19"/>
          <w:szCs w:val="19"/>
          <w:lang w:val="en-US"/>
        </w:rPr>
        <w:t>Geneva, 27 June – 6 July 2016</w:t>
      </w:r>
    </w:p>
    <w:p w:rsidR="00041765" w:rsidRPr="0051274C" w:rsidRDefault="00041765" w:rsidP="00041765">
      <w:r w:rsidRPr="0051274C">
        <w:t xml:space="preserve">Item </w:t>
      </w:r>
      <w:r w:rsidR="00A22FD5">
        <w:t>3</w:t>
      </w:r>
      <w:r w:rsidRPr="0051274C">
        <w:t xml:space="preserve"> of the provisional agenda</w:t>
      </w:r>
    </w:p>
    <w:p w:rsidR="008C3CB0" w:rsidRPr="0051274C" w:rsidRDefault="00A22FD5" w:rsidP="00041765">
      <w:pPr>
        <w:rPr>
          <w:b/>
          <w:highlight w:val="yellow"/>
        </w:rPr>
      </w:pPr>
      <w:r w:rsidRPr="00A22FD5">
        <w:rPr>
          <w:b/>
        </w:rPr>
        <w:t>Listing, classification and packing</w:t>
      </w:r>
    </w:p>
    <w:p w:rsidR="007656AE" w:rsidRPr="002D128B" w:rsidRDefault="007656AE" w:rsidP="007656AE">
      <w:pPr>
        <w:pStyle w:val="HChG"/>
      </w:pPr>
      <w:r w:rsidRPr="002D128B">
        <w:rPr>
          <w:rFonts w:eastAsia="MS Mincho"/>
          <w:lang w:eastAsia="ja-JP"/>
        </w:rPr>
        <w:tab/>
      </w:r>
      <w:r w:rsidRPr="002D128B">
        <w:rPr>
          <w:rFonts w:eastAsia="MS Mincho"/>
          <w:lang w:eastAsia="ja-JP"/>
        </w:rPr>
        <w:tab/>
      </w:r>
      <w:r w:rsidR="00CE0F95">
        <w:rPr>
          <w:rFonts w:eastAsia="MS Mincho"/>
          <w:lang w:eastAsia="ja-JP"/>
        </w:rPr>
        <w:t xml:space="preserve">Proper </w:t>
      </w:r>
      <w:r w:rsidR="00C50B12">
        <w:rPr>
          <w:rFonts w:eastAsia="MS Mincho"/>
          <w:lang w:eastAsia="ja-JP"/>
        </w:rPr>
        <w:t>s</w:t>
      </w:r>
      <w:r w:rsidR="00CE0F95">
        <w:rPr>
          <w:rFonts w:eastAsia="MS Mincho"/>
          <w:lang w:eastAsia="ja-JP"/>
        </w:rPr>
        <w:t xml:space="preserve">hipping </w:t>
      </w:r>
      <w:r w:rsidR="00C50B12">
        <w:rPr>
          <w:rFonts w:eastAsia="MS Mincho"/>
          <w:lang w:eastAsia="ja-JP"/>
        </w:rPr>
        <w:t>n</w:t>
      </w:r>
      <w:r w:rsidR="00CE0F95">
        <w:rPr>
          <w:rFonts w:eastAsia="MS Mincho"/>
          <w:lang w:eastAsia="ja-JP"/>
        </w:rPr>
        <w:t xml:space="preserve">ames for </w:t>
      </w:r>
      <w:r w:rsidR="00C50B12">
        <w:rPr>
          <w:rFonts w:eastAsia="MS Mincho"/>
          <w:lang w:eastAsia="ja-JP"/>
        </w:rPr>
        <w:t>m</w:t>
      </w:r>
      <w:r w:rsidR="00CE0F95">
        <w:rPr>
          <w:rFonts w:eastAsia="MS Mincho"/>
          <w:lang w:eastAsia="ja-JP"/>
        </w:rPr>
        <w:t xml:space="preserve">ixtures and </w:t>
      </w:r>
      <w:r w:rsidR="00C50B12">
        <w:rPr>
          <w:rFonts w:eastAsia="MS Mincho"/>
          <w:lang w:eastAsia="ja-JP"/>
        </w:rPr>
        <w:t>s</w:t>
      </w:r>
      <w:r w:rsidR="00CE0F95">
        <w:rPr>
          <w:rFonts w:eastAsia="MS Mincho"/>
          <w:lang w:eastAsia="ja-JP"/>
        </w:rPr>
        <w:t>olutions</w:t>
      </w:r>
      <w:r w:rsidRPr="002D128B">
        <w:rPr>
          <w:rFonts w:eastAsia="MS Mincho"/>
          <w:lang w:eastAsia="ja-JP"/>
        </w:rPr>
        <w:t xml:space="preserve"> </w:t>
      </w:r>
    </w:p>
    <w:p w:rsidR="007656AE" w:rsidRPr="002D128B" w:rsidRDefault="007656AE" w:rsidP="007656AE">
      <w:pPr>
        <w:pStyle w:val="H1G"/>
      </w:pPr>
      <w:r w:rsidRPr="002D128B">
        <w:rPr>
          <w:rFonts w:eastAsia="MS Mincho"/>
        </w:rPr>
        <w:tab/>
      </w:r>
      <w:r w:rsidRPr="002D128B">
        <w:rPr>
          <w:rFonts w:eastAsia="MS Mincho"/>
        </w:rPr>
        <w:tab/>
        <w:t xml:space="preserve">Transmitted by the </w:t>
      </w:r>
      <w:r w:rsidR="00870CE1">
        <w:rPr>
          <w:rFonts w:eastAsia="MS Mincho"/>
        </w:rPr>
        <w:t>expert</w:t>
      </w:r>
      <w:r w:rsidRPr="002D128B">
        <w:rPr>
          <w:rFonts w:eastAsia="MS Mincho"/>
        </w:rPr>
        <w:t xml:space="preserve"> from </w:t>
      </w:r>
      <w:r w:rsidR="00CE0F95">
        <w:rPr>
          <w:rFonts w:eastAsia="MS Mincho"/>
        </w:rPr>
        <w:t>the United States of America</w:t>
      </w:r>
      <w:r>
        <w:rPr>
          <w:rStyle w:val="FootnoteReference"/>
          <w:rFonts w:eastAsia="MS Mincho"/>
        </w:rPr>
        <w:footnoteReference w:id="2"/>
      </w:r>
    </w:p>
    <w:p w:rsidR="007656AE" w:rsidRPr="00FA5E57" w:rsidRDefault="007656AE" w:rsidP="007656AE">
      <w:pPr>
        <w:pStyle w:val="HChG"/>
        <w:rPr>
          <w:lang w:val="en-US"/>
        </w:rPr>
      </w:pPr>
      <w:r w:rsidRPr="002D128B">
        <w:tab/>
      </w:r>
      <w:r w:rsidRPr="002D128B">
        <w:tab/>
      </w:r>
      <w:r w:rsidRPr="00FA5E57">
        <w:rPr>
          <w:lang w:val="en-US"/>
        </w:rPr>
        <w:t>Introduction</w:t>
      </w:r>
    </w:p>
    <w:p w:rsidR="003C2441" w:rsidRDefault="00194EA4" w:rsidP="003C2441">
      <w:pPr>
        <w:pStyle w:val="SingleTxtG"/>
        <w:rPr>
          <w:snapToGrid w:val="0"/>
          <w:szCs w:val="22"/>
          <w:lang w:val="en-US"/>
        </w:rPr>
      </w:pPr>
      <w:r>
        <w:t>1.</w:t>
      </w:r>
      <w:r>
        <w:tab/>
      </w:r>
      <w:r w:rsidR="003B2C2B">
        <w:t>The selection of an appropriate proper shipping name listed within the Dangerous Goods List is a fundamental aspect of the Model Regulations</w:t>
      </w:r>
      <w:r w:rsidR="006504FE">
        <w:t xml:space="preserve"> that has a significant impact on determining applicable transport conditions.  D</w:t>
      </w:r>
      <w:r w:rsidR="00CE0F95">
        <w:t>etailed provisions addressing selection of a proper shipping name for mixtures and solutions</w:t>
      </w:r>
      <w:r w:rsidR="006504FE">
        <w:t xml:space="preserve"> are included in Chapters 2.0 and 3.1</w:t>
      </w:r>
      <w:r w:rsidR="00CE0F95">
        <w:t xml:space="preserve">.  </w:t>
      </w:r>
      <w:r w:rsidR="0030155B">
        <w:t>S</w:t>
      </w:r>
      <w:r w:rsidR="00CE0F95">
        <w:t xml:space="preserve">pecific </w:t>
      </w:r>
      <w:r w:rsidR="006504FE">
        <w:t>provisions address</w:t>
      </w:r>
      <w:r w:rsidR="0030155B">
        <w:t>ing</w:t>
      </w:r>
      <w:r w:rsidR="00CE0F95">
        <w:t xml:space="preserve"> mixtures or solutions </w:t>
      </w:r>
      <w:r w:rsidR="00CE0F95" w:rsidRPr="00A9411C">
        <w:rPr>
          <w:snapToGrid w:val="0"/>
          <w:szCs w:val="22"/>
          <w:lang w:val="en-US"/>
        </w:rPr>
        <w:t>composed of a single predominant substance identified by name in the Dangerous Goods List</w:t>
      </w:r>
      <w:r w:rsidR="003C2441">
        <w:rPr>
          <w:snapToGrid w:val="0"/>
          <w:szCs w:val="22"/>
          <w:lang w:val="en-US"/>
        </w:rPr>
        <w:t xml:space="preserve"> </w:t>
      </w:r>
      <w:r w:rsidR="0030155B">
        <w:rPr>
          <w:snapToGrid w:val="0"/>
          <w:szCs w:val="22"/>
          <w:lang w:val="en-US"/>
        </w:rPr>
        <w:t xml:space="preserve">are provided (see for </w:t>
      </w:r>
      <w:r w:rsidR="008D1A84">
        <w:rPr>
          <w:snapToGrid w:val="0"/>
          <w:szCs w:val="22"/>
          <w:lang w:val="en-US"/>
        </w:rPr>
        <w:t>example 2.0.2.2</w:t>
      </w:r>
      <w:r w:rsidR="0030155B">
        <w:rPr>
          <w:snapToGrid w:val="0"/>
          <w:szCs w:val="22"/>
          <w:lang w:val="en-US"/>
        </w:rPr>
        <w:t>, 2.0.2.5, and 3.1.3.2).</w:t>
      </w:r>
    </w:p>
    <w:p w:rsidR="003C2441" w:rsidRDefault="00194EA4" w:rsidP="003C2441">
      <w:pPr>
        <w:pStyle w:val="SingleTxtG"/>
        <w:rPr>
          <w:snapToGrid w:val="0"/>
          <w:szCs w:val="22"/>
          <w:lang w:val="en-US"/>
        </w:rPr>
      </w:pPr>
      <w:r>
        <w:rPr>
          <w:snapToGrid w:val="0"/>
          <w:szCs w:val="22"/>
          <w:lang w:val="en-US"/>
        </w:rPr>
        <w:t>2.</w:t>
      </w:r>
      <w:r>
        <w:rPr>
          <w:snapToGrid w:val="0"/>
          <w:szCs w:val="22"/>
          <w:lang w:val="en-US"/>
        </w:rPr>
        <w:tab/>
      </w:r>
      <w:r w:rsidR="006504FE">
        <w:rPr>
          <w:snapToGrid w:val="0"/>
          <w:szCs w:val="22"/>
          <w:lang w:val="en-US"/>
        </w:rPr>
        <w:t xml:space="preserve">Sections </w:t>
      </w:r>
      <w:r w:rsidR="003C2441">
        <w:rPr>
          <w:snapToGrid w:val="0"/>
          <w:szCs w:val="22"/>
          <w:lang w:val="en-US"/>
        </w:rPr>
        <w:t xml:space="preserve">2.0.2.5 and 3.1.3.2 </w:t>
      </w:r>
      <w:r w:rsidR="006504FE">
        <w:rPr>
          <w:snapToGrid w:val="0"/>
          <w:szCs w:val="22"/>
          <w:lang w:val="en-US"/>
        </w:rPr>
        <w:t xml:space="preserve">address </w:t>
      </w:r>
      <w:r w:rsidR="003C2441">
        <w:rPr>
          <w:snapToGrid w:val="0"/>
          <w:szCs w:val="22"/>
          <w:lang w:val="en-US"/>
        </w:rPr>
        <w:t>cases where a mixture or solution contains a single predominant substance</w:t>
      </w:r>
      <w:r w:rsidR="008D1A84">
        <w:rPr>
          <w:snapToGrid w:val="0"/>
          <w:szCs w:val="22"/>
          <w:lang w:val="en-US"/>
        </w:rPr>
        <w:t>,</w:t>
      </w:r>
      <w:r w:rsidR="003C2441">
        <w:rPr>
          <w:snapToGrid w:val="0"/>
          <w:szCs w:val="22"/>
          <w:lang w:val="en-US"/>
        </w:rPr>
        <w:t xml:space="preserve"> but where a proper shipping name other than the name for the predominant substance may be most appropriate.  These conditions include:</w:t>
      </w:r>
    </w:p>
    <w:p w:rsidR="003C2441" w:rsidRPr="002C0818" w:rsidRDefault="003C2441" w:rsidP="002C0818">
      <w:pPr>
        <w:pStyle w:val="SingleTxtG"/>
        <w:ind w:left="1701"/>
        <w:rPr>
          <w:i/>
          <w:snapToGrid w:val="0"/>
          <w:lang w:val="en-US"/>
        </w:rPr>
      </w:pPr>
      <w:r w:rsidRPr="002C0818">
        <w:rPr>
          <w:i/>
          <w:snapToGrid w:val="0"/>
          <w:lang w:val="en-US"/>
        </w:rPr>
        <w:t>(a)</w:t>
      </w:r>
      <w:r w:rsidRPr="002C0818">
        <w:rPr>
          <w:i/>
          <w:snapToGrid w:val="0"/>
          <w:lang w:val="en-US"/>
        </w:rPr>
        <w:tab/>
        <w:t>The mixture or solution is identified by name in the Dangerous Goods List;</w:t>
      </w:r>
    </w:p>
    <w:p w:rsidR="003C2441" w:rsidRPr="002C0818" w:rsidRDefault="003C2441" w:rsidP="002C0818">
      <w:pPr>
        <w:pStyle w:val="SingleTxtG"/>
        <w:ind w:left="1701"/>
        <w:rPr>
          <w:i/>
          <w:snapToGrid w:val="0"/>
          <w:lang w:val="en-US"/>
        </w:rPr>
      </w:pPr>
      <w:r w:rsidRPr="002C0818">
        <w:rPr>
          <w:i/>
          <w:snapToGrid w:val="0"/>
          <w:lang w:val="en-US"/>
        </w:rPr>
        <w:t>(b)</w:t>
      </w:r>
      <w:r w:rsidRPr="002C0818">
        <w:rPr>
          <w:i/>
          <w:snapToGrid w:val="0"/>
          <w:lang w:val="en-US"/>
        </w:rPr>
        <w:tab/>
        <w:t>The name and description of the substance named in the Dangerous Goods List specifically indicate that they apply only to the pure substance;</w:t>
      </w:r>
    </w:p>
    <w:p w:rsidR="003C2441" w:rsidRPr="002C0818" w:rsidRDefault="003C2441" w:rsidP="002C0818">
      <w:pPr>
        <w:pStyle w:val="SingleTxtG"/>
        <w:ind w:left="1701"/>
        <w:rPr>
          <w:i/>
          <w:snapToGrid w:val="0"/>
          <w:lang w:val="en-US"/>
        </w:rPr>
      </w:pPr>
      <w:r w:rsidRPr="002C0818">
        <w:rPr>
          <w:i/>
          <w:snapToGrid w:val="0"/>
          <w:lang w:val="en-US"/>
        </w:rPr>
        <w:t>(c)</w:t>
      </w:r>
      <w:r w:rsidRPr="002C0818">
        <w:rPr>
          <w:i/>
          <w:snapToGrid w:val="0"/>
          <w:lang w:val="en-US"/>
        </w:rPr>
        <w:tab/>
        <w:t xml:space="preserve">The hazard class or division, subsidiary risk(s), packing group, or physical state of the mixture or solution is different from that of the substance named in the Dangerous Goods List; or </w:t>
      </w:r>
    </w:p>
    <w:p w:rsidR="00BA171E" w:rsidRPr="002C0818" w:rsidRDefault="003C2441" w:rsidP="002C0818">
      <w:pPr>
        <w:widowControl w:val="0"/>
        <w:ind w:left="2520" w:right="1089" w:hanging="606"/>
        <w:jc w:val="both"/>
        <w:rPr>
          <w:i/>
          <w:snapToGrid w:val="0"/>
          <w:szCs w:val="22"/>
          <w:lang w:val="en-US"/>
        </w:rPr>
      </w:pPr>
      <w:r w:rsidRPr="00BA171E">
        <w:rPr>
          <w:i/>
          <w:snapToGrid w:val="0"/>
          <w:szCs w:val="22"/>
          <w:lang w:val="en-US"/>
        </w:rPr>
        <w:lastRenderedPageBreak/>
        <w:t>(d)</w:t>
      </w:r>
      <w:r w:rsidRPr="00BA171E">
        <w:rPr>
          <w:i/>
          <w:snapToGrid w:val="0"/>
          <w:szCs w:val="22"/>
          <w:lang w:val="en-US"/>
        </w:rPr>
        <w:tab/>
        <w:t>The hazard characteristics and properties of the mixture or solution necessitate emergency response measures that are different from those required for the substance identified by name in the Dangerous Goods List.</w:t>
      </w:r>
    </w:p>
    <w:p w:rsidR="002172A0" w:rsidRDefault="00194EA4" w:rsidP="002C0818">
      <w:pPr>
        <w:pStyle w:val="SingleTxtG"/>
        <w:rPr>
          <w:lang w:val="en-US"/>
        </w:rPr>
      </w:pPr>
      <w:r>
        <w:rPr>
          <w:lang w:val="en-US"/>
        </w:rPr>
        <w:t>3.</w:t>
      </w:r>
      <w:r>
        <w:rPr>
          <w:lang w:val="en-US"/>
        </w:rPr>
        <w:tab/>
      </w:r>
      <w:r w:rsidR="002172A0">
        <w:rPr>
          <w:lang w:val="en-US"/>
        </w:rPr>
        <w:t>Recent</w:t>
      </w:r>
      <w:r>
        <w:rPr>
          <w:lang w:val="en-US"/>
        </w:rPr>
        <w:t>ly,</w:t>
      </w:r>
      <w:r w:rsidR="002172A0">
        <w:rPr>
          <w:lang w:val="en-US"/>
        </w:rPr>
        <w:t xml:space="preserve"> requests for interpretations by consignors posed to different competent authorities </w:t>
      </w:r>
      <w:r>
        <w:rPr>
          <w:lang w:val="en-US"/>
        </w:rPr>
        <w:t xml:space="preserve">have </w:t>
      </w:r>
      <w:r w:rsidR="002172A0">
        <w:rPr>
          <w:lang w:val="en-US"/>
        </w:rPr>
        <w:t>elicited different responses</w:t>
      </w:r>
      <w:r w:rsidR="003827B0">
        <w:rPr>
          <w:lang w:val="en-US"/>
        </w:rPr>
        <w:t>, underscoring</w:t>
      </w:r>
      <w:r w:rsidR="002172A0">
        <w:rPr>
          <w:lang w:val="en-US"/>
        </w:rPr>
        <w:t xml:space="preserve"> the potential need for a clarification</w:t>
      </w:r>
      <w:r>
        <w:rPr>
          <w:lang w:val="en-US"/>
        </w:rPr>
        <w:t xml:space="preserve">.  </w:t>
      </w:r>
      <w:r w:rsidR="002172A0">
        <w:rPr>
          <w:lang w:val="en-US"/>
        </w:rPr>
        <w:t xml:space="preserve">Specifically, consignors have received conflicting interpretations as to the applicability of 2.0.2.5(a)/3.1.3.2(a) to mixtures </w:t>
      </w:r>
      <w:r w:rsidR="00D861E0">
        <w:rPr>
          <w:lang w:val="en-US"/>
        </w:rPr>
        <w:t>that based on their intended use and application could be appropriately described</w:t>
      </w:r>
      <w:r w:rsidR="006504FE">
        <w:rPr>
          <w:lang w:val="en-US"/>
        </w:rPr>
        <w:t xml:space="preserve"> </w:t>
      </w:r>
      <w:r w:rsidR="00D861E0">
        <w:rPr>
          <w:lang w:val="en-US"/>
        </w:rPr>
        <w:t xml:space="preserve">by </w:t>
      </w:r>
      <w:r w:rsidR="006504FE">
        <w:rPr>
          <w:lang w:val="en-US"/>
        </w:rPr>
        <w:t>proper shipping names such as “resin solutions” or “paint”</w:t>
      </w:r>
      <w:r w:rsidR="002172A0">
        <w:rPr>
          <w:lang w:val="en-US"/>
        </w:rPr>
        <w:t xml:space="preserve">.  Such mixtures </w:t>
      </w:r>
      <w:r w:rsidR="00243A83">
        <w:rPr>
          <w:lang w:val="en-US"/>
        </w:rPr>
        <w:t xml:space="preserve">or solutions </w:t>
      </w:r>
      <w:r w:rsidR="006504FE">
        <w:rPr>
          <w:lang w:val="en-US"/>
        </w:rPr>
        <w:t>often conta</w:t>
      </w:r>
      <w:r w:rsidR="009E76E2">
        <w:rPr>
          <w:lang w:val="en-US"/>
        </w:rPr>
        <w:t>in only one dangerous substance.</w:t>
      </w:r>
    </w:p>
    <w:p w:rsidR="002172A0" w:rsidRDefault="00194EA4" w:rsidP="002C0818">
      <w:pPr>
        <w:pStyle w:val="SingleTxtG"/>
        <w:rPr>
          <w:lang w:val="en-US"/>
        </w:rPr>
      </w:pPr>
      <w:r>
        <w:rPr>
          <w:lang w:val="en-US"/>
        </w:rPr>
        <w:t>4.</w:t>
      </w:r>
      <w:r>
        <w:rPr>
          <w:lang w:val="en-US"/>
        </w:rPr>
        <w:tab/>
      </w:r>
      <w:r w:rsidR="00D861E0">
        <w:rPr>
          <w:lang w:val="en-US"/>
        </w:rPr>
        <w:t>For example</w:t>
      </w:r>
      <w:r w:rsidR="00FB79C8">
        <w:rPr>
          <w:lang w:val="en-US"/>
        </w:rPr>
        <w:t xml:space="preserve"> some authorities have indicated that</w:t>
      </w:r>
      <w:r>
        <w:rPr>
          <w:lang w:val="en-US"/>
        </w:rPr>
        <w:t xml:space="preserve"> </w:t>
      </w:r>
      <w:r w:rsidR="006504FE">
        <w:rPr>
          <w:lang w:val="en-US"/>
        </w:rPr>
        <w:t xml:space="preserve">a resin solution composed of </w:t>
      </w:r>
      <w:r w:rsidR="00FB79C8">
        <w:rPr>
          <w:lang w:val="en-US"/>
        </w:rPr>
        <w:t>a single dangerous substance such as butyl acetate and a mixture of other non-dangerous substances not</w:t>
      </w:r>
      <w:r w:rsidR="006504FE">
        <w:rPr>
          <w:lang w:val="en-US"/>
        </w:rPr>
        <w:t xml:space="preserve"> may be appropriately described as “resin solution, </w:t>
      </w:r>
      <w:r w:rsidR="00082FBF">
        <w:rPr>
          <w:lang w:val="en-US"/>
        </w:rPr>
        <w:t>UN1866</w:t>
      </w:r>
      <w:r w:rsidR="006504FE">
        <w:rPr>
          <w:lang w:val="en-US"/>
        </w:rPr>
        <w:t>”</w:t>
      </w:r>
      <w:r w:rsidR="0030155B">
        <w:rPr>
          <w:lang w:val="en-US"/>
        </w:rPr>
        <w:t>.</w:t>
      </w:r>
      <w:r w:rsidR="00D861E0">
        <w:rPr>
          <w:lang w:val="en-US"/>
        </w:rPr>
        <w:t xml:space="preserve">  However other competent authorities have considered that the most appropriate proper shipping name for such a solution is “</w:t>
      </w:r>
      <w:r w:rsidR="00082FBF">
        <w:rPr>
          <w:lang w:val="en-US"/>
        </w:rPr>
        <w:t>butyl acetates solution, UN1123</w:t>
      </w:r>
      <w:r w:rsidR="00D861E0">
        <w:rPr>
          <w:lang w:val="en-US"/>
        </w:rPr>
        <w:t>”.</w:t>
      </w:r>
    </w:p>
    <w:p w:rsidR="002172A0" w:rsidRDefault="00194EA4" w:rsidP="002C0818">
      <w:pPr>
        <w:pStyle w:val="SingleTxtG"/>
        <w:rPr>
          <w:lang w:val="en-US"/>
        </w:rPr>
      </w:pPr>
      <w:r>
        <w:rPr>
          <w:lang w:val="en-US"/>
        </w:rPr>
        <w:t>5.</w:t>
      </w:r>
      <w:r>
        <w:rPr>
          <w:lang w:val="en-US"/>
        </w:rPr>
        <w:tab/>
      </w:r>
      <w:r w:rsidR="00D861E0">
        <w:rPr>
          <w:lang w:val="en-US"/>
        </w:rPr>
        <w:t>In the opinion of this delegation, the current Model Regulations</w:t>
      </w:r>
      <w:r w:rsidR="005A7537">
        <w:rPr>
          <w:lang w:val="en-US"/>
        </w:rPr>
        <w:t xml:space="preserve"> provide for </w:t>
      </w:r>
      <w:r w:rsidR="00D861E0">
        <w:rPr>
          <w:lang w:val="en-US"/>
        </w:rPr>
        <w:t xml:space="preserve">the use of a proper shipping name such as “resin solutions” or “paint” even when the </w:t>
      </w:r>
      <w:r w:rsidR="00190AC6">
        <w:rPr>
          <w:lang w:val="en-US"/>
        </w:rPr>
        <w:t>material</w:t>
      </w:r>
      <w:r w:rsidR="00D861E0">
        <w:rPr>
          <w:lang w:val="en-US"/>
        </w:rPr>
        <w:t xml:space="preserve"> in question contains only one predominant dangerous good</w:t>
      </w:r>
      <w:r w:rsidR="00190AC6">
        <w:rPr>
          <w:lang w:val="en-US"/>
        </w:rPr>
        <w:t>.  T</w:t>
      </w:r>
      <w:r w:rsidR="00D861E0">
        <w:rPr>
          <w:lang w:val="en-US"/>
        </w:rPr>
        <w:t xml:space="preserve">his is considered to be the intent of the existing provisions in 2.0.2.5(a) and 3.1.3.2(a).  </w:t>
      </w:r>
      <w:r w:rsidR="00A222C4">
        <w:rPr>
          <w:lang w:val="en-US"/>
        </w:rPr>
        <w:t>Given the varying interpretations of th</w:t>
      </w:r>
      <w:r w:rsidR="00FB79C8">
        <w:rPr>
          <w:lang w:val="en-US"/>
        </w:rPr>
        <w:t>e current text h</w:t>
      </w:r>
      <w:r w:rsidR="00A222C4">
        <w:rPr>
          <w:lang w:val="en-US"/>
        </w:rPr>
        <w:t>owever, t</w:t>
      </w:r>
      <w:r w:rsidR="002172A0">
        <w:rPr>
          <w:lang w:val="en-US"/>
        </w:rPr>
        <w:t xml:space="preserve">he Sub-Committee is invited to consider whether a clarification to the existing text of 2.0.2.5 and 3.1.3.2 would be beneficial.  </w:t>
      </w:r>
    </w:p>
    <w:p w:rsidR="002172A0" w:rsidRPr="002172A0" w:rsidRDefault="002C0818" w:rsidP="002C0818">
      <w:pPr>
        <w:pStyle w:val="HChG"/>
        <w:rPr>
          <w:lang w:val="en-US"/>
        </w:rPr>
      </w:pPr>
      <w:r>
        <w:rPr>
          <w:lang w:val="en-US"/>
        </w:rPr>
        <w:tab/>
      </w:r>
      <w:r>
        <w:rPr>
          <w:lang w:val="en-US"/>
        </w:rPr>
        <w:tab/>
      </w:r>
      <w:r w:rsidR="002172A0" w:rsidRPr="002172A0">
        <w:rPr>
          <w:lang w:val="en-US"/>
        </w:rPr>
        <w:t>Proposal</w:t>
      </w:r>
    </w:p>
    <w:p w:rsidR="002172A0" w:rsidRDefault="002172A0" w:rsidP="002C0818">
      <w:pPr>
        <w:pStyle w:val="SingleTxtG"/>
        <w:rPr>
          <w:lang w:val="en-US"/>
        </w:rPr>
      </w:pPr>
      <w:r>
        <w:rPr>
          <w:lang w:val="en-US"/>
        </w:rPr>
        <w:t>Amend 2.0.2.5(a) and 3.1.3.2(a) as follows:</w:t>
      </w:r>
    </w:p>
    <w:p w:rsidR="002172A0" w:rsidRPr="002C0818" w:rsidRDefault="002172A0" w:rsidP="002C0818">
      <w:pPr>
        <w:pStyle w:val="SingleTxtG"/>
        <w:ind w:left="1701"/>
        <w:rPr>
          <w:i/>
          <w:snapToGrid w:val="0"/>
          <w:lang w:val="en-US"/>
        </w:rPr>
      </w:pPr>
      <w:r w:rsidRPr="002C0818">
        <w:rPr>
          <w:i/>
          <w:snapToGrid w:val="0"/>
          <w:lang w:val="en-US"/>
        </w:rPr>
        <w:t>(a)</w:t>
      </w:r>
      <w:r w:rsidRPr="002C0818">
        <w:rPr>
          <w:i/>
          <w:snapToGrid w:val="0"/>
          <w:lang w:val="en-US"/>
        </w:rPr>
        <w:tab/>
        <w:t xml:space="preserve">The mixture or solution is identified by name </w:t>
      </w:r>
      <w:r w:rsidRPr="002C0818">
        <w:rPr>
          <w:i/>
          <w:snapToGrid w:val="0"/>
          <w:u w:val="single"/>
          <w:lang w:val="en-US"/>
        </w:rPr>
        <w:t xml:space="preserve">(to include </w:t>
      </w:r>
      <w:r w:rsidR="0095511A" w:rsidRPr="002C0818">
        <w:rPr>
          <w:i/>
          <w:snapToGrid w:val="0"/>
          <w:u w:val="single"/>
          <w:lang w:val="en-US"/>
        </w:rPr>
        <w:t xml:space="preserve">common </w:t>
      </w:r>
      <w:r w:rsidRPr="002C0818">
        <w:rPr>
          <w:i/>
          <w:snapToGrid w:val="0"/>
          <w:u w:val="single"/>
          <w:lang w:val="en-US"/>
        </w:rPr>
        <w:t>name</w:t>
      </w:r>
      <w:r w:rsidR="0095511A" w:rsidRPr="002C0818">
        <w:rPr>
          <w:i/>
          <w:snapToGrid w:val="0"/>
          <w:u w:val="single"/>
          <w:lang w:val="en-US"/>
        </w:rPr>
        <w:t>s</w:t>
      </w:r>
      <w:r w:rsidRPr="002C0818">
        <w:rPr>
          <w:i/>
          <w:snapToGrid w:val="0"/>
          <w:u w:val="single"/>
          <w:lang w:val="en-US"/>
        </w:rPr>
        <w:t xml:space="preserve"> such as </w:t>
      </w:r>
      <w:r w:rsidR="0079544F" w:rsidRPr="002C0818">
        <w:rPr>
          <w:i/>
          <w:u w:val="single"/>
          <w:lang w:val="en-US"/>
        </w:rPr>
        <w:t>“</w:t>
      </w:r>
      <w:r w:rsidR="0095511A" w:rsidRPr="002C0818">
        <w:rPr>
          <w:i/>
          <w:u w:val="single"/>
          <w:lang w:val="en-US"/>
        </w:rPr>
        <w:t>Resin</w:t>
      </w:r>
      <w:r w:rsidR="0079544F" w:rsidRPr="002C0818">
        <w:rPr>
          <w:i/>
          <w:u w:val="single"/>
          <w:lang w:val="en-US"/>
        </w:rPr>
        <w:t xml:space="preserve"> Solution”, “Extracts, </w:t>
      </w:r>
      <w:proofErr w:type="spellStart"/>
      <w:r w:rsidR="0079544F" w:rsidRPr="002C0818">
        <w:rPr>
          <w:i/>
          <w:u w:val="single"/>
          <w:lang w:val="en-US"/>
        </w:rPr>
        <w:t>flavo</w:t>
      </w:r>
      <w:r w:rsidR="00C50B12">
        <w:rPr>
          <w:i/>
          <w:u w:val="single"/>
          <w:lang w:val="en-US"/>
        </w:rPr>
        <w:t>u</w:t>
      </w:r>
      <w:bookmarkStart w:id="0" w:name="_GoBack"/>
      <w:bookmarkEnd w:id="0"/>
      <w:r w:rsidR="0079544F" w:rsidRPr="002C0818">
        <w:rPr>
          <w:i/>
          <w:u w:val="single"/>
          <w:lang w:val="en-US"/>
        </w:rPr>
        <w:t>ring</w:t>
      </w:r>
      <w:proofErr w:type="spellEnd"/>
      <w:r w:rsidR="0079544F" w:rsidRPr="002C0818">
        <w:rPr>
          <w:i/>
          <w:u w:val="single"/>
          <w:lang w:val="en-US"/>
        </w:rPr>
        <w:t>”, or “Compound, cleaning liquid”</w:t>
      </w:r>
      <w:r w:rsidRPr="002C0818">
        <w:rPr>
          <w:i/>
          <w:snapToGrid w:val="0"/>
          <w:u w:val="single"/>
          <w:lang w:val="en-US"/>
        </w:rPr>
        <w:t xml:space="preserve"> etc.)</w:t>
      </w:r>
      <w:r w:rsidRPr="002C0818">
        <w:rPr>
          <w:i/>
          <w:snapToGrid w:val="0"/>
          <w:lang w:val="en-US"/>
        </w:rPr>
        <w:t xml:space="preserve"> in the Dangerous Goods List;</w:t>
      </w:r>
    </w:p>
    <w:p w:rsidR="007656AE" w:rsidRPr="00460062" w:rsidRDefault="0060709C" w:rsidP="00460062">
      <w:pPr>
        <w:pStyle w:val="SingleTxtG"/>
        <w:spacing w:before="240" w:after="0"/>
        <w:jc w:val="center"/>
        <w:rPr>
          <w:u w:val="single"/>
        </w:rPr>
      </w:pPr>
      <w:r>
        <w:rPr>
          <w:u w:val="single"/>
        </w:rPr>
        <w:tab/>
      </w:r>
      <w:r>
        <w:rPr>
          <w:u w:val="single"/>
        </w:rPr>
        <w:tab/>
      </w:r>
      <w:r>
        <w:rPr>
          <w:u w:val="single"/>
        </w:rPr>
        <w:tab/>
      </w:r>
    </w:p>
    <w:sectPr w:rsidR="007656AE" w:rsidRPr="00460062" w:rsidSect="003466AC">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E3D" w:rsidRDefault="00C41E3D"/>
  </w:endnote>
  <w:endnote w:type="continuationSeparator" w:id="0">
    <w:p w:rsidR="00C41E3D" w:rsidRDefault="00C41E3D"/>
  </w:endnote>
  <w:endnote w:type="continuationNotice" w:id="1">
    <w:p w:rsidR="00C41E3D" w:rsidRDefault="00C41E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CE1" w:rsidRPr="003466AC" w:rsidRDefault="00870CE1" w:rsidP="003466AC">
    <w:pPr>
      <w:pStyle w:val="Footer"/>
      <w:tabs>
        <w:tab w:val="right" w:pos="9638"/>
      </w:tabs>
      <w:rPr>
        <w:sz w:val="18"/>
      </w:rPr>
    </w:pPr>
    <w:r w:rsidRPr="003466AC">
      <w:rPr>
        <w:b/>
        <w:sz w:val="18"/>
      </w:rPr>
      <w:fldChar w:fldCharType="begin"/>
    </w:r>
    <w:r w:rsidRPr="003466AC">
      <w:rPr>
        <w:b/>
        <w:sz w:val="18"/>
      </w:rPr>
      <w:instrText xml:space="preserve"> PAGE  \* MERGEFORMAT </w:instrText>
    </w:r>
    <w:r w:rsidRPr="003466AC">
      <w:rPr>
        <w:b/>
        <w:sz w:val="18"/>
      </w:rPr>
      <w:fldChar w:fldCharType="separate"/>
    </w:r>
    <w:r w:rsidR="00411979">
      <w:rPr>
        <w:b/>
        <w:noProof/>
        <w:sz w:val="18"/>
      </w:rPr>
      <w:t>2</w:t>
    </w:r>
    <w:r w:rsidRPr="003466A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CE1" w:rsidRPr="003466AC" w:rsidRDefault="00870CE1" w:rsidP="003466AC">
    <w:pPr>
      <w:pStyle w:val="Footer"/>
      <w:tabs>
        <w:tab w:val="right" w:pos="9638"/>
      </w:tabs>
      <w:rPr>
        <w:b/>
        <w:sz w:val="18"/>
      </w:rPr>
    </w:pPr>
    <w:r>
      <w:tab/>
    </w:r>
    <w:r w:rsidRPr="003466AC">
      <w:rPr>
        <w:b/>
        <w:sz w:val="18"/>
      </w:rPr>
      <w:fldChar w:fldCharType="begin"/>
    </w:r>
    <w:r w:rsidRPr="003466AC">
      <w:rPr>
        <w:b/>
        <w:sz w:val="18"/>
      </w:rPr>
      <w:instrText xml:space="preserve"> PAGE  \* MERGEFORMAT </w:instrText>
    </w:r>
    <w:r w:rsidRPr="003466AC">
      <w:rPr>
        <w:b/>
        <w:sz w:val="18"/>
      </w:rPr>
      <w:fldChar w:fldCharType="separate"/>
    </w:r>
    <w:r w:rsidR="00460062">
      <w:rPr>
        <w:b/>
        <w:noProof/>
        <w:sz w:val="18"/>
      </w:rPr>
      <w:t>3</w:t>
    </w:r>
    <w:r w:rsidRPr="003466A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E3D" w:rsidRPr="000B175B" w:rsidRDefault="00C41E3D" w:rsidP="000B175B">
      <w:pPr>
        <w:tabs>
          <w:tab w:val="right" w:pos="2155"/>
        </w:tabs>
        <w:spacing w:after="80"/>
        <w:ind w:left="680"/>
        <w:rPr>
          <w:u w:val="single"/>
        </w:rPr>
      </w:pPr>
      <w:r>
        <w:rPr>
          <w:u w:val="single"/>
        </w:rPr>
        <w:tab/>
      </w:r>
    </w:p>
  </w:footnote>
  <w:footnote w:type="continuationSeparator" w:id="0">
    <w:p w:rsidR="00C41E3D" w:rsidRPr="00FC68B7" w:rsidRDefault="00C41E3D" w:rsidP="00FC68B7">
      <w:pPr>
        <w:tabs>
          <w:tab w:val="left" w:pos="2155"/>
        </w:tabs>
        <w:spacing w:after="80"/>
        <w:ind w:left="680"/>
        <w:rPr>
          <w:u w:val="single"/>
        </w:rPr>
      </w:pPr>
      <w:r>
        <w:rPr>
          <w:u w:val="single"/>
        </w:rPr>
        <w:tab/>
      </w:r>
    </w:p>
  </w:footnote>
  <w:footnote w:type="continuationNotice" w:id="1">
    <w:p w:rsidR="00C41E3D" w:rsidRDefault="00C41E3D"/>
  </w:footnote>
  <w:footnote w:id="2">
    <w:p w:rsidR="00870CE1" w:rsidRPr="007656AE" w:rsidRDefault="00870CE1" w:rsidP="007656AE">
      <w:pPr>
        <w:pStyle w:val="FootnoteText"/>
        <w:ind w:firstLine="0"/>
        <w:rPr>
          <w:lang w:val="fr-CH"/>
        </w:rPr>
      </w:pPr>
      <w:r>
        <w:rPr>
          <w:rStyle w:val="FootnoteReference"/>
        </w:rPr>
        <w:footnoteRef/>
      </w:r>
      <w:r>
        <w:t xml:space="preserve"> </w:t>
      </w:r>
      <w:r w:rsidRPr="00554D27">
        <w:t xml:space="preserve">In accordance </w:t>
      </w:r>
      <w:r w:rsidRPr="00221AA5">
        <w:t>with</w:t>
      </w:r>
      <w:r w:rsidRPr="00554D27">
        <w:t xml:space="preserve"> the programme of wo</w:t>
      </w:r>
      <w:r>
        <w:t>rk of the Sub-Committee for 2015</w:t>
      </w:r>
      <w:r w:rsidRPr="00554D27">
        <w:t>–201</w:t>
      </w:r>
      <w:r>
        <w:t>6</w:t>
      </w:r>
      <w:r w:rsidRPr="00554D27">
        <w:t xml:space="preserve"> approved by the Committee at its </w:t>
      </w:r>
      <w:r>
        <w:t>seven</w:t>
      </w:r>
      <w:r w:rsidRPr="00554D27">
        <w:t>th session (</w:t>
      </w:r>
      <w:r>
        <w:t>see</w:t>
      </w:r>
      <w:r w:rsidRPr="00554D27">
        <w:t xml:space="preserve"> </w:t>
      </w:r>
      <w:r w:rsidRPr="00A04E8C">
        <w:t>ST/SG/AC.10/C.3/92, paragraph 95</w:t>
      </w:r>
      <w:r>
        <w:t xml:space="preserve"> and ST/SG/AC.10/</w:t>
      </w:r>
      <w:r w:rsidRPr="00A04E8C">
        <w:t>4</w:t>
      </w:r>
      <w:r>
        <w:t>2</w:t>
      </w:r>
      <w:r w:rsidRPr="00A04E8C">
        <w:t>, para. 1</w:t>
      </w:r>
      <w:r>
        <w:t>5</w:t>
      </w:r>
      <w:r w:rsidRPr="00554D2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CE1" w:rsidRPr="003466AC" w:rsidRDefault="00DF0345">
    <w:pPr>
      <w:pStyle w:val="Header"/>
    </w:pPr>
    <w:r>
      <w:t>ST/SG/AC.10/C.3/2016/1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CE1" w:rsidRPr="004A7B6C" w:rsidRDefault="00870CE1" w:rsidP="004A7B6C">
    <w:pPr>
      <w:pStyle w:val="Header"/>
      <w:jc w:val="right"/>
    </w:pPr>
    <w:r>
      <w:t>ST/SG/AC.10/C.3/2013/55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4834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4">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5">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1"/>
    <w:multiLevelType w:val="singleLevel"/>
    <w:tmpl w:val="00000001"/>
    <w:name w:val="WW8Num1"/>
    <w:lvl w:ilvl="0">
      <w:start w:val="1"/>
      <w:numFmt w:val="lowerLetter"/>
      <w:lvlText w:val="(%1)"/>
      <w:lvlJc w:val="left"/>
      <w:pPr>
        <w:tabs>
          <w:tab w:val="num" w:pos="0"/>
        </w:tabs>
        <w:ind w:left="450" w:hanging="360"/>
      </w:pPr>
    </w:lvl>
  </w:abstractNum>
  <w:abstractNum w:abstractNumId="12">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rPr>
    </w:lvl>
  </w:abstractNum>
  <w:abstractNum w:abstractNumId="13">
    <w:nsid w:val="05A07B90"/>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0C12436E"/>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0C8B70F0"/>
    <w:multiLevelType w:val="hybridMultilevel"/>
    <w:tmpl w:val="0A80230C"/>
    <w:lvl w:ilvl="0" w:tplc="0409001B">
      <w:start w:val="1"/>
      <w:numFmt w:val="lowerRoman"/>
      <w:lvlText w:val="%1."/>
      <w:lvlJc w:val="right"/>
      <w:pPr>
        <w:ind w:left="2421" w:hanging="360"/>
      </w:pPr>
      <w:rPr>
        <w:rFonts w:hint="default"/>
      </w:rPr>
    </w:lvl>
    <w:lvl w:ilvl="1" w:tplc="04090019">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B2F1098"/>
    <w:multiLevelType w:val="hybridMultilevel"/>
    <w:tmpl w:val="697C368C"/>
    <w:lvl w:ilvl="0" w:tplc="CBBEDD4C">
      <w:numFmt w:val="bullet"/>
      <w:lvlText w:val="-"/>
      <w:lvlJc w:val="left"/>
      <w:pPr>
        <w:ind w:left="2061" w:hanging="360"/>
      </w:pPr>
      <w:rPr>
        <w:rFonts w:ascii="Times New Roman" w:eastAsia="Times New Roman" w:hAnsi="Times New Roman" w:cs="Times New Roman" w:hint="default"/>
      </w:rPr>
    </w:lvl>
    <w:lvl w:ilvl="1" w:tplc="04180003" w:tentative="1">
      <w:start w:val="1"/>
      <w:numFmt w:val="bullet"/>
      <w:lvlText w:val="o"/>
      <w:lvlJc w:val="left"/>
      <w:pPr>
        <w:ind w:left="2781" w:hanging="360"/>
      </w:pPr>
      <w:rPr>
        <w:rFonts w:ascii="Courier New" w:hAnsi="Courier New" w:cs="Courier New" w:hint="default"/>
      </w:rPr>
    </w:lvl>
    <w:lvl w:ilvl="2" w:tplc="04180005" w:tentative="1">
      <w:start w:val="1"/>
      <w:numFmt w:val="bullet"/>
      <w:lvlText w:val=""/>
      <w:lvlJc w:val="left"/>
      <w:pPr>
        <w:ind w:left="3501" w:hanging="360"/>
      </w:pPr>
      <w:rPr>
        <w:rFonts w:ascii="Wingdings" w:hAnsi="Wingdings" w:hint="default"/>
      </w:rPr>
    </w:lvl>
    <w:lvl w:ilvl="3" w:tplc="04180001" w:tentative="1">
      <w:start w:val="1"/>
      <w:numFmt w:val="bullet"/>
      <w:lvlText w:val=""/>
      <w:lvlJc w:val="left"/>
      <w:pPr>
        <w:ind w:left="4221" w:hanging="360"/>
      </w:pPr>
      <w:rPr>
        <w:rFonts w:ascii="Symbol" w:hAnsi="Symbol" w:hint="default"/>
      </w:rPr>
    </w:lvl>
    <w:lvl w:ilvl="4" w:tplc="04180003" w:tentative="1">
      <w:start w:val="1"/>
      <w:numFmt w:val="bullet"/>
      <w:lvlText w:val="o"/>
      <w:lvlJc w:val="left"/>
      <w:pPr>
        <w:ind w:left="4941" w:hanging="360"/>
      </w:pPr>
      <w:rPr>
        <w:rFonts w:ascii="Courier New" w:hAnsi="Courier New" w:cs="Courier New" w:hint="default"/>
      </w:rPr>
    </w:lvl>
    <w:lvl w:ilvl="5" w:tplc="04180005" w:tentative="1">
      <w:start w:val="1"/>
      <w:numFmt w:val="bullet"/>
      <w:lvlText w:val=""/>
      <w:lvlJc w:val="left"/>
      <w:pPr>
        <w:ind w:left="5661" w:hanging="360"/>
      </w:pPr>
      <w:rPr>
        <w:rFonts w:ascii="Wingdings" w:hAnsi="Wingdings" w:hint="default"/>
      </w:rPr>
    </w:lvl>
    <w:lvl w:ilvl="6" w:tplc="04180001" w:tentative="1">
      <w:start w:val="1"/>
      <w:numFmt w:val="bullet"/>
      <w:lvlText w:val=""/>
      <w:lvlJc w:val="left"/>
      <w:pPr>
        <w:ind w:left="6381" w:hanging="360"/>
      </w:pPr>
      <w:rPr>
        <w:rFonts w:ascii="Symbol" w:hAnsi="Symbol" w:hint="default"/>
      </w:rPr>
    </w:lvl>
    <w:lvl w:ilvl="7" w:tplc="04180003" w:tentative="1">
      <w:start w:val="1"/>
      <w:numFmt w:val="bullet"/>
      <w:lvlText w:val="o"/>
      <w:lvlJc w:val="left"/>
      <w:pPr>
        <w:ind w:left="7101" w:hanging="360"/>
      </w:pPr>
      <w:rPr>
        <w:rFonts w:ascii="Courier New" w:hAnsi="Courier New" w:cs="Courier New" w:hint="default"/>
      </w:rPr>
    </w:lvl>
    <w:lvl w:ilvl="8" w:tplc="04180005" w:tentative="1">
      <w:start w:val="1"/>
      <w:numFmt w:val="bullet"/>
      <w:lvlText w:val=""/>
      <w:lvlJc w:val="left"/>
      <w:pPr>
        <w:ind w:left="7821" w:hanging="360"/>
      </w:pPr>
      <w:rPr>
        <w:rFonts w:ascii="Wingdings" w:hAnsi="Wingdings" w:hint="default"/>
      </w:rPr>
    </w:lvl>
  </w:abstractNum>
  <w:abstractNum w:abstractNumId="19">
    <w:nsid w:val="1B954D07"/>
    <w:multiLevelType w:val="hybridMultilevel"/>
    <w:tmpl w:val="2078F876"/>
    <w:lvl w:ilvl="0" w:tplc="022EEC8A">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1CC9072E"/>
    <w:multiLevelType w:val="hybridMultilevel"/>
    <w:tmpl w:val="4D146DCA"/>
    <w:lvl w:ilvl="0" w:tplc="FA5888E2">
      <w:start w:val="8"/>
      <w:numFmt w:val="decimal"/>
      <w:lvlText w:val="%1."/>
      <w:lvlJc w:val="left"/>
      <w:pPr>
        <w:ind w:left="1689"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F291DD6"/>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214A588D"/>
    <w:multiLevelType w:val="hybridMultilevel"/>
    <w:tmpl w:val="24C8943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nsid w:val="44287945"/>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443F68DB"/>
    <w:multiLevelType w:val="hybridMultilevel"/>
    <w:tmpl w:val="E11A5590"/>
    <w:lvl w:ilvl="0" w:tplc="5F30195A">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nsid w:val="4471778D"/>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46501C9C"/>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584400FD"/>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nsid w:val="5A303AF2"/>
    <w:multiLevelType w:val="hybridMultilevel"/>
    <w:tmpl w:val="2078F876"/>
    <w:lvl w:ilvl="0" w:tplc="022EEC8A">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nsid w:val="5E7744C0"/>
    <w:multiLevelType w:val="hybridMultilevel"/>
    <w:tmpl w:val="6EB8E4BC"/>
    <w:lvl w:ilvl="0" w:tplc="FA5888E2">
      <w:start w:val="8"/>
      <w:numFmt w:val="decimal"/>
      <w:lvlText w:val="%1."/>
      <w:lvlJc w:val="left"/>
      <w:pPr>
        <w:ind w:left="1689"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63D24C61"/>
    <w:multiLevelType w:val="hybridMultilevel"/>
    <w:tmpl w:val="F8E03DD2"/>
    <w:lvl w:ilvl="0" w:tplc="123A79A4">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2">
    <w:nsid w:val="641E1D98"/>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67E2A3D"/>
    <w:multiLevelType w:val="hybridMultilevel"/>
    <w:tmpl w:val="E11A5590"/>
    <w:lvl w:ilvl="0" w:tplc="5F30195A">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nsid w:val="6E95084E"/>
    <w:multiLevelType w:val="hybridMultilevel"/>
    <w:tmpl w:val="80B2A538"/>
    <w:lvl w:ilvl="0" w:tplc="E9C0F21A">
      <w:start w:val="1"/>
      <w:numFmt w:val="lowerLetter"/>
      <w:lvlText w:val="%1)"/>
      <w:lvlJc w:val="left"/>
      <w:pPr>
        <w:ind w:left="2049" w:hanging="360"/>
      </w:pPr>
      <w:rPr>
        <w:rFonts w:hint="default"/>
      </w:rPr>
    </w:lvl>
    <w:lvl w:ilvl="1" w:tplc="04090019" w:tentative="1">
      <w:start w:val="1"/>
      <w:numFmt w:val="lowerLetter"/>
      <w:lvlText w:val="%2."/>
      <w:lvlJc w:val="left"/>
      <w:pPr>
        <w:ind w:left="2769" w:hanging="360"/>
      </w:pPr>
    </w:lvl>
    <w:lvl w:ilvl="2" w:tplc="0409001B" w:tentative="1">
      <w:start w:val="1"/>
      <w:numFmt w:val="lowerRoman"/>
      <w:lvlText w:val="%3."/>
      <w:lvlJc w:val="right"/>
      <w:pPr>
        <w:ind w:left="3489" w:hanging="180"/>
      </w:pPr>
    </w:lvl>
    <w:lvl w:ilvl="3" w:tplc="0409000F" w:tentative="1">
      <w:start w:val="1"/>
      <w:numFmt w:val="decimal"/>
      <w:lvlText w:val="%4."/>
      <w:lvlJc w:val="left"/>
      <w:pPr>
        <w:ind w:left="4209" w:hanging="360"/>
      </w:pPr>
    </w:lvl>
    <w:lvl w:ilvl="4" w:tplc="04090019" w:tentative="1">
      <w:start w:val="1"/>
      <w:numFmt w:val="lowerLetter"/>
      <w:lvlText w:val="%5."/>
      <w:lvlJc w:val="left"/>
      <w:pPr>
        <w:ind w:left="4929" w:hanging="360"/>
      </w:pPr>
    </w:lvl>
    <w:lvl w:ilvl="5" w:tplc="0409001B" w:tentative="1">
      <w:start w:val="1"/>
      <w:numFmt w:val="lowerRoman"/>
      <w:lvlText w:val="%6."/>
      <w:lvlJc w:val="right"/>
      <w:pPr>
        <w:ind w:left="5649" w:hanging="180"/>
      </w:pPr>
    </w:lvl>
    <w:lvl w:ilvl="6" w:tplc="0409000F" w:tentative="1">
      <w:start w:val="1"/>
      <w:numFmt w:val="decimal"/>
      <w:lvlText w:val="%7."/>
      <w:lvlJc w:val="left"/>
      <w:pPr>
        <w:ind w:left="6369" w:hanging="360"/>
      </w:pPr>
    </w:lvl>
    <w:lvl w:ilvl="7" w:tplc="04090019" w:tentative="1">
      <w:start w:val="1"/>
      <w:numFmt w:val="lowerLetter"/>
      <w:lvlText w:val="%8."/>
      <w:lvlJc w:val="left"/>
      <w:pPr>
        <w:ind w:left="7089" w:hanging="360"/>
      </w:pPr>
    </w:lvl>
    <w:lvl w:ilvl="8" w:tplc="0409001B" w:tentative="1">
      <w:start w:val="1"/>
      <w:numFmt w:val="lowerRoman"/>
      <w:lvlText w:val="%9."/>
      <w:lvlJc w:val="right"/>
      <w:pPr>
        <w:ind w:left="7809" w:hanging="180"/>
      </w:pPr>
    </w:lvl>
  </w:abstractNum>
  <w:abstractNum w:abstractNumId="3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A805E51"/>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8">
    <w:nsid w:val="7B303461"/>
    <w:multiLevelType w:val="hybridMultilevel"/>
    <w:tmpl w:val="2078F876"/>
    <w:lvl w:ilvl="0" w:tplc="022EEC8A">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30"/>
  </w:num>
  <w:num w:numId="12">
    <w:abstractNumId w:val="17"/>
  </w:num>
  <w:num w:numId="13">
    <w:abstractNumId w:val="14"/>
  </w:num>
  <w:num w:numId="14">
    <w:abstractNumId w:val="33"/>
  </w:num>
  <w:num w:numId="15">
    <w:abstractNumId w:val="36"/>
  </w:num>
  <w:num w:numId="16">
    <w:abstractNumId w:val="11"/>
  </w:num>
  <w:num w:numId="17">
    <w:abstractNumId w:val="12"/>
  </w:num>
  <w:num w:numId="18">
    <w:abstractNumId w:val="15"/>
  </w:num>
  <w:num w:numId="19">
    <w:abstractNumId w:val="24"/>
  </w:num>
  <w:num w:numId="20">
    <w:abstractNumId w:val="34"/>
  </w:num>
  <w:num w:numId="21">
    <w:abstractNumId w:val="31"/>
  </w:num>
  <w:num w:numId="22">
    <w:abstractNumId w:val="29"/>
  </w:num>
  <w:num w:numId="23">
    <w:abstractNumId w:val="20"/>
  </w:num>
  <w:num w:numId="24">
    <w:abstractNumId w:val="23"/>
  </w:num>
  <w:num w:numId="25">
    <w:abstractNumId w:val="25"/>
  </w:num>
  <w:num w:numId="26">
    <w:abstractNumId w:val="0"/>
  </w:num>
  <w:num w:numId="27">
    <w:abstractNumId w:val="26"/>
  </w:num>
  <w:num w:numId="28">
    <w:abstractNumId w:val="21"/>
  </w:num>
  <w:num w:numId="29">
    <w:abstractNumId w:val="13"/>
  </w:num>
  <w:num w:numId="30">
    <w:abstractNumId w:val="37"/>
  </w:num>
  <w:num w:numId="31">
    <w:abstractNumId w:val="32"/>
  </w:num>
  <w:num w:numId="32">
    <w:abstractNumId w:val="27"/>
  </w:num>
  <w:num w:numId="33">
    <w:abstractNumId w:val="35"/>
  </w:num>
  <w:num w:numId="34">
    <w:abstractNumId w:val="16"/>
  </w:num>
  <w:num w:numId="35">
    <w:abstractNumId w:val="19"/>
  </w:num>
  <w:num w:numId="36">
    <w:abstractNumId w:val="18"/>
  </w:num>
  <w:num w:numId="37">
    <w:abstractNumId w:val="38"/>
  </w:num>
  <w:num w:numId="38">
    <w:abstractNumId w:val="28"/>
  </w:num>
  <w:num w:numId="39">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5930"/>
    <w:rsid w:val="00005D07"/>
    <w:rsid w:val="000136A3"/>
    <w:rsid w:val="0001795F"/>
    <w:rsid w:val="000214D7"/>
    <w:rsid w:val="000226D5"/>
    <w:rsid w:val="00026E95"/>
    <w:rsid w:val="00034900"/>
    <w:rsid w:val="00041765"/>
    <w:rsid w:val="00041E8E"/>
    <w:rsid w:val="00043A96"/>
    <w:rsid w:val="00043CD1"/>
    <w:rsid w:val="00046C4F"/>
    <w:rsid w:val="00050F6B"/>
    <w:rsid w:val="0005114D"/>
    <w:rsid w:val="000551EC"/>
    <w:rsid w:val="000669BF"/>
    <w:rsid w:val="00072C8C"/>
    <w:rsid w:val="000765A2"/>
    <w:rsid w:val="00082FBF"/>
    <w:rsid w:val="00091419"/>
    <w:rsid w:val="000931C0"/>
    <w:rsid w:val="000933F0"/>
    <w:rsid w:val="00097227"/>
    <w:rsid w:val="000A626F"/>
    <w:rsid w:val="000B175B"/>
    <w:rsid w:val="000B2297"/>
    <w:rsid w:val="000B3A0F"/>
    <w:rsid w:val="000B5B37"/>
    <w:rsid w:val="000C2AF9"/>
    <w:rsid w:val="000C3CA0"/>
    <w:rsid w:val="000C6232"/>
    <w:rsid w:val="000C6538"/>
    <w:rsid w:val="000D7AAB"/>
    <w:rsid w:val="000E0415"/>
    <w:rsid w:val="000E0662"/>
    <w:rsid w:val="000E6BA2"/>
    <w:rsid w:val="000E7174"/>
    <w:rsid w:val="000F38EF"/>
    <w:rsid w:val="000F55F3"/>
    <w:rsid w:val="000F6A97"/>
    <w:rsid w:val="001026FB"/>
    <w:rsid w:val="00113A17"/>
    <w:rsid w:val="0011420F"/>
    <w:rsid w:val="00115106"/>
    <w:rsid w:val="00117787"/>
    <w:rsid w:val="00123FB1"/>
    <w:rsid w:val="001311AD"/>
    <w:rsid w:val="00131D42"/>
    <w:rsid w:val="00133B0D"/>
    <w:rsid w:val="0013619A"/>
    <w:rsid w:val="00144D36"/>
    <w:rsid w:val="00150BD0"/>
    <w:rsid w:val="0015105B"/>
    <w:rsid w:val="00151EB2"/>
    <w:rsid w:val="0015303B"/>
    <w:rsid w:val="00153FB7"/>
    <w:rsid w:val="001551D6"/>
    <w:rsid w:val="00162B16"/>
    <w:rsid w:val="001633FB"/>
    <w:rsid w:val="00175631"/>
    <w:rsid w:val="00176B7E"/>
    <w:rsid w:val="001779D9"/>
    <w:rsid w:val="0018094B"/>
    <w:rsid w:val="00180C03"/>
    <w:rsid w:val="00184A9C"/>
    <w:rsid w:val="00190AC6"/>
    <w:rsid w:val="00194EA4"/>
    <w:rsid w:val="0019568D"/>
    <w:rsid w:val="001A13D6"/>
    <w:rsid w:val="001A425A"/>
    <w:rsid w:val="001B4B04"/>
    <w:rsid w:val="001B7130"/>
    <w:rsid w:val="001C6663"/>
    <w:rsid w:val="001C75BA"/>
    <w:rsid w:val="001C7895"/>
    <w:rsid w:val="001D174F"/>
    <w:rsid w:val="001D26DF"/>
    <w:rsid w:val="001D2FDC"/>
    <w:rsid w:val="001D40D7"/>
    <w:rsid w:val="001D4439"/>
    <w:rsid w:val="001E0287"/>
    <w:rsid w:val="001E2486"/>
    <w:rsid w:val="001E3506"/>
    <w:rsid w:val="001E3D5E"/>
    <w:rsid w:val="001F3705"/>
    <w:rsid w:val="001F592F"/>
    <w:rsid w:val="001F5FA3"/>
    <w:rsid w:val="0020326C"/>
    <w:rsid w:val="00211E0B"/>
    <w:rsid w:val="002141E2"/>
    <w:rsid w:val="002168A8"/>
    <w:rsid w:val="002172A0"/>
    <w:rsid w:val="00223481"/>
    <w:rsid w:val="002309A7"/>
    <w:rsid w:val="00230AFE"/>
    <w:rsid w:val="00237785"/>
    <w:rsid w:val="00241466"/>
    <w:rsid w:val="00243A83"/>
    <w:rsid w:val="00244717"/>
    <w:rsid w:val="00244943"/>
    <w:rsid w:val="00244EF4"/>
    <w:rsid w:val="00245539"/>
    <w:rsid w:val="00256D47"/>
    <w:rsid w:val="00260303"/>
    <w:rsid w:val="00266C29"/>
    <w:rsid w:val="00266FF9"/>
    <w:rsid w:val="002725CA"/>
    <w:rsid w:val="00274CF5"/>
    <w:rsid w:val="00280EB7"/>
    <w:rsid w:val="00294F05"/>
    <w:rsid w:val="002965C6"/>
    <w:rsid w:val="002A04A5"/>
    <w:rsid w:val="002A1361"/>
    <w:rsid w:val="002A30C2"/>
    <w:rsid w:val="002B0D4A"/>
    <w:rsid w:val="002B1CDA"/>
    <w:rsid w:val="002B2DF4"/>
    <w:rsid w:val="002B4B44"/>
    <w:rsid w:val="002C0818"/>
    <w:rsid w:val="002C4E7D"/>
    <w:rsid w:val="002C6766"/>
    <w:rsid w:val="002D22E5"/>
    <w:rsid w:val="002D503D"/>
    <w:rsid w:val="002D7539"/>
    <w:rsid w:val="002E0746"/>
    <w:rsid w:val="002E4861"/>
    <w:rsid w:val="002E75F6"/>
    <w:rsid w:val="003006DC"/>
    <w:rsid w:val="0030155B"/>
    <w:rsid w:val="003107FA"/>
    <w:rsid w:val="0031424A"/>
    <w:rsid w:val="00320D32"/>
    <w:rsid w:val="003229D8"/>
    <w:rsid w:val="00323571"/>
    <w:rsid w:val="00326928"/>
    <w:rsid w:val="00326B64"/>
    <w:rsid w:val="003307EB"/>
    <w:rsid w:val="00330D2E"/>
    <w:rsid w:val="00334502"/>
    <w:rsid w:val="003346C5"/>
    <w:rsid w:val="00334988"/>
    <w:rsid w:val="00337F27"/>
    <w:rsid w:val="003466AC"/>
    <w:rsid w:val="003540F1"/>
    <w:rsid w:val="00354971"/>
    <w:rsid w:val="003671E7"/>
    <w:rsid w:val="00371D23"/>
    <w:rsid w:val="0037312F"/>
    <w:rsid w:val="003827B0"/>
    <w:rsid w:val="00382BB1"/>
    <w:rsid w:val="00387614"/>
    <w:rsid w:val="00390028"/>
    <w:rsid w:val="00390D3D"/>
    <w:rsid w:val="0039277A"/>
    <w:rsid w:val="003972E0"/>
    <w:rsid w:val="003A077E"/>
    <w:rsid w:val="003A3F7F"/>
    <w:rsid w:val="003B1D06"/>
    <w:rsid w:val="003B2C2B"/>
    <w:rsid w:val="003C1755"/>
    <w:rsid w:val="003C1832"/>
    <w:rsid w:val="003C2441"/>
    <w:rsid w:val="003C2CC4"/>
    <w:rsid w:val="003C750C"/>
    <w:rsid w:val="003D1000"/>
    <w:rsid w:val="003D39F8"/>
    <w:rsid w:val="003D4B23"/>
    <w:rsid w:val="004021DC"/>
    <w:rsid w:val="004043B5"/>
    <w:rsid w:val="00407E8D"/>
    <w:rsid w:val="00411979"/>
    <w:rsid w:val="00423D3D"/>
    <w:rsid w:val="00424EDD"/>
    <w:rsid w:val="004325CB"/>
    <w:rsid w:val="00437F3F"/>
    <w:rsid w:val="00444524"/>
    <w:rsid w:val="00446DE4"/>
    <w:rsid w:val="00454036"/>
    <w:rsid w:val="0045652B"/>
    <w:rsid w:val="00460062"/>
    <w:rsid w:val="0046419A"/>
    <w:rsid w:val="00473948"/>
    <w:rsid w:val="00484E32"/>
    <w:rsid w:val="0049147A"/>
    <w:rsid w:val="00491634"/>
    <w:rsid w:val="004925FF"/>
    <w:rsid w:val="00493BDC"/>
    <w:rsid w:val="0049434E"/>
    <w:rsid w:val="00496C2B"/>
    <w:rsid w:val="004A1AAA"/>
    <w:rsid w:val="004A7B6C"/>
    <w:rsid w:val="004B2C9D"/>
    <w:rsid w:val="004B550A"/>
    <w:rsid w:val="004C110B"/>
    <w:rsid w:val="004C48D9"/>
    <w:rsid w:val="004C4C63"/>
    <w:rsid w:val="004D0BAA"/>
    <w:rsid w:val="004D3BA2"/>
    <w:rsid w:val="004D4071"/>
    <w:rsid w:val="004D4993"/>
    <w:rsid w:val="004D5B50"/>
    <w:rsid w:val="004E4B59"/>
    <w:rsid w:val="004F1403"/>
    <w:rsid w:val="004F511C"/>
    <w:rsid w:val="004F5ADD"/>
    <w:rsid w:val="00505080"/>
    <w:rsid w:val="005113BE"/>
    <w:rsid w:val="0051274C"/>
    <w:rsid w:val="005132B7"/>
    <w:rsid w:val="00513567"/>
    <w:rsid w:val="005176CD"/>
    <w:rsid w:val="00517A3F"/>
    <w:rsid w:val="0052254F"/>
    <w:rsid w:val="00523525"/>
    <w:rsid w:val="00527910"/>
    <w:rsid w:val="005279BF"/>
    <w:rsid w:val="005279D0"/>
    <w:rsid w:val="00531781"/>
    <w:rsid w:val="005420F2"/>
    <w:rsid w:val="00542A15"/>
    <w:rsid w:val="0055467D"/>
    <w:rsid w:val="005644BC"/>
    <w:rsid w:val="005666F6"/>
    <w:rsid w:val="00573908"/>
    <w:rsid w:val="0057643F"/>
    <w:rsid w:val="0058227C"/>
    <w:rsid w:val="00590144"/>
    <w:rsid w:val="00591F7A"/>
    <w:rsid w:val="00593B86"/>
    <w:rsid w:val="005A4F15"/>
    <w:rsid w:val="005A5811"/>
    <w:rsid w:val="005A6C02"/>
    <w:rsid w:val="005A7537"/>
    <w:rsid w:val="005B3DB3"/>
    <w:rsid w:val="005D04B3"/>
    <w:rsid w:val="005D0EBF"/>
    <w:rsid w:val="005D3656"/>
    <w:rsid w:val="005E178F"/>
    <w:rsid w:val="005E5115"/>
    <w:rsid w:val="0060435F"/>
    <w:rsid w:val="00604C8E"/>
    <w:rsid w:val="0060709C"/>
    <w:rsid w:val="00611FC4"/>
    <w:rsid w:val="006176FB"/>
    <w:rsid w:val="00624237"/>
    <w:rsid w:val="006246A3"/>
    <w:rsid w:val="00633B43"/>
    <w:rsid w:val="0063419C"/>
    <w:rsid w:val="00640B26"/>
    <w:rsid w:val="00642EDA"/>
    <w:rsid w:val="00645121"/>
    <w:rsid w:val="00645A1A"/>
    <w:rsid w:val="006500BA"/>
    <w:rsid w:val="006504FE"/>
    <w:rsid w:val="00651D6C"/>
    <w:rsid w:val="00651DCB"/>
    <w:rsid w:val="00652193"/>
    <w:rsid w:val="006524E0"/>
    <w:rsid w:val="00653001"/>
    <w:rsid w:val="00663491"/>
    <w:rsid w:val="00672E30"/>
    <w:rsid w:val="00675A95"/>
    <w:rsid w:val="0067677C"/>
    <w:rsid w:val="006837D8"/>
    <w:rsid w:val="006927B6"/>
    <w:rsid w:val="006A24C7"/>
    <w:rsid w:val="006A3B7F"/>
    <w:rsid w:val="006A4E98"/>
    <w:rsid w:val="006A66FA"/>
    <w:rsid w:val="006A6E59"/>
    <w:rsid w:val="006A7392"/>
    <w:rsid w:val="006B18DD"/>
    <w:rsid w:val="006C0D34"/>
    <w:rsid w:val="006C0D6C"/>
    <w:rsid w:val="006C2985"/>
    <w:rsid w:val="006C7C4D"/>
    <w:rsid w:val="006C7E11"/>
    <w:rsid w:val="006D0270"/>
    <w:rsid w:val="006D10CC"/>
    <w:rsid w:val="006D3D21"/>
    <w:rsid w:val="006D6FB3"/>
    <w:rsid w:val="006E4A58"/>
    <w:rsid w:val="006E564B"/>
    <w:rsid w:val="006E603B"/>
    <w:rsid w:val="006E7ABF"/>
    <w:rsid w:val="006F585C"/>
    <w:rsid w:val="007016BE"/>
    <w:rsid w:val="0071032E"/>
    <w:rsid w:val="00716EAD"/>
    <w:rsid w:val="0072632A"/>
    <w:rsid w:val="0073035D"/>
    <w:rsid w:val="007321DB"/>
    <w:rsid w:val="007332E8"/>
    <w:rsid w:val="00736305"/>
    <w:rsid w:val="00736D0A"/>
    <w:rsid w:val="00736E1D"/>
    <w:rsid w:val="007478B0"/>
    <w:rsid w:val="00750CB8"/>
    <w:rsid w:val="00753561"/>
    <w:rsid w:val="00753641"/>
    <w:rsid w:val="00755DDF"/>
    <w:rsid w:val="0076317E"/>
    <w:rsid w:val="007656AE"/>
    <w:rsid w:val="00767DC6"/>
    <w:rsid w:val="007832B8"/>
    <w:rsid w:val="00790791"/>
    <w:rsid w:val="0079544F"/>
    <w:rsid w:val="00795FD2"/>
    <w:rsid w:val="007B33F4"/>
    <w:rsid w:val="007B345B"/>
    <w:rsid w:val="007B4CF7"/>
    <w:rsid w:val="007B5CA0"/>
    <w:rsid w:val="007B6BA5"/>
    <w:rsid w:val="007C3390"/>
    <w:rsid w:val="007C4F4B"/>
    <w:rsid w:val="007D087E"/>
    <w:rsid w:val="007E110F"/>
    <w:rsid w:val="007F52DF"/>
    <w:rsid w:val="007F6611"/>
    <w:rsid w:val="00802ED5"/>
    <w:rsid w:val="008037E8"/>
    <w:rsid w:val="0080388F"/>
    <w:rsid w:val="0080400A"/>
    <w:rsid w:val="00805746"/>
    <w:rsid w:val="00805C8D"/>
    <w:rsid w:val="00811AE2"/>
    <w:rsid w:val="00814F39"/>
    <w:rsid w:val="008175E9"/>
    <w:rsid w:val="008242D7"/>
    <w:rsid w:val="008417F8"/>
    <w:rsid w:val="00845287"/>
    <w:rsid w:val="008454E6"/>
    <w:rsid w:val="00847959"/>
    <w:rsid w:val="00850488"/>
    <w:rsid w:val="00851253"/>
    <w:rsid w:val="0085445A"/>
    <w:rsid w:val="00860261"/>
    <w:rsid w:val="00860F29"/>
    <w:rsid w:val="008639E6"/>
    <w:rsid w:val="00870CE1"/>
    <w:rsid w:val="00871FD5"/>
    <w:rsid w:val="00874585"/>
    <w:rsid w:val="00875DBB"/>
    <w:rsid w:val="00887592"/>
    <w:rsid w:val="008979B1"/>
    <w:rsid w:val="008979ED"/>
    <w:rsid w:val="008A04A8"/>
    <w:rsid w:val="008A12EC"/>
    <w:rsid w:val="008A289B"/>
    <w:rsid w:val="008A2B22"/>
    <w:rsid w:val="008A4052"/>
    <w:rsid w:val="008A5A71"/>
    <w:rsid w:val="008A6B25"/>
    <w:rsid w:val="008A6C4F"/>
    <w:rsid w:val="008C22A0"/>
    <w:rsid w:val="008C3CB0"/>
    <w:rsid w:val="008C542B"/>
    <w:rsid w:val="008D1274"/>
    <w:rsid w:val="008D1A84"/>
    <w:rsid w:val="008E01C8"/>
    <w:rsid w:val="008E0613"/>
    <w:rsid w:val="008E0E46"/>
    <w:rsid w:val="008F5E8D"/>
    <w:rsid w:val="009043BF"/>
    <w:rsid w:val="0091608D"/>
    <w:rsid w:val="00916D07"/>
    <w:rsid w:val="0092475B"/>
    <w:rsid w:val="009341E2"/>
    <w:rsid w:val="00941F06"/>
    <w:rsid w:val="00942C4F"/>
    <w:rsid w:val="00945A5D"/>
    <w:rsid w:val="009461DD"/>
    <w:rsid w:val="0095511A"/>
    <w:rsid w:val="00960C04"/>
    <w:rsid w:val="00963CBA"/>
    <w:rsid w:val="00965120"/>
    <w:rsid w:val="009674E4"/>
    <w:rsid w:val="00976767"/>
    <w:rsid w:val="00977E87"/>
    <w:rsid w:val="00982D5E"/>
    <w:rsid w:val="00987BC5"/>
    <w:rsid w:val="0099124E"/>
    <w:rsid w:val="00991261"/>
    <w:rsid w:val="009951EC"/>
    <w:rsid w:val="00995726"/>
    <w:rsid w:val="009A5A0D"/>
    <w:rsid w:val="009A6899"/>
    <w:rsid w:val="009B1A1B"/>
    <w:rsid w:val="009B4D27"/>
    <w:rsid w:val="009B6E3B"/>
    <w:rsid w:val="009B7D51"/>
    <w:rsid w:val="009C0CE1"/>
    <w:rsid w:val="009C2400"/>
    <w:rsid w:val="009C3671"/>
    <w:rsid w:val="009D3C39"/>
    <w:rsid w:val="009D3D51"/>
    <w:rsid w:val="009D4BA2"/>
    <w:rsid w:val="009E190F"/>
    <w:rsid w:val="009E67D4"/>
    <w:rsid w:val="009E76E2"/>
    <w:rsid w:val="009F0F06"/>
    <w:rsid w:val="009F2FAA"/>
    <w:rsid w:val="009F66A7"/>
    <w:rsid w:val="00A02F78"/>
    <w:rsid w:val="00A1341E"/>
    <w:rsid w:val="00A1427D"/>
    <w:rsid w:val="00A1568F"/>
    <w:rsid w:val="00A222C4"/>
    <w:rsid w:val="00A22A58"/>
    <w:rsid w:val="00A22FD5"/>
    <w:rsid w:val="00A24F0D"/>
    <w:rsid w:val="00A32D41"/>
    <w:rsid w:val="00A40A95"/>
    <w:rsid w:val="00A46896"/>
    <w:rsid w:val="00A51C77"/>
    <w:rsid w:val="00A60A6D"/>
    <w:rsid w:val="00A64846"/>
    <w:rsid w:val="00A70548"/>
    <w:rsid w:val="00A70D0E"/>
    <w:rsid w:val="00A72F22"/>
    <w:rsid w:val="00A748A6"/>
    <w:rsid w:val="00A74C22"/>
    <w:rsid w:val="00A75EC9"/>
    <w:rsid w:val="00A7692C"/>
    <w:rsid w:val="00A879A4"/>
    <w:rsid w:val="00A901F7"/>
    <w:rsid w:val="00A91217"/>
    <w:rsid w:val="00A925A6"/>
    <w:rsid w:val="00A952EC"/>
    <w:rsid w:val="00A96774"/>
    <w:rsid w:val="00AB340F"/>
    <w:rsid w:val="00AC4748"/>
    <w:rsid w:val="00AC52CF"/>
    <w:rsid w:val="00AC7C65"/>
    <w:rsid w:val="00AD1098"/>
    <w:rsid w:val="00AD145B"/>
    <w:rsid w:val="00AE1A69"/>
    <w:rsid w:val="00AE1BDD"/>
    <w:rsid w:val="00AE5C8F"/>
    <w:rsid w:val="00AE7E01"/>
    <w:rsid w:val="00AF09CC"/>
    <w:rsid w:val="00AF6F99"/>
    <w:rsid w:val="00B138BE"/>
    <w:rsid w:val="00B16BD4"/>
    <w:rsid w:val="00B22191"/>
    <w:rsid w:val="00B3008F"/>
    <w:rsid w:val="00B30179"/>
    <w:rsid w:val="00B3317B"/>
    <w:rsid w:val="00B4216B"/>
    <w:rsid w:val="00B457A8"/>
    <w:rsid w:val="00B45B5C"/>
    <w:rsid w:val="00B50E21"/>
    <w:rsid w:val="00B54FC4"/>
    <w:rsid w:val="00B56239"/>
    <w:rsid w:val="00B56D93"/>
    <w:rsid w:val="00B57529"/>
    <w:rsid w:val="00B610FD"/>
    <w:rsid w:val="00B6216D"/>
    <w:rsid w:val="00B625CD"/>
    <w:rsid w:val="00B74EEC"/>
    <w:rsid w:val="00B757DF"/>
    <w:rsid w:val="00B81E12"/>
    <w:rsid w:val="00B93068"/>
    <w:rsid w:val="00B96BB9"/>
    <w:rsid w:val="00BA0311"/>
    <w:rsid w:val="00BA171E"/>
    <w:rsid w:val="00BA1EA9"/>
    <w:rsid w:val="00BA7B65"/>
    <w:rsid w:val="00BB4145"/>
    <w:rsid w:val="00BB66A8"/>
    <w:rsid w:val="00BC1657"/>
    <w:rsid w:val="00BC309B"/>
    <w:rsid w:val="00BC5E5C"/>
    <w:rsid w:val="00BC74E9"/>
    <w:rsid w:val="00BD10E7"/>
    <w:rsid w:val="00BD21C4"/>
    <w:rsid w:val="00BD60DD"/>
    <w:rsid w:val="00BE618E"/>
    <w:rsid w:val="00C179A3"/>
    <w:rsid w:val="00C25F5C"/>
    <w:rsid w:val="00C26E34"/>
    <w:rsid w:val="00C414AF"/>
    <w:rsid w:val="00C41B4A"/>
    <w:rsid w:val="00C41E3D"/>
    <w:rsid w:val="00C43318"/>
    <w:rsid w:val="00C44F0B"/>
    <w:rsid w:val="00C45CEB"/>
    <w:rsid w:val="00C463DD"/>
    <w:rsid w:val="00C4753A"/>
    <w:rsid w:val="00C50B12"/>
    <w:rsid w:val="00C5346F"/>
    <w:rsid w:val="00C5779A"/>
    <w:rsid w:val="00C620C6"/>
    <w:rsid w:val="00C62F76"/>
    <w:rsid w:val="00C63172"/>
    <w:rsid w:val="00C66B28"/>
    <w:rsid w:val="00C709F7"/>
    <w:rsid w:val="00C70FB3"/>
    <w:rsid w:val="00C73898"/>
    <w:rsid w:val="00C745C3"/>
    <w:rsid w:val="00C81A91"/>
    <w:rsid w:val="00C91393"/>
    <w:rsid w:val="00C97310"/>
    <w:rsid w:val="00CA123A"/>
    <w:rsid w:val="00CA12AA"/>
    <w:rsid w:val="00CA46AE"/>
    <w:rsid w:val="00CB4D07"/>
    <w:rsid w:val="00CB6EE8"/>
    <w:rsid w:val="00CB6FB4"/>
    <w:rsid w:val="00CC1247"/>
    <w:rsid w:val="00CC2AA5"/>
    <w:rsid w:val="00CC3494"/>
    <w:rsid w:val="00CC58CB"/>
    <w:rsid w:val="00CD1364"/>
    <w:rsid w:val="00CD3225"/>
    <w:rsid w:val="00CD3B29"/>
    <w:rsid w:val="00CD5CA5"/>
    <w:rsid w:val="00CE0F95"/>
    <w:rsid w:val="00CE2508"/>
    <w:rsid w:val="00CE4A8F"/>
    <w:rsid w:val="00CE5D72"/>
    <w:rsid w:val="00CE6891"/>
    <w:rsid w:val="00CF18E6"/>
    <w:rsid w:val="00CF520A"/>
    <w:rsid w:val="00D10B1E"/>
    <w:rsid w:val="00D10D4D"/>
    <w:rsid w:val="00D1673B"/>
    <w:rsid w:val="00D2031B"/>
    <w:rsid w:val="00D21B90"/>
    <w:rsid w:val="00D22FAA"/>
    <w:rsid w:val="00D2426E"/>
    <w:rsid w:val="00D25FE2"/>
    <w:rsid w:val="00D317E0"/>
    <w:rsid w:val="00D3259D"/>
    <w:rsid w:val="00D341A4"/>
    <w:rsid w:val="00D35506"/>
    <w:rsid w:val="00D429FC"/>
    <w:rsid w:val="00D43252"/>
    <w:rsid w:val="00D47F6D"/>
    <w:rsid w:val="00D55608"/>
    <w:rsid w:val="00D62D60"/>
    <w:rsid w:val="00D65926"/>
    <w:rsid w:val="00D715EE"/>
    <w:rsid w:val="00D71928"/>
    <w:rsid w:val="00D753D8"/>
    <w:rsid w:val="00D803CC"/>
    <w:rsid w:val="00D861E0"/>
    <w:rsid w:val="00D87CDE"/>
    <w:rsid w:val="00D92A4E"/>
    <w:rsid w:val="00D94FCC"/>
    <w:rsid w:val="00D96CC5"/>
    <w:rsid w:val="00D978C6"/>
    <w:rsid w:val="00DA1AB9"/>
    <w:rsid w:val="00DA307A"/>
    <w:rsid w:val="00DA67AD"/>
    <w:rsid w:val="00DB021E"/>
    <w:rsid w:val="00DB2FD3"/>
    <w:rsid w:val="00DB37C7"/>
    <w:rsid w:val="00DC14A6"/>
    <w:rsid w:val="00DC1C9C"/>
    <w:rsid w:val="00DC2CED"/>
    <w:rsid w:val="00DC62E4"/>
    <w:rsid w:val="00DD4F93"/>
    <w:rsid w:val="00DD601F"/>
    <w:rsid w:val="00DE6659"/>
    <w:rsid w:val="00DF0345"/>
    <w:rsid w:val="00DF1E95"/>
    <w:rsid w:val="00DF40BC"/>
    <w:rsid w:val="00E030E1"/>
    <w:rsid w:val="00E12E23"/>
    <w:rsid w:val="00E130AB"/>
    <w:rsid w:val="00E2294B"/>
    <w:rsid w:val="00E25793"/>
    <w:rsid w:val="00E33A7D"/>
    <w:rsid w:val="00E36504"/>
    <w:rsid w:val="00E44B05"/>
    <w:rsid w:val="00E50BEB"/>
    <w:rsid w:val="00E5189E"/>
    <w:rsid w:val="00E549AA"/>
    <w:rsid w:val="00E5644E"/>
    <w:rsid w:val="00E57356"/>
    <w:rsid w:val="00E63FF3"/>
    <w:rsid w:val="00E64AEB"/>
    <w:rsid w:val="00E7260F"/>
    <w:rsid w:val="00E7609D"/>
    <w:rsid w:val="00E845AE"/>
    <w:rsid w:val="00E8535A"/>
    <w:rsid w:val="00E8656C"/>
    <w:rsid w:val="00E86DFE"/>
    <w:rsid w:val="00E877F7"/>
    <w:rsid w:val="00E96630"/>
    <w:rsid w:val="00EA772F"/>
    <w:rsid w:val="00EB0430"/>
    <w:rsid w:val="00EB0D72"/>
    <w:rsid w:val="00EB226B"/>
    <w:rsid w:val="00EB6832"/>
    <w:rsid w:val="00EC1092"/>
    <w:rsid w:val="00EC18CA"/>
    <w:rsid w:val="00EC76A6"/>
    <w:rsid w:val="00ED67B4"/>
    <w:rsid w:val="00ED7A2A"/>
    <w:rsid w:val="00EE228C"/>
    <w:rsid w:val="00EE6CCA"/>
    <w:rsid w:val="00EF1D7F"/>
    <w:rsid w:val="00EF2C6C"/>
    <w:rsid w:val="00F00672"/>
    <w:rsid w:val="00F11769"/>
    <w:rsid w:val="00F13CAD"/>
    <w:rsid w:val="00F1540D"/>
    <w:rsid w:val="00F2273C"/>
    <w:rsid w:val="00F2538A"/>
    <w:rsid w:val="00F27C06"/>
    <w:rsid w:val="00F40DB9"/>
    <w:rsid w:val="00F40E75"/>
    <w:rsid w:val="00F51C2A"/>
    <w:rsid w:val="00F52F38"/>
    <w:rsid w:val="00F54674"/>
    <w:rsid w:val="00F5709A"/>
    <w:rsid w:val="00F60B87"/>
    <w:rsid w:val="00F72C19"/>
    <w:rsid w:val="00F731E5"/>
    <w:rsid w:val="00F75F55"/>
    <w:rsid w:val="00F7684E"/>
    <w:rsid w:val="00F835C7"/>
    <w:rsid w:val="00F862EF"/>
    <w:rsid w:val="00F871D5"/>
    <w:rsid w:val="00F90E19"/>
    <w:rsid w:val="00F91A6C"/>
    <w:rsid w:val="00F95FC2"/>
    <w:rsid w:val="00FA1207"/>
    <w:rsid w:val="00FA51F0"/>
    <w:rsid w:val="00FA5E57"/>
    <w:rsid w:val="00FB01FC"/>
    <w:rsid w:val="00FB1972"/>
    <w:rsid w:val="00FB57F7"/>
    <w:rsid w:val="00FB6B59"/>
    <w:rsid w:val="00FB79C8"/>
    <w:rsid w:val="00FC0F6F"/>
    <w:rsid w:val="00FC68B7"/>
    <w:rsid w:val="00FD3379"/>
    <w:rsid w:val="00FD6B2B"/>
    <w:rsid w:val="00FE1B9F"/>
    <w:rsid w:val="00FF03BB"/>
    <w:rsid w:val="00FF1E74"/>
    <w:rsid w:val="00FF5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34" w:qFormat="1"/>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C7E11"/>
    <w:pPr>
      <w:suppressAutoHyphens/>
      <w:spacing w:line="240" w:lineRule="atLeast"/>
    </w:pPr>
    <w:rPr>
      <w:lang w:val="en-GB"/>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PlainTextChar">
    <w:name w:val="Plain Text Char"/>
    <w:link w:val="PlainText"/>
    <w:uiPriority w:val="99"/>
    <w:semiHidden/>
    <w:rsid w:val="00F2538A"/>
    <w:rPr>
      <w:rFonts w:cs="Courier New"/>
      <w:lang w:val="en-GB"/>
    </w:rPr>
  </w:style>
  <w:style w:type="paragraph" w:customStyle="1" w:styleId="SingleTxtG">
    <w:name w:val="_ Single Txt_G"/>
    <w:basedOn w:val="Normal"/>
    <w:link w:val="SingleTxtGC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link w:val="PlainTextChar"/>
    <w:uiPriority w:val="99"/>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
    <w:rsid w:val="006C7E11"/>
    <w:rPr>
      <w:rFonts w:ascii="Times New Roman" w:hAnsi="Times New Roman"/>
      <w:sz w:val="18"/>
      <w:vertAlign w:val="superscript"/>
    </w:rPr>
  </w:style>
  <w:style w:type="paragraph" w:styleId="FootnoteText">
    <w:name w:val="footnote text"/>
    <w:aliases w:val="5_G"/>
    <w:basedOn w:val="Normal"/>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character" w:customStyle="1" w:styleId="SingleTxtGCar">
    <w:name w:val="_ Single Txt_G Car"/>
    <w:link w:val="SingleTxtG"/>
    <w:rsid w:val="009F2FAA"/>
    <w:rPr>
      <w:lang w:val="en-GB"/>
    </w:rPr>
  </w:style>
  <w:style w:type="paragraph" w:styleId="BalloonText">
    <w:name w:val="Balloon Text"/>
    <w:basedOn w:val="Normal"/>
    <w:link w:val="BalloonTextChar"/>
    <w:rsid w:val="00EB0430"/>
    <w:pPr>
      <w:spacing w:line="240" w:lineRule="auto"/>
    </w:pPr>
    <w:rPr>
      <w:rFonts w:ascii="Tahoma" w:hAnsi="Tahoma" w:cs="Tahoma"/>
      <w:sz w:val="16"/>
      <w:szCs w:val="16"/>
    </w:rPr>
  </w:style>
  <w:style w:type="character" w:customStyle="1" w:styleId="BalloonTextChar">
    <w:name w:val="Balloon Text Char"/>
    <w:link w:val="BalloonText"/>
    <w:rsid w:val="00EB0430"/>
    <w:rPr>
      <w:rFonts w:ascii="Tahoma" w:hAnsi="Tahoma" w:cs="Tahoma"/>
      <w:sz w:val="16"/>
      <w:szCs w:val="16"/>
      <w:lang w:val="en-GB" w:eastAsia="en-US"/>
    </w:rPr>
  </w:style>
  <w:style w:type="paragraph" w:customStyle="1" w:styleId="Default">
    <w:name w:val="Default"/>
    <w:rsid w:val="009E67D4"/>
    <w:pPr>
      <w:widowControl w:val="0"/>
      <w:autoSpaceDE w:val="0"/>
      <w:autoSpaceDN w:val="0"/>
      <w:adjustRightInd w:val="0"/>
    </w:pPr>
    <w:rPr>
      <w:color w:val="000000"/>
      <w:sz w:val="24"/>
      <w:szCs w:val="24"/>
    </w:rPr>
  </w:style>
  <w:style w:type="paragraph" w:styleId="ListParagraph">
    <w:name w:val="List Paragraph"/>
    <w:basedOn w:val="Normal"/>
    <w:uiPriority w:val="34"/>
    <w:qFormat/>
    <w:rsid w:val="007D087E"/>
    <w:pPr>
      <w:ind w:left="720"/>
      <w:contextualSpacing/>
    </w:pPr>
  </w:style>
  <w:style w:type="character" w:customStyle="1" w:styleId="HChGChar">
    <w:name w:val="_ H _Ch_G Char"/>
    <w:link w:val="HChG"/>
    <w:rsid w:val="007656AE"/>
    <w:rPr>
      <w:b/>
      <w:sz w:val="28"/>
      <w:lang w:val="en-GB"/>
    </w:rPr>
  </w:style>
  <w:style w:type="character" w:customStyle="1" w:styleId="SingleTxtGChar">
    <w:name w:val="_ Single Txt_G Char"/>
    <w:locked/>
    <w:rsid w:val="007656AE"/>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34" w:qFormat="1"/>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C7E11"/>
    <w:pPr>
      <w:suppressAutoHyphens/>
      <w:spacing w:line="240" w:lineRule="atLeast"/>
    </w:pPr>
    <w:rPr>
      <w:lang w:val="en-GB"/>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PlainTextChar">
    <w:name w:val="Plain Text Char"/>
    <w:link w:val="PlainText"/>
    <w:uiPriority w:val="99"/>
    <w:semiHidden/>
    <w:rsid w:val="00F2538A"/>
    <w:rPr>
      <w:rFonts w:cs="Courier New"/>
      <w:lang w:val="en-GB"/>
    </w:rPr>
  </w:style>
  <w:style w:type="paragraph" w:customStyle="1" w:styleId="SingleTxtG">
    <w:name w:val="_ Single Txt_G"/>
    <w:basedOn w:val="Normal"/>
    <w:link w:val="SingleTxtGC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link w:val="PlainTextChar"/>
    <w:uiPriority w:val="99"/>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
    <w:rsid w:val="006C7E11"/>
    <w:rPr>
      <w:rFonts w:ascii="Times New Roman" w:hAnsi="Times New Roman"/>
      <w:sz w:val="18"/>
      <w:vertAlign w:val="superscript"/>
    </w:rPr>
  </w:style>
  <w:style w:type="paragraph" w:styleId="FootnoteText">
    <w:name w:val="footnote text"/>
    <w:aliases w:val="5_G"/>
    <w:basedOn w:val="Normal"/>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character" w:customStyle="1" w:styleId="SingleTxtGCar">
    <w:name w:val="_ Single Txt_G Car"/>
    <w:link w:val="SingleTxtG"/>
    <w:rsid w:val="009F2FAA"/>
    <w:rPr>
      <w:lang w:val="en-GB"/>
    </w:rPr>
  </w:style>
  <w:style w:type="paragraph" w:styleId="BalloonText">
    <w:name w:val="Balloon Text"/>
    <w:basedOn w:val="Normal"/>
    <w:link w:val="BalloonTextChar"/>
    <w:rsid w:val="00EB0430"/>
    <w:pPr>
      <w:spacing w:line="240" w:lineRule="auto"/>
    </w:pPr>
    <w:rPr>
      <w:rFonts w:ascii="Tahoma" w:hAnsi="Tahoma" w:cs="Tahoma"/>
      <w:sz w:val="16"/>
      <w:szCs w:val="16"/>
    </w:rPr>
  </w:style>
  <w:style w:type="character" w:customStyle="1" w:styleId="BalloonTextChar">
    <w:name w:val="Balloon Text Char"/>
    <w:link w:val="BalloonText"/>
    <w:rsid w:val="00EB0430"/>
    <w:rPr>
      <w:rFonts w:ascii="Tahoma" w:hAnsi="Tahoma" w:cs="Tahoma"/>
      <w:sz w:val="16"/>
      <w:szCs w:val="16"/>
      <w:lang w:val="en-GB" w:eastAsia="en-US"/>
    </w:rPr>
  </w:style>
  <w:style w:type="paragraph" w:customStyle="1" w:styleId="Default">
    <w:name w:val="Default"/>
    <w:rsid w:val="009E67D4"/>
    <w:pPr>
      <w:widowControl w:val="0"/>
      <w:autoSpaceDE w:val="0"/>
      <w:autoSpaceDN w:val="0"/>
      <w:adjustRightInd w:val="0"/>
    </w:pPr>
    <w:rPr>
      <w:color w:val="000000"/>
      <w:sz w:val="24"/>
      <w:szCs w:val="24"/>
    </w:rPr>
  </w:style>
  <w:style w:type="paragraph" w:styleId="ListParagraph">
    <w:name w:val="List Paragraph"/>
    <w:basedOn w:val="Normal"/>
    <w:uiPriority w:val="34"/>
    <w:qFormat/>
    <w:rsid w:val="007D087E"/>
    <w:pPr>
      <w:ind w:left="720"/>
      <w:contextualSpacing/>
    </w:pPr>
  </w:style>
  <w:style w:type="character" w:customStyle="1" w:styleId="HChGChar">
    <w:name w:val="_ H _Ch_G Char"/>
    <w:link w:val="HChG"/>
    <w:rsid w:val="007656AE"/>
    <w:rPr>
      <w:b/>
      <w:sz w:val="28"/>
      <w:lang w:val="en-GB"/>
    </w:rPr>
  </w:style>
  <w:style w:type="character" w:customStyle="1" w:styleId="SingleTxtGChar">
    <w:name w:val="_ Single Txt_G Char"/>
    <w:locked/>
    <w:rsid w:val="007656A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6892">
      <w:bodyDiv w:val="1"/>
      <w:marLeft w:val="0"/>
      <w:marRight w:val="0"/>
      <w:marTop w:val="0"/>
      <w:marBottom w:val="0"/>
      <w:divBdr>
        <w:top w:val="none" w:sz="0" w:space="0" w:color="auto"/>
        <w:left w:val="none" w:sz="0" w:space="0" w:color="auto"/>
        <w:bottom w:val="none" w:sz="0" w:space="0" w:color="auto"/>
        <w:right w:val="none" w:sz="0" w:space="0" w:color="auto"/>
      </w:divBdr>
    </w:div>
    <w:div w:id="647781344">
      <w:bodyDiv w:val="1"/>
      <w:marLeft w:val="0"/>
      <w:marRight w:val="0"/>
      <w:marTop w:val="0"/>
      <w:marBottom w:val="0"/>
      <w:divBdr>
        <w:top w:val="none" w:sz="0" w:space="0" w:color="auto"/>
        <w:left w:val="none" w:sz="0" w:space="0" w:color="auto"/>
        <w:bottom w:val="none" w:sz="0" w:space="0" w:color="auto"/>
        <w:right w:val="none" w:sz="0" w:space="0" w:color="auto"/>
      </w:divBdr>
    </w:div>
    <w:div w:id="2039694152">
      <w:bodyDiv w:val="1"/>
      <w:marLeft w:val="0"/>
      <w:marRight w:val="0"/>
      <w:marTop w:val="0"/>
      <w:marBottom w:val="0"/>
      <w:divBdr>
        <w:top w:val="none" w:sz="0" w:space="0" w:color="auto"/>
        <w:left w:val="none" w:sz="0" w:space="0" w:color="auto"/>
        <w:bottom w:val="none" w:sz="0" w:space="0" w:color="auto"/>
        <w:right w:val="none" w:sz="0" w:space="0" w:color="auto"/>
      </w:divBdr>
    </w:div>
    <w:div w:id="2068528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49C84-B42F-476F-9878-0991C070A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545</Words>
  <Characters>3130</Characters>
  <Application>Microsoft Office Word</Application>
  <DocSecurity>0</DocSecurity>
  <Lines>64</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United Nations</vt:lpstr>
      <vt:lpstr>United Nations</vt:lpstr>
    </vt:vector>
  </TitlesOfParts>
  <Company>CSD</Company>
  <LinksUpToDate>false</LinksUpToDate>
  <CharactersWithSpaces>3673</CharactersWithSpaces>
  <SharedDoc>false</SharedDoc>
  <HLinks>
    <vt:vector size="6" baseType="variant">
      <vt:variant>
        <vt:i4>6160404</vt:i4>
      </vt:variant>
      <vt:variant>
        <vt:i4>-1</vt:i4>
      </vt:variant>
      <vt:variant>
        <vt:i4>2049</vt:i4>
      </vt:variant>
      <vt:variant>
        <vt:i4>1</vt:i4>
      </vt:variant>
      <vt:variant>
        <vt:lpwstr>recycle_English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5</cp:revision>
  <cp:lastPrinted>2016-04-01T17:55:00Z</cp:lastPrinted>
  <dcterms:created xsi:type="dcterms:W3CDTF">2016-04-01T17:42:00Z</dcterms:created>
  <dcterms:modified xsi:type="dcterms:W3CDTF">2016-04-01T17:55:00Z</dcterms:modified>
</cp:coreProperties>
</file>