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0305D3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9F606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9C312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9F6069" w:rsidP="009F6069">
            <w:pPr>
              <w:jc w:val="right"/>
            </w:pPr>
            <w:r w:rsidRPr="009F6069">
              <w:rPr>
                <w:sz w:val="40"/>
              </w:rPr>
              <w:t>ST</w:t>
            </w:r>
            <w:r>
              <w:t>/SG/AC.10/C.3/2016/35</w:t>
            </w:r>
          </w:p>
        </w:tc>
      </w:tr>
      <w:tr w:rsidR="00132EA9" w:rsidRPr="00DB58B5" w:rsidTr="009C312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9C312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E76D5A0" wp14:editId="1FEE2CF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9C312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9F6069" w:rsidP="009C3129">
            <w:pPr>
              <w:spacing w:before="240"/>
            </w:pPr>
            <w:r>
              <w:t>Distr. générale</w:t>
            </w:r>
          </w:p>
          <w:p w:rsidR="009F6069" w:rsidRDefault="009F6069" w:rsidP="009F6069">
            <w:pPr>
              <w:spacing w:line="240" w:lineRule="exact"/>
            </w:pPr>
            <w:r>
              <w:t>4 avril 2016</w:t>
            </w:r>
          </w:p>
          <w:p w:rsidR="009F6069" w:rsidRDefault="009F6069" w:rsidP="009F6069">
            <w:pPr>
              <w:spacing w:line="240" w:lineRule="exact"/>
            </w:pPr>
            <w:r>
              <w:t>Français</w:t>
            </w:r>
          </w:p>
          <w:p w:rsidR="009F6069" w:rsidRPr="00DB58B5" w:rsidRDefault="009F6069" w:rsidP="009F6069">
            <w:pPr>
              <w:spacing w:line="240" w:lineRule="exact"/>
            </w:pPr>
            <w:r>
              <w:t>Original : anglais</w:t>
            </w:r>
          </w:p>
        </w:tc>
      </w:tr>
    </w:tbl>
    <w:p w:rsidR="009F6069" w:rsidRPr="00CA0680" w:rsidRDefault="009F6069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B02B60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B02B60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9F6069" w:rsidRPr="00CA0680" w:rsidRDefault="009F6069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B02B60">
        <w:rPr>
          <w:b/>
        </w:rPr>
        <w:t>’</w:t>
      </w:r>
      <w:r w:rsidRPr="00CA0680">
        <w:rPr>
          <w:b/>
        </w:rPr>
        <w:t>experts du transport des marchandises dangereuses</w:t>
      </w:r>
    </w:p>
    <w:p w:rsidR="009F6069" w:rsidRDefault="009F6069" w:rsidP="000305D3">
      <w:pPr>
        <w:spacing w:before="120"/>
        <w:rPr>
          <w:b/>
        </w:rPr>
      </w:pPr>
      <w:r>
        <w:rPr>
          <w:b/>
        </w:rPr>
        <w:t xml:space="preserve">Quarante-neuvième </w:t>
      </w:r>
      <w:r w:rsidRPr="00CA0680">
        <w:rPr>
          <w:b/>
        </w:rPr>
        <w:t>session</w:t>
      </w:r>
    </w:p>
    <w:p w:rsidR="009F6069" w:rsidRDefault="009F6069" w:rsidP="000305D3">
      <w:r>
        <w:t>Genève, 27 juin-6 juillet 2016</w:t>
      </w:r>
    </w:p>
    <w:p w:rsidR="009F6069" w:rsidRDefault="009F6069" w:rsidP="000305D3">
      <w:r>
        <w:t>Point 3 de l</w:t>
      </w:r>
      <w:r w:rsidR="00B02B60">
        <w:t>’</w:t>
      </w:r>
      <w:r>
        <w:t>ordre du jour provisoire</w:t>
      </w:r>
    </w:p>
    <w:p w:rsidR="009F6069" w:rsidRPr="009F6069" w:rsidRDefault="009F6069" w:rsidP="00AC3823">
      <w:pPr>
        <w:rPr>
          <w:b/>
        </w:rPr>
      </w:pPr>
      <w:r w:rsidRPr="009F6069">
        <w:rPr>
          <w:b/>
        </w:rPr>
        <w:t>Inscription, classement et emballage</w:t>
      </w:r>
    </w:p>
    <w:p w:rsidR="00F371B4" w:rsidRPr="00F371B4" w:rsidRDefault="00F371B4" w:rsidP="00F371B4">
      <w:pPr>
        <w:pStyle w:val="HChG"/>
        <w:rPr>
          <w:rFonts w:eastAsia="Calibri"/>
        </w:rPr>
      </w:pPr>
      <w:r w:rsidRPr="00F371B4">
        <w:rPr>
          <w:rFonts w:eastAsia="Calibri"/>
        </w:rPr>
        <w:tab/>
      </w:r>
      <w:r w:rsidRPr="00F371B4">
        <w:rPr>
          <w:rFonts w:eastAsia="Calibri"/>
        </w:rPr>
        <w:tab/>
        <w:t>Classement des animaux infectés</w:t>
      </w:r>
    </w:p>
    <w:p w:rsidR="00F371B4" w:rsidRPr="00F371B4" w:rsidRDefault="00F371B4" w:rsidP="00F371B4">
      <w:pPr>
        <w:pStyle w:val="H1G"/>
        <w:rPr>
          <w:rFonts w:eastAsia="Calibri"/>
        </w:rPr>
      </w:pPr>
      <w:r w:rsidRPr="00F371B4">
        <w:rPr>
          <w:rFonts w:eastAsia="Calibri"/>
        </w:rPr>
        <w:tab/>
      </w:r>
      <w:r w:rsidRPr="00F371B4">
        <w:rPr>
          <w:rFonts w:eastAsia="Calibri"/>
        </w:rPr>
        <w:tab/>
        <w:t>Communication de l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 xml:space="preserve">Organisation mondiale de la Santé (OMS) </w:t>
      </w:r>
      <w:r>
        <w:rPr>
          <w:rFonts w:eastAsia="Calibri"/>
        </w:rPr>
        <w:br/>
      </w:r>
      <w:r w:rsidRPr="00F371B4">
        <w:rPr>
          <w:rFonts w:eastAsia="Calibri"/>
        </w:rPr>
        <w:t>et de l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>Organisation des Nations Unies pour l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 xml:space="preserve">alimentation </w:t>
      </w:r>
      <w:r>
        <w:rPr>
          <w:rFonts w:eastAsia="Calibri"/>
        </w:rPr>
        <w:br/>
      </w:r>
      <w:r w:rsidRPr="00F371B4">
        <w:rPr>
          <w:rFonts w:eastAsia="Calibri"/>
        </w:rPr>
        <w:t>et l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>agriculture (FAO)</w:t>
      </w:r>
      <w:r w:rsidRPr="00F371B4">
        <w:rPr>
          <w:rFonts w:eastAsia="Calibri"/>
          <w:sz w:val="18"/>
          <w:vertAlign w:val="superscript"/>
        </w:rPr>
        <w:footnoteReference w:id="2"/>
      </w:r>
    </w:p>
    <w:p w:rsidR="00F371B4" w:rsidRPr="00F371B4" w:rsidRDefault="00F371B4" w:rsidP="00F371B4">
      <w:pPr>
        <w:pStyle w:val="HChG"/>
        <w:rPr>
          <w:rFonts w:eastAsia="Calibri"/>
        </w:rPr>
      </w:pPr>
      <w:r w:rsidRPr="00F371B4">
        <w:rPr>
          <w:rFonts w:eastAsia="Calibri"/>
        </w:rPr>
        <w:tab/>
      </w:r>
      <w:r w:rsidRPr="00F371B4">
        <w:rPr>
          <w:rFonts w:eastAsia="Calibri"/>
        </w:rPr>
        <w:tab/>
        <w:t>Introduction</w:t>
      </w:r>
    </w:p>
    <w:p w:rsidR="00F371B4" w:rsidRDefault="00F371B4" w:rsidP="00F371B4">
      <w:pPr>
        <w:pStyle w:val="ParNoG"/>
        <w:rPr>
          <w:rFonts w:eastAsia="Calibri"/>
        </w:rPr>
      </w:pPr>
      <w:r w:rsidRPr="00F371B4">
        <w:rPr>
          <w:rFonts w:eastAsia="Calibri"/>
        </w:rPr>
        <w:t>L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>Organisation de l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>aviation civile internationale (</w:t>
      </w:r>
      <w:r w:rsidR="00BB62EF">
        <w:rPr>
          <w:rFonts w:eastAsia="Calibri"/>
        </w:rPr>
        <w:t>OACI) a présenté, à la quarante</w:t>
      </w:r>
      <w:r w:rsidR="00BB62EF">
        <w:rPr>
          <w:rFonts w:eastAsia="Calibri"/>
        </w:rPr>
        <w:noBreakHyphen/>
      </w:r>
      <w:r w:rsidRPr="00F371B4">
        <w:rPr>
          <w:rFonts w:eastAsia="Calibri"/>
        </w:rPr>
        <w:t>huitième session du Sous-Comité, un document d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>information soulignant les questions soulevées en ce qui concerne les critères de classement des animaux infectés</w:t>
      </w:r>
      <w:r w:rsidR="005C686A">
        <w:rPr>
          <w:rFonts w:eastAsia="Calibri"/>
        </w:rPr>
        <w:t> ; questions</w:t>
      </w:r>
      <w:r w:rsidRPr="00F371B4">
        <w:rPr>
          <w:rFonts w:eastAsia="Calibri"/>
        </w:rPr>
        <w:t xml:space="preserve"> dont le Groupe d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>experts de l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 xml:space="preserve">OACI sur les marchandises dangereuses </w:t>
      </w:r>
      <w:r w:rsidR="005C686A">
        <w:rPr>
          <w:rFonts w:eastAsia="Calibri"/>
        </w:rPr>
        <w:t>avait jugé</w:t>
      </w:r>
      <w:r w:rsidRPr="00F371B4">
        <w:rPr>
          <w:rFonts w:eastAsia="Calibri"/>
        </w:rPr>
        <w:t xml:space="preserve">, à sa vingt-cinquième réunion, </w:t>
      </w:r>
      <w:r w:rsidR="005C686A">
        <w:rPr>
          <w:rFonts w:eastAsia="Calibri"/>
        </w:rPr>
        <w:t>qu’elles devaient être examinées par le Sous-Comité</w:t>
      </w:r>
      <w:r w:rsidRPr="00F371B4">
        <w:rPr>
          <w:rFonts w:eastAsia="Calibri"/>
        </w:rPr>
        <w:t xml:space="preserve"> (document informel INF.39 (</w:t>
      </w:r>
      <w:r w:rsidR="005C686A">
        <w:rPr>
          <w:rFonts w:eastAsia="Calibri"/>
        </w:rPr>
        <w:t xml:space="preserve">quarante-huitième </w:t>
      </w:r>
      <w:r w:rsidRPr="00F371B4">
        <w:rPr>
          <w:rFonts w:eastAsia="Calibri"/>
        </w:rPr>
        <w:t xml:space="preserve">session)). Le présent document fait suite aux débats qui </w:t>
      </w:r>
      <w:r w:rsidR="005C686A">
        <w:rPr>
          <w:rFonts w:eastAsia="Calibri"/>
        </w:rPr>
        <w:t>ont eu lieu</w:t>
      </w:r>
      <w:r w:rsidRPr="00F371B4">
        <w:rPr>
          <w:rFonts w:eastAsia="Calibri"/>
        </w:rPr>
        <w:t xml:space="preserve"> à propos du document susmentionné. Il y est proposé de corriger, dans le Règlement type, les </w:t>
      </w:r>
      <w:r w:rsidR="005C686A">
        <w:rPr>
          <w:rFonts w:eastAsia="Calibri"/>
        </w:rPr>
        <w:t>divergences</w:t>
      </w:r>
      <w:r w:rsidR="00C85706">
        <w:rPr>
          <w:rFonts w:eastAsia="Calibri"/>
        </w:rPr>
        <w:t xml:space="preserve"> entre les paragraphes suivants :</w:t>
      </w:r>
      <w:r w:rsidRPr="00F371B4">
        <w:rPr>
          <w:rFonts w:eastAsia="Calibri"/>
        </w:rPr>
        <w:t xml:space="preserve"> 2.6.3.1.3, 2.6.3.1.4, 2.6.3.6.1 et 2.6.3.6.2.</w:t>
      </w:r>
    </w:p>
    <w:p w:rsidR="00F371B4" w:rsidRPr="00F371B4" w:rsidRDefault="00F371B4" w:rsidP="00F371B4">
      <w:pPr>
        <w:pStyle w:val="ParNoG"/>
        <w:rPr>
          <w:rFonts w:eastAsia="Calibri"/>
        </w:rPr>
      </w:pPr>
      <w:r w:rsidRPr="00F371B4">
        <w:rPr>
          <w:rFonts w:eastAsia="Calibri"/>
        </w:rPr>
        <w:t xml:space="preserve">Le paragraphe 2.6.3.6 </w:t>
      </w:r>
      <w:r w:rsidR="005C686A">
        <w:rPr>
          <w:rFonts w:eastAsia="Calibri"/>
        </w:rPr>
        <w:t>traite des</w:t>
      </w:r>
      <w:r w:rsidRPr="00F371B4">
        <w:rPr>
          <w:rFonts w:eastAsia="Calibri"/>
        </w:rPr>
        <w:t xml:space="preserve"> dispositions relatives au transport d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 xml:space="preserve">animaux vivants volontairement infectés et de matières animales infectées par un agent pathogène. Le paragraphe 2.6.3.6.1 </w:t>
      </w:r>
      <w:r w:rsidR="005C686A">
        <w:rPr>
          <w:rFonts w:eastAsia="Calibri"/>
        </w:rPr>
        <w:t>spécifie</w:t>
      </w:r>
      <w:r w:rsidRPr="00F371B4">
        <w:rPr>
          <w:rFonts w:eastAsia="Calibri"/>
        </w:rPr>
        <w:t xml:space="preserve"> clairement </w:t>
      </w:r>
      <w:r w:rsidR="005C686A">
        <w:rPr>
          <w:rFonts w:eastAsia="Calibri"/>
        </w:rPr>
        <w:t xml:space="preserve">que </w:t>
      </w:r>
      <w:r w:rsidRPr="00F371B4">
        <w:rPr>
          <w:rFonts w:eastAsia="Calibri"/>
        </w:rPr>
        <w:t>les prescriptions relatives au transport d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 xml:space="preserve">animaux volontairement infectés ou de matières dont on sait ou </w:t>
      </w:r>
      <w:r w:rsidR="005C686A">
        <w:rPr>
          <w:rFonts w:eastAsia="Calibri"/>
        </w:rPr>
        <w:t>présume</w:t>
      </w:r>
      <w:r w:rsidRPr="00F371B4">
        <w:rPr>
          <w:rFonts w:eastAsia="Calibri"/>
        </w:rPr>
        <w:t xml:space="preserve"> qu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>elles contiennent des agents infectieux</w:t>
      </w:r>
      <w:r w:rsidR="005C686A">
        <w:rPr>
          <w:rFonts w:eastAsia="Calibri"/>
        </w:rPr>
        <w:t xml:space="preserve"> sont du ressort</w:t>
      </w:r>
      <w:r w:rsidRPr="00F371B4">
        <w:rPr>
          <w:rFonts w:eastAsia="Calibri"/>
        </w:rPr>
        <w:t xml:space="preserve"> de l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>autorité compétente.</w:t>
      </w:r>
    </w:p>
    <w:p w:rsidR="00F371B4" w:rsidRPr="00F371B4" w:rsidRDefault="000A622F" w:rsidP="000A622F">
      <w:pPr>
        <w:pStyle w:val="ParNoG"/>
        <w:keepLines/>
        <w:rPr>
          <w:rFonts w:eastAsia="Calibri"/>
        </w:rPr>
      </w:pPr>
      <w:r>
        <w:rPr>
          <w:rFonts w:eastAsia="Calibri"/>
        </w:rPr>
        <w:lastRenderedPageBreak/>
        <w:t>Le paragraphe </w:t>
      </w:r>
      <w:r w:rsidR="00F371B4" w:rsidRPr="00F371B4">
        <w:rPr>
          <w:rFonts w:eastAsia="Calibri"/>
        </w:rPr>
        <w:t>2.6.3.6.1 se rapporte à l</w:t>
      </w:r>
      <w:r w:rsidR="00B02B60">
        <w:rPr>
          <w:rFonts w:eastAsia="Calibri"/>
        </w:rPr>
        <w:t>’</w:t>
      </w:r>
      <w:r w:rsidR="00F371B4" w:rsidRPr="00F371B4">
        <w:rPr>
          <w:rFonts w:eastAsia="Calibri"/>
        </w:rPr>
        <w:t>inoculation volontaire d</w:t>
      </w:r>
      <w:r w:rsidR="00B02B60">
        <w:rPr>
          <w:rFonts w:eastAsia="Calibri"/>
        </w:rPr>
        <w:t>’</w:t>
      </w:r>
      <w:r w:rsidR="00F371B4" w:rsidRPr="00F371B4">
        <w:rPr>
          <w:rFonts w:eastAsia="Calibri"/>
        </w:rPr>
        <w:t>un agent pathogène à un animal. Il s</w:t>
      </w:r>
      <w:r w:rsidR="00B02B60">
        <w:rPr>
          <w:rFonts w:eastAsia="Calibri"/>
        </w:rPr>
        <w:t>’</w:t>
      </w:r>
      <w:r w:rsidR="00F371B4" w:rsidRPr="00F371B4">
        <w:rPr>
          <w:rFonts w:eastAsia="Calibri"/>
        </w:rPr>
        <w:t>agit d</w:t>
      </w:r>
      <w:r w:rsidR="00B02B60">
        <w:rPr>
          <w:rFonts w:eastAsia="Calibri"/>
        </w:rPr>
        <w:t>’</w:t>
      </w:r>
      <w:r w:rsidR="00F371B4" w:rsidRPr="00F371B4">
        <w:rPr>
          <w:rFonts w:eastAsia="Calibri"/>
        </w:rPr>
        <w:t>une méthode de reproduction (par culture) d</w:t>
      </w:r>
      <w:r w:rsidR="00B02B60">
        <w:rPr>
          <w:rFonts w:eastAsia="Calibri"/>
        </w:rPr>
        <w:t>’</w:t>
      </w:r>
      <w:r w:rsidR="00F371B4" w:rsidRPr="00F371B4">
        <w:rPr>
          <w:rFonts w:eastAsia="Calibri"/>
        </w:rPr>
        <w:t>agents pathogènes à des fins de recherche qui a fait ses preuves d</w:t>
      </w:r>
      <w:r w:rsidR="00B02B60">
        <w:rPr>
          <w:rFonts w:eastAsia="Calibri"/>
        </w:rPr>
        <w:t>’</w:t>
      </w:r>
      <w:r w:rsidR="00F371B4" w:rsidRPr="00F371B4">
        <w:rPr>
          <w:rFonts w:eastAsia="Calibri"/>
        </w:rPr>
        <w:t xml:space="preserve">un point de vue scientifique et, dans de telles conditions, un animal </w:t>
      </w:r>
      <w:r w:rsidR="005C686A">
        <w:rPr>
          <w:rFonts w:eastAsia="Calibri"/>
        </w:rPr>
        <w:t>intentionnellemen</w:t>
      </w:r>
      <w:r w:rsidR="00F371B4" w:rsidRPr="00F371B4">
        <w:rPr>
          <w:rFonts w:eastAsia="Calibri"/>
        </w:rPr>
        <w:t xml:space="preserve">t infecté relève de la définition des </w:t>
      </w:r>
      <w:r>
        <w:rPr>
          <w:rFonts w:eastAsia="Calibri"/>
        </w:rPr>
        <w:t>« </w:t>
      </w:r>
      <w:r w:rsidR="00F371B4" w:rsidRPr="00F371B4">
        <w:rPr>
          <w:rFonts w:eastAsia="Calibri"/>
          <w:i/>
        </w:rPr>
        <w:t>cultures</w:t>
      </w:r>
      <w:r>
        <w:rPr>
          <w:rFonts w:eastAsia="Calibri"/>
        </w:rPr>
        <w:t> »</w:t>
      </w:r>
      <w:r w:rsidR="00F371B4" w:rsidRPr="00F371B4">
        <w:rPr>
          <w:rFonts w:eastAsia="Calibri"/>
        </w:rPr>
        <w:t>, telle qu</w:t>
      </w:r>
      <w:r w:rsidR="00B02B60">
        <w:rPr>
          <w:rFonts w:eastAsia="Calibri"/>
        </w:rPr>
        <w:t>’</w:t>
      </w:r>
      <w:r w:rsidR="00F371B4" w:rsidRPr="00F371B4">
        <w:rPr>
          <w:rFonts w:eastAsia="Calibri"/>
        </w:rPr>
        <w:t>elle est énoncée au paragraphe 2.6.3.1.3, qu</w:t>
      </w:r>
      <w:r w:rsidR="00B02B60">
        <w:rPr>
          <w:rFonts w:eastAsia="Calibri"/>
        </w:rPr>
        <w:t>’</w:t>
      </w:r>
      <w:r w:rsidR="00F371B4" w:rsidRPr="00F371B4">
        <w:rPr>
          <w:rFonts w:eastAsia="Calibri"/>
        </w:rPr>
        <w:t>il soit transporté dans son intégralité, vivant ou mort, ou en partie (échantillons, matières animales infectées du fait de l</w:t>
      </w:r>
      <w:r w:rsidR="00B02B60">
        <w:rPr>
          <w:rFonts w:eastAsia="Calibri"/>
        </w:rPr>
        <w:t>’</w:t>
      </w:r>
      <w:r w:rsidR="00F371B4" w:rsidRPr="00F371B4">
        <w:rPr>
          <w:rFonts w:eastAsia="Calibri"/>
        </w:rPr>
        <w:t xml:space="preserve">inoculation </w:t>
      </w:r>
      <w:r w:rsidR="005C686A">
        <w:rPr>
          <w:rFonts w:eastAsia="Calibri"/>
        </w:rPr>
        <w:t>intentionnelle</w:t>
      </w:r>
      <w:r w:rsidR="00F371B4" w:rsidRPr="00F371B4">
        <w:rPr>
          <w:rFonts w:eastAsia="Calibri"/>
        </w:rPr>
        <w:t xml:space="preserve"> d</w:t>
      </w:r>
      <w:r w:rsidR="00B02B60">
        <w:rPr>
          <w:rFonts w:eastAsia="Calibri"/>
        </w:rPr>
        <w:t>’</w:t>
      </w:r>
      <w:r w:rsidR="00F371B4" w:rsidRPr="00F371B4">
        <w:rPr>
          <w:rFonts w:eastAsia="Calibri"/>
        </w:rPr>
        <w:t xml:space="preserve">un agent pathogène à un animal). </w:t>
      </w:r>
      <w:r w:rsidR="005C686A">
        <w:rPr>
          <w:rFonts w:eastAsia="Calibri"/>
        </w:rPr>
        <w:t>En conséquence</w:t>
      </w:r>
      <w:r w:rsidR="00F371B4" w:rsidRPr="00F371B4">
        <w:rPr>
          <w:rFonts w:eastAsia="Calibri"/>
        </w:rPr>
        <w:t>, l</w:t>
      </w:r>
      <w:r w:rsidR="00B02B60">
        <w:rPr>
          <w:rFonts w:eastAsia="Calibri"/>
        </w:rPr>
        <w:t>’</w:t>
      </w:r>
      <w:r w:rsidR="00F371B4" w:rsidRPr="00F371B4">
        <w:rPr>
          <w:rFonts w:eastAsia="Calibri"/>
        </w:rPr>
        <w:t xml:space="preserve">animal en question, ou la matière animale infectée par inoculation </w:t>
      </w:r>
      <w:r w:rsidR="005C686A">
        <w:rPr>
          <w:rFonts w:eastAsia="Calibri"/>
        </w:rPr>
        <w:t>intentionnelle</w:t>
      </w:r>
      <w:r w:rsidR="00F371B4" w:rsidRPr="00F371B4">
        <w:rPr>
          <w:rFonts w:eastAsia="Calibri"/>
        </w:rPr>
        <w:t xml:space="preserve"> d</w:t>
      </w:r>
      <w:r w:rsidR="00B02B60">
        <w:rPr>
          <w:rFonts w:eastAsia="Calibri"/>
        </w:rPr>
        <w:t>’</w:t>
      </w:r>
      <w:r w:rsidR="00F371B4" w:rsidRPr="00F371B4">
        <w:rPr>
          <w:rFonts w:eastAsia="Calibri"/>
        </w:rPr>
        <w:t xml:space="preserve">un agent pathogène à un animal, </w:t>
      </w:r>
      <w:r w:rsidR="005C686A">
        <w:rPr>
          <w:rFonts w:eastAsia="Calibri"/>
        </w:rPr>
        <w:t>doit être</w:t>
      </w:r>
      <w:r w:rsidR="00F371B4" w:rsidRPr="00F371B4">
        <w:rPr>
          <w:rFonts w:eastAsia="Calibri"/>
        </w:rPr>
        <w:t xml:space="preserve"> transporté </w:t>
      </w:r>
      <w:r w:rsidR="005C686A">
        <w:rPr>
          <w:rFonts w:eastAsia="Calibri"/>
        </w:rPr>
        <w:t>au titre de</w:t>
      </w:r>
      <w:r w:rsidR="00F371B4" w:rsidRPr="00F371B4">
        <w:rPr>
          <w:rFonts w:eastAsia="Calibri"/>
        </w:rPr>
        <w:t xml:space="preserve"> la catégorie A si l</w:t>
      </w:r>
      <w:r w:rsidR="00B02B60">
        <w:rPr>
          <w:rFonts w:eastAsia="Calibri"/>
        </w:rPr>
        <w:t>’</w:t>
      </w:r>
      <w:r w:rsidR="00F371B4" w:rsidRPr="00F371B4">
        <w:rPr>
          <w:rFonts w:eastAsia="Calibri"/>
        </w:rPr>
        <w:t xml:space="preserve">agent pathogène </w:t>
      </w:r>
      <w:r w:rsidR="005C686A">
        <w:rPr>
          <w:rFonts w:eastAsia="Calibri"/>
        </w:rPr>
        <w:t>en question</w:t>
      </w:r>
      <w:r w:rsidR="00F371B4" w:rsidRPr="00F371B4">
        <w:rPr>
          <w:rFonts w:eastAsia="Calibri"/>
        </w:rPr>
        <w:t xml:space="preserve"> relève de cette catégorie ou en relèverait s</w:t>
      </w:r>
      <w:r w:rsidR="00B02B60">
        <w:rPr>
          <w:rFonts w:eastAsia="Calibri"/>
        </w:rPr>
        <w:t>’</w:t>
      </w:r>
      <w:r w:rsidR="00F371B4" w:rsidRPr="00F371B4">
        <w:rPr>
          <w:rFonts w:eastAsia="Calibri"/>
        </w:rPr>
        <w:t>il était en culture.</w:t>
      </w:r>
    </w:p>
    <w:p w:rsidR="00F371B4" w:rsidRPr="00F371B4" w:rsidRDefault="000A622F" w:rsidP="000A622F">
      <w:pPr>
        <w:pStyle w:val="ParNoG"/>
        <w:rPr>
          <w:rFonts w:eastAsia="Calibri"/>
        </w:rPr>
      </w:pPr>
      <w:r>
        <w:rPr>
          <w:rFonts w:eastAsia="Calibri"/>
        </w:rPr>
        <w:t>Le paragraphe </w:t>
      </w:r>
      <w:r w:rsidR="00F371B4" w:rsidRPr="00F371B4">
        <w:rPr>
          <w:rFonts w:eastAsia="Calibri"/>
        </w:rPr>
        <w:t>2.6.3.6.2 se rapporte aux matières animales issues d</w:t>
      </w:r>
      <w:r w:rsidR="00B02B60">
        <w:rPr>
          <w:rFonts w:eastAsia="Calibri"/>
        </w:rPr>
        <w:t>’</w:t>
      </w:r>
      <w:r w:rsidR="00F371B4" w:rsidRPr="00F371B4">
        <w:rPr>
          <w:rFonts w:eastAsia="Calibri"/>
        </w:rPr>
        <w:t>animaux infectés sans toutefois préciser si l</w:t>
      </w:r>
      <w:r w:rsidR="00B02B60">
        <w:rPr>
          <w:rFonts w:eastAsia="Calibri"/>
        </w:rPr>
        <w:t>’</w:t>
      </w:r>
      <w:r w:rsidR="00F371B4" w:rsidRPr="00F371B4">
        <w:rPr>
          <w:rFonts w:eastAsia="Calibri"/>
        </w:rPr>
        <w:t>infection est survenue naturellement ou procède d</w:t>
      </w:r>
      <w:r w:rsidR="00B02B60">
        <w:rPr>
          <w:rFonts w:eastAsia="Calibri"/>
        </w:rPr>
        <w:t>’</w:t>
      </w:r>
      <w:r w:rsidR="00F371B4" w:rsidRPr="00F371B4">
        <w:rPr>
          <w:rFonts w:eastAsia="Calibri"/>
        </w:rPr>
        <w:t>une opération intentionnelle de reproduction d</w:t>
      </w:r>
      <w:r w:rsidR="00B02B60">
        <w:rPr>
          <w:rFonts w:eastAsia="Calibri"/>
        </w:rPr>
        <w:t>’</w:t>
      </w:r>
      <w:r w:rsidR="00F371B4" w:rsidRPr="00F371B4">
        <w:rPr>
          <w:rFonts w:eastAsia="Calibri"/>
        </w:rPr>
        <w:t>un agent pathogène. L</w:t>
      </w:r>
      <w:r w:rsidR="00B02B60">
        <w:rPr>
          <w:rFonts w:eastAsia="Calibri"/>
        </w:rPr>
        <w:t>’</w:t>
      </w:r>
      <w:r w:rsidR="00F371B4" w:rsidRPr="00F371B4">
        <w:rPr>
          <w:rFonts w:eastAsia="Calibri"/>
        </w:rPr>
        <w:t>incertitude qui subsiste à ce sujet introduit une incohérence par rapport au paragraphe 2.6.3.1.4</w:t>
      </w:r>
      <w:r>
        <w:rPr>
          <w:rFonts w:eastAsia="Calibri"/>
        </w:rPr>
        <w:t xml:space="preserve"> pour les raisons suivantes :</w:t>
      </w:r>
    </w:p>
    <w:p w:rsidR="00F371B4" w:rsidRPr="00F371B4" w:rsidRDefault="00F371B4" w:rsidP="000A622F">
      <w:pPr>
        <w:pStyle w:val="SingleTxtG"/>
        <w:ind w:firstLine="567"/>
        <w:rPr>
          <w:rFonts w:eastAsia="Calibri"/>
        </w:rPr>
      </w:pPr>
      <w:r w:rsidRPr="00F371B4">
        <w:rPr>
          <w:rFonts w:eastAsia="Calibri"/>
        </w:rPr>
        <w:t>a)</w:t>
      </w:r>
      <w:r w:rsidRPr="00F371B4">
        <w:rPr>
          <w:rFonts w:eastAsia="Calibri"/>
        </w:rPr>
        <w:tab/>
        <w:t>Les paragraphes 2.6.3.1.3 et 2.6.3.1.4 du Règlement type ont pour but d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>aider au classement des agents pathogènes (cultures seulement) qui relèvent de la catégo</w:t>
      </w:r>
      <w:r w:rsidR="00C85706">
        <w:rPr>
          <w:rFonts w:eastAsia="Calibri"/>
        </w:rPr>
        <w:t>rie A de matières infectieuses ;</w:t>
      </w:r>
    </w:p>
    <w:p w:rsidR="00F371B4" w:rsidRPr="00F371B4" w:rsidRDefault="00F371B4" w:rsidP="000A622F">
      <w:pPr>
        <w:pStyle w:val="SingleTxtG"/>
        <w:ind w:firstLine="567"/>
        <w:rPr>
          <w:rFonts w:eastAsia="Calibri"/>
        </w:rPr>
      </w:pPr>
      <w:r w:rsidRPr="00F371B4">
        <w:rPr>
          <w:rFonts w:eastAsia="Calibri"/>
        </w:rPr>
        <w:t>b)</w:t>
      </w:r>
      <w:r w:rsidRPr="00F371B4">
        <w:rPr>
          <w:rFonts w:eastAsia="Calibri"/>
        </w:rPr>
        <w:tab/>
        <w:t>Dans le paragraphe 2.6.3.1.4, l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>état de l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>être humain ou de l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>animal (</w:t>
      </w:r>
      <w:r w:rsidR="005C686A">
        <w:rPr>
          <w:rFonts w:eastAsia="Calibri"/>
        </w:rPr>
        <w:t>c’est </w:t>
      </w:r>
      <w:r w:rsidR="005C686A">
        <w:rPr>
          <w:rFonts w:eastAsia="Calibri"/>
        </w:rPr>
        <w:noBreakHyphen/>
        <w:t>à</w:t>
      </w:r>
      <w:r w:rsidR="005C686A">
        <w:rPr>
          <w:rFonts w:eastAsia="Calibri"/>
        </w:rPr>
        <w:noBreakHyphen/>
        <w:t xml:space="preserve">dire </w:t>
      </w:r>
      <w:r w:rsidRPr="00F371B4">
        <w:rPr>
          <w:rFonts w:eastAsia="Calibri"/>
        </w:rPr>
        <w:t>vivant ou mort) sur lequel ont été prélevées les matières infectieuses n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 xml:space="preserve">est pas spécifié, </w:t>
      </w:r>
      <w:r w:rsidR="005C686A">
        <w:rPr>
          <w:rFonts w:eastAsia="Calibri"/>
        </w:rPr>
        <w:t>non plus que</w:t>
      </w:r>
      <w:r w:rsidRPr="00F371B4">
        <w:rPr>
          <w:rFonts w:eastAsia="Calibri"/>
        </w:rPr>
        <w:t xml:space="preserve"> les conditions de l</w:t>
      </w:r>
      <w:r w:rsidR="00B02B60">
        <w:rPr>
          <w:rFonts w:eastAsia="Calibri"/>
        </w:rPr>
        <w:t>’</w:t>
      </w:r>
      <w:r w:rsidR="005C686A">
        <w:rPr>
          <w:rFonts w:eastAsia="Calibri"/>
        </w:rPr>
        <w:t>infection (naturelle</w:t>
      </w:r>
      <w:r w:rsidRPr="00F371B4">
        <w:rPr>
          <w:rFonts w:eastAsia="Calibri"/>
        </w:rPr>
        <w:t xml:space="preserve"> ou </w:t>
      </w:r>
      <w:r w:rsidR="005C686A">
        <w:rPr>
          <w:rFonts w:eastAsia="Calibri"/>
        </w:rPr>
        <w:t>intentionnelle</w:t>
      </w:r>
      <w:r w:rsidRPr="00F371B4">
        <w:rPr>
          <w:rFonts w:eastAsia="Calibri"/>
        </w:rPr>
        <w:t>). Dans le cas du transport d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 xml:space="preserve">un échantillon prélevé sur un patient humain ou animal, </w:t>
      </w:r>
      <w:r w:rsidR="005C686A">
        <w:rPr>
          <w:rFonts w:eastAsia="Calibri"/>
        </w:rPr>
        <w:t xml:space="preserve">qu’il soit </w:t>
      </w:r>
      <w:r w:rsidRPr="00F371B4">
        <w:rPr>
          <w:rFonts w:eastAsia="Calibri"/>
        </w:rPr>
        <w:t>vivant ou mort, aux fins énoncées dans ledit paragraphe, si l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 xml:space="preserve">agent pathogène appartient à la catégorie A des matières infectieuses (cultures seulement), le spécimen </w:t>
      </w:r>
      <w:r w:rsidR="005C686A">
        <w:rPr>
          <w:rFonts w:eastAsia="Calibri"/>
        </w:rPr>
        <w:t>serait</w:t>
      </w:r>
      <w:r w:rsidR="00C85706">
        <w:rPr>
          <w:rFonts w:eastAsia="Calibri"/>
        </w:rPr>
        <w:t xml:space="preserve"> transporté sous la catégorie B ;</w:t>
      </w:r>
    </w:p>
    <w:p w:rsidR="00F371B4" w:rsidRPr="00F371B4" w:rsidRDefault="00F371B4" w:rsidP="000A622F">
      <w:pPr>
        <w:pStyle w:val="SingleTxtG"/>
        <w:ind w:firstLine="567"/>
        <w:rPr>
          <w:rFonts w:eastAsia="Calibri"/>
        </w:rPr>
      </w:pPr>
      <w:r w:rsidRPr="00F371B4">
        <w:rPr>
          <w:rFonts w:eastAsia="Calibri"/>
        </w:rPr>
        <w:t>c)</w:t>
      </w:r>
      <w:r w:rsidRPr="00F371B4">
        <w:rPr>
          <w:rFonts w:eastAsia="Calibri"/>
        </w:rPr>
        <w:tab/>
        <w:t>Au titre du paragraphe 2.6.3.6.2, les matières animales contenant des agents pathogènes sont transportées sous la catégorie A et, au titre du paragraphe 2.6.3.1.4, les matières humaines ou animales sont t</w:t>
      </w:r>
      <w:r w:rsidR="000A622F">
        <w:rPr>
          <w:rFonts w:eastAsia="Calibri"/>
        </w:rPr>
        <w:t>ransportées sous la catégorie B ;</w:t>
      </w:r>
    </w:p>
    <w:p w:rsidR="000A622F" w:rsidRDefault="00F371B4" w:rsidP="000A622F">
      <w:pPr>
        <w:pStyle w:val="SingleTxtG"/>
        <w:ind w:firstLine="567"/>
        <w:rPr>
          <w:rFonts w:eastAsia="Calibri"/>
        </w:rPr>
      </w:pPr>
      <w:r w:rsidRPr="00F371B4">
        <w:rPr>
          <w:rFonts w:eastAsia="Calibri"/>
        </w:rPr>
        <w:t>d)</w:t>
      </w:r>
      <w:r w:rsidRPr="00F371B4">
        <w:rPr>
          <w:rFonts w:eastAsia="Calibri"/>
        </w:rPr>
        <w:tab/>
        <w:t>Il en découle une contradiction en ce qui concerne le classement d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 xml:space="preserve">un même agent pathogène, selon que le prélèvement a été fait </w:t>
      </w:r>
      <w:r w:rsidR="000A622F">
        <w:rPr>
          <w:rFonts w:eastAsia="Calibri"/>
        </w:rPr>
        <w:t>sur un animal ou un être humain ;</w:t>
      </w:r>
    </w:p>
    <w:p w:rsidR="000A622F" w:rsidRDefault="00F371B4" w:rsidP="000A622F">
      <w:pPr>
        <w:pStyle w:val="SingleTxtG"/>
        <w:ind w:firstLine="567"/>
        <w:rPr>
          <w:rFonts w:eastAsia="Calibri"/>
        </w:rPr>
      </w:pPr>
      <w:r w:rsidRPr="00F371B4">
        <w:rPr>
          <w:rFonts w:eastAsia="Calibri"/>
        </w:rPr>
        <w:t>e)</w:t>
      </w:r>
      <w:r w:rsidRPr="00F371B4">
        <w:rPr>
          <w:rFonts w:eastAsia="Calibri"/>
        </w:rPr>
        <w:tab/>
        <w:t xml:space="preserve">En outre, la définition énoncée au paragraphe 2.6.3.1.3 établit une nette distinction entre une culture et un échantillon prélevé sur un patient, avec la notion de </w:t>
      </w:r>
      <w:r w:rsidR="000A622F">
        <w:rPr>
          <w:rFonts w:eastAsia="Calibri"/>
        </w:rPr>
        <w:t>« </w:t>
      </w:r>
      <w:r w:rsidRPr="00F371B4">
        <w:rPr>
          <w:rFonts w:eastAsia="Calibri"/>
        </w:rPr>
        <w:t>reproduction</w:t>
      </w:r>
      <w:r w:rsidR="000A622F">
        <w:rPr>
          <w:rFonts w:eastAsia="Calibri"/>
        </w:rPr>
        <w:t> »</w:t>
      </w:r>
      <w:r w:rsidRPr="00F371B4">
        <w:rPr>
          <w:rFonts w:eastAsia="Calibri"/>
        </w:rPr>
        <w:t>, qui procède nécessairement d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 xml:space="preserve">une opération intentionnelle. Une telle distinction est également </w:t>
      </w:r>
      <w:r w:rsidR="005C686A">
        <w:rPr>
          <w:rFonts w:eastAsia="Calibri"/>
        </w:rPr>
        <w:t>appliquée</w:t>
      </w:r>
      <w:r w:rsidRPr="00F371B4">
        <w:rPr>
          <w:rFonts w:eastAsia="Calibri"/>
        </w:rPr>
        <w:t xml:space="preserve"> au paragraphe 2.6.3.6.1, mais </w:t>
      </w:r>
      <w:r w:rsidR="005C686A">
        <w:rPr>
          <w:rFonts w:eastAsia="Calibri"/>
        </w:rPr>
        <w:t>non</w:t>
      </w:r>
      <w:r w:rsidRPr="00F371B4">
        <w:rPr>
          <w:rFonts w:eastAsia="Calibri"/>
        </w:rPr>
        <w:t xml:space="preserve"> au paragraphe 2.6.3.6.2, ce qui </w:t>
      </w:r>
      <w:r w:rsidR="005C686A">
        <w:rPr>
          <w:rFonts w:eastAsia="Calibri"/>
        </w:rPr>
        <w:t>soulève</w:t>
      </w:r>
      <w:r w:rsidRPr="00F371B4">
        <w:rPr>
          <w:rFonts w:eastAsia="Calibri"/>
        </w:rPr>
        <w:t xml:space="preserve"> une contradiction en ce qui concerne le classement d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 xml:space="preserve">une même matière infectieuse </w:t>
      </w:r>
      <w:r w:rsidR="005C686A">
        <w:rPr>
          <w:rFonts w:eastAsia="Calibri"/>
        </w:rPr>
        <w:t>selon que l’on applique les</w:t>
      </w:r>
      <w:r w:rsidRPr="00F371B4">
        <w:rPr>
          <w:rFonts w:eastAsia="Calibri"/>
        </w:rPr>
        <w:t xml:space="preserve"> articles 2.6.3.1.4 et 2.6.3.6.2, com</w:t>
      </w:r>
      <w:r w:rsidR="000A622F">
        <w:rPr>
          <w:rFonts w:eastAsia="Calibri"/>
        </w:rPr>
        <w:t>me le montre l</w:t>
      </w:r>
      <w:r w:rsidR="00B02B60">
        <w:rPr>
          <w:rFonts w:eastAsia="Calibri"/>
        </w:rPr>
        <w:t>’</w:t>
      </w:r>
      <w:r w:rsidR="000A622F">
        <w:rPr>
          <w:rFonts w:eastAsia="Calibri"/>
        </w:rPr>
        <w:t>exemple ci-après ;</w:t>
      </w:r>
    </w:p>
    <w:p w:rsidR="000A622F" w:rsidRDefault="00F371B4" w:rsidP="000A622F">
      <w:pPr>
        <w:pStyle w:val="SingleTxtG"/>
        <w:ind w:firstLine="567"/>
        <w:rPr>
          <w:rFonts w:eastAsia="Calibri"/>
        </w:rPr>
      </w:pPr>
      <w:r w:rsidRPr="00F371B4">
        <w:rPr>
          <w:rFonts w:eastAsia="Calibri"/>
        </w:rPr>
        <w:t>f)</w:t>
      </w:r>
      <w:r w:rsidRPr="00F371B4">
        <w:rPr>
          <w:rFonts w:eastAsia="Calibri"/>
        </w:rPr>
        <w:tab/>
        <w:t>Selon le paragraphe 2.6.3.6.2, le transport d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 xml:space="preserve">un échantillon animal (tissu hépatique, par exemple) infecté par </w:t>
      </w:r>
      <w:r w:rsidR="00C85706">
        <w:rPr>
          <w:rFonts w:eastAsia="Calibri"/>
          <w:i/>
        </w:rPr>
        <w:t>B</w:t>
      </w:r>
      <w:r w:rsidRPr="00F371B4">
        <w:rPr>
          <w:rFonts w:eastAsia="Calibri"/>
          <w:i/>
        </w:rPr>
        <w:t>acillus anthracis</w:t>
      </w:r>
      <w:r w:rsidRPr="00F371B4">
        <w:rPr>
          <w:rFonts w:eastAsia="Calibri"/>
        </w:rPr>
        <w:t xml:space="preserve"> relèverait de la catégorie A des matières infectieuses</w:t>
      </w:r>
      <w:r w:rsidR="00C85706">
        <w:rPr>
          <w:rFonts w:eastAsia="Calibri"/>
        </w:rPr>
        <w:t> ;</w:t>
      </w:r>
      <w:r w:rsidRPr="00F371B4">
        <w:rPr>
          <w:rFonts w:eastAsia="Calibri"/>
        </w:rPr>
        <w:t xml:space="preserve"> toutefois, </w:t>
      </w:r>
      <w:r w:rsidR="005C686A">
        <w:rPr>
          <w:rFonts w:eastAsia="Calibri"/>
        </w:rPr>
        <w:t>en vertu</w:t>
      </w:r>
      <w:r w:rsidRPr="00F371B4">
        <w:rPr>
          <w:rFonts w:eastAsia="Calibri"/>
        </w:rPr>
        <w:t xml:space="preserve"> du paragraphe 2.6.3.1.4, le transport du même échantillon, provenant d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>un être humain ou d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>un animal infecté par le même bacille relèverait de la catégor</w:t>
      </w:r>
      <w:r w:rsidR="000A622F">
        <w:rPr>
          <w:rFonts w:eastAsia="Calibri"/>
        </w:rPr>
        <w:t>ie B ;</w:t>
      </w:r>
    </w:p>
    <w:p w:rsidR="00F371B4" w:rsidRPr="00F371B4" w:rsidRDefault="00F371B4" w:rsidP="000A622F">
      <w:pPr>
        <w:pStyle w:val="SingleTxtG"/>
        <w:ind w:firstLine="567"/>
        <w:rPr>
          <w:rFonts w:eastAsia="Calibri"/>
        </w:rPr>
      </w:pPr>
      <w:r w:rsidRPr="00F371B4">
        <w:rPr>
          <w:rFonts w:eastAsia="Calibri"/>
        </w:rPr>
        <w:t>g)</w:t>
      </w:r>
      <w:r w:rsidRPr="00F371B4">
        <w:rPr>
          <w:rFonts w:eastAsia="Calibri"/>
        </w:rPr>
        <w:tab/>
        <w:t>Compte tenu de l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 xml:space="preserve">approche fondée sur les risques </w:t>
      </w:r>
      <w:r w:rsidR="005C686A">
        <w:rPr>
          <w:rFonts w:eastAsia="Calibri"/>
        </w:rPr>
        <w:t xml:space="preserve">qui devrait être </w:t>
      </w:r>
      <w:r w:rsidRPr="00F371B4">
        <w:rPr>
          <w:rFonts w:eastAsia="Calibri"/>
        </w:rPr>
        <w:t xml:space="preserve">appliquée au classement des matières infectieuses, il </w:t>
      </w:r>
      <w:r w:rsidR="005C686A">
        <w:rPr>
          <w:rFonts w:eastAsia="Calibri"/>
        </w:rPr>
        <w:t>est nécessaire</w:t>
      </w:r>
      <w:r w:rsidRPr="00F371B4">
        <w:rPr>
          <w:rFonts w:eastAsia="Calibri"/>
        </w:rPr>
        <w:t xml:space="preserve"> de revoir le paragraphe 2.6.3.6.2 afin </w:t>
      </w:r>
      <w:r w:rsidR="005C686A">
        <w:rPr>
          <w:rFonts w:eastAsia="Calibri"/>
        </w:rPr>
        <w:t xml:space="preserve">de corriger </w:t>
      </w:r>
      <w:r w:rsidRPr="00F371B4">
        <w:rPr>
          <w:rFonts w:eastAsia="Calibri"/>
        </w:rPr>
        <w:t>une telle incohérence.</w:t>
      </w:r>
    </w:p>
    <w:p w:rsidR="00F371B4" w:rsidRPr="00F371B4" w:rsidRDefault="00F371B4" w:rsidP="00B02B60">
      <w:pPr>
        <w:pStyle w:val="HChG"/>
        <w:spacing w:after="200"/>
        <w:rPr>
          <w:rFonts w:eastAsia="Calibri"/>
        </w:rPr>
      </w:pPr>
      <w:r w:rsidRPr="00F371B4">
        <w:rPr>
          <w:rFonts w:eastAsia="Calibri"/>
        </w:rPr>
        <w:lastRenderedPageBreak/>
        <w:tab/>
      </w:r>
      <w:r w:rsidRPr="00F371B4">
        <w:rPr>
          <w:rFonts w:eastAsia="Calibri"/>
        </w:rPr>
        <w:tab/>
        <w:t>Proposition</w:t>
      </w:r>
    </w:p>
    <w:p w:rsidR="00F371B4" w:rsidRPr="00F371B4" w:rsidRDefault="00F371B4" w:rsidP="00B02B60">
      <w:pPr>
        <w:pStyle w:val="ParNoG"/>
        <w:keepNext/>
        <w:spacing w:after="100" w:line="238" w:lineRule="atLeast"/>
        <w:rPr>
          <w:rFonts w:eastAsia="Calibri"/>
        </w:rPr>
      </w:pPr>
      <w:r w:rsidRPr="00F371B4">
        <w:rPr>
          <w:rFonts w:eastAsia="Calibri"/>
        </w:rPr>
        <w:t>Les propositions d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 xml:space="preserve">amendements ci-après ont pour but de remédier </w:t>
      </w:r>
      <w:r w:rsidR="000A622F">
        <w:rPr>
          <w:rFonts w:eastAsia="Calibri"/>
        </w:rPr>
        <w:t xml:space="preserve">aux incohérences </w:t>
      </w:r>
      <w:r w:rsidR="005C686A">
        <w:rPr>
          <w:rFonts w:eastAsia="Calibri"/>
        </w:rPr>
        <w:t>notées</w:t>
      </w:r>
      <w:r w:rsidR="000A622F">
        <w:rPr>
          <w:rFonts w:eastAsia="Calibri"/>
        </w:rPr>
        <w:t> :</w:t>
      </w:r>
    </w:p>
    <w:p w:rsidR="00F371B4" w:rsidRPr="00F371B4" w:rsidRDefault="00F371B4" w:rsidP="00B02B60">
      <w:pPr>
        <w:pStyle w:val="SingleTxtG"/>
        <w:spacing w:after="80" w:line="238" w:lineRule="atLeast"/>
        <w:ind w:firstLine="567"/>
        <w:rPr>
          <w:rFonts w:eastAsia="Calibri"/>
        </w:rPr>
      </w:pPr>
      <w:r w:rsidRPr="00F371B4">
        <w:rPr>
          <w:rFonts w:eastAsia="Calibri"/>
        </w:rPr>
        <w:t>a)</w:t>
      </w:r>
      <w:r w:rsidRPr="00F371B4">
        <w:rPr>
          <w:rFonts w:eastAsia="Calibri"/>
        </w:rPr>
        <w:tab/>
        <w:t>Modifier le paragraphe 2.6.3.6.2 de sorte à restreindre la provenance des matières animales visées par la disposition à celles qui sont prélevées sur des animaux infectés intentionnellement à des fins de reproduction d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 xml:space="preserve">agents pathogènes, comme suit (les parties nouvelles sont </w:t>
      </w:r>
      <w:r w:rsidRPr="00F371B4">
        <w:rPr>
          <w:rFonts w:eastAsia="Calibri"/>
          <w:u w:val="single"/>
        </w:rPr>
        <w:t>soulignées</w:t>
      </w:r>
      <w:r w:rsidR="000A622F">
        <w:rPr>
          <w:rFonts w:eastAsia="Calibri"/>
        </w:rPr>
        <w:t>) :</w:t>
      </w:r>
      <w:r w:rsidRPr="00F371B4">
        <w:rPr>
          <w:rFonts w:eastAsia="Calibri"/>
        </w:rPr>
        <w:t xml:space="preserve"> </w:t>
      </w:r>
      <w:r w:rsidR="000A622F">
        <w:rPr>
          <w:rFonts w:eastAsia="Calibri"/>
        </w:rPr>
        <w:t>« </w:t>
      </w:r>
      <w:r w:rsidRPr="00F371B4">
        <w:rPr>
          <w:rFonts w:eastAsia="Calibri"/>
          <w:i/>
        </w:rPr>
        <w:t xml:space="preserve">Les </w:t>
      </w:r>
      <w:r w:rsidRPr="00F371B4">
        <w:rPr>
          <w:rFonts w:eastAsia="Calibri"/>
          <w:i/>
          <w:u w:val="single"/>
        </w:rPr>
        <w:t xml:space="preserve">matières animales prélevées sur des animaux infectés intentionnellement à des fins de </w:t>
      </w:r>
      <w:r w:rsidRPr="00C85706">
        <w:rPr>
          <w:rFonts w:eastAsia="Calibri"/>
          <w:i/>
          <w:u w:val="single"/>
        </w:rPr>
        <w:t>reproduction d</w:t>
      </w:r>
      <w:r w:rsidR="00B02B60" w:rsidRPr="00C85706">
        <w:rPr>
          <w:rFonts w:eastAsia="Calibri"/>
          <w:i/>
          <w:u w:val="single"/>
        </w:rPr>
        <w:t>’</w:t>
      </w:r>
      <w:r w:rsidRPr="00B02B60">
        <w:rPr>
          <w:rFonts w:eastAsia="Calibri"/>
          <w:i/>
        </w:rPr>
        <w:t>agents</w:t>
      </w:r>
      <w:r w:rsidRPr="00F371B4">
        <w:rPr>
          <w:rFonts w:eastAsia="Calibri"/>
          <w:i/>
        </w:rPr>
        <w:t xml:space="preserve"> pathogènes relevant de la catégorie A, ou qui relèveraient de la catégorie A en cultures seule</w:t>
      </w:r>
      <w:r w:rsidR="000A622F">
        <w:rPr>
          <w:rFonts w:eastAsia="Calibri"/>
          <w:i/>
        </w:rPr>
        <w:t>ment, doi</w:t>
      </w:r>
      <w:r w:rsidR="005C686A">
        <w:rPr>
          <w:rFonts w:eastAsia="Calibri"/>
          <w:i/>
        </w:rPr>
        <w:t>ven</w:t>
      </w:r>
      <w:r w:rsidR="000A622F">
        <w:rPr>
          <w:rFonts w:eastAsia="Calibri"/>
          <w:i/>
        </w:rPr>
        <w:t>t être affecté</w:t>
      </w:r>
      <w:r w:rsidR="005C686A">
        <w:rPr>
          <w:rFonts w:eastAsia="Calibri"/>
          <w:i/>
        </w:rPr>
        <w:t>es</w:t>
      </w:r>
      <w:r w:rsidR="000A622F">
        <w:rPr>
          <w:rFonts w:eastAsia="Calibri"/>
          <w:i/>
        </w:rPr>
        <w:t xml:space="preserve"> aux Nos </w:t>
      </w:r>
      <w:r w:rsidRPr="00F371B4">
        <w:rPr>
          <w:rFonts w:eastAsia="Calibri"/>
          <w:i/>
        </w:rPr>
        <w:t xml:space="preserve">ONU 2814 ou 2900 selon le cas. </w:t>
      </w:r>
      <w:r w:rsidR="005C686A">
        <w:rPr>
          <w:rFonts w:eastAsia="Calibri"/>
          <w:i/>
        </w:rPr>
        <w:t>Les matières animales</w:t>
      </w:r>
      <w:r w:rsidRPr="00F371B4">
        <w:rPr>
          <w:rFonts w:eastAsia="Calibri"/>
          <w:i/>
        </w:rPr>
        <w:t xml:space="preserve"> </w:t>
      </w:r>
      <w:r w:rsidRPr="00F371B4">
        <w:rPr>
          <w:rFonts w:eastAsia="Calibri"/>
          <w:i/>
          <w:u w:val="single"/>
        </w:rPr>
        <w:t>infecté</w:t>
      </w:r>
      <w:r w:rsidR="005C686A">
        <w:rPr>
          <w:rFonts w:eastAsia="Calibri"/>
          <w:i/>
          <w:u w:val="single"/>
        </w:rPr>
        <w:t>es</w:t>
      </w:r>
      <w:r w:rsidRPr="00F371B4">
        <w:rPr>
          <w:rFonts w:eastAsia="Calibri"/>
          <w:i/>
          <w:u w:val="single"/>
        </w:rPr>
        <w:t xml:space="preserve"> par</w:t>
      </w:r>
      <w:r w:rsidRPr="00F371B4">
        <w:rPr>
          <w:rFonts w:eastAsia="Calibri"/>
          <w:i/>
        </w:rPr>
        <w:t xml:space="preserve"> des agents pathogènes relevant de la catégorie B, autres que ceux qui relèveraient de la catégorie A s</w:t>
      </w:r>
      <w:r w:rsidR="00B02B60">
        <w:rPr>
          <w:rFonts w:eastAsia="Calibri"/>
          <w:i/>
        </w:rPr>
        <w:t>’</w:t>
      </w:r>
      <w:r w:rsidRPr="00F371B4">
        <w:rPr>
          <w:rFonts w:eastAsia="Calibri"/>
          <w:i/>
        </w:rPr>
        <w:t>ils étaient en c</w:t>
      </w:r>
      <w:r w:rsidR="000A622F">
        <w:rPr>
          <w:rFonts w:eastAsia="Calibri"/>
          <w:i/>
        </w:rPr>
        <w:t xml:space="preserve">ulture, </w:t>
      </w:r>
      <w:r w:rsidR="005C686A">
        <w:rPr>
          <w:rFonts w:eastAsia="Calibri"/>
          <w:i/>
        </w:rPr>
        <w:t>doivent</w:t>
      </w:r>
      <w:r w:rsidR="000A622F">
        <w:rPr>
          <w:rFonts w:eastAsia="Calibri"/>
          <w:i/>
        </w:rPr>
        <w:t xml:space="preserve"> être affecté</w:t>
      </w:r>
      <w:r w:rsidR="005C686A">
        <w:rPr>
          <w:rFonts w:eastAsia="Calibri"/>
          <w:i/>
        </w:rPr>
        <w:t>es</w:t>
      </w:r>
      <w:r w:rsidR="000A622F">
        <w:rPr>
          <w:rFonts w:eastAsia="Calibri"/>
          <w:i/>
        </w:rPr>
        <w:t xml:space="preserve"> au No </w:t>
      </w:r>
      <w:r w:rsidRPr="00F371B4">
        <w:rPr>
          <w:rFonts w:eastAsia="Calibri"/>
          <w:i/>
        </w:rPr>
        <w:t>ONU 3373.</w:t>
      </w:r>
      <w:r w:rsidR="000A622F">
        <w:rPr>
          <w:rFonts w:eastAsia="Calibri"/>
        </w:rPr>
        <w:t> »</w:t>
      </w:r>
      <w:r w:rsidR="00B02B60">
        <w:rPr>
          <w:rFonts w:eastAsia="Calibri"/>
        </w:rPr>
        <w:t> ;</w:t>
      </w:r>
    </w:p>
    <w:p w:rsidR="00F371B4" w:rsidRPr="00F371B4" w:rsidRDefault="00F371B4" w:rsidP="00B02B60">
      <w:pPr>
        <w:pStyle w:val="SingleTxtG"/>
        <w:spacing w:after="100" w:line="238" w:lineRule="atLeast"/>
        <w:ind w:firstLine="567"/>
        <w:rPr>
          <w:rFonts w:eastAsia="Calibri"/>
        </w:rPr>
      </w:pPr>
      <w:r w:rsidRPr="00F371B4">
        <w:rPr>
          <w:rFonts w:eastAsia="Calibri"/>
        </w:rPr>
        <w:t>b)</w:t>
      </w:r>
      <w:r w:rsidRPr="00F371B4">
        <w:rPr>
          <w:rFonts w:eastAsia="Calibri"/>
        </w:rPr>
        <w:tab/>
      </w:r>
      <w:r w:rsidR="00D777C4">
        <w:rPr>
          <w:rFonts w:eastAsia="Calibri"/>
        </w:rPr>
        <w:t>En ce qui concerne les</w:t>
      </w:r>
      <w:r w:rsidRPr="00F371B4">
        <w:rPr>
          <w:rFonts w:eastAsia="Calibri"/>
        </w:rPr>
        <w:t xml:space="preserve"> matières animales prélevées sur des animaux, vivants ou morts, infectés naturellement</w:t>
      </w:r>
      <w:r w:rsidR="00D777C4">
        <w:rPr>
          <w:rFonts w:eastAsia="Calibri"/>
        </w:rPr>
        <w:t>, elles devraient être classées normalement selon</w:t>
      </w:r>
      <w:r w:rsidRPr="00F371B4">
        <w:rPr>
          <w:rFonts w:eastAsia="Calibri"/>
        </w:rPr>
        <w:t xml:space="preserve"> les règles énon</w:t>
      </w:r>
      <w:r w:rsidR="00D777C4">
        <w:rPr>
          <w:rFonts w:eastAsia="Calibri"/>
        </w:rPr>
        <w:t xml:space="preserve">cées au paragraphe 2.6.3.1.4 ou selon les conditions de classement dans la </w:t>
      </w:r>
      <w:r w:rsidR="00BA7911">
        <w:rPr>
          <w:rFonts w:eastAsia="Calibri"/>
        </w:rPr>
        <w:t>catégorie </w:t>
      </w:r>
      <w:r w:rsidR="00D777C4">
        <w:rPr>
          <w:rFonts w:eastAsia="Calibri"/>
        </w:rPr>
        <w:t xml:space="preserve">A au </w:t>
      </w:r>
      <w:r w:rsidRPr="00F371B4">
        <w:rPr>
          <w:rFonts w:eastAsia="Calibri"/>
        </w:rPr>
        <w:t xml:space="preserve">titre du paragraphe 2.6.3.2.2.1 </w:t>
      </w:r>
      <w:r w:rsidR="00BA7911">
        <w:rPr>
          <w:rFonts w:eastAsia="Calibri"/>
        </w:rPr>
        <w:t>si</w:t>
      </w:r>
      <w:r w:rsidR="00BA7911" w:rsidRPr="00F371B4">
        <w:rPr>
          <w:rFonts w:eastAsia="Calibri"/>
        </w:rPr>
        <w:t xml:space="preserve"> l</w:t>
      </w:r>
      <w:r w:rsidR="00BA7911">
        <w:rPr>
          <w:rFonts w:eastAsia="Calibri"/>
        </w:rPr>
        <w:t>’</w:t>
      </w:r>
      <w:r w:rsidR="00BA7911" w:rsidRPr="00F371B4">
        <w:rPr>
          <w:rFonts w:eastAsia="Calibri"/>
        </w:rPr>
        <w:t>agent pathogène est inconnu</w:t>
      </w:r>
      <w:r w:rsidR="00BA7911">
        <w:rPr>
          <w:rFonts w:eastAsia="Calibri"/>
        </w:rPr>
        <w:t xml:space="preserve"> </w:t>
      </w:r>
      <w:r w:rsidRPr="00F371B4">
        <w:rPr>
          <w:rFonts w:eastAsia="Calibri"/>
        </w:rPr>
        <w:t xml:space="preserve">et </w:t>
      </w:r>
      <w:r w:rsidR="00BA7911">
        <w:rPr>
          <w:rFonts w:eastAsia="Calibri"/>
        </w:rPr>
        <w:t xml:space="preserve">si </w:t>
      </w:r>
      <w:r w:rsidRPr="00F371B4">
        <w:rPr>
          <w:rFonts w:eastAsia="Calibri"/>
        </w:rPr>
        <w:t>l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 xml:space="preserve">autorité compétente classe en tant que telle la matière infectieuse concernée. Par exemple, un agent pathogène inconnu ayant </w:t>
      </w:r>
      <w:r w:rsidR="00BA7911">
        <w:rPr>
          <w:rFonts w:eastAsia="Calibri"/>
        </w:rPr>
        <w:t>causé</w:t>
      </w:r>
      <w:r w:rsidRPr="00F371B4">
        <w:rPr>
          <w:rFonts w:eastAsia="Calibri"/>
        </w:rPr>
        <w:t xml:space="preserve"> une mortalité massive chez des espèces aviaires et répondant à la définition de la catégorie A au titre du paragraphe 2.6.3.2.2.1 serait transporté sous la catégorie A des matières infectieuses, même s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>il ne figure pas dans la liste des micro-organismes (cultures seulement) du tableau du paragraphe 2.6.3.2.2.1, sur la base d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>une évaluation des risques de l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>épidémie dûment menée par l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>autorité compétente. Les mêmes critères de classement s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 xml:space="preserve">appliquent en cas </w:t>
      </w:r>
      <w:r w:rsidR="00BA7911">
        <w:rPr>
          <w:rFonts w:eastAsia="Calibri"/>
        </w:rPr>
        <w:t>d’épisode</w:t>
      </w:r>
      <w:r w:rsidRPr="00F371B4">
        <w:rPr>
          <w:rFonts w:eastAsia="Calibri"/>
        </w:rPr>
        <w:t xml:space="preserve"> épidémique chez l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 xml:space="preserve">humain </w:t>
      </w:r>
      <w:r w:rsidR="00BA7911">
        <w:rPr>
          <w:rFonts w:eastAsia="Calibri"/>
        </w:rPr>
        <w:t>causé</w:t>
      </w:r>
      <w:r w:rsidRPr="00F371B4">
        <w:rPr>
          <w:rFonts w:eastAsia="Calibri"/>
        </w:rPr>
        <w:t xml:space="preserve"> par un agent pathogène inconnu répondant à la définition de la catégorie A.</w:t>
      </w:r>
    </w:p>
    <w:p w:rsidR="00F371B4" w:rsidRDefault="00F371B4" w:rsidP="00B02B60">
      <w:pPr>
        <w:pStyle w:val="H1G"/>
        <w:spacing w:before="300" w:line="260" w:lineRule="exact"/>
        <w:rPr>
          <w:rFonts w:eastAsia="Calibri"/>
        </w:rPr>
      </w:pPr>
      <w:r w:rsidRPr="00F371B4">
        <w:rPr>
          <w:rFonts w:eastAsia="Calibri"/>
        </w:rPr>
        <w:tab/>
      </w:r>
      <w:r w:rsidRPr="00F371B4">
        <w:rPr>
          <w:rFonts w:eastAsia="Calibri"/>
        </w:rPr>
        <w:tab/>
        <w:t xml:space="preserve">Les paragraphes </w:t>
      </w:r>
      <w:r w:rsidR="00BA7911">
        <w:rPr>
          <w:rFonts w:eastAsia="Calibri"/>
        </w:rPr>
        <w:t xml:space="preserve">extraits </w:t>
      </w:r>
      <w:r w:rsidRPr="00F371B4">
        <w:rPr>
          <w:rFonts w:eastAsia="Calibri"/>
        </w:rPr>
        <w:t xml:space="preserve">du Règlement type reproduits ci-dessous </w:t>
      </w:r>
      <w:r w:rsidR="000A622F">
        <w:rPr>
          <w:rFonts w:eastAsia="Calibri"/>
        </w:rPr>
        <w:br/>
      </w:r>
      <w:r w:rsidRPr="00F371B4">
        <w:rPr>
          <w:rFonts w:eastAsia="Calibri"/>
        </w:rPr>
        <w:t xml:space="preserve">mettent en </w:t>
      </w:r>
      <w:r w:rsidR="00BA7911">
        <w:rPr>
          <w:rFonts w:eastAsia="Calibri"/>
        </w:rPr>
        <w:t>évidence</w:t>
      </w:r>
      <w:r w:rsidRPr="00F371B4">
        <w:rPr>
          <w:rFonts w:eastAsia="Calibri"/>
        </w:rPr>
        <w:t xml:space="preserve"> </w:t>
      </w:r>
      <w:r w:rsidR="000A622F">
        <w:rPr>
          <w:rFonts w:eastAsia="Calibri"/>
        </w:rPr>
        <w:t>les incohérences susmentionnées</w:t>
      </w:r>
    </w:p>
    <w:p w:rsidR="000A622F" w:rsidRPr="000A622F" w:rsidRDefault="000A622F" w:rsidP="00B02B60">
      <w:pPr>
        <w:pStyle w:val="SingleTxtG"/>
        <w:spacing w:after="100"/>
        <w:ind w:left="2268" w:hanging="1134"/>
        <w:rPr>
          <w:rFonts w:eastAsia="Calibri"/>
        </w:rPr>
      </w:pPr>
      <w:r>
        <w:rPr>
          <w:rFonts w:eastAsia="Calibri"/>
        </w:rPr>
        <w:t>2.6.3.1.3</w:t>
      </w:r>
      <w:r>
        <w:rPr>
          <w:rFonts w:eastAsia="Calibri"/>
        </w:rPr>
        <w:tab/>
      </w:r>
      <w:r w:rsidRPr="00F371B4">
        <w:rPr>
          <w:rFonts w:eastAsia="Calibri"/>
        </w:rPr>
        <w:t xml:space="preserve">Par </w:t>
      </w:r>
      <w:r>
        <w:rPr>
          <w:rFonts w:eastAsia="Calibri"/>
        </w:rPr>
        <w:t>« </w:t>
      </w:r>
      <w:r w:rsidRPr="00F371B4">
        <w:rPr>
          <w:rFonts w:eastAsia="Calibri"/>
          <w:i/>
          <w:color w:val="FF0000"/>
        </w:rPr>
        <w:t>cultures</w:t>
      </w:r>
      <w:r>
        <w:rPr>
          <w:rFonts w:eastAsia="Calibri"/>
        </w:rPr>
        <w:t> »</w:t>
      </w:r>
      <w:r w:rsidRPr="00F371B4">
        <w:rPr>
          <w:rFonts w:eastAsia="Calibri"/>
        </w:rPr>
        <w:t>, le résultat d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 xml:space="preserve">opérations ayant pour objet la </w:t>
      </w:r>
      <w:r w:rsidRPr="00F371B4">
        <w:rPr>
          <w:rFonts w:eastAsia="Calibri"/>
          <w:color w:val="FF0000"/>
        </w:rPr>
        <w:t>reproduction</w:t>
      </w:r>
      <w:r w:rsidRPr="00F371B4">
        <w:rPr>
          <w:rFonts w:eastAsia="Calibri"/>
        </w:rPr>
        <w:t xml:space="preserve"> d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>agents pathogènes. Cette définition n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>inclut pas les échantillons prélevés sur des patients humains ou animaux tels qu</w:t>
      </w:r>
      <w:r w:rsidR="00B02B60">
        <w:rPr>
          <w:rFonts w:eastAsia="Calibri"/>
        </w:rPr>
        <w:t>’</w:t>
      </w:r>
      <w:r w:rsidRPr="00F371B4">
        <w:rPr>
          <w:rFonts w:eastAsia="Calibri"/>
        </w:rPr>
        <w:t>ils sont définis au 2.6.3.1.4</w:t>
      </w:r>
      <w:r w:rsidR="005C2CDB">
        <w:rPr>
          <w:rFonts w:eastAsia="Calibri"/>
        </w:rPr>
        <w:t>.</w:t>
      </w:r>
    </w:p>
    <w:tbl>
      <w:tblPr>
        <w:tblStyle w:val="TableGrid2"/>
        <w:tblW w:w="75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1"/>
      </w:tblGrid>
      <w:tr w:rsidR="00F371B4" w:rsidRPr="00F371B4" w:rsidTr="000A622F">
        <w:trPr>
          <w:jc w:val="center"/>
        </w:trPr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B4" w:rsidRPr="00F371B4" w:rsidRDefault="000A622F" w:rsidP="00B02B60">
            <w:pPr>
              <w:pStyle w:val="SingleTxtG"/>
              <w:spacing w:before="100" w:after="100"/>
              <w:ind w:right="57" w:hanging="1134"/>
            </w:pPr>
            <w:r>
              <w:t>2.6.3.1.4</w:t>
            </w:r>
            <w:r>
              <w:tab/>
            </w:r>
            <w:r w:rsidR="00F371B4" w:rsidRPr="00F371B4">
              <w:t xml:space="preserve">Par </w:t>
            </w:r>
            <w:r>
              <w:t>« </w:t>
            </w:r>
            <w:r w:rsidR="00F371B4" w:rsidRPr="00F371B4">
              <w:rPr>
                <w:i/>
                <w:color w:val="FF0000"/>
              </w:rPr>
              <w:t>échantillons prélevés sur des patients</w:t>
            </w:r>
            <w:r>
              <w:t> »</w:t>
            </w:r>
            <w:r w:rsidR="00F371B4" w:rsidRPr="00F371B4">
              <w:t xml:space="preserve">, des matériaux humains ou </w:t>
            </w:r>
            <w:r w:rsidR="00F371B4" w:rsidRPr="00F371B4">
              <w:rPr>
                <w:i/>
                <w:color w:val="FF0000"/>
              </w:rPr>
              <w:t>animaux</w:t>
            </w:r>
            <w:r w:rsidR="00F371B4" w:rsidRPr="00F371B4">
              <w:t xml:space="preserve"> recueillis directement à partir de</w:t>
            </w:r>
            <w:r>
              <w:t xml:space="preserve"> patients humains ou animaux, y </w:t>
            </w:r>
            <w:r w:rsidR="00F371B4" w:rsidRPr="00F371B4">
              <w:t>compris, mais non limitativement, les excrétas, les sécrétions, le sang et ses composants, les prélèvement de tissus et de liquides tissulaires et les organes transportés à des fins de recherche, de diagnostic, d</w:t>
            </w:r>
            <w:r w:rsidR="00B02B60">
              <w:t>’</w:t>
            </w:r>
            <w:r w:rsidR="00F371B4" w:rsidRPr="00F371B4">
              <w:t>enquête, de traitement ou de prévention.</w:t>
            </w:r>
          </w:p>
        </w:tc>
      </w:tr>
    </w:tbl>
    <w:p w:rsidR="005C2CDB" w:rsidRDefault="005C2CDB" w:rsidP="00B02B60">
      <w:pPr>
        <w:pStyle w:val="SingleTxtG"/>
        <w:spacing w:before="120" w:after="100"/>
        <w:ind w:left="2268" w:hanging="1134"/>
        <w:rPr>
          <w:rFonts w:eastAsia="Calibri"/>
        </w:rPr>
      </w:pPr>
      <w:r>
        <w:rPr>
          <w:rFonts w:eastAsia="Calibri"/>
        </w:rPr>
        <w:t>2.6.3.6.1</w:t>
      </w:r>
      <w:r>
        <w:rPr>
          <w:rFonts w:eastAsia="Calibri"/>
        </w:rPr>
        <w:tab/>
      </w:r>
      <w:r w:rsidRPr="00F371B4">
        <w:rPr>
          <w:rFonts w:eastAsia="Calibri"/>
          <w:spacing w:val="-1"/>
        </w:rPr>
        <w:t>À moins qu</w:t>
      </w:r>
      <w:r w:rsidR="00B02B60">
        <w:rPr>
          <w:rFonts w:eastAsia="Calibri"/>
          <w:spacing w:val="-1"/>
        </w:rPr>
        <w:t>’</w:t>
      </w:r>
      <w:r w:rsidRPr="00F371B4">
        <w:rPr>
          <w:rFonts w:eastAsia="Calibri"/>
          <w:spacing w:val="-1"/>
        </w:rPr>
        <w:t>une matière infectieuse ne puisse être transportée par aucun autre moyen, les animaux vivants ne doivent pas être utilisés pour le transport d</w:t>
      </w:r>
      <w:r w:rsidR="00B02B60">
        <w:rPr>
          <w:rFonts w:eastAsia="Calibri"/>
          <w:spacing w:val="-1"/>
        </w:rPr>
        <w:t xml:space="preserve">’une telle matière. </w:t>
      </w:r>
      <w:r w:rsidRPr="00F371B4">
        <w:rPr>
          <w:rFonts w:eastAsia="Calibri"/>
          <w:spacing w:val="-1"/>
        </w:rPr>
        <w:t xml:space="preserve">Tout animal vivant qui a été </w:t>
      </w:r>
      <w:r w:rsidRPr="00F371B4">
        <w:rPr>
          <w:rFonts w:eastAsia="Calibri"/>
          <w:color w:val="FF0000"/>
          <w:spacing w:val="-1"/>
        </w:rPr>
        <w:t>volontairement infecté</w:t>
      </w:r>
      <w:r w:rsidRPr="00F371B4">
        <w:rPr>
          <w:rFonts w:eastAsia="Calibri"/>
          <w:spacing w:val="-1"/>
        </w:rPr>
        <w:t xml:space="preserve"> et dont on sait ou soupçonne qu</w:t>
      </w:r>
      <w:r w:rsidR="00B02B60">
        <w:rPr>
          <w:rFonts w:eastAsia="Calibri"/>
          <w:spacing w:val="-1"/>
        </w:rPr>
        <w:t>’</w:t>
      </w:r>
      <w:r w:rsidRPr="00F371B4">
        <w:rPr>
          <w:rFonts w:eastAsia="Calibri"/>
          <w:spacing w:val="-1"/>
        </w:rPr>
        <w:t>il contient des matières infectieuses doit être transporté seulement dans les conditions approuvées par l</w:t>
      </w:r>
      <w:r w:rsidR="00B02B60">
        <w:rPr>
          <w:rFonts w:eastAsia="Calibri"/>
          <w:spacing w:val="-1"/>
        </w:rPr>
        <w:t>’</w:t>
      </w:r>
      <w:r w:rsidRPr="00F371B4">
        <w:rPr>
          <w:rFonts w:eastAsia="Calibri"/>
          <w:spacing w:val="-1"/>
        </w:rPr>
        <w:t>autorité compétente</w:t>
      </w:r>
      <w:r w:rsidRPr="00F371B4">
        <w:rPr>
          <w:rFonts w:eastAsia="Calibri"/>
        </w:rPr>
        <w:t>.</w:t>
      </w:r>
    </w:p>
    <w:tbl>
      <w:tblPr>
        <w:tblStyle w:val="TableGrid2"/>
        <w:tblW w:w="75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1"/>
      </w:tblGrid>
      <w:tr w:rsidR="00F371B4" w:rsidRPr="00F371B4" w:rsidTr="005C2CDB">
        <w:trPr>
          <w:jc w:val="center"/>
        </w:trPr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B4" w:rsidRPr="00F371B4" w:rsidRDefault="005C2CDB" w:rsidP="00B02B60">
            <w:pPr>
              <w:pStyle w:val="SingleTxtG"/>
              <w:spacing w:before="100" w:after="100"/>
              <w:ind w:right="57" w:hanging="1134"/>
            </w:pPr>
            <w:r>
              <w:t>2.6.3.6.2</w:t>
            </w:r>
            <w:r>
              <w:tab/>
            </w:r>
            <w:r w:rsidR="00F371B4" w:rsidRPr="00F371B4">
              <w:rPr>
                <w:spacing w:val="-2"/>
              </w:rPr>
              <w:t xml:space="preserve">Le </w:t>
            </w:r>
            <w:r w:rsidR="00F371B4" w:rsidRPr="00F371B4">
              <w:rPr>
                <w:i/>
                <w:color w:val="FF0000"/>
                <w:spacing w:val="-2"/>
              </w:rPr>
              <w:t>matériel animal</w:t>
            </w:r>
            <w:r w:rsidR="00F371B4" w:rsidRPr="00F371B4">
              <w:rPr>
                <w:spacing w:val="-2"/>
              </w:rPr>
              <w:t xml:space="preserve"> contenant des agents pathogènes relevant de la catégorie A, ou qui relèveraient de la catégorie A en cultures seule</w:t>
            </w:r>
            <w:r w:rsidRPr="00B02B60">
              <w:rPr>
                <w:spacing w:val="-2"/>
              </w:rPr>
              <w:t>ment, doit être affecté aux Nos </w:t>
            </w:r>
            <w:r w:rsidR="00F371B4" w:rsidRPr="00F371B4">
              <w:rPr>
                <w:spacing w:val="-2"/>
              </w:rPr>
              <w:t>ONU 2814 ou 2900 selon le cas. Le matériel animal contenant des agents pathogènes relevant de la catégorie B, autres que ceux qui relèveraient de la catégorie A s</w:t>
            </w:r>
            <w:r w:rsidR="00B02B60" w:rsidRPr="00B02B60">
              <w:rPr>
                <w:spacing w:val="-2"/>
              </w:rPr>
              <w:t>’</w:t>
            </w:r>
            <w:r w:rsidR="00F371B4" w:rsidRPr="00F371B4">
              <w:rPr>
                <w:spacing w:val="-2"/>
              </w:rPr>
              <w:t xml:space="preserve">ils étaient en </w:t>
            </w:r>
            <w:r w:rsidR="00F371B4" w:rsidRPr="00F371B4">
              <w:rPr>
                <w:color w:val="FF0000"/>
                <w:spacing w:val="-2"/>
              </w:rPr>
              <w:t>culture</w:t>
            </w:r>
            <w:r w:rsidRPr="00B02B60">
              <w:rPr>
                <w:spacing w:val="-2"/>
              </w:rPr>
              <w:t>, doit être affecté au No </w:t>
            </w:r>
            <w:r w:rsidR="00F371B4" w:rsidRPr="00F371B4">
              <w:rPr>
                <w:spacing w:val="-2"/>
              </w:rPr>
              <w:t>ONU 3373.</w:t>
            </w:r>
          </w:p>
        </w:tc>
      </w:tr>
    </w:tbl>
    <w:p w:rsidR="00446FE5" w:rsidRPr="005C2CDB" w:rsidRDefault="005C2CDB" w:rsidP="00B02B60">
      <w:pPr>
        <w:pStyle w:val="SingleTxtG"/>
        <w:spacing w:before="80" w:after="0" w:line="24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5C2CDB" w:rsidSect="009F606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CD" w:rsidRDefault="00E71CCD" w:rsidP="00F95C08">
      <w:pPr>
        <w:spacing w:line="240" w:lineRule="auto"/>
      </w:pPr>
    </w:p>
  </w:endnote>
  <w:endnote w:type="continuationSeparator" w:id="0">
    <w:p w:rsidR="00E71CCD" w:rsidRPr="00AC3823" w:rsidRDefault="00E71CCD" w:rsidP="00AC3823">
      <w:pPr>
        <w:pStyle w:val="Footer"/>
      </w:pPr>
    </w:p>
  </w:endnote>
  <w:endnote w:type="continuationNotice" w:id="1">
    <w:p w:rsidR="00E71CCD" w:rsidRDefault="00E71C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69" w:rsidRPr="009F6069" w:rsidRDefault="009F6069" w:rsidP="009F6069">
    <w:pPr>
      <w:pStyle w:val="Footer"/>
      <w:tabs>
        <w:tab w:val="right" w:pos="9638"/>
      </w:tabs>
    </w:pPr>
    <w:r w:rsidRPr="009F6069">
      <w:rPr>
        <w:b/>
        <w:sz w:val="18"/>
      </w:rPr>
      <w:fldChar w:fldCharType="begin"/>
    </w:r>
    <w:r w:rsidRPr="009F6069">
      <w:rPr>
        <w:b/>
        <w:sz w:val="18"/>
      </w:rPr>
      <w:instrText xml:space="preserve"> PAGE  \* MERGEFORMAT </w:instrText>
    </w:r>
    <w:r w:rsidRPr="009F6069">
      <w:rPr>
        <w:b/>
        <w:sz w:val="18"/>
      </w:rPr>
      <w:fldChar w:fldCharType="separate"/>
    </w:r>
    <w:r w:rsidR="00DB67BB">
      <w:rPr>
        <w:b/>
        <w:noProof/>
        <w:sz w:val="18"/>
      </w:rPr>
      <w:t>2</w:t>
    </w:r>
    <w:r w:rsidRPr="009F6069">
      <w:rPr>
        <w:b/>
        <w:sz w:val="18"/>
      </w:rPr>
      <w:fldChar w:fldCharType="end"/>
    </w:r>
    <w:r>
      <w:rPr>
        <w:b/>
        <w:sz w:val="18"/>
      </w:rPr>
      <w:tab/>
    </w:r>
    <w:r>
      <w:t>GE.16-05319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69" w:rsidRPr="009F6069" w:rsidRDefault="009F6069" w:rsidP="009F6069">
    <w:pPr>
      <w:pStyle w:val="Footer"/>
      <w:tabs>
        <w:tab w:val="right" w:pos="9638"/>
      </w:tabs>
      <w:rPr>
        <w:b/>
        <w:sz w:val="18"/>
      </w:rPr>
    </w:pPr>
    <w:r>
      <w:t>GE.16-05319</w:t>
    </w:r>
    <w:r>
      <w:tab/>
    </w:r>
    <w:r w:rsidRPr="009F6069">
      <w:rPr>
        <w:b/>
        <w:sz w:val="18"/>
      </w:rPr>
      <w:fldChar w:fldCharType="begin"/>
    </w:r>
    <w:r w:rsidRPr="009F6069">
      <w:rPr>
        <w:b/>
        <w:sz w:val="18"/>
      </w:rPr>
      <w:instrText xml:space="preserve"> PAGE  \* MERGEFORMAT </w:instrText>
    </w:r>
    <w:r w:rsidRPr="009F6069">
      <w:rPr>
        <w:b/>
        <w:sz w:val="18"/>
      </w:rPr>
      <w:fldChar w:fldCharType="separate"/>
    </w:r>
    <w:r w:rsidR="00DB67BB">
      <w:rPr>
        <w:b/>
        <w:noProof/>
        <w:sz w:val="18"/>
      </w:rPr>
      <w:t>3</w:t>
    </w:r>
    <w:r w:rsidRPr="009F606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9F6069" w:rsidRDefault="009F6069" w:rsidP="009F6069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DF12E62" wp14:editId="288D595E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16-05319  (F)</w:t>
    </w:r>
    <w:r w:rsidR="00F371B4">
      <w:rPr>
        <w:sz w:val="20"/>
      </w:rPr>
      <w:t xml:space="preserve">    230516    230516</w:t>
    </w:r>
    <w:r>
      <w:rPr>
        <w:sz w:val="20"/>
      </w:rPr>
      <w:br/>
    </w:r>
    <w:r w:rsidRPr="009F6069">
      <w:rPr>
        <w:rFonts w:ascii="C39T30Lfz" w:hAnsi="C39T30Lfz"/>
        <w:sz w:val="56"/>
      </w:rPr>
      <w:t></w:t>
    </w:r>
    <w:r w:rsidRPr="009F6069">
      <w:rPr>
        <w:rFonts w:ascii="C39T30Lfz" w:hAnsi="C39T30Lfz"/>
        <w:sz w:val="56"/>
      </w:rPr>
      <w:t></w:t>
    </w:r>
    <w:r w:rsidRPr="009F6069">
      <w:rPr>
        <w:rFonts w:ascii="C39T30Lfz" w:hAnsi="C39T30Lfz"/>
        <w:sz w:val="56"/>
      </w:rPr>
      <w:t></w:t>
    </w:r>
    <w:r w:rsidRPr="009F6069">
      <w:rPr>
        <w:rFonts w:ascii="C39T30Lfz" w:hAnsi="C39T30Lfz"/>
        <w:sz w:val="56"/>
      </w:rPr>
      <w:t></w:t>
    </w:r>
    <w:r w:rsidRPr="009F6069">
      <w:rPr>
        <w:rFonts w:ascii="C39T30Lfz" w:hAnsi="C39T30Lfz"/>
        <w:sz w:val="56"/>
      </w:rPr>
      <w:t></w:t>
    </w:r>
    <w:r w:rsidRPr="009F6069">
      <w:rPr>
        <w:rFonts w:ascii="C39T30Lfz" w:hAnsi="C39T30Lfz"/>
        <w:sz w:val="56"/>
      </w:rPr>
      <w:t></w:t>
    </w:r>
    <w:r w:rsidRPr="009F6069">
      <w:rPr>
        <w:rFonts w:ascii="C39T30Lfz" w:hAnsi="C39T30Lfz"/>
        <w:sz w:val="56"/>
      </w:rPr>
      <w:t></w:t>
    </w:r>
    <w:r w:rsidRPr="009F6069">
      <w:rPr>
        <w:rFonts w:ascii="C39T30Lfz" w:hAnsi="C39T30Lfz"/>
        <w:sz w:val="56"/>
      </w:rPr>
      <w:t></w:t>
    </w:r>
    <w:r w:rsidRPr="009F6069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40080" cy="640080"/>
          <wp:effectExtent l="0" t="0" r="7620" b="7620"/>
          <wp:wrapNone/>
          <wp:docPr id="3" name="Image 1" descr="http://undocs.org/m2/QRCode.ashx?DS=ST/SG/AC.10/C.3/2016/3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ST/SG/AC.10/C.3/2016/3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CD" w:rsidRPr="00AC3823" w:rsidRDefault="00E71CC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71CCD" w:rsidRPr="00AC3823" w:rsidRDefault="00E71CC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71CCD" w:rsidRPr="00AC3823" w:rsidRDefault="00E71CCD">
      <w:pPr>
        <w:spacing w:line="240" w:lineRule="auto"/>
        <w:rPr>
          <w:sz w:val="2"/>
          <w:szCs w:val="2"/>
        </w:rPr>
      </w:pPr>
    </w:p>
  </w:footnote>
  <w:footnote w:id="2">
    <w:p w:rsidR="00F371B4" w:rsidRPr="004D05D8" w:rsidRDefault="00F371B4" w:rsidP="00F371B4">
      <w:pPr>
        <w:pStyle w:val="FootnoteText"/>
      </w:pPr>
      <w:r>
        <w:tab/>
      </w:r>
      <w:r w:rsidRPr="00EB1513">
        <w:rPr>
          <w:rStyle w:val="FootnoteReference"/>
        </w:rPr>
        <w:footnoteRef/>
      </w:r>
      <w:r>
        <w:tab/>
        <w:t>Conformément au programme de travail du Sous-Comité pour la période 2015-2016, adopté par le Comité à sa septième session (voir ST/SG/AC.10/C.3/92, par. 95, et ST/SG/AC.10/42, par. 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69" w:rsidRPr="009F6069" w:rsidRDefault="009F6069">
    <w:pPr>
      <w:pStyle w:val="Header"/>
    </w:pPr>
    <w:r>
      <w:t>ST/SG/AC.10/C.3/2016/35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69" w:rsidRPr="009F6069" w:rsidRDefault="009F6069" w:rsidP="009F6069">
    <w:pPr>
      <w:pStyle w:val="Header"/>
      <w:jc w:val="right"/>
    </w:pPr>
    <w:r>
      <w:t>ST/SG/AC.10/C.3/2016/35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CD"/>
    <w:rsid w:val="00017F94"/>
    <w:rsid w:val="00023842"/>
    <w:rsid w:val="000305D3"/>
    <w:rsid w:val="000334F9"/>
    <w:rsid w:val="0007796D"/>
    <w:rsid w:val="000A622F"/>
    <w:rsid w:val="000B7790"/>
    <w:rsid w:val="00111F2F"/>
    <w:rsid w:val="00132EA9"/>
    <w:rsid w:val="0014365E"/>
    <w:rsid w:val="00176178"/>
    <w:rsid w:val="001C761A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E468C"/>
    <w:rsid w:val="005505B7"/>
    <w:rsid w:val="00573BE5"/>
    <w:rsid w:val="00586ED3"/>
    <w:rsid w:val="00596AA9"/>
    <w:rsid w:val="005C2CDB"/>
    <w:rsid w:val="005C686A"/>
    <w:rsid w:val="0068456F"/>
    <w:rsid w:val="0071601D"/>
    <w:rsid w:val="007A62E6"/>
    <w:rsid w:val="007A7091"/>
    <w:rsid w:val="0080684C"/>
    <w:rsid w:val="00871C75"/>
    <w:rsid w:val="008776DC"/>
    <w:rsid w:val="009705C8"/>
    <w:rsid w:val="009C1CF4"/>
    <w:rsid w:val="009F6069"/>
    <w:rsid w:val="00A30353"/>
    <w:rsid w:val="00AC3823"/>
    <w:rsid w:val="00AE323C"/>
    <w:rsid w:val="00B00181"/>
    <w:rsid w:val="00B00B0D"/>
    <w:rsid w:val="00B02B60"/>
    <w:rsid w:val="00B765F7"/>
    <w:rsid w:val="00BA0CA9"/>
    <w:rsid w:val="00BA7911"/>
    <w:rsid w:val="00BB62EF"/>
    <w:rsid w:val="00BD56C4"/>
    <w:rsid w:val="00C02897"/>
    <w:rsid w:val="00C85706"/>
    <w:rsid w:val="00D3439C"/>
    <w:rsid w:val="00D777C4"/>
    <w:rsid w:val="00DB1831"/>
    <w:rsid w:val="00DB67BB"/>
    <w:rsid w:val="00DD3BFD"/>
    <w:rsid w:val="00DF6678"/>
    <w:rsid w:val="00E71CCD"/>
    <w:rsid w:val="00EF2E22"/>
    <w:rsid w:val="00F371B4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F371B4"/>
    <w:pPr>
      <w:spacing w:after="0" w:line="240" w:lineRule="auto"/>
    </w:pPr>
    <w:rPr>
      <w:rFonts w:eastAsia="Calibri"/>
      <w:lang w:eastAsia="fr-CH" w:bidi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F371B4"/>
    <w:pPr>
      <w:spacing w:after="0" w:line="240" w:lineRule="auto"/>
    </w:pPr>
    <w:rPr>
      <w:rFonts w:eastAsia="Calibri"/>
      <w:lang w:eastAsia="fr-CH" w:bidi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1313</Words>
  <Characters>7487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ST/SG/AC.10/C.3/2016/35</vt:lpstr>
      <vt:lpstr>ST/SG/AC.10/C.3/2016/35</vt:lpstr>
    </vt:vector>
  </TitlesOfParts>
  <Company>DCM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ST/SG/AC.10/C.3/2016/35</dc:title>
  <dc:subject>final</dc:subject>
  <dc:creator>Nath V.</dc:creator>
  <cp:lastModifiedBy>Laurence Berthet</cp:lastModifiedBy>
  <cp:revision>2</cp:revision>
  <cp:lastPrinted>2016-05-23T14:39:00Z</cp:lastPrinted>
  <dcterms:created xsi:type="dcterms:W3CDTF">2016-05-23T14:39:00Z</dcterms:created>
  <dcterms:modified xsi:type="dcterms:W3CDTF">2016-05-23T14:39:00Z</dcterms:modified>
</cp:coreProperties>
</file>