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90F9D" w:rsidTr="000305D3">
        <w:trPr>
          <w:trHeight w:hRule="exact" w:val="851"/>
        </w:trPr>
        <w:tc>
          <w:tcPr>
            <w:tcW w:w="1276" w:type="dxa"/>
            <w:tcBorders>
              <w:bottom w:val="single" w:sz="4" w:space="0" w:color="auto"/>
            </w:tcBorders>
          </w:tcPr>
          <w:p w:rsidR="00132EA9" w:rsidRPr="00790F9D" w:rsidRDefault="00132EA9" w:rsidP="00CC0FAA"/>
        </w:tc>
        <w:tc>
          <w:tcPr>
            <w:tcW w:w="2268" w:type="dxa"/>
            <w:tcBorders>
              <w:bottom w:val="single" w:sz="4" w:space="0" w:color="auto"/>
            </w:tcBorders>
            <w:vAlign w:val="bottom"/>
          </w:tcPr>
          <w:p w:rsidR="00132EA9" w:rsidRPr="00790F9D" w:rsidRDefault="00132EA9" w:rsidP="00461FED">
            <w:pPr>
              <w:spacing w:after="80" w:line="300" w:lineRule="exact"/>
              <w:rPr>
                <w:sz w:val="28"/>
              </w:rPr>
            </w:pPr>
            <w:r w:rsidRPr="00790F9D">
              <w:rPr>
                <w:sz w:val="28"/>
              </w:rPr>
              <w:t>Nations Unies</w:t>
            </w:r>
          </w:p>
        </w:tc>
        <w:tc>
          <w:tcPr>
            <w:tcW w:w="6095" w:type="dxa"/>
            <w:gridSpan w:val="2"/>
            <w:tcBorders>
              <w:bottom w:val="single" w:sz="4" w:space="0" w:color="auto"/>
            </w:tcBorders>
            <w:vAlign w:val="bottom"/>
          </w:tcPr>
          <w:p w:rsidR="00132EA9" w:rsidRPr="00790F9D" w:rsidRDefault="00CC0FAA" w:rsidP="00D13C8D">
            <w:pPr>
              <w:jc w:val="right"/>
            </w:pPr>
            <w:r w:rsidRPr="00790F9D">
              <w:rPr>
                <w:sz w:val="40"/>
              </w:rPr>
              <w:t>ST</w:t>
            </w:r>
            <w:r w:rsidRPr="00790F9D">
              <w:t>/SG/AC.10/C.3/201</w:t>
            </w:r>
            <w:r w:rsidR="00D13C8D">
              <w:t>6</w:t>
            </w:r>
            <w:r w:rsidRPr="00790F9D">
              <w:t>/</w:t>
            </w:r>
            <w:r w:rsidR="00D13C8D">
              <w:t>25</w:t>
            </w:r>
          </w:p>
        </w:tc>
      </w:tr>
      <w:tr w:rsidR="00132EA9" w:rsidRPr="00790F9D" w:rsidTr="00461FED">
        <w:trPr>
          <w:trHeight w:hRule="exact" w:val="2835"/>
        </w:trPr>
        <w:tc>
          <w:tcPr>
            <w:tcW w:w="1276" w:type="dxa"/>
            <w:tcBorders>
              <w:top w:val="single" w:sz="4" w:space="0" w:color="auto"/>
              <w:bottom w:val="single" w:sz="12" w:space="0" w:color="auto"/>
            </w:tcBorders>
          </w:tcPr>
          <w:p w:rsidR="00132EA9" w:rsidRPr="00790F9D" w:rsidRDefault="002D34CD" w:rsidP="00461FED">
            <w:pPr>
              <w:spacing w:before="120"/>
              <w:jc w:val="center"/>
            </w:pPr>
            <w:r>
              <w:rPr>
                <w:noProof/>
                <w:lang w:val="en-GB" w:eastAsia="en-GB"/>
              </w:rPr>
              <w:drawing>
                <wp:inline distT="0" distB="0" distL="0" distR="0">
                  <wp:extent cx="716280" cy="586740"/>
                  <wp:effectExtent l="0" t="0" r="7620" b="381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90F9D" w:rsidRDefault="00132EA9" w:rsidP="00461FED">
            <w:pPr>
              <w:spacing w:before="120" w:line="420" w:lineRule="exact"/>
              <w:rPr>
                <w:b/>
                <w:sz w:val="40"/>
                <w:szCs w:val="40"/>
              </w:rPr>
            </w:pPr>
            <w:r w:rsidRPr="00790F9D">
              <w:rPr>
                <w:b/>
                <w:sz w:val="40"/>
                <w:szCs w:val="40"/>
              </w:rPr>
              <w:t>Secrétariat</w:t>
            </w:r>
          </w:p>
        </w:tc>
        <w:tc>
          <w:tcPr>
            <w:tcW w:w="2835" w:type="dxa"/>
            <w:tcBorders>
              <w:top w:val="single" w:sz="4" w:space="0" w:color="auto"/>
              <w:bottom w:val="single" w:sz="12" w:space="0" w:color="auto"/>
            </w:tcBorders>
          </w:tcPr>
          <w:p w:rsidR="00132EA9" w:rsidRPr="00790F9D" w:rsidRDefault="00CC0FAA" w:rsidP="00461FED">
            <w:pPr>
              <w:spacing w:before="240"/>
            </w:pPr>
            <w:r w:rsidRPr="00790F9D">
              <w:t>Distr. générale</w:t>
            </w:r>
          </w:p>
          <w:p w:rsidR="00CC0FAA" w:rsidRPr="00790F9D" w:rsidRDefault="002543BC" w:rsidP="00CC0FAA">
            <w:pPr>
              <w:spacing w:line="240" w:lineRule="exact"/>
            </w:pPr>
            <w:r>
              <w:t>4</w:t>
            </w:r>
            <w:r w:rsidR="00D13C8D">
              <w:t xml:space="preserve"> avril 2016</w:t>
            </w:r>
          </w:p>
          <w:p w:rsidR="00B52EDB" w:rsidRDefault="00B52EDB" w:rsidP="00CC0FAA">
            <w:pPr>
              <w:spacing w:line="240" w:lineRule="exact"/>
            </w:pPr>
          </w:p>
          <w:p w:rsidR="00CC0FAA" w:rsidRPr="00790F9D" w:rsidRDefault="00CC0FAA" w:rsidP="00CC0FAA">
            <w:pPr>
              <w:spacing w:line="240" w:lineRule="exact"/>
            </w:pPr>
            <w:r w:rsidRPr="00790F9D">
              <w:t>Français</w:t>
            </w:r>
          </w:p>
          <w:p w:rsidR="00CC0FAA" w:rsidRPr="00790F9D" w:rsidRDefault="00CC0FAA" w:rsidP="00CC0FAA">
            <w:pPr>
              <w:spacing w:line="240" w:lineRule="exact"/>
            </w:pPr>
            <w:r w:rsidRPr="00790F9D">
              <w:t xml:space="preserve">Original: </w:t>
            </w:r>
            <w:r w:rsidR="00B87AE4">
              <w:t xml:space="preserve">français et </w:t>
            </w:r>
            <w:r w:rsidRPr="00790F9D">
              <w:t>anglais</w:t>
            </w:r>
          </w:p>
        </w:tc>
      </w:tr>
    </w:tbl>
    <w:p w:rsidR="00CC0FAA" w:rsidRPr="00CA0680" w:rsidRDefault="00CC0FA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CC0FAA" w:rsidRPr="00CA0680" w:rsidRDefault="00CC0FAA" w:rsidP="000305D3">
      <w:pPr>
        <w:spacing w:before="120"/>
        <w:rPr>
          <w:b/>
        </w:rPr>
      </w:pPr>
      <w:r w:rsidRPr="00CA0680">
        <w:rPr>
          <w:b/>
        </w:rPr>
        <w:t>Sous</w:t>
      </w:r>
      <w:r>
        <w:rPr>
          <w:b/>
        </w:rPr>
        <w:t>-</w:t>
      </w:r>
      <w:r w:rsidRPr="00CA0680">
        <w:rPr>
          <w:b/>
        </w:rPr>
        <w:t>Comité d’experts du transport des marchandises dangereuses</w:t>
      </w:r>
    </w:p>
    <w:p w:rsidR="00CC0FAA" w:rsidRDefault="00CC0FAA" w:rsidP="000305D3">
      <w:pPr>
        <w:spacing w:before="120"/>
        <w:rPr>
          <w:b/>
        </w:rPr>
      </w:pPr>
      <w:r>
        <w:rPr>
          <w:b/>
        </w:rPr>
        <w:t>Quarante-</w:t>
      </w:r>
      <w:r w:rsidR="00D13C8D">
        <w:rPr>
          <w:b/>
        </w:rPr>
        <w:t>neuvième</w:t>
      </w:r>
      <w:r>
        <w:rPr>
          <w:b/>
        </w:rPr>
        <w:t xml:space="preserve"> </w:t>
      </w:r>
      <w:r w:rsidRPr="00CA0680">
        <w:rPr>
          <w:b/>
        </w:rPr>
        <w:t>session</w:t>
      </w:r>
    </w:p>
    <w:p w:rsidR="00CC0FAA" w:rsidRDefault="002543BC" w:rsidP="002543BC">
      <w:pPr>
        <w:ind w:right="57"/>
      </w:pPr>
      <w:r>
        <w:t xml:space="preserve">Genève, </w:t>
      </w:r>
      <w:r w:rsidRPr="00281810">
        <w:t xml:space="preserve">27 juin </w:t>
      </w:r>
      <w:r>
        <w:t>–</w:t>
      </w:r>
      <w:r w:rsidRPr="00281810">
        <w:t> 6 juillet 2016</w:t>
      </w:r>
      <w:bookmarkStart w:id="0" w:name="_GoBack"/>
      <w:bookmarkEnd w:id="0"/>
    </w:p>
    <w:p w:rsidR="002543BC" w:rsidRPr="00281810" w:rsidRDefault="002543BC" w:rsidP="002543BC">
      <w:pPr>
        <w:ind w:right="57"/>
      </w:pPr>
      <w:r w:rsidRPr="00281810">
        <w:t>Point 3 de l’ordre du jour provisoire</w:t>
      </w:r>
    </w:p>
    <w:p w:rsidR="002543BC" w:rsidRPr="00706BA6" w:rsidRDefault="002543BC" w:rsidP="002543BC">
      <w:pPr>
        <w:rPr>
          <w:b/>
          <w:lang w:val="fr-CA"/>
        </w:rPr>
      </w:pPr>
      <w:r w:rsidRPr="00281810">
        <w:rPr>
          <w:b/>
        </w:rPr>
        <w:t>Inscription, classement et emballage</w:t>
      </w:r>
    </w:p>
    <w:p w:rsidR="00D13C8D" w:rsidRDefault="00A51F1B" w:rsidP="00D13C8D">
      <w:pPr>
        <w:pStyle w:val="HChG"/>
        <w:ind w:right="42"/>
      </w:pPr>
      <w:r w:rsidRPr="002F793B">
        <w:tab/>
      </w:r>
      <w:r w:rsidRPr="002F793B">
        <w:tab/>
      </w:r>
      <w:r w:rsidR="00D13C8D">
        <w:t>Révision de l’instruction d’emballage P801</w:t>
      </w:r>
    </w:p>
    <w:p w:rsidR="00D13C8D" w:rsidRPr="00D13C8D" w:rsidRDefault="00D13C8D" w:rsidP="00D13C8D">
      <w:pPr>
        <w:pStyle w:val="H1G"/>
        <w:ind w:left="2268"/>
      </w:pPr>
      <w:r>
        <w:t>Communication de l</w:t>
      </w:r>
      <w:r>
        <w:rPr>
          <w:lang w:val="fr-CA"/>
        </w:rPr>
        <w:t>’expert du Canada</w:t>
      </w:r>
      <w:r>
        <w:rPr>
          <w:rStyle w:val="FootnoteReference"/>
        </w:rPr>
        <w:footnoteReference w:id="2"/>
      </w:r>
    </w:p>
    <w:p w:rsidR="00D13C8D" w:rsidRDefault="00D13C8D" w:rsidP="00D13C8D">
      <w:pPr>
        <w:pStyle w:val="HChG"/>
      </w:pPr>
      <w:r>
        <w:tab/>
      </w:r>
      <w:r>
        <w:tab/>
        <w:t>Objet</w:t>
      </w:r>
    </w:p>
    <w:p w:rsidR="00D13C8D" w:rsidRDefault="00D13C8D" w:rsidP="00D13C8D">
      <w:pPr>
        <w:pStyle w:val="SingleTxtG"/>
      </w:pPr>
      <w:r>
        <w:t>1.</w:t>
      </w:r>
      <w:r>
        <w:tab/>
        <w:t>Modifier l’instruction d’emballage P801</w:t>
      </w:r>
      <w:r>
        <w:rPr>
          <w:lang w:val="fr-CA"/>
        </w:rPr>
        <w:t xml:space="preserve"> afin de </w:t>
      </w:r>
      <w:r>
        <w:t>clarifier les exigences d’emballage po</w:t>
      </w:r>
      <w:r w:rsidRPr="006315D5">
        <w:rPr>
          <w:rStyle w:val="UNParagraphChar"/>
        </w:rPr>
        <w:t>r</w:t>
      </w:r>
      <w:r>
        <w:t xml:space="preserve">tant sur les accumulateurs usagés (Nos. ONU 2794, 2795 et 3028) transportés en vrac.  </w:t>
      </w:r>
    </w:p>
    <w:p w:rsidR="00D13C8D" w:rsidRPr="0000216C" w:rsidRDefault="00D13C8D" w:rsidP="00D13C8D">
      <w:pPr>
        <w:pStyle w:val="HChG"/>
      </w:pPr>
      <w:r>
        <w:tab/>
      </w:r>
      <w:r>
        <w:tab/>
      </w:r>
      <w:r w:rsidRPr="0000216C">
        <w:t>Introduction</w:t>
      </w:r>
    </w:p>
    <w:p w:rsidR="00D13C8D" w:rsidRDefault="00D13C8D" w:rsidP="00D13C8D">
      <w:pPr>
        <w:pStyle w:val="SingleTxtG"/>
      </w:pPr>
      <w:r>
        <w:t>2.</w:t>
      </w:r>
      <w:r>
        <w:tab/>
        <w:t>L’expert du Canada recommande de modifier l’instruction d’emballage P801 afin de définir ce que l</w:t>
      </w:r>
      <w:r>
        <w:rPr>
          <w:lang w:val="fr-CA"/>
        </w:rPr>
        <w:t>’on entend par «</w:t>
      </w:r>
      <w:r>
        <w:t xml:space="preserve">caisses pour accumulateurs». L’expert recommande également d’indiquer que les quatre (4) dispositions supplémentaires </w:t>
      </w:r>
      <w:r w:rsidRPr="00D21E85">
        <w:t>ne</w:t>
      </w:r>
      <w:r>
        <w:t xml:space="preserve"> s’appliquent pas aux accumulateurs usagés transportés en vrac dans des emballages rigides, </w:t>
      </w:r>
      <w:r>
        <w:rPr>
          <w:lang w:val="fr-CA"/>
        </w:rPr>
        <w:t>étanches et faits de matériaux compatibles avec le contenu des accumulateurs</w:t>
      </w:r>
      <w:r>
        <w:t>.</w:t>
      </w:r>
    </w:p>
    <w:p w:rsidR="00D13C8D" w:rsidRPr="005A0D12" w:rsidRDefault="00D13C8D" w:rsidP="00D13C8D">
      <w:pPr>
        <w:pStyle w:val="HChG"/>
      </w:pPr>
      <w:r>
        <w:tab/>
      </w:r>
      <w:r>
        <w:tab/>
      </w:r>
      <w:r w:rsidRPr="005A0D12">
        <w:t>Contexte</w:t>
      </w:r>
    </w:p>
    <w:p w:rsidR="00D13C8D" w:rsidRDefault="00D13C8D" w:rsidP="00D13C8D">
      <w:pPr>
        <w:pStyle w:val="SingleTxtG"/>
        <w:rPr>
          <w:lang w:val="fr-CA"/>
        </w:rPr>
      </w:pPr>
      <w:r>
        <w:t>3.</w:t>
      </w:r>
      <w:r>
        <w:tab/>
        <w:t xml:space="preserve">Cette instruction stipule que les accumulateurs </w:t>
      </w:r>
      <w:proofErr w:type="spellStart"/>
      <w:r>
        <w:t>usag</w:t>
      </w:r>
      <w:r>
        <w:rPr>
          <w:lang w:val="fr-CA"/>
        </w:rPr>
        <w:t>és</w:t>
      </w:r>
      <w:proofErr w:type="spellEnd"/>
      <w:r>
        <w:rPr>
          <w:lang w:val="fr-CA"/>
        </w:rPr>
        <w:t xml:space="preserve"> peuvent être transportés en vrac dans des «</w:t>
      </w:r>
      <w:r>
        <w:t>caisses pour accumulateurs». Toutefois, comme ce terme n</w:t>
      </w:r>
      <w:r>
        <w:rPr>
          <w:lang w:val="fr-CA"/>
        </w:rPr>
        <w:t>’</w:t>
      </w:r>
      <w:r>
        <w:t xml:space="preserve">est pas défini dans l’instruction et que la caisse ne constitue pas non plus un emballage normalisé ONU, il demeure difficile de déterminer quel type de caisse en plastique ou en acier inoxydable est acceptable à titre de </w:t>
      </w:r>
      <w:r>
        <w:rPr>
          <w:lang w:val="fr-CA"/>
        </w:rPr>
        <w:t>«</w:t>
      </w:r>
      <w:r>
        <w:t>caisse pour accumulateurs».</w:t>
      </w:r>
    </w:p>
    <w:p w:rsidR="00D13C8D" w:rsidRDefault="00D13C8D" w:rsidP="00D13C8D">
      <w:pPr>
        <w:pStyle w:val="SingleTxtG"/>
        <w:rPr>
          <w:lang w:val="fr-CA"/>
        </w:rPr>
      </w:pPr>
      <w:r>
        <w:rPr>
          <w:lang w:val="fr-CA"/>
        </w:rPr>
        <w:lastRenderedPageBreak/>
        <w:t>4.</w:t>
      </w:r>
      <w:r>
        <w:rPr>
          <w:lang w:val="fr-CA"/>
        </w:rPr>
        <w:tab/>
        <w:t>Selon cette instruction, seules des caisses en plastique et en acier inoxydable peuvent être utilisées</w:t>
      </w:r>
      <w:r w:rsidRPr="00EF7079">
        <w:rPr>
          <w:lang w:val="fr-CA"/>
        </w:rPr>
        <w:t xml:space="preserve"> </w:t>
      </w:r>
      <w:r>
        <w:rPr>
          <w:lang w:val="fr-CA"/>
        </w:rPr>
        <w:t xml:space="preserve">pour le transport d’accumulateurs usagés en vrac. Toutefois, </w:t>
      </w:r>
      <w:r>
        <w:t xml:space="preserve">si l’objectif du deuxième paragraphe de l’instruction d’emballage P801 est de permettre l’utilisation d’emballages </w:t>
      </w:r>
      <w:r>
        <w:rPr>
          <w:lang w:val="fr-CA"/>
        </w:rPr>
        <w:t xml:space="preserve">rigides, étanches et compatibles avec le contenu des accumulateurs, alors il serait important de clarifier l’instruction. </w:t>
      </w:r>
    </w:p>
    <w:p w:rsidR="00D13C8D" w:rsidRPr="00404ADF" w:rsidRDefault="00D13C8D" w:rsidP="00D13C8D">
      <w:pPr>
        <w:pStyle w:val="HChG"/>
      </w:pPr>
      <w:r>
        <w:tab/>
      </w:r>
      <w:r>
        <w:tab/>
        <w:t>Proposition</w:t>
      </w:r>
    </w:p>
    <w:p w:rsidR="00D13C8D" w:rsidRDefault="00D13C8D" w:rsidP="00D13C8D">
      <w:pPr>
        <w:pStyle w:val="SingleTxtG"/>
        <w:rPr>
          <w:lang w:val="fr-CA"/>
        </w:rPr>
      </w:pPr>
      <w:r>
        <w:rPr>
          <w:lang w:val="fr-CA"/>
        </w:rPr>
        <w:t>5.</w:t>
      </w:r>
      <w:r>
        <w:rPr>
          <w:lang w:val="fr-CA"/>
        </w:rPr>
        <w:tab/>
        <w:t>L’expert du Canada propose de remplacer le mot «</w:t>
      </w:r>
      <w:r>
        <w:t xml:space="preserve">caisses» par </w:t>
      </w:r>
      <w:r>
        <w:rPr>
          <w:lang w:val="fr-CA"/>
        </w:rPr>
        <w:t>«emballages</w:t>
      </w:r>
      <w:r>
        <w:t xml:space="preserve">» et ajouter les qualificatifs </w:t>
      </w:r>
      <w:r>
        <w:rPr>
          <w:lang w:val="fr-CA"/>
        </w:rPr>
        <w:t>«rigides</w:t>
      </w:r>
      <w:r>
        <w:t>»,</w:t>
      </w:r>
      <w:r>
        <w:rPr>
          <w:lang w:val="fr-CA"/>
        </w:rPr>
        <w:t xml:space="preserve"> «étanches</w:t>
      </w:r>
      <w:r>
        <w:t xml:space="preserve">» </w:t>
      </w:r>
      <w:r>
        <w:rPr>
          <w:lang w:val="fr-CA"/>
        </w:rPr>
        <w:t xml:space="preserve">et </w:t>
      </w:r>
      <w:r>
        <w:t>«compatible avec le contenu des accumulateurs» afin de permettre l’utilisation d’autres types d’emballages rencontrant l’objectif de l’instruction.</w:t>
      </w:r>
    </w:p>
    <w:p w:rsidR="00D13C8D" w:rsidRDefault="00D13C8D" w:rsidP="00D13C8D">
      <w:pPr>
        <w:pStyle w:val="SingleTxtG"/>
      </w:pPr>
      <w:r>
        <w:rPr>
          <w:lang w:val="fr-CA"/>
        </w:rPr>
        <w:t>6.</w:t>
      </w:r>
      <w:r>
        <w:rPr>
          <w:lang w:val="fr-CA"/>
        </w:rPr>
        <w:tab/>
        <w:t>Cette instruction</w:t>
      </w:r>
      <w:r>
        <w:t xml:space="preserve"> exige également que les quatre (4) dispositions supplémentaires soient rencontrées indépendamment du type d’emballage. Toutefois, les quatre (4) dispositions supplémentaires ne devraient pas s’appliquer aux accumulateurs usagés transportés en vrac dans des </w:t>
      </w:r>
      <w:r w:rsidRPr="0011680B">
        <w:rPr>
          <w:lang w:val="fr-CA"/>
        </w:rPr>
        <w:t>emballages rigides, étanches et faits de matériaux compatible</w:t>
      </w:r>
      <w:r>
        <w:rPr>
          <w:lang w:val="fr-CA"/>
        </w:rPr>
        <w:t>s</w:t>
      </w:r>
      <w:r w:rsidRPr="0011680B">
        <w:rPr>
          <w:lang w:val="fr-CA"/>
        </w:rPr>
        <w:t xml:space="preserve"> avec le contenu des accumulateurs</w:t>
      </w:r>
      <w:r>
        <w:rPr>
          <w:lang w:val="fr-CA"/>
        </w:rPr>
        <w:t>.</w:t>
      </w:r>
      <w:r>
        <w:t xml:space="preserve"> L’expert propose donc de le clarifier dans l’instruction.  </w:t>
      </w:r>
    </w:p>
    <w:p w:rsidR="00D13C8D" w:rsidRDefault="00D13C8D" w:rsidP="00D13C8D">
      <w:pPr>
        <w:pStyle w:val="SingleTxtG"/>
      </w:pPr>
      <w:r>
        <w:t>L’instruction d’emballage P801 se lirait donc comme suit:</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D13C8D" w:rsidRPr="004602C5" w:rsidTr="00322767">
        <w:tc>
          <w:tcPr>
            <w:tcW w:w="855" w:type="dxa"/>
            <w:tcBorders>
              <w:bottom w:val="single" w:sz="4" w:space="0" w:color="000000"/>
            </w:tcBorders>
          </w:tcPr>
          <w:p w:rsidR="00D13C8D" w:rsidRPr="004602C5" w:rsidRDefault="00D13C8D" w:rsidP="00322767">
            <w:pPr>
              <w:spacing w:before="60" w:after="60" w:line="240" w:lineRule="auto"/>
              <w:rPr>
                <w:b/>
                <w:bCs/>
              </w:rPr>
            </w:pPr>
            <w:r w:rsidRPr="004602C5">
              <w:rPr>
                <w:b/>
              </w:rPr>
              <w:t>P</w:t>
            </w:r>
            <w:r>
              <w:rPr>
                <w:b/>
              </w:rPr>
              <w:t>801</w:t>
            </w:r>
          </w:p>
        </w:tc>
        <w:tc>
          <w:tcPr>
            <w:tcW w:w="7938" w:type="dxa"/>
            <w:tcBorders>
              <w:bottom w:val="single" w:sz="4" w:space="0" w:color="000000"/>
            </w:tcBorders>
          </w:tcPr>
          <w:p w:rsidR="00D13C8D" w:rsidRPr="004602C5" w:rsidRDefault="00D13C8D" w:rsidP="00322767">
            <w:pPr>
              <w:spacing w:before="60" w:after="60" w:line="240" w:lineRule="auto"/>
              <w:ind w:right="-904"/>
              <w:jc w:val="center"/>
              <w:rPr>
                <w:b/>
                <w:bCs/>
              </w:rPr>
            </w:pPr>
            <w:r w:rsidRPr="004602C5">
              <w:rPr>
                <w:b/>
                <w:bCs/>
              </w:rPr>
              <w:t>INSTRUCTION D</w:t>
            </w:r>
            <w:r>
              <w:rPr>
                <w:b/>
                <w:bCs/>
              </w:rPr>
              <w:t>’</w:t>
            </w:r>
            <w:r w:rsidRPr="004602C5">
              <w:rPr>
                <w:b/>
                <w:bCs/>
              </w:rPr>
              <w:t>EMBALLAGE</w:t>
            </w:r>
          </w:p>
        </w:tc>
        <w:tc>
          <w:tcPr>
            <w:tcW w:w="850" w:type="dxa"/>
            <w:tcBorders>
              <w:bottom w:val="single" w:sz="4" w:space="0" w:color="000000"/>
            </w:tcBorders>
          </w:tcPr>
          <w:p w:rsidR="00D13C8D" w:rsidRPr="004602C5" w:rsidRDefault="00D13C8D" w:rsidP="00322767">
            <w:pPr>
              <w:spacing w:before="60" w:after="60" w:line="240" w:lineRule="auto"/>
              <w:jc w:val="right"/>
              <w:rPr>
                <w:b/>
                <w:bCs/>
              </w:rPr>
            </w:pPr>
            <w:r>
              <w:rPr>
                <w:b/>
              </w:rPr>
              <w:t>P801</w:t>
            </w:r>
          </w:p>
        </w:tc>
      </w:tr>
      <w:tr w:rsidR="00D13C8D" w:rsidRPr="004602C5" w:rsidTr="00322767">
        <w:tc>
          <w:tcPr>
            <w:tcW w:w="9643" w:type="dxa"/>
            <w:gridSpan w:val="3"/>
            <w:tcBorders>
              <w:top w:val="single" w:sz="4" w:space="0" w:color="000000"/>
              <w:bottom w:val="single" w:sz="4" w:space="0" w:color="000000"/>
            </w:tcBorders>
          </w:tcPr>
          <w:p w:rsidR="00D13C8D" w:rsidRPr="004602C5" w:rsidRDefault="00D13C8D" w:rsidP="00322767">
            <w:pPr>
              <w:spacing w:before="60" w:after="60" w:line="240" w:lineRule="auto"/>
            </w:pPr>
            <w:r w:rsidRPr="004602C5">
              <w:t>Cette instruction s</w:t>
            </w:r>
            <w:r>
              <w:t>’</w:t>
            </w:r>
            <w:r w:rsidRPr="004602C5">
              <w:t>applique au</w:t>
            </w:r>
            <w:r>
              <w:t>x accumulateurs, neufs et usagés (Nos</w:t>
            </w:r>
            <w:r w:rsidRPr="004602C5">
              <w:t xml:space="preserve"> ONU</w:t>
            </w:r>
            <w:r>
              <w:t xml:space="preserve"> 2794, 2795 et 3028)</w:t>
            </w:r>
          </w:p>
        </w:tc>
      </w:tr>
      <w:tr w:rsidR="00D13C8D" w:rsidRPr="004602C5" w:rsidTr="00322767">
        <w:tc>
          <w:tcPr>
            <w:tcW w:w="9643" w:type="dxa"/>
            <w:gridSpan w:val="3"/>
          </w:tcPr>
          <w:p w:rsidR="00D13C8D" w:rsidRPr="004602C5" w:rsidRDefault="00D13C8D" w:rsidP="00322767">
            <w:pPr>
              <w:spacing w:before="60" w:after="60" w:line="240" w:lineRule="auto"/>
            </w:pPr>
            <w:r w:rsidRPr="004602C5">
              <w:t>Les emballages suivants sont autorisés s</w:t>
            </w:r>
            <w:r>
              <w:t>’</w:t>
            </w:r>
            <w:r w:rsidRPr="004602C5">
              <w:t xml:space="preserve">il est satisfait aux dispositions générales des </w:t>
            </w:r>
            <w:r w:rsidRPr="004602C5">
              <w:rPr>
                <w:b/>
              </w:rPr>
              <w:t>4.1.1</w:t>
            </w:r>
            <w:r w:rsidRPr="005002C1">
              <w:t>, à l’exception du</w:t>
            </w:r>
            <w:r>
              <w:rPr>
                <w:b/>
              </w:rPr>
              <w:t xml:space="preserve"> 4.1.1.3</w:t>
            </w:r>
            <w:r w:rsidRPr="005002C1">
              <w:t>,</w:t>
            </w:r>
            <w:r w:rsidRPr="004602C5">
              <w:t xml:space="preserve"> et </w:t>
            </w:r>
            <w:r w:rsidRPr="004602C5">
              <w:rPr>
                <w:b/>
              </w:rPr>
              <w:t>4.1.3</w:t>
            </w:r>
            <w:r>
              <w:t>:</w:t>
            </w:r>
          </w:p>
        </w:tc>
      </w:tr>
      <w:tr w:rsidR="00D13C8D" w:rsidRPr="004602C5" w:rsidTr="00322767">
        <w:tc>
          <w:tcPr>
            <w:tcW w:w="9643" w:type="dxa"/>
            <w:gridSpan w:val="3"/>
          </w:tcPr>
          <w:p w:rsidR="00D13C8D" w:rsidRDefault="00D13C8D" w:rsidP="00D13C8D">
            <w:pPr>
              <w:numPr>
                <w:ilvl w:val="0"/>
                <w:numId w:val="18"/>
              </w:numPr>
              <w:kinsoku/>
              <w:overflowPunct/>
              <w:autoSpaceDE/>
              <w:autoSpaceDN/>
              <w:adjustRightInd/>
              <w:snapToGrid/>
              <w:spacing w:before="60" w:after="60" w:line="240" w:lineRule="auto"/>
            </w:pPr>
            <w:r>
              <w:t>Emballages extérieurs rigides;</w:t>
            </w:r>
          </w:p>
          <w:p w:rsidR="00D13C8D" w:rsidRDefault="00D13C8D" w:rsidP="00D13C8D">
            <w:pPr>
              <w:numPr>
                <w:ilvl w:val="0"/>
                <w:numId w:val="18"/>
              </w:numPr>
              <w:kinsoku/>
              <w:overflowPunct/>
              <w:autoSpaceDE/>
              <w:autoSpaceDN/>
              <w:adjustRightInd/>
              <w:snapToGrid/>
              <w:spacing w:before="60" w:after="60" w:line="240" w:lineRule="auto"/>
            </w:pPr>
            <w:r>
              <w:t>Harasses en bois;</w:t>
            </w:r>
          </w:p>
          <w:p w:rsidR="00D13C8D" w:rsidRDefault="00D13C8D" w:rsidP="00322767">
            <w:pPr>
              <w:numPr>
                <w:ilvl w:val="0"/>
                <w:numId w:val="18"/>
              </w:numPr>
              <w:kinsoku/>
              <w:overflowPunct/>
              <w:autoSpaceDE/>
              <w:autoSpaceDN/>
              <w:adjustRightInd/>
              <w:snapToGrid/>
              <w:spacing w:before="60" w:after="60" w:line="240" w:lineRule="auto"/>
            </w:pPr>
            <w:r>
              <w:t>Palettes.</w:t>
            </w:r>
          </w:p>
          <w:p w:rsidR="00D13C8D" w:rsidRPr="00404ADF" w:rsidRDefault="00D13C8D" w:rsidP="00322767">
            <w:pPr>
              <w:spacing w:before="60" w:after="60" w:line="240" w:lineRule="auto"/>
              <w:rPr>
                <w:u w:val="single"/>
                <w:lang w:val="fr-CA"/>
              </w:rPr>
            </w:pPr>
            <w:r w:rsidRPr="00553FF6">
              <w:t>Les accumulateurs usagés peuvent être transportés en vrac dans des</w:t>
            </w:r>
            <w:r>
              <w:t xml:space="preserve"> </w:t>
            </w:r>
            <w:r w:rsidRPr="005F0618">
              <w:rPr>
                <w:strike/>
                <w:color w:val="FF0000"/>
              </w:rPr>
              <w:t>caisses pour accumulateurs en acier inoxydable ou en plastique, capables de contenir tout liquide qui se serait </w:t>
            </w:r>
            <w:r w:rsidRPr="005F0618">
              <w:rPr>
                <w:strike/>
                <w:color w:val="FF0000"/>
                <w:lang w:val="fr-CA"/>
              </w:rPr>
              <w:t>échappé</w:t>
            </w:r>
            <w:r w:rsidRPr="005F0618">
              <w:rPr>
                <w:color w:val="FF0000"/>
                <w:lang w:val="fr-CA"/>
              </w:rPr>
              <w:t xml:space="preserve"> </w:t>
            </w:r>
            <w:r w:rsidRPr="00404ADF">
              <w:rPr>
                <w:color w:val="FF0000"/>
                <w:u w:val="single"/>
                <w:lang w:val="fr-CA"/>
              </w:rPr>
              <w:t>emballages rigides, étanches et faits de matériaux compatible avec le contenu des accumulateurs.  Lorsque les accumulateurs usagés sont transportés en vrac selon ces conditions, les dispositions supplémentaires ci-dessous ne s’appliquent pas.</w:t>
            </w:r>
          </w:p>
          <w:p w:rsidR="00D13C8D" w:rsidRPr="007512F6" w:rsidRDefault="00D13C8D" w:rsidP="00322767">
            <w:pPr>
              <w:spacing w:before="60" w:after="60" w:line="240" w:lineRule="auto"/>
              <w:rPr>
                <w:color w:val="FF0000"/>
              </w:rPr>
            </w:pPr>
          </w:p>
        </w:tc>
      </w:tr>
      <w:tr w:rsidR="00D13C8D" w:rsidRPr="004602C5" w:rsidTr="00322767">
        <w:trPr>
          <w:trHeight w:val="244"/>
        </w:trPr>
        <w:tc>
          <w:tcPr>
            <w:tcW w:w="9643" w:type="dxa"/>
            <w:gridSpan w:val="3"/>
            <w:tcBorders>
              <w:top w:val="single" w:sz="4" w:space="0" w:color="000000"/>
              <w:bottom w:val="nil"/>
            </w:tcBorders>
          </w:tcPr>
          <w:p w:rsidR="00D13C8D" w:rsidRPr="005002C1" w:rsidRDefault="00D13C8D" w:rsidP="00322767">
            <w:pPr>
              <w:spacing w:before="60" w:after="60" w:line="240" w:lineRule="auto"/>
            </w:pPr>
            <w:r w:rsidRPr="005002C1">
              <w:rPr>
                <w:b/>
              </w:rPr>
              <w:t>Dispositions supplémentaires</w:t>
            </w:r>
            <w:r w:rsidRPr="005002C1">
              <w:t>:</w:t>
            </w:r>
          </w:p>
        </w:tc>
      </w:tr>
      <w:tr w:rsidR="00D13C8D" w:rsidRPr="004602C5" w:rsidTr="00322767">
        <w:trPr>
          <w:trHeight w:val="360"/>
        </w:trPr>
        <w:tc>
          <w:tcPr>
            <w:tcW w:w="9643" w:type="dxa"/>
            <w:gridSpan w:val="3"/>
            <w:tcBorders>
              <w:top w:val="nil"/>
            </w:tcBorders>
            <w:vAlign w:val="center"/>
          </w:tcPr>
          <w:p w:rsidR="00D13C8D" w:rsidRPr="005002C1" w:rsidRDefault="00D13C8D" w:rsidP="00D13C8D">
            <w:pPr>
              <w:numPr>
                <w:ilvl w:val="0"/>
                <w:numId w:val="19"/>
              </w:numPr>
              <w:kinsoku/>
              <w:overflowPunct/>
              <w:autoSpaceDE/>
              <w:autoSpaceDN/>
              <w:adjustRightInd/>
              <w:snapToGrid/>
              <w:spacing w:before="60" w:after="60" w:line="240" w:lineRule="auto"/>
            </w:pPr>
            <w:r w:rsidRPr="005002C1">
              <w:t>Les accumulateurs doivent êt</w:t>
            </w:r>
            <w:r>
              <w:t xml:space="preserve">re protégés des </w:t>
            </w:r>
            <w:proofErr w:type="spellStart"/>
            <w:r>
              <w:t>courts-circuits</w:t>
            </w:r>
            <w:proofErr w:type="spellEnd"/>
            <w:r w:rsidRPr="005002C1">
              <w:t>;</w:t>
            </w:r>
          </w:p>
          <w:p w:rsidR="00D13C8D" w:rsidRPr="005002C1" w:rsidRDefault="00D13C8D" w:rsidP="00D13C8D">
            <w:pPr>
              <w:numPr>
                <w:ilvl w:val="0"/>
                <w:numId w:val="19"/>
              </w:numPr>
              <w:kinsoku/>
              <w:overflowPunct/>
              <w:autoSpaceDE/>
              <w:autoSpaceDN/>
              <w:adjustRightInd/>
              <w:snapToGrid/>
              <w:spacing w:before="60" w:after="60" w:line="240" w:lineRule="auto"/>
            </w:pPr>
            <w:r w:rsidRPr="005002C1">
              <w:t xml:space="preserve">Les accumulateurs empilés doivent être solidement fixés sur plusieurs plans en </w:t>
            </w:r>
            <w:r>
              <w:t>hauteur</w:t>
            </w:r>
            <w:r w:rsidRPr="005002C1">
              <w:t>, s</w:t>
            </w:r>
            <w:r>
              <w:t>éparés par une couche d’isolant</w:t>
            </w:r>
            <w:r w:rsidRPr="005002C1">
              <w:t>;</w:t>
            </w:r>
          </w:p>
          <w:p w:rsidR="00D13C8D" w:rsidRPr="005002C1" w:rsidRDefault="00D13C8D" w:rsidP="00D13C8D">
            <w:pPr>
              <w:numPr>
                <w:ilvl w:val="0"/>
                <w:numId w:val="19"/>
              </w:numPr>
              <w:kinsoku/>
              <w:overflowPunct/>
              <w:autoSpaceDE/>
              <w:autoSpaceDN/>
              <w:adjustRightInd/>
              <w:snapToGrid/>
              <w:spacing w:before="60" w:after="60" w:line="240" w:lineRule="auto"/>
            </w:pPr>
            <w:r w:rsidRPr="005002C1">
              <w:t>Les bornes des accumulateurs ne doivent pas supporter le poids d’autres élémen</w:t>
            </w:r>
            <w:r>
              <w:t>ts qui leur seraient superposés</w:t>
            </w:r>
            <w:r w:rsidRPr="005002C1">
              <w:t>;</w:t>
            </w:r>
          </w:p>
          <w:p w:rsidR="00D13C8D" w:rsidRPr="005002C1" w:rsidRDefault="00D13C8D" w:rsidP="00D13C8D">
            <w:pPr>
              <w:numPr>
                <w:ilvl w:val="0"/>
                <w:numId w:val="19"/>
              </w:numPr>
              <w:kinsoku/>
              <w:overflowPunct/>
              <w:autoSpaceDE/>
              <w:autoSpaceDN/>
              <w:adjustRightInd/>
              <w:snapToGrid/>
              <w:spacing w:before="60" w:after="60" w:line="240" w:lineRule="auto"/>
            </w:pPr>
            <w:r w:rsidRPr="005002C1">
              <w:t>Les accumulateurs doivent être emballés et fixés de manière à empêcher tout mouvement accidentel.</w:t>
            </w:r>
          </w:p>
        </w:tc>
      </w:tr>
    </w:tbl>
    <w:p w:rsidR="00D95D1B" w:rsidRPr="00D13C8D" w:rsidRDefault="00D13C8D" w:rsidP="00D13C8D">
      <w:pPr>
        <w:pStyle w:val="HChG"/>
        <w:keepNext w:val="0"/>
        <w:keepLines w:val="0"/>
        <w:spacing w:before="240" w:after="0" w:line="240" w:lineRule="atLeast"/>
        <w:ind w:firstLine="0"/>
        <w:jc w:val="center"/>
        <w:rPr>
          <w:b w:val="0"/>
          <w:sz w:val="20"/>
          <w:u w:val="single"/>
        </w:rPr>
      </w:pPr>
      <w:r>
        <w:rPr>
          <w:b w:val="0"/>
          <w:sz w:val="20"/>
          <w:u w:val="single"/>
        </w:rPr>
        <w:tab/>
      </w:r>
      <w:r>
        <w:rPr>
          <w:b w:val="0"/>
          <w:sz w:val="20"/>
          <w:u w:val="single"/>
        </w:rPr>
        <w:tab/>
      </w:r>
      <w:r>
        <w:rPr>
          <w:b w:val="0"/>
          <w:sz w:val="20"/>
          <w:u w:val="single"/>
        </w:rPr>
        <w:tab/>
      </w:r>
    </w:p>
    <w:sectPr w:rsidR="00D95D1B" w:rsidRPr="00D13C8D" w:rsidSect="00CC0FAA">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9E" w:rsidRDefault="004F0C9E" w:rsidP="00F95C08">
      <w:pPr>
        <w:spacing w:line="240" w:lineRule="auto"/>
      </w:pPr>
    </w:p>
  </w:endnote>
  <w:endnote w:type="continuationSeparator" w:id="0">
    <w:p w:rsidR="004F0C9E" w:rsidRPr="00AC3823" w:rsidRDefault="004F0C9E" w:rsidP="00AC3823">
      <w:pPr>
        <w:pStyle w:val="Footer"/>
      </w:pPr>
    </w:p>
  </w:endnote>
  <w:endnote w:type="continuationNotice" w:id="1">
    <w:p w:rsidR="004F0C9E" w:rsidRDefault="004F0C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AA" w:rsidRPr="00CC0FAA" w:rsidRDefault="00CC0FAA" w:rsidP="00CC0FAA">
    <w:pPr>
      <w:pStyle w:val="Footer"/>
      <w:tabs>
        <w:tab w:val="right" w:pos="9638"/>
      </w:tabs>
    </w:pPr>
    <w:r w:rsidRPr="00CC0FAA">
      <w:rPr>
        <w:b/>
        <w:sz w:val="18"/>
      </w:rPr>
      <w:fldChar w:fldCharType="begin"/>
    </w:r>
    <w:r w:rsidRPr="00CC0FAA">
      <w:rPr>
        <w:b/>
        <w:sz w:val="18"/>
      </w:rPr>
      <w:instrText xml:space="preserve"> PAGE  \* MERGEFORMAT </w:instrText>
    </w:r>
    <w:r w:rsidRPr="00CC0FAA">
      <w:rPr>
        <w:b/>
        <w:sz w:val="18"/>
      </w:rPr>
      <w:fldChar w:fldCharType="separate"/>
    </w:r>
    <w:r w:rsidR="002543BC">
      <w:rPr>
        <w:b/>
        <w:noProof/>
        <w:sz w:val="18"/>
      </w:rPr>
      <w:t>2</w:t>
    </w:r>
    <w:r w:rsidRPr="00CC0FAA">
      <w:rPr>
        <w:b/>
        <w:sz w:val="18"/>
      </w:rPr>
      <w:fldChar w:fldCharType="end"/>
    </w:r>
    <w:r>
      <w:rPr>
        <w:b/>
        <w:sz w:val="18"/>
      </w:rPr>
      <w:tab/>
    </w:r>
    <w:r>
      <w:t>GE.15-04639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AA" w:rsidRPr="00CC0FAA" w:rsidRDefault="00CC0FAA" w:rsidP="00CC0FAA">
    <w:pPr>
      <w:pStyle w:val="Footer"/>
      <w:tabs>
        <w:tab w:val="right" w:pos="9638"/>
      </w:tabs>
      <w:rPr>
        <w:b/>
        <w:sz w:val="18"/>
      </w:rPr>
    </w:pPr>
    <w:r>
      <w:t>GE.15-04639</w:t>
    </w:r>
    <w:r>
      <w:tab/>
    </w:r>
    <w:r w:rsidRPr="00CC0FAA">
      <w:rPr>
        <w:b/>
        <w:sz w:val="18"/>
      </w:rPr>
      <w:fldChar w:fldCharType="begin"/>
    </w:r>
    <w:r w:rsidRPr="00CC0FAA">
      <w:rPr>
        <w:b/>
        <w:sz w:val="18"/>
      </w:rPr>
      <w:instrText xml:space="preserve"> PAGE  \* MERGEFORMAT </w:instrText>
    </w:r>
    <w:r w:rsidRPr="00CC0FAA">
      <w:rPr>
        <w:b/>
        <w:sz w:val="18"/>
      </w:rPr>
      <w:fldChar w:fldCharType="separate"/>
    </w:r>
    <w:r w:rsidR="00D13C8D">
      <w:rPr>
        <w:b/>
        <w:noProof/>
        <w:sz w:val="18"/>
      </w:rPr>
      <w:t>3</w:t>
    </w:r>
    <w:r w:rsidRPr="00CC0FA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9E" w:rsidRPr="00AC3823" w:rsidRDefault="004F0C9E" w:rsidP="00AC3823">
      <w:pPr>
        <w:pStyle w:val="Footer"/>
        <w:tabs>
          <w:tab w:val="right" w:pos="2155"/>
        </w:tabs>
        <w:spacing w:after="80" w:line="240" w:lineRule="atLeast"/>
        <w:ind w:left="680"/>
        <w:rPr>
          <w:u w:val="single"/>
        </w:rPr>
      </w:pPr>
      <w:r>
        <w:rPr>
          <w:u w:val="single"/>
        </w:rPr>
        <w:tab/>
      </w:r>
    </w:p>
  </w:footnote>
  <w:footnote w:type="continuationSeparator" w:id="0">
    <w:p w:rsidR="004F0C9E" w:rsidRPr="00AC3823" w:rsidRDefault="004F0C9E" w:rsidP="00AC3823">
      <w:pPr>
        <w:pStyle w:val="Footer"/>
        <w:tabs>
          <w:tab w:val="right" w:pos="2155"/>
        </w:tabs>
        <w:spacing w:after="80" w:line="240" w:lineRule="atLeast"/>
        <w:ind w:left="680"/>
        <w:rPr>
          <w:u w:val="single"/>
        </w:rPr>
      </w:pPr>
      <w:r>
        <w:rPr>
          <w:u w:val="single"/>
        </w:rPr>
        <w:tab/>
      </w:r>
    </w:p>
  </w:footnote>
  <w:footnote w:type="continuationNotice" w:id="1">
    <w:p w:rsidR="004F0C9E" w:rsidRPr="00AC3823" w:rsidRDefault="004F0C9E">
      <w:pPr>
        <w:spacing w:line="240" w:lineRule="auto"/>
        <w:rPr>
          <w:sz w:val="2"/>
          <w:szCs w:val="2"/>
        </w:rPr>
      </w:pPr>
    </w:p>
  </w:footnote>
  <w:footnote w:id="2">
    <w:p w:rsidR="00D13C8D" w:rsidRPr="00CA5971" w:rsidRDefault="00D13C8D" w:rsidP="00D13C8D">
      <w:pPr>
        <w:pStyle w:val="FootnoteText"/>
        <w:ind w:firstLine="0"/>
        <w:rPr>
          <w:lang w:val="fr-CA"/>
        </w:rPr>
      </w:pPr>
      <w:r>
        <w:rPr>
          <w:rStyle w:val="FootnoteReference"/>
        </w:rPr>
        <w:footnoteRef/>
      </w:r>
      <w:r>
        <w:t xml:space="preserve"> Conformément au programme de travail de 2015-2016 du Sous-comité, que le Comité a approuvé lors de sa septième session (voir ST/SG/AC.10/C.3/92 para. 95 et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AA" w:rsidRPr="00CC0FAA" w:rsidRDefault="00CC0FAA">
    <w:pPr>
      <w:pStyle w:val="Header"/>
    </w:pPr>
    <w:r>
      <w:t>ST/SG/AC.10/C.3/201</w:t>
    </w:r>
    <w:r w:rsidR="00D13C8D">
      <w:t>6</w:t>
    </w:r>
    <w:r>
      <w:t>/</w:t>
    </w:r>
    <w:r w:rsidR="00D13C8D">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AA" w:rsidRPr="00CC0FAA" w:rsidRDefault="00CC0FAA" w:rsidP="00CC0FAA">
    <w:pPr>
      <w:pStyle w:val="Header"/>
      <w:jc w:val="right"/>
    </w:pPr>
    <w:r>
      <w:t>ST/SG/AC.10/C.3/2015/1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006861"/>
    <w:multiLevelType w:val="hybridMultilevel"/>
    <w:tmpl w:val="D77E7D0E"/>
    <w:lvl w:ilvl="0" w:tplc="CDBC4AB8">
      <w:start w:val="1"/>
      <w:numFmt w:val="decimal"/>
      <w:lvlText w:val="%1."/>
      <w:lvlJc w:val="left"/>
      <w:pPr>
        <w:ind w:left="1494"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1BD5B58"/>
    <w:multiLevelType w:val="hybridMultilevel"/>
    <w:tmpl w:val="BF40B02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733A3C4C"/>
    <w:multiLevelType w:val="hybridMultilevel"/>
    <w:tmpl w:val="23284254"/>
    <w:lvl w:ilvl="0" w:tplc="036A7C54">
      <w:start w:val="1"/>
      <w:numFmt w:val="decimal"/>
      <w:pStyle w:val="UNParagraph"/>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6">
    <w:nsid w:val="770848DA"/>
    <w:multiLevelType w:val="hybridMultilevel"/>
    <w:tmpl w:val="FAFADB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 w:numId="16">
    <w:abstractNumId w:val="12"/>
  </w:num>
  <w:num w:numId="17">
    <w:abstractNumId w:val="11"/>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1E"/>
    <w:rsid w:val="00017F94"/>
    <w:rsid w:val="00023842"/>
    <w:rsid w:val="000305D3"/>
    <w:rsid w:val="000334F9"/>
    <w:rsid w:val="0007796D"/>
    <w:rsid w:val="000B7790"/>
    <w:rsid w:val="000C7BFD"/>
    <w:rsid w:val="00111F2F"/>
    <w:rsid w:val="00132EA9"/>
    <w:rsid w:val="0014365E"/>
    <w:rsid w:val="00176178"/>
    <w:rsid w:val="00192D4C"/>
    <w:rsid w:val="001C1BFB"/>
    <w:rsid w:val="001F525A"/>
    <w:rsid w:val="00223272"/>
    <w:rsid w:val="0024779E"/>
    <w:rsid w:val="002543BC"/>
    <w:rsid w:val="00283190"/>
    <w:rsid w:val="002832AC"/>
    <w:rsid w:val="002D34CD"/>
    <w:rsid w:val="002D7C93"/>
    <w:rsid w:val="003F33D4"/>
    <w:rsid w:val="00441C3B"/>
    <w:rsid w:val="00446FE5"/>
    <w:rsid w:val="00452396"/>
    <w:rsid w:val="00461FED"/>
    <w:rsid w:val="004E468C"/>
    <w:rsid w:val="004F0C9E"/>
    <w:rsid w:val="004F5AC1"/>
    <w:rsid w:val="005505B7"/>
    <w:rsid w:val="0056096F"/>
    <w:rsid w:val="00573BE5"/>
    <w:rsid w:val="00586ED3"/>
    <w:rsid w:val="00596AA9"/>
    <w:rsid w:val="006806EE"/>
    <w:rsid w:val="0068456F"/>
    <w:rsid w:val="0071601D"/>
    <w:rsid w:val="0071669C"/>
    <w:rsid w:val="00790F9D"/>
    <w:rsid w:val="007A042A"/>
    <w:rsid w:val="007A62E6"/>
    <w:rsid w:val="0080684C"/>
    <w:rsid w:val="00870F6F"/>
    <w:rsid w:val="00871C75"/>
    <w:rsid w:val="008776DC"/>
    <w:rsid w:val="00890C8F"/>
    <w:rsid w:val="008A626F"/>
    <w:rsid w:val="008C5BDD"/>
    <w:rsid w:val="009705C8"/>
    <w:rsid w:val="009A5276"/>
    <w:rsid w:val="009C1CF4"/>
    <w:rsid w:val="00A30353"/>
    <w:rsid w:val="00A51F1B"/>
    <w:rsid w:val="00A61E1B"/>
    <w:rsid w:val="00AC3823"/>
    <w:rsid w:val="00AE323C"/>
    <w:rsid w:val="00B00181"/>
    <w:rsid w:val="00B0022D"/>
    <w:rsid w:val="00B00B0D"/>
    <w:rsid w:val="00B42FF3"/>
    <w:rsid w:val="00B52EDB"/>
    <w:rsid w:val="00B765F7"/>
    <w:rsid w:val="00B87AE4"/>
    <w:rsid w:val="00BA0CA9"/>
    <w:rsid w:val="00C02897"/>
    <w:rsid w:val="00C4571E"/>
    <w:rsid w:val="00CC0FAA"/>
    <w:rsid w:val="00D13C8D"/>
    <w:rsid w:val="00D2297A"/>
    <w:rsid w:val="00D3439C"/>
    <w:rsid w:val="00D51322"/>
    <w:rsid w:val="00D95D1B"/>
    <w:rsid w:val="00DB1831"/>
    <w:rsid w:val="00DD3BFD"/>
    <w:rsid w:val="00DF6678"/>
    <w:rsid w:val="00E26FDC"/>
    <w:rsid w:val="00EF2E22"/>
    <w:rsid w:val="00F50EBF"/>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51F1B"/>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val="fr-CH" w:eastAsia="en-US"/>
    </w:rPr>
  </w:style>
  <w:style w:type="paragraph" w:styleId="Heading1">
    <w:name w:val="heading 1"/>
    <w:aliases w:val="Table_G"/>
    <w:basedOn w:val="SingleTxtG"/>
    <w:next w:val="SingleTxtG"/>
    <w:link w:val="Heading1Char"/>
    <w:qFormat/>
    <w:rsid w:val="00A51F1B"/>
    <w:pPr>
      <w:keepNext/>
      <w:keepLines/>
      <w:spacing w:after="0" w:line="240" w:lineRule="auto"/>
      <w:ind w:right="0"/>
      <w:jc w:val="left"/>
      <w:outlineLvl w:val="0"/>
    </w:pPr>
  </w:style>
  <w:style w:type="paragraph" w:styleId="Heading2">
    <w:name w:val="heading 2"/>
    <w:basedOn w:val="Normal"/>
    <w:next w:val="Normal"/>
    <w:link w:val="Heading2Char"/>
    <w:semiHidden/>
    <w:qFormat/>
    <w:rsid w:val="00A51F1B"/>
    <w:pPr>
      <w:outlineLvl w:val="1"/>
    </w:pPr>
  </w:style>
  <w:style w:type="paragraph" w:styleId="Heading3">
    <w:name w:val="heading 3"/>
    <w:basedOn w:val="Normal"/>
    <w:next w:val="Normal"/>
    <w:link w:val="Heading3Char"/>
    <w:semiHidden/>
    <w:qFormat/>
    <w:rsid w:val="00A51F1B"/>
    <w:pPr>
      <w:outlineLvl w:val="2"/>
    </w:pPr>
  </w:style>
  <w:style w:type="paragraph" w:styleId="Heading4">
    <w:name w:val="heading 4"/>
    <w:basedOn w:val="Normal"/>
    <w:next w:val="Normal"/>
    <w:link w:val="Heading4Char"/>
    <w:semiHidden/>
    <w:qFormat/>
    <w:rsid w:val="00A51F1B"/>
    <w:pPr>
      <w:outlineLvl w:val="3"/>
    </w:pPr>
  </w:style>
  <w:style w:type="paragraph" w:styleId="Heading5">
    <w:name w:val="heading 5"/>
    <w:basedOn w:val="Normal"/>
    <w:next w:val="Normal"/>
    <w:link w:val="Heading5Char"/>
    <w:semiHidden/>
    <w:qFormat/>
    <w:rsid w:val="00A51F1B"/>
    <w:pPr>
      <w:outlineLvl w:val="4"/>
    </w:pPr>
  </w:style>
  <w:style w:type="paragraph" w:styleId="Heading6">
    <w:name w:val="heading 6"/>
    <w:basedOn w:val="Normal"/>
    <w:next w:val="Normal"/>
    <w:link w:val="Heading6Char"/>
    <w:semiHidden/>
    <w:qFormat/>
    <w:rsid w:val="00A51F1B"/>
    <w:pPr>
      <w:outlineLvl w:val="5"/>
    </w:pPr>
  </w:style>
  <w:style w:type="paragraph" w:styleId="Heading7">
    <w:name w:val="heading 7"/>
    <w:basedOn w:val="Normal"/>
    <w:next w:val="Normal"/>
    <w:link w:val="Heading7Char"/>
    <w:semiHidden/>
    <w:qFormat/>
    <w:rsid w:val="00A51F1B"/>
    <w:pPr>
      <w:outlineLvl w:val="6"/>
    </w:pPr>
  </w:style>
  <w:style w:type="paragraph" w:styleId="Heading8">
    <w:name w:val="heading 8"/>
    <w:basedOn w:val="Normal"/>
    <w:next w:val="Normal"/>
    <w:link w:val="Heading8Char"/>
    <w:semiHidden/>
    <w:qFormat/>
    <w:rsid w:val="00A51F1B"/>
    <w:pPr>
      <w:outlineLvl w:val="7"/>
    </w:pPr>
  </w:style>
  <w:style w:type="paragraph" w:styleId="Heading9">
    <w:name w:val="heading 9"/>
    <w:basedOn w:val="Normal"/>
    <w:next w:val="Normal"/>
    <w:link w:val="Heading9Char"/>
    <w:semiHidden/>
    <w:qFormat/>
    <w:rsid w:val="00A51F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51F1B"/>
    <w:pPr>
      <w:pBdr>
        <w:bottom w:val="single" w:sz="4" w:space="4" w:color="auto"/>
      </w:pBdr>
      <w:spacing w:line="240" w:lineRule="auto"/>
    </w:pPr>
    <w:rPr>
      <w:b/>
      <w:sz w:val="18"/>
    </w:rPr>
  </w:style>
  <w:style w:type="character" w:customStyle="1" w:styleId="HeaderChar">
    <w:name w:val="Header Char"/>
    <w:aliases w:val="6_G Char"/>
    <w:link w:val="Header"/>
    <w:rsid w:val="00A51F1B"/>
    <w:rPr>
      <w:rFonts w:ascii="Times New Roman" w:eastAsia="Calibri" w:hAnsi="Times New Roman" w:cs="Times New Roman"/>
      <w:b/>
      <w:sz w:val="18"/>
      <w:szCs w:val="20"/>
      <w:lang w:eastAsia="en-US"/>
    </w:rPr>
  </w:style>
  <w:style w:type="paragraph" w:styleId="Footer">
    <w:name w:val="footer"/>
    <w:aliases w:val="3_G"/>
    <w:basedOn w:val="Normal"/>
    <w:next w:val="Normal"/>
    <w:link w:val="FooterChar"/>
    <w:qFormat/>
    <w:rsid w:val="00A51F1B"/>
    <w:pPr>
      <w:spacing w:line="240" w:lineRule="auto"/>
    </w:pPr>
    <w:rPr>
      <w:sz w:val="16"/>
    </w:rPr>
  </w:style>
  <w:style w:type="character" w:customStyle="1" w:styleId="FooterChar">
    <w:name w:val="Footer Char"/>
    <w:aliases w:val="3_G Char"/>
    <w:link w:val="Footer"/>
    <w:rsid w:val="00A51F1B"/>
    <w:rPr>
      <w:rFonts w:ascii="Times New Roman" w:eastAsia="Calibri" w:hAnsi="Times New Roman" w:cs="Times New Roman"/>
      <w:sz w:val="16"/>
      <w:szCs w:val="20"/>
      <w:lang w:eastAsia="en-US"/>
    </w:rPr>
  </w:style>
  <w:style w:type="paragraph" w:customStyle="1" w:styleId="HMG">
    <w:name w:val="_ H __M_G"/>
    <w:basedOn w:val="Normal"/>
    <w:next w:val="Normal"/>
    <w:qFormat/>
    <w:rsid w:val="00A51F1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51F1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51F1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51F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51F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51F1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51F1B"/>
    <w:pPr>
      <w:spacing w:after="120"/>
      <w:ind w:left="1134" w:right="1134"/>
      <w:jc w:val="both"/>
    </w:pPr>
  </w:style>
  <w:style w:type="paragraph" w:customStyle="1" w:styleId="SLG">
    <w:name w:val="__S_L_G"/>
    <w:basedOn w:val="Normal"/>
    <w:next w:val="Normal"/>
    <w:rsid w:val="00A51F1B"/>
    <w:pPr>
      <w:keepNext/>
      <w:keepLines/>
      <w:spacing w:before="240" w:after="240" w:line="580" w:lineRule="exact"/>
      <w:ind w:left="1134" w:right="1134"/>
    </w:pPr>
    <w:rPr>
      <w:b/>
      <w:sz w:val="56"/>
    </w:rPr>
  </w:style>
  <w:style w:type="paragraph" w:customStyle="1" w:styleId="SMG">
    <w:name w:val="__S_M_G"/>
    <w:basedOn w:val="Normal"/>
    <w:next w:val="Normal"/>
    <w:rsid w:val="00A51F1B"/>
    <w:pPr>
      <w:keepNext/>
      <w:keepLines/>
      <w:spacing w:before="240" w:after="240" w:line="420" w:lineRule="exact"/>
      <w:ind w:left="1134" w:right="1134"/>
    </w:pPr>
    <w:rPr>
      <w:b/>
      <w:sz w:val="40"/>
    </w:rPr>
  </w:style>
  <w:style w:type="paragraph" w:customStyle="1" w:styleId="SSG">
    <w:name w:val="__S_S_G"/>
    <w:basedOn w:val="Normal"/>
    <w:next w:val="Normal"/>
    <w:rsid w:val="00A51F1B"/>
    <w:pPr>
      <w:keepNext/>
      <w:keepLines/>
      <w:spacing w:before="240" w:after="240" w:line="300" w:lineRule="exact"/>
      <w:ind w:left="1134" w:right="1134"/>
    </w:pPr>
    <w:rPr>
      <w:b/>
      <w:sz w:val="28"/>
    </w:rPr>
  </w:style>
  <w:style w:type="paragraph" w:customStyle="1" w:styleId="XLargeG">
    <w:name w:val="__XLarge_G"/>
    <w:basedOn w:val="Normal"/>
    <w:next w:val="Normal"/>
    <w:rsid w:val="00A51F1B"/>
    <w:pPr>
      <w:keepNext/>
      <w:keepLines/>
      <w:spacing w:before="240" w:after="240" w:line="420" w:lineRule="exact"/>
      <w:ind w:left="1134" w:right="1134"/>
    </w:pPr>
    <w:rPr>
      <w:b/>
      <w:sz w:val="40"/>
    </w:rPr>
  </w:style>
  <w:style w:type="paragraph" w:customStyle="1" w:styleId="Bullet1G">
    <w:name w:val="_Bullet 1_G"/>
    <w:basedOn w:val="Normal"/>
    <w:qFormat/>
    <w:rsid w:val="00A51F1B"/>
    <w:pPr>
      <w:numPr>
        <w:numId w:val="15"/>
      </w:numPr>
      <w:spacing w:after="120"/>
      <w:ind w:right="1134"/>
      <w:jc w:val="both"/>
    </w:pPr>
  </w:style>
  <w:style w:type="paragraph" w:customStyle="1" w:styleId="Bullet2G">
    <w:name w:val="_Bullet 2_G"/>
    <w:basedOn w:val="Normal"/>
    <w:qFormat/>
    <w:rsid w:val="00A51F1B"/>
    <w:pPr>
      <w:numPr>
        <w:numId w:val="16"/>
      </w:numPr>
      <w:spacing w:after="120"/>
      <w:ind w:right="1134"/>
      <w:jc w:val="both"/>
    </w:pPr>
  </w:style>
  <w:style w:type="paragraph" w:customStyle="1" w:styleId="ParNoG">
    <w:name w:val="_ParNo_G"/>
    <w:basedOn w:val="Normal"/>
    <w:qFormat/>
    <w:rsid w:val="00A51F1B"/>
    <w:pPr>
      <w:numPr>
        <w:numId w:val="17"/>
      </w:numPr>
      <w:spacing w:after="120"/>
      <w:ind w:right="1134"/>
      <w:jc w:val="both"/>
    </w:pPr>
  </w:style>
  <w:style w:type="character" w:styleId="FootnoteReference">
    <w:name w:val="footnote reference"/>
    <w:aliases w:val="4_G,Footnote Reference/"/>
    <w:uiPriority w:val="99"/>
    <w:qFormat/>
    <w:rsid w:val="00A51F1B"/>
    <w:rPr>
      <w:rFonts w:ascii="Times New Roman" w:hAnsi="Times New Roman"/>
      <w:sz w:val="18"/>
      <w:vertAlign w:val="superscript"/>
      <w:lang w:val="fr-CH"/>
    </w:rPr>
  </w:style>
  <w:style w:type="character" w:styleId="EndnoteReference">
    <w:name w:val="endnote reference"/>
    <w:aliases w:val="1_G"/>
    <w:qFormat/>
    <w:rsid w:val="00A51F1B"/>
    <w:rPr>
      <w:rFonts w:ascii="Times New Roman" w:hAnsi="Times New Roman"/>
      <w:sz w:val="18"/>
      <w:vertAlign w:val="superscript"/>
      <w:lang w:val="fr-CH"/>
    </w:rPr>
  </w:style>
  <w:style w:type="table" w:styleId="TableGrid">
    <w:name w:val="Table Grid"/>
    <w:basedOn w:val="TableNormal"/>
    <w:rsid w:val="00A51F1B"/>
    <w:pPr>
      <w:suppressAutoHyphens/>
      <w:spacing w:line="240" w:lineRule="atLeast"/>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A51F1B"/>
    <w:rPr>
      <w:color w:val="0000FF"/>
      <w:u w:val="none"/>
    </w:rPr>
  </w:style>
  <w:style w:type="character" w:styleId="FollowedHyperlink">
    <w:name w:val="FollowedHyperlink"/>
    <w:unhideWhenUsed/>
    <w:rsid w:val="00A51F1B"/>
    <w:rPr>
      <w:color w:val="0000FF"/>
      <w:u w:val="none"/>
    </w:rPr>
  </w:style>
  <w:style w:type="paragraph" w:styleId="FootnoteText">
    <w:name w:val="footnote text"/>
    <w:aliases w:val="5_G"/>
    <w:basedOn w:val="Normal"/>
    <w:link w:val="FootnoteTextChar"/>
    <w:uiPriority w:val="99"/>
    <w:qFormat/>
    <w:rsid w:val="00A51F1B"/>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A51F1B"/>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A51F1B"/>
  </w:style>
  <w:style w:type="character" w:customStyle="1" w:styleId="EndnoteTextChar">
    <w:name w:val="Endnote Text Char"/>
    <w:aliases w:val="2_G Char"/>
    <w:link w:val="EndnoteText"/>
    <w:rsid w:val="00A51F1B"/>
    <w:rPr>
      <w:rFonts w:ascii="Times New Roman" w:eastAsia="Calibri" w:hAnsi="Times New Roman" w:cs="Times New Roman"/>
      <w:sz w:val="18"/>
      <w:szCs w:val="20"/>
      <w:lang w:eastAsia="en-US"/>
    </w:rPr>
  </w:style>
  <w:style w:type="character" w:styleId="PageNumber">
    <w:name w:val="page number"/>
    <w:aliases w:val="7_G"/>
    <w:qFormat/>
    <w:rsid w:val="00A51F1B"/>
    <w:rPr>
      <w:rFonts w:ascii="Times New Roman" w:hAnsi="Times New Roman"/>
      <w:b/>
      <w:sz w:val="18"/>
      <w:lang w:val="fr-CH"/>
    </w:rPr>
  </w:style>
  <w:style w:type="character" w:customStyle="1" w:styleId="Heading1Char">
    <w:name w:val="Heading 1 Char"/>
    <w:aliases w:val="Table_G Char"/>
    <w:link w:val="Heading1"/>
    <w:rsid w:val="00A51F1B"/>
    <w:rPr>
      <w:rFonts w:ascii="Times New Roman" w:eastAsia="Calibri" w:hAnsi="Times New Roman" w:cs="Times New Roman"/>
      <w:sz w:val="20"/>
      <w:szCs w:val="20"/>
      <w:lang w:eastAsia="en-US"/>
    </w:rPr>
  </w:style>
  <w:style w:type="character" w:customStyle="1" w:styleId="Heading2Char">
    <w:name w:val="Heading 2 Char"/>
    <w:link w:val="Heading2"/>
    <w:semiHidden/>
    <w:rsid w:val="00A51F1B"/>
    <w:rPr>
      <w:rFonts w:ascii="Times New Roman" w:eastAsia="Calibri" w:hAnsi="Times New Roman" w:cs="Times New Roman"/>
      <w:sz w:val="20"/>
      <w:szCs w:val="20"/>
      <w:lang w:eastAsia="en-US"/>
    </w:rPr>
  </w:style>
  <w:style w:type="character" w:customStyle="1" w:styleId="Heading3Char">
    <w:name w:val="Heading 3 Char"/>
    <w:link w:val="Heading3"/>
    <w:semiHidden/>
    <w:rsid w:val="00A51F1B"/>
    <w:rPr>
      <w:rFonts w:ascii="Times New Roman" w:eastAsia="Calibri" w:hAnsi="Times New Roman" w:cs="Times New Roman"/>
      <w:sz w:val="20"/>
      <w:szCs w:val="20"/>
      <w:lang w:eastAsia="en-US"/>
    </w:rPr>
  </w:style>
  <w:style w:type="character" w:customStyle="1" w:styleId="Heading4Char">
    <w:name w:val="Heading 4 Char"/>
    <w:link w:val="Heading4"/>
    <w:semiHidden/>
    <w:rsid w:val="00A51F1B"/>
    <w:rPr>
      <w:rFonts w:ascii="Times New Roman" w:eastAsia="Calibri" w:hAnsi="Times New Roman" w:cs="Times New Roman"/>
      <w:sz w:val="20"/>
      <w:szCs w:val="20"/>
      <w:lang w:eastAsia="en-US"/>
    </w:rPr>
  </w:style>
  <w:style w:type="character" w:customStyle="1" w:styleId="Heading5Char">
    <w:name w:val="Heading 5 Char"/>
    <w:link w:val="Heading5"/>
    <w:semiHidden/>
    <w:rsid w:val="00A51F1B"/>
    <w:rPr>
      <w:rFonts w:ascii="Times New Roman" w:eastAsia="Calibri" w:hAnsi="Times New Roman" w:cs="Times New Roman"/>
      <w:sz w:val="20"/>
      <w:szCs w:val="20"/>
      <w:lang w:eastAsia="en-US"/>
    </w:rPr>
  </w:style>
  <w:style w:type="character" w:customStyle="1" w:styleId="Heading6Char">
    <w:name w:val="Heading 6 Char"/>
    <w:link w:val="Heading6"/>
    <w:semiHidden/>
    <w:rsid w:val="00A51F1B"/>
    <w:rPr>
      <w:rFonts w:ascii="Times New Roman" w:eastAsia="Calibri" w:hAnsi="Times New Roman" w:cs="Times New Roman"/>
      <w:sz w:val="20"/>
      <w:szCs w:val="20"/>
      <w:lang w:eastAsia="en-US"/>
    </w:rPr>
  </w:style>
  <w:style w:type="character" w:customStyle="1" w:styleId="Heading7Char">
    <w:name w:val="Heading 7 Char"/>
    <w:link w:val="Heading7"/>
    <w:semiHidden/>
    <w:rsid w:val="00A51F1B"/>
    <w:rPr>
      <w:rFonts w:ascii="Times New Roman" w:eastAsia="Calibri" w:hAnsi="Times New Roman" w:cs="Times New Roman"/>
      <w:sz w:val="20"/>
      <w:szCs w:val="20"/>
      <w:lang w:eastAsia="en-US"/>
    </w:rPr>
  </w:style>
  <w:style w:type="character" w:customStyle="1" w:styleId="Heading8Char">
    <w:name w:val="Heading 8 Char"/>
    <w:link w:val="Heading8"/>
    <w:semiHidden/>
    <w:rsid w:val="00A51F1B"/>
    <w:rPr>
      <w:rFonts w:ascii="Times New Roman" w:eastAsia="Calibri" w:hAnsi="Times New Roman" w:cs="Times New Roman"/>
      <w:sz w:val="20"/>
      <w:szCs w:val="20"/>
      <w:lang w:eastAsia="en-US"/>
    </w:rPr>
  </w:style>
  <w:style w:type="character" w:customStyle="1" w:styleId="Heading9Char">
    <w:name w:val="Heading 9 Char"/>
    <w:link w:val="Heading9"/>
    <w:semiHidden/>
    <w:rsid w:val="00A51F1B"/>
    <w:rPr>
      <w:rFonts w:ascii="Times New Roman" w:eastAsia="Calibri" w:hAnsi="Times New Roman" w:cs="Times New Roman"/>
      <w:sz w:val="20"/>
      <w:szCs w:val="20"/>
      <w:lang w:eastAsia="en-US"/>
    </w:rPr>
  </w:style>
  <w:style w:type="character" w:customStyle="1" w:styleId="H1GChar">
    <w:name w:val="_ H_1_G Char"/>
    <w:link w:val="H1G"/>
    <w:rsid w:val="00A51F1B"/>
    <w:rPr>
      <w:rFonts w:ascii="Times New Roman" w:eastAsia="Calibri" w:hAnsi="Times New Roman" w:cs="Times New Roman"/>
      <w:b/>
      <w:sz w:val="24"/>
      <w:szCs w:val="20"/>
      <w:lang w:eastAsia="en-US"/>
    </w:rPr>
  </w:style>
  <w:style w:type="character" w:customStyle="1" w:styleId="SingleTxtGChar">
    <w:name w:val="_ Single Txt_G Char"/>
    <w:link w:val="SingleTxtG"/>
    <w:rsid w:val="00A51F1B"/>
    <w:rPr>
      <w:rFonts w:ascii="Times New Roman" w:eastAsia="Calibri" w:hAnsi="Times New Roman" w:cs="Times New Roman"/>
      <w:sz w:val="20"/>
      <w:szCs w:val="20"/>
      <w:lang w:eastAsia="en-US"/>
    </w:rPr>
  </w:style>
  <w:style w:type="paragraph" w:styleId="BalloonText">
    <w:name w:val="Balloon Text"/>
    <w:basedOn w:val="Normal"/>
    <w:link w:val="BalloonTextChar"/>
    <w:uiPriority w:val="99"/>
    <w:semiHidden/>
    <w:unhideWhenUsed/>
    <w:rsid w:val="00D13C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8D"/>
    <w:rPr>
      <w:rFonts w:ascii="Tahoma" w:eastAsia="Calibri" w:hAnsi="Tahoma" w:cs="Tahoma"/>
      <w:sz w:val="16"/>
      <w:szCs w:val="16"/>
      <w:lang w:val="fr-CH" w:eastAsia="en-US"/>
    </w:rPr>
  </w:style>
  <w:style w:type="paragraph" w:customStyle="1" w:styleId="UNParagraph">
    <w:name w:val="UN Paragraph"/>
    <w:basedOn w:val="Normal"/>
    <w:link w:val="UNParagraphChar"/>
    <w:qFormat/>
    <w:rsid w:val="00D13C8D"/>
    <w:pPr>
      <w:numPr>
        <w:numId w:val="20"/>
      </w:numPr>
      <w:kinsoku/>
      <w:overflowPunct/>
      <w:autoSpaceDE/>
      <w:autoSpaceDN/>
      <w:adjustRightInd/>
      <w:snapToGrid/>
      <w:ind w:left="1134" w:right="-99" w:firstLine="0"/>
      <w:jc w:val="both"/>
    </w:pPr>
    <w:rPr>
      <w:rFonts w:eastAsia="Times New Roman"/>
    </w:rPr>
  </w:style>
  <w:style w:type="character" w:customStyle="1" w:styleId="UNParagraphChar">
    <w:name w:val="UN Paragraph Char"/>
    <w:link w:val="UNParagraph"/>
    <w:rsid w:val="00D13C8D"/>
    <w:rPr>
      <w:rFonts w:ascii="Times New Roman" w:hAnsi="Times New Roman" w:cs="Times New Roman"/>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51F1B"/>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val="fr-CH" w:eastAsia="en-US"/>
    </w:rPr>
  </w:style>
  <w:style w:type="paragraph" w:styleId="Heading1">
    <w:name w:val="heading 1"/>
    <w:aliases w:val="Table_G"/>
    <w:basedOn w:val="SingleTxtG"/>
    <w:next w:val="SingleTxtG"/>
    <w:link w:val="Heading1Char"/>
    <w:qFormat/>
    <w:rsid w:val="00A51F1B"/>
    <w:pPr>
      <w:keepNext/>
      <w:keepLines/>
      <w:spacing w:after="0" w:line="240" w:lineRule="auto"/>
      <w:ind w:right="0"/>
      <w:jc w:val="left"/>
      <w:outlineLvl w:val="0"/>
    </w:pPr>
  </w:style>
  <w:style w:type="paragraph" w:styleId="Heading2">
    <w:name w:val="heading 2"/>
    <w:basedOn w:val="Normal"/>
    <w:next w:val="Normal"/>
    <w:link w:val="Heading2Char"/>
    <w:semiHidden/>
    <w:qFormat/>
    <w:rsid w:val="00A51F1B"/>
    <w:pPr>
      <w:outlineLvl w:val="1"/>
    </w:pPr>
  </w:style>
  <w:style w:type="paragraph" w:styleId="Heading3">
    <w:name w:val="heading 3"/>
    <w:basedOn w:val="Normal"/>
    <w:next w:val="Normal"/>
    <w:link w:val="Heading3Char"/>
    <w:semiHidden/>
    <w:qFormat/>
    <w:rsid w:val="00A51F1B"/>
    <w:pPr>
      <w:outlineLvl w:val="2"/>
    </w:pPr>
  </w:style>
  <w:style w:type="paragraph" w:styleId="Heading4">
    <w:name w:val="heading 4"/>
    <w:basedOn w:val="Normal"/>
    <w:next w:val="Normal"/>
    <w:link w:val="Heading4Char"/>
    <w:semiHidden/>
    <w:qFormat/>
    <w:rsid w:val="00A51F1B"/>
    <w:pPr>
      <w:outlineLvl w:val="3"/>
    </w:pPr>
  </w:style>
  <w:style w:type="paragraph" w:styleId="Heading5">
    <w:name w:val="heading 5"/>
    <w:basedOn w:val="Normal"/>
    <w:next w:val="Normal"/>
    <w:link w:val="Heading5Char"/>
    <w:semiHidden/>
    <w:qFormat/>
    <w:rsid w:val="00A51F1B"/>
    <w:pPr>
      <w:outlineLvl w:val="4"/>
    </w:pPr>
  </w:style>
  <w:style w:type="paragraph" w:styleId="Heading6">
    <w:name w:val="heading 6"/>
    <w:basedOn w:val="Normal"/>
    <w:next w:val="Normal"/>
    <w:link w:val="Heading6Char"/>
    <w:semiHidden/>
    <w:qFormat/>
    <w:rsid w:val="00A51F1B"/>
    <w:pPr>
      <w:outlineLvl w:val="5"/>
    </w:pPr>
  </w:style>
  <w:style w:type="paragraph" w:styleId="Heading7">
    <w:name w:val="heading 7"/>
    <w:basedOn w:val="Normal"/>
    <w:next w:val="Normal"/>
    <w:link w:val="Heading7Char"/>
    <w:semiHidden/>
    <w:qFormat/>
    <w:rsid w:val="00A51F1B"/>
    <w:pPr>
      <w:outlineLvl w:val="6"/>
    </w:pPr>
  </w:style>
  <w:style w:type="paragraph" w:styleId="Heading8">
    <w:name w:val="heading 8"/>
    <w:basedOn w:val="Normal"/>
    <w:next w:val="Normal"/>
    <w:link w:val="Heading8Char"/>
    <w:semiHidden/>
    <w:qFormat/>
    <w:rsid w:val="00A51F1B"/>
    <w:pPr>
      <w:outlineLvl w:val="7"/>
    </w:pPr>
  </w:style>
  <w:style w:type="paragraph" w:styleId="Heading9">
    <w:name w:val="heading 9"/>
    <w:basedOn w:val="Normal"/>
    <w:next w:val="Normal"/>
    <w:link w:val="Heading9Char"/>
    <w:semiHidden/>
    <w:qFormat/>
    <w:rsid w:val="00A51F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51F1B"/>
    <w:pPr>
      <w:pBdr>
        <w:bottom w:val="single" w:sz="4" w:space="4" w:color="auto"/>
      </w:pBdr>
      <w:spacing w:line="240" w:lineRule="auto"/>
    </w:pPr>
    <w:rPr>
      <w:b/>
      <w:sz w:val="18"/>
    </w:rPr>
  </w:style>
  <w:style w:type="character" w:customStyle="1" w:styleId="HeaderChar">
    <w:name w:val="Header Char"/>
    <w:aliases w:val="6_G Char"/>
    <w:link w:val="Header"/>
    <w:rsid w:val="00A51F1B"/>
    <w:rPr>
      <w:rFonts w:ascii="Times New Roman" w:eastAsia="Calibri" w:hAnsi="Times New Roman" w:cs="Times New Roman"/>
      <w:b/>
      <w:sz w:val="18"/>
      <w:szCs w:val="20"/>
      <w:lang w:eastAsia="en-US"/>
    </w:rPr>
  </w:style>
  <w:style w:type="paragraph" w:styleId="Footer">
    <w:name w:val="footer"/>
    <w:aliases w:val="3_G"/>
    <w:basedOn w:val="Normal"/>
    <w:next w:val="Normal"/>
    <w:link w:val="FooterChar"/>
    <w:qFormat/>
    <w:rsid w:val="00A51F1B"/>
    <w:pPr>
      <w:spacing w:line="240" w:lineRule="auto"/>
    </w:pPr>
    <w:rPr>
      <w:sz w:val="16"/>
    </w:rPr>
  </w:style>
  <w:style w:type="character" w:customStyle="1" w:styleId="FooterChar">
    <w:name w:val="Footer Char"/>
    <w:aliases w:val="3_G Char"/>
    <w:link w:val="Footer"/>
    <w:rsid w:val="00A51F1B"/>
    <w:rPr>
      <w:rFonts w:ascii="Times New Roman" w:eastAsia="Calibri" w:hAnsi="Times New Roman" w:cs="Times New Roman"/>
      <w:sz w:val="16"/>
      <w:szCs w:val="20"/>
      <w:lang w:eastAsia="en-US"/>
    </w:rPr>
  </w:style>
  <w:style w:type="paragraph" w:customStyle="1" w:styleId="HMG">
    <w:name w:val="_ H __M_G"/>
    <w:basedOn w:val="Normal"/>
    <w:next w:val="Normal"/>
    <w:qFormat/>
    <w:rsid w:val="00A51F1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51F1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51F1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51F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51F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51F1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51F1B"/>
    <w:pPr>
      <w:spacing w:after="120"/>
      <w:ind w:left="1134" w:right="1134"/>
      <w:jc w:val="both"/>
    </w:pPr>
  </w:style>
  <w:style w:type="paragraph" w:customStyle="1" w:styleId="SLG">
    <w:name w:val="__S_L_G"/>
    <w:basedOn w:val="Normal"/>
    <w:next w:val="Normal"/>
    <w:rsid w:val="00A51F1B"/>
    <w:pPr>
      <w:keepNext/>
      <w:keepLines/>
      <w:spacing w:before="240" w:after="240" w:line="580" w:lineRule="exact"/>
      <w:ind w:left="1134" w:right="1134"/>
    </w:pPr>
    <w:rPr>
      <w:b/>
      <w:sz w:val="56"/>
    </w:rPr>
  </w:style>
  <w:style w:type="paragraph" w:customStyle="1" w:styleId="SMG">
    <w:name w:val="__S_M_G"/>
    <w:basedOn w:val="Normal"/>
    <w:next w:val="Normal"/>
    <w:rsid w:val="00A51F1B"/>
    <w:pPr>
      <w:keepNext/>
      <w:keepLines/>
      <w:spacing w:before="240" w:after="240" w:line="420" w:lineRule="exact"/>
      <w:ind w:left="1134" w:right="1134"/>
    </w:pPr>
    <w:rPr>
      <w:b/>
      <w:sz w:val="40"/>
    </w:rPr>
  </w:style>
  <w:style w:type="paragraph" w:customStyle="1" w:styleId="SSG">
    <w:name w:val="__S_S_G"/>
    <w:basedOn w:val="Normal"/>
    <w:next w:val="Normal"/>
    <w:rsid w:val="00A51F1B"/>
    <w:pPr>
      <w:keepNext/>
      <w:keepLines/>
      <w:spacing w:before="240" w:after="240" w:line="300" w:lineRule="exact"/>
      <w:ind w:left="1134" w:right="1134"/>
    </w:pPr>
    <w:rPr>
      <w:b/>
      <w:sz w:val="28"/>
    </w:rPr>
  </w:style>
  <w:style w:type="paragraph" w:customStyle="1" w:styleId="XLargeG">
    <w:name w:val="__XLarge_G"/>
    <w:basedOn w:val="Normal"/>
    <w:next w:val="Normal"/>
    <w:rsid w:val="00A51F1B"/>
    <w:pPr>
      <w:keepNext/>
      <w:keepLines/>
      <w:spacing w:before="240" w:after="240" w:line="420" w:lineRule="exact"/>
      <w:ind w:left="1134" w:right="1134"/>
    </w:pPr>
    <w:rPr>
      <w:b/>
      <w:sz w:val="40"/>
    </w:rPr>
  </w:style>
  <w:style w:type="paragraph" w:customStyle="1" w:styleId="Bullet1G">
    <w:name w:val="_Bullet 1_G"/>
    <w:basedOn w:val="Normal"/>
    <w:qFormat/>
    <w:rsid w:val="00A51F1B"/>
    <w:pPr>
      <w:numPr>
        <w:numId w:val="15"/>
      </w:numPr>
      <w:spacing w:after="120"/>
      <w:ind w:right="1134"/>
      <w:jc w:val="both"/>
    </w:pPr>
  </w:style>
  <w:style w:type="paragraph" w:customStyle="1" w:styleId="Bullet2G">
    <w:name w:val="_Bullet 2_G"/>
    <w:basedOn w:val="Normal"/>
    <w:qFormat/>
    <w:rsid w:val="00A51F1B"/>
    <w:pPr>
      <w:numPr>
        <w:numId w:val="16"/>
      </w:numPr>
      <w:spacing w:after="120"/>
      <w:ind w:right="1134"/>
      <w:jc w:val="both"/>
    </w:pPr>
  </w:style>
  <w:style w:type="paragraph" w:customStyle="1" w:styleId="ParNoG">
    <w:name w:val="_ParNo_G"/>
    <w:basedOn w:val="Normal"/>
    <w:qFormat/>
    <w:rsid w:val="00A51F1B"/>
    <w:pPr>
      <w:numPr>
        <w:numId w:val="17"/>
      </w:numPr>
      <w:spacing w:after="120"/>
      <w:ind w:right="1134"/>
      <w:jc w:val="both"/>
    </w:pPr>
  </w:style>
  <w:style w:type="character" w:styleId="FootnoteReference">
    <w:name w:val="footnote reference"/>
    <w:aliases w:val="4_G,Footnote Reference/"/>
    <w:uiPriority w:val="99"/>
    <w:qFormat/>
    <w:rsid w:val="00A51F1B"/>
    <w:rPr>
      <w:rFonts w:ascii="Times New Roman" w:hAnsi="Times New Roman"/>
      <w:sz w:val="18"/>
      <w:vertAlign w:val="superscript"/>
      <w:lang w:val="fr-CH"/>
    </w:rPr>
  </w:style>
  <w:style w:type="character" w:styleId="EndnoteReference">
    <w:name w:val="endnote reference"/>
    <w:aliases w:val="1_G"/>
    <w:qFormat/>
    <w:rsid w:val="00A51F1B"/>
    <w:rPr>
      <w:rFonts w:ascii="Times New Roman" w:hAnsi="Times New Roman"/>
      <w:sz w:val="18"/>
      <w:vertAlign w:val="superscript"/>
      <w:lang w:val="fr-CH"/>
    </w:rPr>
  </w:style>
  <w:style w:type="table" w:styleId="TableGrid">
    <w:name w:val="Table Grid"/>
    <w:basedOn w:val="TableNormal"/>
    <w:rsid w:val="00A51F1B"/>
    <w:pPr>
      <w:suppressAutoHyphens/>
      <w:spacing w:line="240" w:lineRule="atLeast"/>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A51F1B"/>
    <w:rPr>
      <w:color w:val="0000FF"/>
      <w:u w:val="none"/>
    </w:rPr>
  </w:style>
  <w:style w:type="character" w:styleId="FollowedHyperlink">
    <w:name w:val="FollowedHyperlink"/>
    <w:unhideWhenUsed/>
    <w:rsid w:val="00A51F1B"/>
    <w:rPr>
      <w:color w:val="0000FF"/>
      <w:u w:val="none"/>
    </w:rPr>
  </w:style>
  <w:style w:type="paragraph" w:styleId="FootnoteText">
    <w:name w:val="footnote text"/>
    <w:aliases w:val="5_G"/>
    <w:basedOn w:val="Normal"/>
    <w:link w:val="FootnoteTextChar"/>
    <w:uiPriority w:val="99"/>
    <w:qFormat/>
    <w:rsid w:val="00A51F1B"/>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A51F1B"/>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A51F1B"/>
  </w:style>
  <w:style w:type="character" w:customStyle="1" w:styleId="EndnoteTextChar">
    <w:name w:val="Endnote Text Char"/>
    <w:aliases w:val="2_G Char"/>
    <w:link w:val="EndnoteText"/>
    <w:rsid w:val="00A51F1B"/>
    <w:rPr>
      <w:rFonts w:ascii="Times New Roman" w:eastAsia="Calibri" w:hAnsi="Times New Roman" w:cs="Times New Roman"/>
      <w:sz w:val="18"/>
      <w:szCs w:val="20"/>
      <w:lang w:eastAsia="en-US"/>
    </w:rPr>
  </w:style>
  <w:style w:type="character" w:styleId="PageNumber">
    <w:name w:val="page number"/>
    <w:aliases w:val="7_G"/>
    <w:qFormat/>
    <w:rsid w:val="00A51F1B"/>
    <w:rPr>
      <w:rFonts w:ascii="Times New Roman" w:hAnsi="Times New Roman"/>
      <w:b/>
      <w:sz w:val="18"/>
      <w:lang w:val="fr-CH"/>
    </w:rPr>
  </w:style>
  <w:style w:type="character" w:customStyle="1" w:styleId="Heading1Char">
    <w:name w:val="Heading 1 Char"/>
    <w:aliases w:val="Table_G Char"/>
    <w:link w:val="Heading1"/>
    <w:rsid w:val="00A51F1B"/>
    <w:rPr>
      <w:rFonts w:ascii="Times New Roman" w:eastAsia="Calibri" w:hAnsi="Times New Roman" w:cs="Times New Roman"/>
      <w:sz w:val="20"/>
      <w:szCs w:val="20"/>
      <w:lang w:eastAsia="en-US"/>
    </w:rPr>
  </w:style>
  <w:style w:type="character" w:customStyle="1" w:styleId="Heading2Char">
    <w:name w:val="Heading 2 Char"/>
    <w:link w:val="Heading2"/>
    <w:semiHidden/>
    <w:rsid w:val="00A51F1B"/>
    <w:rPr>
      <w:rFonts w:ascii="Times New Roman" w:eastAsia="Calibri" w:hAnsi="Times New Roman" w:cs="Times New Roman"/>
      <w:sz w:val="20"/>
      <w:szCs w:val="20"/>
      <w:lang w:eastAsia="en-US"/>
    </w:rPr>
  </w:style>
  <w:style w:type="character" w:customStyle="1" w:styleId="Heading3Char">
    <w:name w:val="Heading 3 Char"/>
    <w:link w:val="Heading3"/>
    <w:semiHidden/>
    <w:rsid w:val="00A51F1B"/>
    <w:rPr>
      <w:rFonts w:ascii="Times New Roman" w:eastAsia="Calibri" w:hAnsi="Times New Roman" w:cs="Times New Roman"/>
      <w:sz w:val="20"/>
      <w:szCs w:val="20"/>
      <w:lang w:eastAsia="en-US"/>
    </w:rPr>
  </w:style>
  <w:style w:type="character" w:customStyle="1" w:styleId="Heading4Char">
    <w:name w:val="Heading 4 Char"/>
    <w:link w:val="Heading4"/>
    <w:semiHidden/>
    <w:rsid w:val="00A51F1B"/>
    <w:rPr>
      <w:rFonts w:ascii="Times New Roman" w:eastAsia="Calibri" w:hAnsi="Times New Roman" w:cs="Times New Roman"/>
      <w:sz w:val="20"/>
      <w:szCs w:val="20"/>
      <w:lang w:eastAsia="en-US"/>
    </w:rPr>
  </w:style>
  <w:style w:type="character" w:customStyle="1" w:styleId="Heading5Char">
    <w:name w:val="Heading 5 Char"/>
    <w:link w:val="Heading5"/>
    <w:semiHidden/>
    <w:rsid w:val="00A51F1B"/>
    <w:rPr>
      <w:rFonts w:ascii="Times New Roman" w:eastAsia="Calibri" w:hAnsi="Times New Roman" w:cs="Times New Roman"/>
      <w:sz w:val="20"/>
      <w:szCs w:val="20"/>
      <w:lang w:eastAsia="en-US"/>
    </w:rPr>
  </w:style>
  <w:style w:type="character" w:customStyle="1" w:styleId="Heading6Char">
    <w:name w:val="Heading 6 Char"/>
    <w:link w:val="Heading6"/>
    <w:semiHidden/>
    <w:rsid w:val="00A51F1B"/>
    <w:rPr>
      <w:rFonts w:ascii="Times New Roman" w:eastAsia="Calibri" w:hAnsi="Times New Roman" w:cs="Times New Roman"/>
      <w:sz w:val="20"/>
      <w:szCs w:val="20"/>
      <w:lang w:eastAsia="en-US"/>
    </w:rPr>
  </w:style>
  <w:style w:type="character" w:customStyle="1" w:styleId="Heading7Char">
    <w:name w:val="Heading 7 Char"/>
    <w:link w:val="Heading7"/>
    <w:semiHidden/>
    <w:rsid w:val="00A51F1B"/>
    <w:rPr>
      <w:rFonts w:ascii="Times New Roman" w:eastAsia="Calibri" w:hAnsi="Times New Roman" w:cs="Times New Roman"/>
      <w:sz w:val="20"/>
      <w:szCs w:val="20"/>
      <w:lang w:eastAsia="en-US"/>
    </w:rPr>
  </w:style>
  <w:style w:type="character" w:customStyle="1" w:styleId="Heading8Char">
    <w:name w:val="Heading 8 Char"/>
    <w:link w:val="Heading8"/>
    <w:semiHidden/>
    <w:rsid w:val="00A51F1B"/>
    <w:rPr>
      <w:rFonts w:ascii="Times New Roman" w:eastAsia="Calibri" w:hAnsi="Times New Roman" w:cs="Times New Roman"/>
      <w:sz w:val="20"/>
      <w:szCs w:val="20"/>
      <w:lang w:eastAsia="en-US"/>
    </w:rPr>
  </w:style>
  <w:style w:type="character" w:customStyle="1" w:styleId="Heading9Char">
    <w:name w:val="Heading 9 Char"/>
    <w:link w:val="Heading9"/>
    <w:semiHidden/>
    <w:rsid w:val="00A51F1B"/>
    <w:rPr>
      <w:rFonts w:ascii="Times New Roman" w:eastAsia="Calibri" w:hAnsi="Times New Roman" w:cs="Times New Roman"/>
      <w:sz w:val="20"/>
      <w:szCs w:val="20"/>
      <w:lang w:eastAsia="en-US"/>
    </w:rPr>
  </w:style>
  <w:style w:type="character" w:customStyle="1" w:styleId="H1GChar">
    <w:name w:val="_ H_1_G Char"/>
    <w:link w:val="H1G"/>
    <w:rsid w:val="00A51F1B"/>
    <w:rPr>
      <w:rFonts w:ascii="Times New Roman" w:eastAsia="Calibri" w:hAnsi="Times New Roman" w:cs="Times New Roman"/>
      <w:b/>
      <w:sz w:val="24"/>
      <w:szCs w:val="20"/>
      <w:lang w:eastAsia="en-US"/>
    </w:rPr>
  </w:style>
  <w:style w:type="character" w:customStyle="1" w:styleId="SingleTxtGChar">
    <w:name w:val="_ Single Txt_G Char"/>
    <w:link w:val="SingleTxtG"/>
    <w:rsid w:val="00A51F1B"/>
    <w:rPr>
      <w:rFonts w:ascii="Times New Roman" w:eastAsia="Calibri" w:hAnsi="Times New Roman" w:cs="Times New Roman"/>
      <w:sz w:val="20"/>
      <w:szCs w:val="20"/>
      <w:lang w:eastAsia="en-US"/>
    </w:rPr>
  </w:style>
  <w:style w:type="paragraph" w:styleId="BalloonText">
    <w:name w:val="Balloon Text"/>
    <w:basedOn w:val="Normal"/>
    <w:link w:val="BalloonTextChar"/>
    <w:uiPriority w:val="99"/>
    <w:semiHidden/>
    <w:unhideWhenUsed/>
    <w:rsid w:val="00D13C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8D"/>
    <w:rPr>
      <w:rFonts w:ascii="Tahoma" w:eastAsia="Calibri" w:hAnsi="Tahoma" w:cs="Tahoma"/>
      <w:sz w:val="16"/>
      <w:szCs w:val="16"/>
      <w:lang w:val="fr-CH" w:eastAsia="en-US"/>
    </w:rPr>
  </w:style>
  <w:style w:type="paragraph" w:customStyle="1" w:styleId="UNParagraph">
    <w:name w:val="UN Paragraph"/>
    <w:basedOn w:val="Normal"/>
    <w:link w:val="UNParagraphChar"/>
    <w:qFormat/>
    <w:rsid w:val="00D13C8D"/>
    <w:pPr>
      <w:numPr>
        <w:numId w:val="20"/>
      </w:numPr>
      <w:kinsoku/>
      <w:overflowPunct/>
      <w:autoSpaceDE/>
      <w:autoSpaceDN/>
      <w:adjustRightInd/>
      <w:snapToGrid/>
      <w:ind w:left="1134" w:right="-99" w:firstLine="0"/>
      <w:jc w:val="both"/>
    </w:pPr>
    <w:rPr>
      <w:rFonts w:eastAsia="Times New Roman"/>
    </w:rPr>
  </w:style>
  <w:style w:type="character" w:customStyle="1" w:styleId="UNParagraphChar">
    <w:name w:val="UN Paragraph Char"/>
    <w:link w:val="UNParagraph"/>
    <w:rsid w:val="00D13C8D"/>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589</Words>
  <Characters>3362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ST/SG/AC.10/C.3/2015/1</vt:lpstr>
      <vt:lpstr>ST/SG/AC.10/C.3/2015/1</vt:lpstr>
    </vt:vector>
  </TitlesOfParts>
  <Company>DCM</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ST/SG/AC.10/C.3/2015/1</dc:title>
  <dc:creator>Granet C.</dc:creator>
  <cp:lastModifiedBy>barrio-champeau</cp:lastModifiedBy>
  <cp:revision>6</cp:revision>
  <cp:lastPrinted>2015-03-26T12:19:00Z</cp:lastPrinted>
  <dcterms:created xsi:type="dcterms:W3CDTF">2016-04-01T08:36:00Z</dcterms:created>
  <dcterms:modified xsi:type="dcterms:W3CDTF">2016-04-04T10:53:00Z</dcterms:modified>
</cp:coreProperties>
</file>