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0305D3">
        <w:trPr>
          <w:trHeight w:hRule="exact" w:val="851"/>
        </w:trPr>
        <w:tc>
          <w:tcPr>
            <w:tcW w:w="1276" w:type="dxa"/>
            <w:tcBorders>
              <w:bottom w:val="single" w:sz="4" w:space="0" w:color="auto"/>
            </w:tcBorders>
          </w:tcPr>
          <w:p w:rsidR="00132EA9" w:rsidRPr="00DB58B5" w:rsidRDefault="00132EA9" w:rsidP="0011674A">
            <w:bookmarkStart w:id="0" w:name="_GoBack"/>
            <w:bookmarkEnd w:id="0"/>
          </w:p>
        </w:tc>
        <w:tc>
          <w:tcPr>
            <w:tcW w:w="2268" w:type="dxa"/>
            <w:tcBorders>
              <w:bottom w:val="single" w:sz="4" w:space="0" w:color="auto"/>
            </w:tcBorders>
            <w:vAlign w:val="bottom"/>
          </w:tcPr>
          <w:p w:rsidR="00132EA9" w:rsidRPr="00DB58B5" w:rsidRDefault="00132EA9" w:rsidP="009C312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11674A" w:rsidP="0011674A">
            <w:pPr>
              <w:jc w:val="right"/>
            </w:pPr>
            <w:r w:rsidRPr="0011674A">
              <w:rPr>
                <w:sz w:val="40"/>
              </w:rPr>
              <w:t>ST</w:t>
            </w:r>
            <w:r>
              <w:t>/SG/AC.10/C.3/2016/19</w:t>
            </w:r>
          </w:p>
        </w:tc>
      </w:tr>
      <w:tr w:rsidR="00132EA9" w:rsidRPr="00DB58B5" w:rsidTr="009C3129">
        <w:trPr>
          <w:trHeight w:hRule="exact" w:val="2835"/>
        </w:trPr>
        <w:tc>
          <w:tcPr>
            <w:tcW w:w="1276" w:type="dxa"/>
            <w:tcBorders>
              <w:top w:val="single" w:sz="4" w:space="0" w:color="auto"/>
              <w:bottom w:val="single" w:sz="12" w:space="0" w:color="auto"/>
            </w:tcBorders>
          </w:tcPr>
          <w:p w:rsidR="00132EA9" w:rsidRPr="00DB58B5" w:rsidRDefault="00132EA9" w:rsidP="009C3129">
            <w:pPr>
              <w:spacing w:before="120"/>
              <w:jc w:val="center"/>
            </w:pPr>
            <w:r>
              <w:rPr>
                <w:noProof/>
                <w:lang w:val="en-GB" w:eastAsia="en-GB"/>
              </w:rPr>
              <w:drawing>
                <wp:inline distT="0" distB="0" distL="0" distR="0" wp14:anchorId="2E76D5A0" wp14:editId="1FEE2CF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9C3129">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11674A" w:rsidP="009C3129">
            <w:pPr>
              <w:spacing w:before="240"/>
            </w:pPr>
            <w:r>
              <w:t>Distr. générale</w:t>
            </w:r>
          </w:p>
          <w:p w:rsidR="0011674A" w:rsidRDefault="0011674A" w:rsidP="0011674A">
            <w:pPr>
              <w:spacing w:line="240" w:lineRule="exact"/>
            </w:pPr>
            <w:r>
              <w:t>1</w:t>
            </w:r>
            <w:r w:rsidRPr="0011674A">
              <w:rPr>
                <w:vertAlign w:val="superscript"/>
              </w:rPr>
              <w:t>er</w:t>
            </w:r>
            <w:r>
              <w:t xml:space="preserve"> avril 2016</w:t>
            </w:r>
          </w:p>
          <w:p w:rsidR="0011674A" w:rsidRDefault="0011674A" w:rsidP="0011674A">
            <w:pPr>
              <w:spacing w:line="240" w:lineRule="exact"/>
            </w:pPr>
            <w:r>
              <w:t>Français</w:t>
            </w:r>
          </w:p>
          <w:p w:rsidR="0011674A" w:rsidRPr="00DB58B5" w:rsidRDefault="0011674A" w:rsidP="0011674A">
            <w:pPr>
              <w:spacing w:line="240" w:lineRule="exact"/>
            </w:pPr>
            <w:r>
              <w:t>Original : anglais</w:t>
            </w:r>
          </w:p>
        </w:tc>
      </w:tr>
    </w:tbl>
    <w:p w:rsidR="0011674A" w:rsidRPr="00CA0680" w:rsidRDefault="0011674A"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rsidR="0011674A" w:rsidRPr="00CA0680" w:rsidRDefault="0011674A" w:rsidP="000305D3">
      <w:pPr>
        <w:spacing w:before="120"/>
        <w:rPr>
          <w:b/>
        </w:rPr>
      </w:pPr>
      <w:r w:rsidRPr="00CA0680">
        <w:rPr>
          <w:b/>
        </w:rPr>
        <w:t>Sous</w:t>
      </w:r>
      <w:r>
        <w:rPr>
          <w:b/>
        </w:rPr>
        <w:t>-</w:t>
      </w:r>
      <w:r w:rsidRPr="00CA0680">
        <w:rPr>
          <w:b/>
        </w:rPr>
        <w:t>Comité d’experts du transport des marchandises dangereuses</w:t>
      </w:r>
    </w:p>
    <w:p w:rsidR="0011674A" w:rsidRDefault="0011674A" w:rsidP="000305D3">
      <w:pPr>
        <w:spacing w:before="120"/>
        <w:rPr>
          <w:b/>
        </w:rPr>
      </w:pPr>
      <w:r>
        <w:rPr>
          <w:b/>
        </w:rPr>
        <w:t xml:space="preserve">Quarante-neuvième </w:t>
      </w:r>
      <w:r w:rsidRPr="00CA0680">
        <w:rPr>
          <w:b/>
        </w:rPr>
        <w:t>session</w:t>
      </w:r>
    </w:p>
    <w:p w:rsidR="0011674A" w:rsidRDefault="0011674A" w:rsidP="000305D3">
      <w:r>
        <w:t>Genève, 27 juin-6 juillet 2016</w:t>
      </w:r>
    </w:p>
    <w:p w:rsidR="0011674A" w:rsidRDefault="0011674A" w:rsidP="000305D3">
      <w:r>
        <w:t>Point 2 i) de l’ordre du jour provisoire</w:t>
      </w:r>
    </w:p>
    <w:p w:rsidR="0011674A" w:rsidRPr="0011674A" w:rsidRDefault="0011674A" w:rsidP="0011674A">
      <w:pPr>
        <w:rPr>
          <w:b/>
        </w:rPr>
      </w:pPr>
      <w:r w:rsidRPr="0011674A">
        <w:rPr>
          <w:b/>
        </w:rPr>
        <w:t>Explosifs et questions connexes</w:t>
      </w:r>
      <w:r>
        <w:rPr>
          <w:b/>
        </w:rPr>
        <w:t> </w:t>
      </w:r>
      <w:r w:rsidRPr="0011674A">
        <w:rPr>
          <w:b/>
        </w:rPr>
        <w:t>: questions diverses</w:t>
      </w:r>
    </w:p>
    <w:p w:rsidR="0011674A" w:rsidRPr="0011674A" w:rsidRDefault="0011674A" w:rsidP="0011674A">
      <w:pPr>
        <w:pStyle w:val="HChG"/>
      </w:pPr>
      <w:r w:rsidRPr="0011674A">
        <w:tab/>
      </w:r>
      <w:r w:rsidRPr="0011674A">
        <w:tab/>
        <w:t xml:space="preserve">Proposition d’amendements au paragraphe 1.1.2 </w:t>
      </w:r>
      <w:r>
        <w:br/>
      </w:r>
      <w:r w:rsidRPr="0011674A">
        <w:t>du Manuel d’épreuves et de critères</w:t>
      </w:r>
    </w:p>
    <w:p w:rsidR="0011674A" w:rsidRPr="0011674A" w:rsidRDefault="0011674A" w:rsidP="0011674A">
      <w:pPr>
        <w:pStyle w:val="H1G"/>
        <w:rPr>
          <w:lang w:val="en-US"/>
        </w:rPr>
      </w:pPr>
      <w:r w:rsidRPr="0011674A">
        <w:tab/>
      </w:r>
      <w:r w:rsidRPr="0011674A">
        <w:tab/>
      </w:r>
      <w:r w:rsidRPr="0011674A">
        <w:rPr>
          <w:lang w:val="en-US"/>
        </w:rPr>
        <w:t>Communication de l’Institute of Makers of Explosives (IME)</w:t>
      </w:r>
      <w:r w:rsidRPr="0011674A">
        <w:rPr>
          <w:rStyle w:val="FootnoteReference"/>
          <w:b w:val="0"/>
        </w:rPr>
        <w:footnoteReference w:id="2"/>
      </w:r>
    </w:p>
    <w:p w:rsidR="0011674A" w:rsidRPr="0011674A" w:rsidRDefault="0011674A" w:rsidP="0011674A">
      <w:pPr>
        <w:pStyle w:val="HChG"/>
      </w:pPr>
      <w:r w:rsidRPr="0011674A">
        <w:rPr>
          <w:lang w:val="en-US"/>
        </w:rPr>
        <w:tab/>
      </w:r>
      <w:r w:rsidRPr="0011674A">
        <w:rPr>
          <w:lang w:val="en-US"/>
        </w:rPr>
        <w:tab/>
      </w:r>
      <w:r w:rsidRPr="0011674A">
        <w:t>Introduction</w:t>
      </w:r>
    </w:p>
    <w:p w:rsidR="0011674A" w:rsidRPr="0011674A" w:rsidRDefault="0011674A" w:rsidP="0011674A">
      <w:pPr>
        <w:pStyle w:val="SingleTxtG"/>
      </w:pPr>
      <w:r>
        <w:t>1.</w:t>
      </w:r>
      <w:r>
        <w:tab/>
      </w:r>
      <w:r w:rsidRPr="0011674A">
        <w:t>À la réunion du Groupe de travail des explosifs tenue lors de la quarante-huitième session du Sous-Comité TMD, les membres du Groupe ont noté</w:t>
      </w:r>
      <w:r w:rsidRPr="0011674A">
        <w:rPr>
          <w:rStyle w:val="FootnoteReference"/>
        </w:rPr>
        <w:footnoteReference w:id="3"/>
      </w:r>
      <w:r w:rsidRPr="0011674A">
        <w:t xml:space="preserve"> que la référence faite à </w:t>
      </w:r>
      <w:r>
        <w:t>« </w:t>
      </w:r>
      <w:r w:rsidRPr="0011674A">
        <w:t>l’autorité chargée des épreuves</w:t>
      </w:r>
      <w:r>
        <w:t> »</w:t>
      </w:r>
      <w:r w:rsidRPr="0011674A">
        <w:t xml:space="preserve"> au paragraphe</w:t>
      </w:r>
      <w:r w:rsidR="00437752">
        <w:t> </w:t>
      </w:r>
      <w:r w:rsidRPr="0011674A">
        <w:t xml:space="preserve">1.1.2 de la sixième édition révisée du Manuel d’épreuves et de critères laissait entendre, à tort, que cette autorité était responsable du classement des marchandises dangereuses. L’IME a accepté de soumettre, à la </w:t>
      </w:r>
      <w:r w:rsidR="00053878">
        <w:t>quarante</w:t>
      </w:r>
      <w:r w:rsidR="00053878">
        <w:noBreakHyphen/>
      </w:r>
      <w:r w:rsidRPr="0011674A">
        <w:t>neuvième session, une proposition visant à corriger cette idée erronée.</w:t>
      </w:r>
    </w:p>
    <w:p w:rsidR="0011674A" w:rsidRPr="0011674A" w:rsidRDefault="0011674A" w:rsidP="0011674A">
      <w:pPr>
        <w:pStyle w:val="HChG"/>
      </w:pPr>
      <w:r w:rsidRPr="0011674A">
        <w:tab/>
      </w:r>
      <w:r w:rsidRPr="0011674A">
        <w:tab/>
        <w:t>Discussion</w:t>
      </w:r>
    </w:p>
    <w:p w:rsidR="0011674A" w:rsidRPr="0011674A" w:rsidRDefault="0011674A" w:rsidP="0011674A">
      <w:pPr>
        <w:pStyle w:val="SingleTxtG"/>
      </w:pPr>
      <w:r>
        <w:t>2.</w:t>
      </w:r>
      <w:r>
        <w:tab/>
      </w:r>
      <w:r w:rsidRPr="0011674A">
        <w:t xml:space="preserve">Lors de l’élaboration de la présente proposition en collaboration avec le Président du Groupe de travail des explosifs, il est apparu que le </w:t>
      </w:r>
      <w:r w:rsidR="00053878">
        <w:t>paragraphe </w:t>
      </w:r>
      <w:r w:rsidRPr="0011674A">
        <w:t>2.3 de l’appendice</w:t>
      </w:r>
      <w:r w:rsidR="00053878">
        <w:t> </w:t>
      </w:r>
      <w:r w:rsidRPr="0011674A">
        <w:t>6 du Manuel comportait la même inexactitude</w:t>
      </w:r>
      <w:r>
        <w:t> </w:t>
      </w:r>
      <w:r w:rsidRPr="0011674A">
        <w:t>; la présente proposition porte donc sur ces deux paragraphes.</w:t>
      </w:r>
    </w:p>
    <w:p w:rsidR="0011674A" w:rsidRPr="0011674A" w:rsidRDefault="0011674A" w:rsidP="00437752">
      <w:pPr>
        <w:pStyle w:val="SingleTxtG"/>
        <w:keepNext/>
        <w:keepLines/>
      </w:pPr>
      <w:r>
        <w:lastRenderedPageBreak/>
        <w:t>3.</w:t>
      </w:r>
      <w:r>
        <w:tab/>
      </w:r>
      <w:r w:rsidRPr="0011674A">
        <w:t>Pour certaines marchandises dangereuses, la responsabilité du classement incombe à l’offrant (fabricant, distributeur, exportateur, utilisateur final, etc.) ; dans d’autres cas (par exemple, pour les explosifs de la classe</w:t>
      </w:r>
      <w:r w:rsidR="00437752">
        <w:t> </w:t>
      </w:r>
      <w:r w:rsidRPr="0011674A">
        <w:t>1), cette responsabilité revient à l’autorité compétente</w:t>
      </w:r>
      <w:r>
        <w:t xml:space="preserve">. </w:t>
      </w:r>
    </w:p>
    <w:p w:rsidR="0011674A" w:rsidRPr="0011674A" w:rsidRDefault="0011674A" w:rsidP="0011674A">
      <w:pPr>
        <w:pStyle w:val="SingleTxtG"/>
      </w:pPr>
      <w:r>
        <w:t>4.</w:t>
      </w:r>
      <w:r>
        <w:tab/>
      </w:r>
      <w:r w:rsidRPr="0011674A">
        <w:t xml:space="preserve">Les organismes chargés des épreuves participent au processus de classement en effectuant les épreuves voulues et en formulant des recommandations quant au classement au vu des résultats de ces épreuves. Pour s’acquitter correctement de leurs tâches, les organismes chargés des épreuves doivent avoir les compétences nécessaires pour mener à bien les épreuves de classement et pour faire des recommandations avisées quant au classement des marchandises concernées, compte tenu des résultats de ces épreuves. Compte tenu de ce qui précède, l’IME propose de remplacer </w:t>
      </w:r>
      <w:r>
        <w:t>« </w:t>
      </w:r>
      <w:r w:rsidRPr="0011674A">
        <w:t>autorité chargée des épreuves</w:t>
      </w:r>
      <w:r>
        <w:t> »</w:t>
      </w:r>
      <w:r w:rsidRPr="0011674A">
        <w:t xml:space="preserve"> par </w:t>
      </w:r>
      <w:r>
        <w:t>« </w:t>
      </w:r>
      <w:r w:rsidRPr="0011674A">
        <w:t>organisme chargé des épreuves</w:t>
      </w:r>
      <w:r>
        <w:t> »</w:t>
      </w:r>
      <w:r w:rsidRPr="0011674A">
        <w:t xml:space="preserve"> et de supprimer les passages laissant entendre que les autorités ou organismes chargés des épreuves sont responsables du classement des marchandises dangereuses.</w:t>
      </w:r>
    </w:p>
    <w:p w:rsidR="0011674A" w:rsidRPr="0011674A" w:rsidRDefault="0011674A" w:rsidP="0011674A">
      <w:pPr>
        <w:pStyle w:val="HChG"/>
      </w:pPr>
      <w:r w:rsidRPr="0011674A">
        <w:tab/>
      </w:r>
      <w:r w:rsidRPr="0011674A">
        <w:tab/>
        <w:t>Proposition</w:t>
      </w:r>
    </w:p>
    <w:p w:rsidR="0011674A" w:rsidRPr="0011674A" w:rsidRDefault="0011674A" w:rsidP="0011674A">
      <w:pPr>
        <w:pStyle w:val="SingleTxtG"/>
      </w:pPr>
      <w:r w:rsidRPr="0011674A">
        <w:t>5.</w:t>
      </w:r>
      <w:r w:rsidRPr="0011674A">
        <w:tab/>
        <w:t>Modifier la deuxième phrase du paragraphe</w:t>
      </w:r>
      <w:r w:rsidR="00437752">
        <w:t> </w:t>
      </w:r>
      <w:r w:rsidRPr="0011674A">
        <w:t xml:space="preserve">1.1.2 du Manuel d’épreuves et de critères en remplaçant </w:t>
      </w:r>
      <w:r>
        <w:t>« </w:t>
      </w:r>
      <w:r w:rsidRPr="0011674A">
        <w:t>autorité chargée des épreuves</w:t>
      </w:r>
      <w:r>
        <w:t> »</w:t>
      </w:r>
      <w:r w:rsidRPr="0011674A">
        <w:t xml:space="preserve"> par </w:t>
      </w:r>
      <w:r>
        <w:t>« </w:t>
      </w:r>
      <w:r w:rsidRPr="0011674A">
        <w:t>organisme chargé des épreuves</w:t>
      </w:r>
      <w:r>
        <w:t> »</w:t>
      </w:r>
      <w:r w:rsidRPr="0011674A">
        <w:t xml:space="preserve"> et en supprimant la mention de la responsabilité du classement, comme suit</w:t>
      </w:r>
      <w:r>
        <w:t> </w:t>
      </w:r>
      <w:r w:rsidRPr="0011674A">
        <w:t>:</w:t>
      </w:r>
    </w:p>
    <w:p w:rsidR="0011674A" w:rsidRPr="0011674A" w:rsidRDefault="0011674A" w:rsidP="0011674A">
      <w:pPr>
        <w:pStyle w:val="SingleTxtG"/>
        <w:ind w:left="1701" w:hanging="567"/>
      </w:pPr>
      <w:r>
        <w:tab/>
      </w:r>
      <w:r>
        <w:tab/>
        <w:t>« </w:t>
      </w:r>
      <w:r w:rsidRPr="00DE48E6">
        <w:t xml:space="preserve">Cela suppose donc que </w:t>
      </w:r>
      <w:r w:rsidRPr="00DE48E6">
        <w:rPr>
          <w:strike/>
          <w:color w:val="FF0000"/>
        </w:rPr>
        <w:t xml:space="preserve">l’autorité </w:t>
      </w:r>
      <w:r w:rsidRPr="00DE48E6">
        <w:rPr>
          <w:color w:val="0070C0"/>
          <w:u w:val="single"/>
        </w:rPr>
        <w:t>l’organ</w:t>
      </w:r>
      <w:r>
        <w:rPr>
          <w:color w:val="0070C0"/>
          <w:u w:val="single"/>
        </w:rPr>
        <w:t>ism</w:t>
      </w:r>
      <w:r w:rsidRPr="00DE48E6">
        <w:rPr>
          <w:color w:val="0070C0"/>
          <w:u w:val="single"/>
        </w:rPr>
        <w:t>e</w:t>
      </w:r>
      <w:r w:rsidRPr="00DE48E6">
        <w:t xml:space="preserve"> chargé</w:t>
      </w:r>
      <w:r w:rsidRPr="00DE48E6">
        <w:rPr>
          <w:strike/>
          <w:color w:val="FF0000"/>
        </w:rPr>
        <w:t>e</w:t>
      </w:r>
      <w:r w:rsidRPr="00DE48E6">
        <w:t xml:space="preserve"> des épreuves soit </w:t>
      </w:r>
      <w:r>
        <w:t>compétent</w:t>
      </w:r>
      <w:r w:rsidRPr="00DE48E6">
        <w:rPr>
          <w:strike/>
          <w:color w:val="FF0000"/>
        </w:rPr>
        <w:t>e, et cela lui laisse la responsabilité du classement</w:t>
      </w:r>
      <w:r w:rsidR="00437752" w:rsidRPr="00437752">
        <w:t>.</w:t>
      </w:r>
      <w:r>
        <w:t> »</w:t>
      </w:r>
      <w:r w:rsidRPr="0011674A">
        <w:t>.</w:t>
      </w:r>
    </w:p>
    <w:p w:rsidR="0011674A" w:rsidRPr="0011674A" w:rsidRDefault="0011674A" w:rsidP="0011674A">
      <w:pPr>
        <w:pStyle w:val="SingleTxtG"/>
      </w:pPr>
      <w:r w:rsidRPr="0011674A">
        <w:t>6.</w:t>
      </w:r>
      <w:r w:rsidRPr="0011674A">
        <w:tab/>
        <w:t xml:space="preserve">Modifier la deuxième phrase du </w:t>
      </w:r>
      <w:r w:rsidR="00437752">
        <w:t>paragraphe </w:t>
      </w:r>
      <w:r w:rsidRPr="0011674A">
        <w:t>2.3 de l’appendice</w:t>
      </w:r>
      <w:r w:rsidR="00437752">
        <w:t> </w:t>
      </w:r>
      <w:r w:rsidRPr="0011674A">
        <w:t xml:space="preserve">6 du Manuel en remplaçant </w:t>
      </w:r>
      <w:r>
        <w:t>« </w:t>
      </w:r>
      <w:r w:rsidRPr="0011674A">
        <w:t>autorité chargée des épreuves</w:t>
      </w:r>
      <w:r>
        <w:t> »</w:t>
      </w:r>
      <w:r w:rsidRPr="0011674A">
        <w:t xml:space="preserve"> par </w:t>
      </w:r>
      <w:r>
        <w:t>« </w:t>
      </w:r>
      <w:r w:rsidRPr="0011674A">
        <w:t>organisme chargé des épreuves</w:t>
      </w:r>
      <w:r>
        <w:t> »</w:t>
      </w:r>
      <w:r w:rsidRPr="0011674A">
        <w:t xml:space="preserve"> et en supprimant la mention de la responsabilité du classement, comme suit</w:t>
      </w:r>
      <w:r>
        <w:t> </w:t>
      </w:r>
      <w:r w:rsidRPr="0011674A">
        <w:t>:</w:t>
      </w:r>
    </w:p>
    <w:p w:rsidR="0011674A" w:rsidRDefault="0011674A" w:rsidP="0011674A">
      <w:pPr>
        <w:pStyle w:val="SingleTxtG"/>
        <w:ind w:left="1701" w:hanging="567"/>
      </w:pPr>
      <w:r>
        <w:tab/>
      </w:r>
      <w:r>
        <w:tab/>
        <w:t>« </w:t>
      </w:r>
      <w:r w:rsidRPr="000D5EBB">
        <w:t>Comme il est dit dans le paragraphe</w:t>
      </w:r>
      <w:r w:rsidR="00437752">
        <w:t> </w:t>
      </w:r>
      <w:r w:rsidRPr="000D5EBB">
        <w:t>1.1.2 (section</w:t>
      </w:r>
      <w:r w:rsidR="00437752">
        <w:t> </w:t>
      </w:r>
      <w:r w:rsidRPr="000D5EBB">
        <w:t xml:space="preserve">1 </w:t>
      </w:r>
      <w:r>
        <w:t>−</w:t>
      </w:r>
      <w:r w:rsidRPr="000D5EBB">
        <w:t xml:space="preserve"> Introduction générale), </w:t>
      </w:r>
      <w:r>
        <w:rPr>
          <w:strike/>
          <w:color w:val="FF0000"/>
        </w:rPr>
        <w:t xml:space="preserve">l’autorité </w:t>
      </w:r>
      <w:r w:rsidRPr="000D5EBB">
        <w:rPr>
          <w:color w:val="0070C0"/>
          <w:u w:val="single"/>
        </w:rPr>
        <w:t>l’</w:t>
      </w:r>
      <w:r>
        <w:rPr>
          <w:color w:val="0070C0"/>
          <w:u w:val="single"/>
        </w:rPr>
        <w:t xml:space="preserve">organisme </w:t>
      </w:r>
      <w:r w:rsidRPr="00DE48E6">
        <w:t>chargé</w:t>
      </w:r>
      <w:r w:rsidRPr="00DE48E6">
        <w:rPr>
          <w:strike/>
          <w:color w:val="FF0000"/>
        </w:rPr>
        <w:t>e</w:t>
      </w:r>
      <w:r w:rsidRPr="00DE48E6">
        <w:t xml:space="preserve"> des épreuves </w:t>
      </w:r>
      <w:r>
        <w:t>est censé</w:t>
      </w:r>
      <w:r w:rsidRPr="000D5EBB">
        <w:rPr>
          <w:strike/>
          <w:color w:val="FF0000"/>
        </w:rPr>
        <w:t>e</w:t>
      </w:r>
      <w:r>
        <w:t xml:space="preserve"> avoir la compétence voulue</w:t>
      </w:r>
      <w:r w:rsidRPr="000D5EBB">
        <w:rPr>
          <w:strike/>
          <w:color w:val="FF0000"/>
        </w:rPr>
        <w:t>, et donc pouvoir assumer la responsabilité du classement</w:t>
      </w:r>
      <w:r w:rsidRPr="000D5EBB">
        <w:t>.</w:t>
      </w:r>
      <w:r>
        <w:t> »</w:t>
      </w:r>
      <w:r w:rsidRPr="000D5EBB">
        <w:t>.</w:t>
      </w:r>
    </w:p>
    <w:p w:rsidR="0011674A" w:rsidRPr="0011674A" w:rsidRDefault="0011674A" w:rsidP="0011674A">
      <w:pPr>
        <w:pStyle w:val="SingleTxtG"/>
        <w:spacing w:before="240" w:after="0"/>
        <w:jc w:val="center"/>
        <w:rPr>
          <w:u w:val="single"/>
        </w:rPr>
      </w:pPr>
      <w:r>
        <w:rPr>
          <w:u w:val="single"/>
        </w:rPr>
        <w:tab/>
      </w:r>
      <w:r>
        <w:rPr>
          <w:u w:val="single"/>
        </w:rPr>
        <w:tab/>
      </w:r>
      <w:r>
        <w:rPr>
          <w:u w:val="single"/>
        </w:rPr>
        <w:tab/>
      </w:r>
    </w:p>
    <w:p w:rsidR="00446FE5" w:rsidRPr="00AC3823" w:rsidRDefault="00446FE5" w:rsidP="00AC3823"/>
    <w:sectPr w:rsidR="00446FE5" w:rsidRPr="00AC3823" w:rsidSect="0011674A">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DFB" w:rsidRDefault="000C0DFB" w:rsidP="00F95C08">
      <w:pPr>
        <w:spacing w:line="240" w:lineRule="auto"/>
      </w:pPr>
    </w:p>
  </w:endnote>
  <w:endnote w:type="continuationSeparator" w:id="0">
    <w:p w:rsidR="000C0DFB" w:rsidRPr="00AC3823" w:rsidRDefault="000C0DFB" w:rsidP="00AC3823">
      <w:pPr>
        <w:pStyle w:val="Footer"/>
      </w:pPr>
    </w:p>
  </w:endnote>
  <w:endnote w:type="continuationNotice" w:id="1">
    <w:p w:rsidR="000C0DFB" w:rsidRDefault="000C0DF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74A" w:rsidRPr="0011674A" w:rsidRDefault="0011674A" w:rsidP="0011674A">
    <w:pPr>
      <w:pStyle w:val="Footer"/>
      <w:tabs>
        <w:tab w:val="right" w:pos="9638"/>
      </w:tabs>
    </w:pPr>
    <w:r w:rsidRPr="0011674A">
      <w:rPr>
        <w:b/>
        <w:sz w:val="18"/>
      </w:rPr>
      <w:fldChar w:fldCharType="begin"/>
    </w:r>
    <w:r w:rsidRPr="0011674A">
      <w:rPr>
        <w:b/>
        <w:sz w:val="18"/>
      </w:rPr>
      <w:instrText xml:space="preserve"> PAGE  \* MERGEFORMAT </w:instrText>
    </w:r>
    <w:r w:rsidRPr="0011674A">
      <w:rPr>
        <w:b/>
        <w:sz w:val="18"/>
      </w:rPr>
      <w:fldChar w:fldCharType="separate"/>
    </w:r>
    <w:r w:rsidR="00072209">
      <w:rPr>
        <w:b/>
        <w:noProof/>
        <w:sz w:val="18"/>
      </w:rPr>
      <w:t>2</w:t>
    </w:r>
    <w:r w:rsidRPr="0011674A">
      <w:rPr>
        <w:b/>
        <w:sz w:val="18"/>
      </w:rPr>
      <w:fldChar w:fldCharType="end"/>
    </w:r>
    <w:r>
      <w:rPr>
        <w:b/>
        <w:sz w:val="18"/>
      </w:rPr>
      <w:tab/>
    </w:r>
    <w:r>
      <w:t>GE.16-05307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74A" w:rsidRPr="0011674A" w:rsidRDefault="0011674A" w:rsidP="0011674A">
    <w:pPr>
      <w:pStyle w:val="Footer"/>
      <w:tabs>
        <w:tab w:val="right" w:pos="9638"/>
      </w:tabs>
      <w:rPr>
        <w:b/>
        <w:sz w:val="18"/>
      </w:rPr>
    </w:pPr>
    <w:r>
      <w:t>GE.16-05307</w:t>
    </w:r>
    <w:r>
      <w:tab/>
    </w:r>
    <w:r w:rsidRPr="0011674A">
      <w:rPr>
        <w:b/>
        <w:sz w:val="18"/>
      </w:rPr>
      <w:fldChar w:fldCharType="begin"/>
    </w:r>
    <w:r w:rsidRPr="0011674A">
      <w:rPr>
        <w:b/>
        <w:sz w:val="18"/>
      </w:rPr>
      <w:instrText xml:space="preserve"> PAGE  \* MERGEFORMAT </w:instrText>
    </w:r>
    <w:r w:rsidRPr="0011674A">
      <w:rPr>
        <w:b/>
        <w:sz w:val="18"/>
      </w:rPr>
      <w:fldChar w:fldCharType="separate"/>
    </w:r>
    <w:r>
      <w:rPr>
        <w:b/>
        <w:noProof/>
        <w:sz w:val="18"/>
      </w:rPr>
      <w:t>3</w:t>
    </w:r>
    <w:r w:rsidRPr="0011674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11674A" w:rsidRDefault="0011674A" w:rsidP="0011674A">
    <w:pPr>
      <w:pStyle w:val="Footer"/>
      <w:spacing w:before="120"/>
      <w:rPr>
        <w:sz w:val="20"/>
      </w:rPr>
    </w:pPr>
    <w:r>
      <w:rPr>
        <w:sz w:val="20"/>
      </w:rPr>
      <w:t>GE.</w:t>
    </w:r>
    <w:r w:rsidR="0068456F">
      <w:rPr>
        <w:noProof/>
        <w:lang w:val="en-GB" w:eastAsia="en-GB"/>
      </w:rPr>
      <w:drawing>
        <wp:anchor distT="0" distB="0" distL="114300" distR="114300" simplePos="0" relativeHeight="251659264" behindDoc="0" locked="0" layoutInCell="1" allowOverlap="0" wp14:anchorId="67A01BF8" wp14:editId="045DD81B">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16-05307  (F)    130516    130516</w:t>
    </w:r>
    <w:r>
      <w:rPr>
        <w:sz w:val="20"/>
      </w:rPr>
      <w:br/>
    </w:r>
    <w:r w:rsidRPr="0011674A">
      <w:rPr>
        <w:rFonts w:ascii="C39T30Lfz" w:hAnsi="C39T30Lfz"/>
        <w:sz w:val="56"/>
      </w:rPr>
      <w:t></w:t>
    </w:r>
    <w:r w:rsidRPr="0011674A">
      <w:rPr>
        <w:rFonts w:ascii="C39T30Lfz" w:hAnsi="C39T30Lfz"/>
        <w:sz w:val="56"/>
      </w:rPr>
      <w:t></w:t>
    </w:r>
    <w:r w:rsidRPr="0011674A">
      <w:rPr>
        <w:rFonts w:ascii="C39T30Lfz" w:hAnsi="C39T30Lfz"/>
        <w:sz w:val="56"/>
      </w:rPr>
      <w:t></w:t>
    </w:r>
    <w:r w:rsidRPr="0011674A">
      <w:rPr>
        <w:rFonts w:ascii="C39T30Lfz" w:hAnsi="C39T30Lfz"/>
        <w:sz w:val="56"/>
      </w:rPr>
      <w:t></w:t>
    </w:r>
    <w:r w:rsidRPr="0011674A">
      <w:rPr>
        <w:rFonts w:ascii="C39T30Lfz" w:hAnsi="C39T30Lfz"/>
        <w:sz w:val="56"/>
      </w:rPr>
      <w:t></w:t>
    </w:r>
    <w:r w:rsidRPr="0011674A">
      <w:rPr>
        <w:rFonts w:ascii="C39T30Lfz" w:hAnsi="C39T30Lfz"/>
        <w:sz w:val="56"/>
      </w:rPr>
      <w:t></w:t>
    </w:r>
    <w:r w:rsidRPr="0011674A">
      <w:rPr>
        <w:rFonts w:ascii="C39T30Lfz" w:hAnsi="C39T30Lfz"/>
        <w:sz w:val="56"/>
      </w:rPr>
      <w:t></w:t>
    </w:r>
    <w:r w:rsidRPr="0011674A">
      <w:rPr>
        <w:rFonts w:ascii="C39T30Lfz" w:hAnsi="C39T30Lfz"/>
        <w:sz w:val="56"/>
      </w:rPr>
      <w:t></w:t>
    </w:r>
    <w:r w:rsidRPr="0011674A">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ST/SG/AC.10/C.3/2016/1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3/2016/1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DFB" w:rsidRPr="00AC3823" w:rsidRDefault="000C0DFB" w:rsidP="00AC3823">
      <w:pPr>
        <w:pStyle w:val="Footer"/>
        <w:tabs>
          <w:tab w:val="right" w:pos="2155"/>
        </w:tabs>
        <w:spacing w:after="80" w:line="240" w:lineRule="atLeast"/>
        <w:ind w:left="680"/>
        <w:rPr>
          <w:u w:val="single"/>
        </w:rPr>
      </w:pPr>
      <w:r>
        <w:rPr>
          <w:u w:val="single"/>
        </w:rPr>
        <w:tab/>
      </w:r>
    </w:p>
  </w:footnote>
  <w:footnote w:type="continuationSeparator" w:id="0">
    <w:p w:rsidR="000C0DFB" w:rsidRPr="00AC3823" w:rsidRDefault="000C0DFB" w:rsidP="00AC3823">
      <w:pPr>
        <w:pStyle w:val="Footer"/>
        <w:tabs>
          <w:tab w:val="right" w:pos="2155"/>
        </w:tabs>
        <w:spacing w:after="80" w:line="240" w:lineRule="atLeast"/>
        <w:ind w:left="680"/>
        <w:rPr>
          <w:u w:val="single"/>
        </w:rPr>
      </w:pPr>
      <w:r>
        <w:rPr>
          <w:u w:val="single"/>
        </w:rPr>
        <w:tab/>
      </w:r>
    </w:p>
  </w:footnote>
  <w:footnote w:type="continuationNotice" w:id="1">
    <w:p w:rsidR="000C0DFB" w:rsidRPr="00AC3823" w:rsidRDefault="000C0DFB">
      <w:pPr>
        <w:spacing w:line="240" w:lineRule="auto"/>
        <w:rPr>
          <w:sz w:val="2"/>
          <w:szCs w:val="2"/>
        </w:rPr>
      </w:pPr>
    </w:p>
  </w:footnote>
  <w:footnote w:id="2">
    <w:p w:rsidR="0011674A" w:rsidRPr="00A90A7B" w:rsidRDefault="0011674A" w:rsidP="0011674A">
      <w:pPr>
        <w:pStyle w:val="FootnoteText"/>
        <w:rPr>
          <w:sz w:val="16"/>
          <w:szCs w:val="16"/>
        </w:rPr>
      </w:pPr>
      <w:r>
        <w:rPr>
          <w:sz w:val="16"/>
          <w:szCs w:val="16"/>
        </w:rPr>
        <w:tab/>
      </w:r>
      <w:r w:rsidRPr="0011674A">
        <w:rPr>
          <w:rStyle w:val="FootnoteReference"/>
        </w:rPr>
        <w:footnoteRef/>
      </w:r>
      <w:r w:rsidRPr="00A90A7B">
        <w:rPr>
          <w:sz w:val="16"/>
          <w:szCs w:val="16"/>
        </w:rPr>
        <w:tab/>
      </w:r>
      <w:r w:rsidRPr="00A90A7B">
        <w:t>Conformément au programme de travail du Sous-Comité pour la période 2015-2016 adopté par le Comité à sa septième session (voir ST/SG/AC.10/C.3/92, par. 95, et ST/SG/AC.10/42, par. 15).</w:t>
      </w:r>
    </w:p>
  </w:footnote>
  <w:footnote w:id="3">
    <w:p w:rsidR="0011674A" w:rsidRPr="0011674A" w:rsidRDefault="0011674A" w:rsidP="0011674A">
      <w:pPr>
        <w:pStyle w:val="FootnoteText"/>
        <w:rPr>
          <w:rStyle w:val="FootnoteReference"/>
          <w:szCs w:val="18"/>
          <w:vertAlign w:val="baseline"/>
        </w:rPr>
      </w:pPr>
      <w:r>
        <w:rPr>
          <w:rStyle w:val="FootnoteReference"/>
          <w:sz w:val="16"/>
          <w:szCs w:val="16"/>
        </w:rPr>
        <w:tab/>
      </w:r>
      <w:r w:rsidRPr="0011674A">
        <w:rPr>
          <w:rStyle w:val="FootnoteReference"/>
        </w:rPr>
        <w:footnoteRef/>
      </w:r>
      <w:r w:rsidRPr="004B394B">
        <w:rPr>
          <w:rStyle w:val="FootnoteReference"/>
          <w:sz w:val="16"/>
          <w:szCs w:val="16"/>
        </w:rPr>
        <w:t xml:space="preserve"> </w:t>
      </w:r>
      <w:r w:rsidRPr="00A90A7B">
        <w:rPr>
          <w:sz w:val="16"/>
          <w:szCs w:val="16"/>
        </w:rPr>
        <w:tab/>
      </w:r>
      <w:r>
        <w:rPr>
          <w:sz w:val="16"/>
          <w:szCs w:val="16"/>
        </w:rPr>
        <w:t>D</w:t>
      </w:r>
      <w:r w:rsidRPr="00A90A7B">
        <w:t xml:space="preserve">ocument </w:t>
      </w:r>
      <w:r>
        <w:t xml:space="preserve">informel </w:t>
      </w:r>
      <w:r w:rsidRPr="00A90A7B">
        <w:t>INF.53 (</w:t>
      </w:r>
      <w:r>
        <w:t>TMD</w:t>
      </w:r>
      <w:r w:rsidRPr="00A90A7B">
        <w:t>, 48</w:t>
      </w:r>
      <w:r>
        <w:rPr>
          <w:vertAlign w:val="superscript"/>
        </w:rPr>
        <w:t>e</w:t>
      </w:r>
      <w:r w:rsidRPr="00A90A7B">
        <w:t xml:space="preserve"> session)</w:t>
      </w:r>
      <w:r>
        <w:t>, par</w:t>
      </w:r>
      <w:r w:rsidRPr="00A90A7B">
        <w:t>.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74A" w:rsidRPr="0011674A" w:rsidRDefault="0011674A">
    <w:pPr>
      <w:pStyle w:val="Header"/>
    </w:pPr>
    <w:r>
      <w:t>ST/SG/AC.10/C.3/2016/19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74A" w:rsidRPr="0011674A" w:rsidRDefault="0011674A" w:rsidP="0011674A">
    <w:pPr>
      <w:pStyle w:val="Header"/>
      <w:jc w:val="right"/>
    </w:pPr>
    <w:r>
      <w:t>ST/SG/AC.10/C.3/2016/19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A6F281B"/>
    <w:multiLevelType w:val="hybridMultilevel"/>
    <w:tmpl w:val="345C1A5A"/>
    <w:lvl w:ilvl="0" w:tplc="0FE065F0">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DFB"/>
    <w:rsid w:val="00017F94"/>
    <w:rsid w:val="00023842"/>
    <w:rsid w:val="000305D3"/>
    <w:rsid w:val="000334F9"/>
    <w:rsid w:val="00053878"/>
    <w:rsid w:val="00072209"/>
    <w:rsid w:val="0007796D"/>
    <w:rsid w:val="000B7790"/>
    <w:rsid w:val="000C0DFB"/>
    <w:rsid w:val="000F1A16"/>
    <w:rsid w:val="00111F2F"/>
    <w:rsid w:val="0011674A"/>
    <w:rsid w:val="00132EA9"/>
    <w:rsid w:val="0014365E"/>
    <w:rsid w:val="00176178"/>
    <w:rsid w:val="001F525A"/>
    <w:rsid w:val="00223272"/>
    <w:rsid w:val="0024779E"/>
    <w:rsid w:val="00283190"/>
    <w:rsid w:val="002832AC"/>
    <w:rsid w:val="002D7C93"/>
    <w:rsid w:val="00437752"/>
    <w:rsid w:val="00441C3B"/>
    <w:rsid w:val="00446FE5"/>
    <w:rsid w:val="00452396"/>
    <w:rsid w:val="004E468C"/>
    <w:rsid w:val="005505B7"/>
    <w:rsid w:val="00573BE5"/>
    <w:rsid w:val="00586ED3"/>
    <w:rsid w:val="00596AA9"/>
    <w:rsid w:val="0068456F"/>
    <w:rsid w:val="0071601D"/>
    <w:rsid w:val="007A62E6"/>
    <w:rsid w:val="007C5E63"/>
    <w:rsid w:val="0080684C"/>
    <w:rsid w:val="00871C75"/>
    <w:rsid w:val="008776DC"/>
    <w:rsid w:val="009705C8"/>
    <w:rsid w:val="009C1CF4"/>
    <w:rsid w:val="00A30353"/>
    <w:rsid w:val="00AC3823"/>
    <w:rsid w:val="00AE323C"/>
    <w:rsid w:val="00B00181"/>
    <w:rsid w:val="00B00B0D"/>
    <w:rsid w:val="00B765F7"/>
    <w:rsid w:val="00BA0CA9"/>
    <w:rsid w:val="00C02897"/>
    <w:rsid w:val="00D3439C"/>
    <w:rsid w:val="00DB1831"/>
    <w:rsid w:val="00DD3BFD"/>
    <w:rsid w:val="00DF6678"/>
    <w:rsid w:val="00EF2E22"/>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2904</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ST/SG/AC.10/C.3/2016/19</vt:lpstr>
      <vt:lpstr/>
    </vt:vector>
  </TitlesOfParts>
  <Company>DCM</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ST/SG/AC.10/C.3/2016/19</dc:title>
  <dc:creator>Vigny</dc:creator>
  <cp:lastModifiedBy>Laurence Berthet</cp:lastModifiedBy>
  <cp:revision>2</cp:revision>
  <cp:lastPrinted>2016-05-13T14:20:00Z</cp:lastPrinted>
  <dcterms:created xsi:type="dcterms:W3CDTF">2016-05-13T14:21:00Z</dcterms:created>
  <dcterms:modified xsi:type="dcterms:W3CDTF">2016-05-13T14:21:00Z</dcterms:modified>
</cp:coreProperties>
</file>