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0E5884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0E5884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0E5884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0E5884" w:rsidRDefault="0048539B" w:rsidP="00F91C32">
            <w:pPr>
              <w:jc w:val="right"/>
            </w:pPr>
            <w:r w:rsidRPr="000E5884">
              <w:rPr>
                <w:sz w:val="40"/>
              </w:rPr>
              <w:t>ST</w:t>
            </w:r>
            <w:r w:rsidRPr="000E5884">
              <w:t>/SG/AC.10/C.3/</w:t>
            </w:r>
            <w:r w:rsidR="004B394B" w:rsidRPr="000E5884">
              <w:t>2016/</w:t>
            </w:r>
            <w:r w:rsidR="00F91C32">
              <w:t>19</w:t>
            </w:r>
          </w:p>
        </w:tc>
      </w:tr>
      <w:tr w:rsidR="0048539B" w:rsidRPr="000E5884" w:rsidTr="00FE646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0E5884" w:rsidRDefault="00C27298" w:rsidP="00FE646C">
            <w:pPr>
              <w:spacing w:before="120"/>
              <w:jc w:val="center"/>
            </w:pPr>
            <w:r w:rsidRPr="000E5884">
              <w:rPr>
                <w:noProof/>
                <w:lang w:eastAsia="en-GB"/>
              </w:rPr>
              <w:drawing>
                <wp:inline distT="0" distB="0" distL="0" distR="0" wp14:anchorId="3FF393EE" wp14:editId="7E7EDE42">
                  <wp:extent cx="712470" cy="590550"/>
                  <wp:effectExtent l="0" t="0" r="0" b="0"/>
                  <wp:docPr id="5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0E5884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0E5884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0E5884" w:rsidRDefault="00E4094C" w:rsidP="00E4094C">
            <w:pPr>
              <w:spacing w:before="240" w:line="240" w:lineRule="exact"/>
            </w:pPr>
            <w:r w:rsidRPr="000E5884">
              <w:t>Distr.: General</w:t>
            </w:r>
            <w:r w:rsidR="00934214" w:rsidRPr="000E5884">
              <w:br/>
            </w:r>
            <w:r w:rsidR="00B93121">
              <w:t xml:space="preserve">1 </w:t>
            </w:r>
            <w:r w:rsidR="00F91C32">
              <w:t>April</w:t>
            </w:r>
            <w:r w:rsidR="004B394B" w:rsidRPr="000E5884">
              <w:t xml:space="preserve"> 2016</w:t>
            </w:r>
          </w:p>
          <w:p w:rsidR="0048539B" w:rsidRPr="000E5884" w:rsidRDefault="0048539B" w:rsidP="00FE646C">
            <w:pPr>
              <w:spacing w:line="240" w:lineRule="exact"/>
            </w:pPr>
          </w:p>
          <w:p w:rsidR="0048539B" w:rsidRPr="000E5884" w:rsidRDefault="0048539B" w:rsidP="00FE646C">
            <w:pPr>
              <w:spacing w:line="240" w:lineRule="exact"/>
            </w:pPr>
            <w:r w:rsidRPr="000E5884">
              <w:t>Original: English</w:t>
            </w:r>
          </w:p>
        </w:tc>
      </w:tr>
    </w:tbl>
    <w:p w:rsidR="0048539B" w:rsidRPr="000E5884" w:rsidRDefault="0048539B" w:rsidP="0048539B">
      <w:pPr>
        <w:spacing w:before="120"/>
        <w:rPr>
          <w:b/>
          <w:sz w:val="24"/>
          <w:szCs w:val="24"/>
        </w:rPr>
      </w:pPr>
      <w:r w:rsidRPr="000E5884">
        <w:rPr>
          <w:b/>
          <w:sz w:val="24"/>
          <w:szCs w:val="24"/>
        </w:rPr>
        <w:t>Committee of Experts on the Transport of Dangerous Goods</w:t>
      </w:r>
      <w:r w:rsidRPr="000E5884">
        <w:rPr>
          <w:b/>
          <w:sz w:val="24"/>
          <w:szCs w:val="24"/>
        </w:rPr>
        <w:br/>
        <w:t>and on the Globally Harmonized System of Classification</w:t>
      </w:r>
      <w:r w:rsidRPr="000E5884">
        <w:rPr>
          <w:b/>
          <w:sz w:val="24"/>
          <w:szCs w:val="24"/>
        </w:rPr>
        <w:br/>
        <w:t>and Labelling of Chemicals</w:t>
      </w:r>
    </w:p>
    <w:p w:rsidR="0048539B" w:rsidRPr="000E5884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0E5884">
        <w:rPr>
          <w:b/>
        </w:rPr>
        <w:t>Sub-Committee of Experts on the Transport of Dangerous Goods</w:t>
      </w:r>
    </w:p>
    <w:p w:rsidR="0048539B" w:rsidRPr="000E5884" w:rsidRDefault="00F708A8" w:rsidP="0048539B">
      <w:pPr>
        <w:spacing w:before="100"/>
        <w:rPr>
          <w:b/>
        </w:rPr>
      </w:pPr>
      <w:r w:rsidRPr="000E5884">
        <w:rPr>
          <w:b/>
        </w:rPr>
        <w:t>Fort</w:t>
      </w:r>
      <w:r w:rsidR="00083A13" w:rsidRPr="000E5884">
        <w:rPr>
          <w:b/>
        </w:rPr>
        <w:t>y-</w:t>
      </w:r>
      <w:r w:rsidR="004B394B" w:rsidRPr="000E5884">
        <w:rPr>
          <w:b/>
        </w:rPr>
        <w:t>ninth</w:t>
      </w:r>
      <w:r w:rsidR="0048539B" w:rsidRPr="000E5884">
        <w:rPr>
          <w:b/>
        </w:rPr>
        <w:t xml:space="preserve"> </w:t>
      </w:r>
      <w:proofErr w:type="gramStart"/>
      <w:r w:rsidR="0048539B" w:rsidRPr="000E5884">
        <w:rPr>
          <w:b/>
        </w:rPr>
        <w:t>session</w:t>
      </w:r>
      <w:proofErr w:type="gramEnd"/>
    </w:p>
    <w:p w:rsidR="0048539B" w:rsidRPr="000E5884" w:rsidRDefault="0048539B" w:rsidP="0048539B">
      <w:r w:rsidRPr="000E5884">
        <w:t xml:space="preserve">Geneva, </w:t>
      </w:r>
      <w:r w:rsidR="004B394B" w:rsidRPr="000E5884">
        <w:t>27</w:t>
      </w:r>
      <w:r w:rsidR="003A0867" w:rsidRPr="000E5884">
        <w:t xml:space="preserve"> </w:t>
      </w:r>
      <w:r w:rsidR="004B394B" w:rsidRPr="000E5884">
        <w:t>June</w:t>
      </w:r>
      <w:r w:rsidR="00F708A8" w:rsidRPr="000E5884">
        <w:t xml:space="preserve"> – </w:t>
      </w:r>
      <w:r w:rsidR="004B394B" w:rsidRPr="000E5884">
        <w:t>6 July 2016</w:t>
      </w:r>
    </w:p>
    <w:p w:rsidR="00C84FF4" w:rsidRPr="000E5884" w:rsidRDefault="00C84FF4" w:rsidP="00083A13">
      <w:pPr>
        <w:rPr>
          <w:b/>
          <w:lang w:val="en-US"/>
        </w:rPr>
      </w:pPr>
      <w:r w:rsidRPr="000E5884">
        <w:t xml:space="preserve">Item </w:t>
      </w:r>
      <w:r w:rsidR="00615ADE" w:rsidRPr="000E5884">
        <w:t>2 (</w:t>
      </w:r>
      <w:proofErr w:type="spellStart"/>
      <w:r w:rsidR="00694FF3" w:rsidRPr="000E5884">
        <w:t>i</w:t>
      </w:r>
      <w:proofErr w:type="spellEnd"/>
      <w:r w:rsidR="00615ADE" w:rsidRPr="000E5884">
        <w:t>)</w:t>
      </w:r>
      <w:r w:rsidRPr="000E5884">
        <w:t xml:space="preserve"> of the provisional agenda</w:t>
      </w:r>
      <w:r w:rsidRPr="000E5884">
        <w:rPr>
          <w:b/>
          <w:lang w:val="en-US"/>
        </w:rPr>
        <w:t xml:space="preserve"> </w:t>
      </w:r>
    </w:p>
    <w:p w:rsidR="00083A13" w:rsidRDefault="00615ADE" w:rsidP="00083A13">
      <w:pPr>
        <w:rPr>
          <w:b/>
        </w:rPr>
      </w:pPr>
      <w:r w:rsidRPr="000E5884">
        <w:rPr>
          <w:b/>
        </w:rPr>
        <w:t>E</w:t>
      </w:r>
      <w:r w:rsidR="003A0867" w:rsidRPr="000E5884">
        <w:rPr>
          <w:b/>
        </w:rPr>
        <w:t>xplosives and related</w:t>
      </w:r>
      <w:r w:rsidR="003A0867">
        <w:rPr>
          <w:b/>
        </w:rPr>
        <w:t xml:space="preserve"> matters: </w:t>
      </w:r>
      <w:r w:rsidR="00403EAE" w:rsidRPr="00403EAE">
        <w:rPr>
          <w:b/>
        </w:rPr>
        <w:t>miscellaneous</w:t>
      </w:r>
    </w:p>
    <w:p w:rsidR="00B04F48" w:rsidRDefault="00615ADE" w:rsidP="00B04F48">
      <w:pPr>
        <w:pStyle w:val="HChG"/>
      </w:pPr>
      <w:r>
        <w:tab/>
      </w:r>
      <w:r w:rsidR="00B04F48">
        <w:tab/>
      </w:r>
      <w:r w:rsidR="00B93121">
        <w:t>Amendment</w:t>
      </w:r>
      <w:bookmarkStart w:id="0" w:name="_GoBack"/>
      <w:bookmarkEnd w:id="0"/>
      <w:r w:rsidR="00E16031">
        <w:t xml:space="preserve"> to s</w:t>
      </w:r>
      <w:r w:rsidR="004B394B">
        <w:t>ection 1.1.2 of the Manual of Tests and Criteria</w:t>
      </w:r>
    </w:p>
    <w:p w:rsidR="00B04F48" w:rsidRDefault="00B04F48" w:rsidP="00B04F48">
      <w:pPr>
        <w:pStyle w:val="H1G"/>
      </w:pPr>
      <w:r>
        <w:tab/>
      </w:r>
      <w:r>
        <w:tab/>
        <w:t xml:space="preserve">Transmitted by the </w:t>
      </w:r>
      <w:r w:rsidR="004B394B">
        <w:t>Institute of Makers of Explosives</w:t>
      </w:r>
      <w:r>
        <w:t xml:space="preserve"> (</w:t>
      </w:r>
      <w:r w:rsidR="004B394B">
        <w:t>IME</w:t>
      </w:r>
      <w:r>
        <w:t>)</w:t>
      </w:r>
      <w:r>
        <w:rPr>
          <w:rStyle w:val="FootnoteReference"/>
          <w:b w:val="0"/>
        </w:rPr>
        <w:footnoteReference w:id="2"/>
      </w:r>
    </w:p>
    <w:p w:rsidR="00B04F48" w:rsidRPr="005E6EA9" w:rsidRDefault="00B04F48" w:rsidP="00B04F48">
      <w:pPr>
        <w:pStyle w:val="HChG"/>
      </w:pPr>
      <w:r>
        <w:tab/>
      </w:r>
      <w:r>
        <w:tab/>
        <w:t>Introduction</w:t>
      </w:r>
    </w:p>
    <w:p w:rsidR="00B04F48" w:rsidRDefault="004B394B" w:rsidP="004B394B">
      <w:pPr>
        <w:pStyle w:val="SingleTxtG"/>
        <w:numPr>
          <w:ilvl w:val="0"/>
          <w:numId w:val="29"/>
        </w:numPr>
        <w:ind w:left="1181" w:right="1138" w:hanging="43"/>
      </w:pPr>
      <w:r>
        <w:t>During the meeting of the Working Group on Explosives (EWG) at the 48</w:t>
      </w:r>
      <w:r w:rsidRPr="004B394B">
        <w:rPr>
          <w:vertAlign w:val="superscript"/>
        </w:rPr>
        <w:t>th</w:t>
      </w:r>
      <w:r w:rsidR="00E16031">
        <w:t xml:space="preserve"> s</w:t>
      </w:r>
      <w:r>
        <w:t xml:space="preserve">ession of the TDG Sub-Committee, it </w:t>
      </w:r>
      <w:proofErr w:type="gramStart"/>
      <w:r>
        <w:t>was noted</w:t>
      </w:r>
      <w:proofErr w:type="gramEnd"/>
      <w:r>
        <w:t xml:space="preserve"> by the </w:t>
      </w:r>
      <w:r w:rsidR="00090473">
        <w:t>EWG</w:t>
      </w:r>
      <w:r w:rsidR="00CD6661">
        <w:rPr>
          <w:rStyle w:val="FootnoteReference"/>
        </w:rPr>
        <w:footnoteReference w:id="3"/>
      </w:r>
      <w:r>
        <w:t xml:space="preserve"> that a reference to “testing authority” in Section 1.1.2 of the Man</w:t>
      </w:r>
      <w:r w:rsidR="00E16031">
        <w:t>ual of Tests and Criteria (MTC), 6</w:t>
      </w:r>
      <w:r w:rsidR="00E16031" w:rsidRPr="00E16031">
        <w:rPr>
          <w:vertAlign w:val="superscript"/>
        </w:rPr>
        <w:t>th</w:t>
      </w:r>
      <w:r w:rsidR="00E16031">
        <w:t xml:space="preserve"> revised edition, </w:t>
      </w:r>
      <w:r>
        <w:t>incorrect</w:t>
      </w:r>
      <w:r w:rsidR="00AA048B">
        <w:t>ly</w:t>
      </w:r>
      <w:r>
        <w:t xml:space="preserve"> </w:t>
      </w:r>
      <w:r w:rsidR="00AA048B">
        <w:t xml:space="preserve">implies that the testing authority has the responsibility </w:t>
      </w:r>
      <w:r w:rsidR="006B5B7C">
        <w:t xml:space="preserve">for </w:t>
      </w:r>
      <w:r w:rsidR="00AA048B">
        <w:t>classification</w:t>
      </w:r>
      <w:r w:rsidR="006B5B7C">
        <w:t xml:space="preserve"> of dangerous goods</w:t>
      </w:r>
      <w:r w:rsidR="00B04F48">
        <w:t xml:space="preserve">. </w:t>
      </w:r>
      <w:r>
        <w:t xml:space="preserve">  IME agreed to submit a proposal for the 49</w:t>
      </w:r>
      <w:r w:rsidRPr="004B394B">
        <w:rPr>
          <w:vertAlign w:val="superscript"/>
        </w:rPr>
        <w:t>th</w:t>
      </w:r>
      <w:r>
        <w:t xml:space="preserve"> session to </w:t>
      </w:r>
      <w:r w:rsidR="006B5B7C">
        <w:t>correct this misconception</w:t>
      </w:r>
      <w:r>
        <w:t>.</w:t>
      </w:r>
    </w:p>
    <w:p w:rsidR="00AA048B" w:rsidRPr="005E6EA9" w:rsidRDefault="00AA048B" w:rsidP="00AA048B">
      <w:pPr>
        <w:pStyle w:val="HChG"/>
        <w:ind w:left="562" w:firstLine="0"/>
      </w:pPr>
      <w:r>
        <w:tab/>
      </w:r>
      <w:r>
        <w:tab/>
        <w:t>Discussion</w:t>
      </w:r>
    </w:p>
    <w:p w:rsidR="00AA048B" w:rsidRDefault="00735F8E" w:rsidP="004B394B">
      <w:pPr>
        <w:pStyle w:val="SingleTxtG"/>
        <w:numPr>
          <w:ilvl w:val="0"/>
          <w:numId w:val="29"/>
        </w:numPr>
        <w:ind w:left="1181" w:right="1138" w:hanging="43"/>
      </w:pPr>
      <w:r>
        <w:t xml:space="preserve">Working with the </w:t>
      </w:r>
      <w:r w:rsidR="00F91C32">
        <w:t>C</w:t>
      </w:r>
      <w:r>
        <w:t xml:space="preserve">hairman of </w:t>
      </w:r>
      <w:r w:rsidR="006B5B7C">
        <w:t>the EWG</w:t>
      </w:r>
      <w:r>
        <w:t xml:space="preserve"> to develop this proposal, it </w:t>
      </w:r>
      <w:proofErr w:type="gramStart"/>
      <w:r>
        <w:t>was</w:t>
      </w:r>
      <w:r w:rsidR="00AA048B">
        <w:t xml:space="preserve"> noticed</w:t>
      </w:r>
      <w:proofErr w:type="gramEnd"/>
      <w:r w:rsidR="00AA048B">
        <w:t xml:space="preserve"> that a similar reference also appears in Appendix 6, paragraph 2.3 of the MTC; therefore, this proposal will address both references.</w:t>
      </w:r>
    </w:p>
    <w:p w:rsidR="006B5B7C" w:rsidRDefault="00760441" w:rsidP="004B394B">
      <w:pPr>
        <w:pStyle w:val="SingleTxtG"/>
        <w:numPr>
          <w:ilvl w:val="0"/>
          <w:numId w:val="29"/>
        </w:numPr>
        <w:ind w:left="1181" w:right="1138" w:hanging="43"/>
      </w:pPr>
      <w:r>
        <w:lastRenderedPageBreak/>
        <w:t>For certain dangerous goods, t</w:t>
      </w:r>
      <w:r w:rsidR="00AA048B">
        <w:t xml:space="preserve">he </w:t>
      </w:r>
      <w:r w:rsidR="00735F8E">
        <w:t>responsibility</w:t>
      </w:r>
      <w:r>
        <w:t xml:space="preserve"> for classification lies with the </w:t>
      </w:r>
      <w:r w:rsidR="00735F8E">
        <w:t>offering party (manufacturer, distributor, exporter, end user, etc.)</w:t>
      </w:r>
      <w:r>
        <w:t xml:space="preserve"> and in other instances (for example, Class 1 Explosives), tha</w:t>
      </w:r>
      <w:r w:rsidR="00E16031">
        <w:t>t responsibility lies with the competent a</w:t>
      </w:r>
      <w:r>
        <w:t xml:space="preserve">uthority.  </w:t>
      </w:r>
    </w:p>
    <w:p w:rsidR="00AA048B" w:rsidRDefault="00760441" w:rsidP="004B394B">
      <w:pPr>
        <w:pStyle w:val="SingleTxtG"/>
        <w:numPr>
          <w:ilvl w:val="0"/>
          <w:numId w:val="29"/>
        </w:numPr>
        <w:ind w:left="1181" w:right="1138" w:hanging="43"/>
      </w:pPr>
      <w:r>
        <w:t xml:space="preserve">Testing bodies </w:t>
      </w:r>
      <w:r w:rsidR="00230C96">
        <w:t>participate</w:t>
      </w:r>
      <w:r>
        <w:t xml:space="preserve"> in </w:t>
      </w:r>
      <w:r w:rsidR="006B5B7C">
        <w:t>the</w:t>
      </w:r>
      <w:r>
        <w:t xml:space="preserve"> classification</w:t>
      </w:r>
      <w:r w:rsidR="006B5B7C">
        <w:t xml:space="preserve"> process</w:t>
      </w:r>
      <w:r>
        <w:t xml:space="preserve"> by performing the appropriate tests and making classification recommendations based upon the results of those test</w:t>
      </w:r>
      <w:r w:rsidR="006B5B7C">
        <w:t>s</w:t>
      </w:r>
      <w:r>
        <w:t xml:space="preserve">.  </w:t>
      </w:r>
      <w:proofErr w:type="gramStart"/>
      <w:r w:rsidR="006B5B7C">
        <w:t>To adequately execute</w:t>
      </w:r>
      <w:proofErr w:type="gramEnd"/>
      <w:r w:rsidR="006B5B7C">
        <w:t xml:space="preserve"> their duties, </w:t>
      </w:r>
      <w:r>
        <w:t xml:space="preserve">testing bodies </w:t>
      </w:r>
      <w:r w:rsidR="00DC0141">
        <w:t xml:space="preserve">must </w:t>
      </w:r>
      <w:r>
        <w:t xml:space="preserve">be competent </w:t>
      </w:r>
      <w:r w:rsidR="00AA048B">
        <w:t xml:space="preserve">to perform classification tests and to make </w:t>
      </w:r>
      <w:r>
        <w:t xml:space="preserve">informed </w:t>
      </w:r>
      <w:r w:rsidR="00AA048B">
        <w:t>recommendations for cl</w:t>
      </w:r>
      <w:r>
        <w:t xml:space="preserve">assification </w:t>
      </w:r>
      <w:r w:rsidR="00AA048B">
        <w:t>based upon the results of those test</w:t>
      </w:r>
      <w:r>
        <w:t>s</w:t>
      </w:r>
      <w:r w:rsidR="00AA048B">
        <w:t>.  Therefore, IME proposes to change the words “testing authority” to “testing body</w:t>
      </w:r>
      <w:r>
        <w:t>”</w:t>
      </w:r>
      <w:r w:rsidR="00AA048B">
        <w:t xml:space="preserve"> and to remove references implying that testing authorities</w:t>
      </w:r>
      <w:r>
        <w:t xml:space="preserve"> or bodies</w:t>
      </w:r>
      <w:r w:rsidR="00AA048B">
        <w:t xml:space="preserve"> have the responsibility for classification of dangerous good</w:t>
      </w:r>
      <w:r>
        <w:t>s</w:t>
      </w:r>
      <w:r w:rsidR="00AA048B">
        <w:t>.</w:t>
      </w:r>
    </w:p>
    <w:p w:rsidR="00B04F48" w:rsidRDefault="00B04F48" w:rsidP="00B04F48">
      <w:pPr>
        <w:pStyle w:val="HChG"/>
      </w:pPr>
      <w:r>
        <w:tab/>
      </w:r>
      <w:r>
        <w:tab/>
      </w:r>
      <w:r w:rsidR="004B394B">
        <w:t>Proposal</w:t>
      </w:r>
    </w:p>
    <w:p w:rsidR="00760441" w:rsidRDefault="006B5B7C" w:rsidP="00760441">
      <w:pPr>
        <w:pStyle w:val="SingleTxtG"/>
        <w:ind w:left="1138" w:right="1138"/>
      </w:pPr>
      <w:r>
        <w:t>5</w:t>
      </w:r>
      <w:r w:rsidR="00760441">
        <w:t>.</w:t>
      </w:r>
      <w:r w:rsidR="00760441">
        <w:tab/>
        <w:t>Amend the second sentence of paragraph 1.1.2 of the MTC replacing the reference to “testing authority” with “</w:t>
      </w:r>
      <w:r w:rsidR="00DC0141">
        <w:t xml:space="preserve">testing </w:t>
      </w:r>
      <w:r w:rsidR="00760441">
        <w:t>body” and removing the reference to responsibility for classification as shown below:</w:t>
      </w:r>
    </w:p>
    <w:p w:rsidR="00760441" w:rsidRPr="00B04F48" w:rsidRDefault="00E16031" w:rsidP="00760441">
      <w:pPr>
        <w:pStyle w:val="SingleTxtG"/>
        <w:ind w:left="1686" w:right="1719"/>
      </w:pPr>
      <w:r>
        <w:t>“</w:t>
      </w:r>
      <w:r w:rsidR="00760441">
        <w:t xml:space="preserve">It therefore assumes competence on the part of the </w:t>
      </w:r>
      <w:r w:rsidR="00760441" w:rsidRPr="00760441">
        <w:t>testing</w:t>
      </w:r>
      <w:r w:rsidR="00760441" w:rsidRPr="00090473">
        <w:rPr>
          <w:strike/>
          <w:color w:val="FF0000"/>
        </w:rPr>
        <w:t xml:space="preserve"> </w:t>
      </w:r>
      <w:r w:rsidR="00760441" w:rsidRPr="00760441">
        <w:rPr>
          <w:strike/>
          <w:color w:val="FF0000"/>
        </w:rPr>
        <w:t>authority</w:t>
      </w:r>
      <w:r w:rsidR="00760441">
        <w:t xml:space="preserve"> </w:t>
      </w:r>
      <w:proofErr w:type="spellStart"/>
      <w:r w:rsidR="00760441" w:rsidRPr="00760441">
        <w:rPr>
          <w:color w:val="0070C0"/>
          <w:u w:val="single"/>
        </w:rPr>
        <w:t>bod</w:t>
      </w:r>
      <w:r w:rsidR="00760441">
        <w:rPr>
          <w:color w:val="0070C0"/>
          <w:u w:val="single"/>
        </w:rPr>
        <w:t>y</w:t>
      </w:r>
      <w:r w:rsidR="00760441" w:rsidRPr="00760441">
        <w:rPr>
          <w:strike/>
          <w:color w:val="FF0000"/>
        </w:rPr>
        <w:t>and</w:t>
      </w:r>
      <w:proofErr w:type="spellEnd"/>
      <w:r w:rsidR="00760441" w:rsidRPr="00760441">
        <w:rPr>
          <w:strike/>
          <w:color w:val="FF0000"/>
        </w:rPr>
        <w:t xml:space="preserve"> leaves responsibility for classification with them</w:t>
      </w:r>
      <w:r w:rsidR="00760441" w:rsidRPr="00BF34E3">
        <w:t>.</w:t>
      </w:r>
      <w:proofErr w:type="gramStart"/>
      <w:r>
        <w:t>”.</w:t>
      </w:r>
      <w:proofErr w:type="gramEnd"/>
    </w:p>
    <w:p w:rsidR="00B04F48" w:rsidRDefault="006B5B7C" w:rsidP="004B394B">
      <w:pPr>
        <w:pStyle w:val="SingleTxtG"/>
        <w:ind w:left="1138" w:right="1138"/>
      </w:pPr>
      <w:r>
        <w:t>6</w:t>
      </w:r>
      <w:r w:rsidR="00B04F48">
        <w:t>.</w:t>
      </w:r>
      <w:r w:rsidR="00B04F48">
        <w:tab/>
      </w:r>
      <w:r w:rsidR="004B394B">
        <w:t xml:space="preserve">Amend the second sentence of </w:t>
      </w:r>
      <w:r w:rsidR="00760441">
        <w:t>paragraph</w:t>
      </w:r>
      <w:r w:rsidR="004B394B">
        <w:t xml:space="preserve"> </w:t>
      </w:r>
      <w:r w:rsidR="00760441">
        <w:t>2.3</w:t>
      </w:r>
      <w:r w:rsidR="004B394B">
        <w:t xml:space="preserve"> of</w:t>
      </w:r>
      <w:r w:rsidR="00760441">
        <w:t xml:space="preserve"> Appendix 6</w:t>
      </w:r>
      <w:r w:rsidR="004B394B">
        <w:t xml:space="preserve"> </w:t>
      </w:r>
      <w:r w:rsidR="00BF34E3">
        <w:t xml:space="preserve">of </w:t>
      </w:r>
      <w:r w:rsidR="004B394B">
        <w:t xml:space="preserve">the MTC replacing </w:t>
      </w:r>
      <w:r w:rsidR="00BF34E3">
        <w:t>the reference to “testing authority” with “</w:t>
      </w:r>
      <w:r w:rsidR="00F65B42">
        <w:rPr>
          <w:lang w:val="en-US"/>
        </w:rPr>
        <w:t>testing</w:t>
      </w:r>
      <w:r w:rsidR="00F65B42">
        <w:t xml:space="preserve"> </w:t>
      </w:r>
      <w:r w:rsidR="00BF34E3">
        <w:t>body” and removing the reference to responsibility for classification as shown below</w:t>
      </w:r>
      <w:r w:rsidR="004B394B">
        <w:t>:</w:t>
      </w:r>
    </w:p>
    <w:p w:rsidR="004B394B" w:rsidRPr="00B04F48" w:rsidRDefault="00E16031" w:rsidP="00760441">
      <w:pPr>
        <w:pStyle w:val="SingleTxtG"/>
        <w:ind w:left="1686" w:right="1719"/>
      </w:pPr>
      <w:r>
        <w:t>“</w:t>
      </w:r>
      <w:r w:rsidR="00760441">
        <w:t>The remarks 1.1.2 from section 1 "General introduction" are emphasized that competence on the part of the testing</w:t>
      </w:r>
      <w:r w:rsidR="00BF34E3" w:rsidRPr="00090473">
        <w:rPr>
          <w:strike/>
          <w:color w:val="FF0000"/>
        </w:rPr>
        <w:t xml:space="preserve"> </w:t>
      </w:r>
      <w:r w:rsidR="00BF34E3" w:rsidRPr="00760441">
        <w:rPr>
          <w:strike/>
          <w:color w:val="FF0000"/>
        </w:rPr>
        <w:t>authority</w:t>
      </w:r>
      <w:r w:rsidR="00BF34E3">
        <w:t xml:space="preserve"> </w:t>
      </w:r>
      <w:r w:rsidR="00BF34E3" w:rsidRPr="00760441">
        <w:rPr>
          <w:color w:val="0070C0"/>
          <w:u w:val="single"/>
        </w:rPr>
        <w:t>bod</w:t>
      </w:r>
      <w:r w:rsidR="00BF34E3">
        <w:rPr>
          <w:color w:val="0070C0"/>
          <w:u w:val="single"/>
        </w:rPr>
        <w:t>y</w:t>
      </w:r>
      <w:r w:rsidR="00760441">
        <w:t xml:space="preserve"> is assumed</w:t>
      </w:r>
      <w:r w:rsidR="00760441" w:rsidRPr="00BF34E3">
        <w:rPr>
          <w:strike/>
          <w:color w:val="FF0000"/>
        </w:rPr>
        <w:t xml:space="preserve"> and responsibility for classification is left with them</w:t>
      </w:r>
      <w:r w:rsidR="00760441">
        <w:t>.</w:t>
      </w:r>
      <w:proofErr w:type="gramStart"/>
      <w:r>
        <w:t>”.</w:t>
      </w:r>
      <w:proofErr w:type="gramEnd"/>
    </w:p>
    <w:p w:rsidR="00B04F48" w:rsidRPr="00F06AE7" w:rsidRDefault="00F06AE7" w:rsidP="00F06AE7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4F48" w:rsidRPr="00F06AE7" w:rsidSect="00E05E6F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B71E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B6" w:rsidRDefault="005E28B6"/>
  </w:endnote>
  <w:endnote w:type="continuationSeparator" w:id="0">
    <w:p w:rsidR="005E28B6" w:rsidRDefault="005E28B6"/>
  </w:endnote>
  <w:endnote w:type="continuationNotice" w:id="1">
    <w:p w:rsidR="005E28B6" w:rsidRDefault="005E28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4" w:rsidRPr="0099001C" w:rsidRDefault="00C27298" w:rsidP="0099001C">
    <w:pPr>
      <w:pStyle w:val="Footer"/>
      <w:tabs>
        <w:tab w:val="right" w:pos="9638"/>
      </w:tabs>
      <w:rPr>
        <w:sz w:val="18"/>
      </w:rPr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8F4CA33" wp14:editId="31FDCE76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3175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594" w:rsidRPr="00512AD1" w:rsidRDefault="00BF0594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BF0594" w:rsidRDefault="00BF0594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<w:pict>
            <v:shapetype w14:anchorId="08F4CA3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70pt;margin-top:-443.25pt;width:30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" stroked="f">
              <v:textbox style="layout-flow:vertical">
                <w:txbxContent>
                  <w:p w14:paraId="475DBB24" w14:textId="77777777" w:rsidR="00BF0594" w:rsidRPr="00512AD1" w:rsidRDefault="00BF0594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71E136E8" w14:textId="77777777" w:rsidR="00BF0594" w:rsidRDefault="00BF0594" w:rsidP="00D44EAE"/>
                </w:txbxContent>
              </v:textbox>
              <w10:anchorlock/>
            </v:shape>
          </w:pict>
        </mc:Fallback>
      </mc:AlternateContent>
    </w:r>
    <w:r w:rsidR="00BF0594">
      <w:rPr>
        <w:rStyle w:val="PageNumber"/>
      </w:rPr>
      <w:fldChar w:fldCharType="begin"/>
    </w:r>
    <w:r w:rsidR="00BF0594">
      <w:rPr>
        <w:rStyle w:val="PageNumber"/>
      </w:rPr>
      <w:instrText xml:space="preserve"> PAGE </w:instrText>
    </w:r>
    <w:r w:rsidR="00BF0594">
      <w:rPr>
        <w:rStyle w:val="PageNumber"/>
      </w:rPr>
      <w:fldChar w:fldCharType="separate"/>
    </w:r>
    <w:r w:rsidR="00F66DFB">
      <w:rPr>
        <w:rStyle w:val="PageNumber"/>
        <w:noProof/>
      </w:rPr>
      <w:t>2</w:t>
    </w:r>
    <w:r w:rsidR="00BF059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4" w:rsidRPr="0099001C" w:rsidRDefault="00BF0594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6661">
      <w:rPr>
        <w:rStyle w:val="PageNumber"/>
        <w:noProof/>
      </w:rPr>
      <w:t>5</w:t>
    </w:r>
    <w:r>
      <w:rPr>
        <w:rStyle w:val="PageNumber"/>
      </w:rPr>
      <w:fldChar w:fldCharType="end"/>
    </w:r>
    <w:r w:rsidR="00C272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0E646BA" wp14:editId="4D3440CF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3175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594" w:rsidRPr="00512AD1" w:rsidRDefault="00BF0594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BF0594" w:rsidRDefault="00BF0594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<w:pict>
            <v:shapetype w14:anchorId="70E646B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670pt;margin-top:-92.25pt;width:3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" stroked="f">
              <v:textbox style="layout-flow:vertical">
                <w:txbxContent>
                  <w:p w14:paraId="08DEBC6B" w14:textId="77777777" w:rsidR="00BF0594" w:rsidRPr="00512AD1" w:rsidRDefault="00BF0594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63EF1143" w14:textId="77777777" w:rsidR="00BF0594" w:rsidRDefault="00BF0594" w:rsidP="00D44EAE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B6" w:rsidRPr="000B175B" w:rsidRDefault="005E28B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28B6" w:rsidRPr="00FC68B7" w:rsidRDefault="005E28B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E28B6" w:rsidRDefault="005E28B6"/>
  </w:footnote>
  <w:footnote w:id="2">
    <w:p w:rsidR="00B04F48" w:rsidRDefault="00B04F48" w:rsidP="00CD6661">
      <w:pPr>
        <w:pStyle w:val="Default"/>
        <w:spacing w:after="240"/>
        <w:ind w:left="1138" w:right="1138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</w:r>
      <w:r w:rsidR="00F91C32" w:rsidRPr="00F91C32">
        <w:rPr>
          <w:sz w:val="18"/>
          <w:szCs w:val="18"/>
        </w:rPr>
        <w:t xml:space="preserve">In accordance with the </w:t>
      </w:r>
      <w:proofErr w:type="spellStart"/>
      <w:r w:rsidR="00F91C32" w:rsidRPr="00F91C32">
        <w:rPr>
          <w:sz w:val="18"/>
          <w:szCs w:val="18"/>
        </w:rPr>
        <w:t>programme</w:t>
      </w:r>
      <w:proofErr w:type="spellEnd"/>
      <w:r w:rsidR="00F91C32" w:rsidRPr="00F91C32">
        <w:rPr>
          <w:sz w:val="18"/>
          <w:szCs w:val="18"/>
        </w:rPr>
        <w:t xml:space="preserve"> of work of the Sub-Committee for 2015–2016 approved by the Committee at its seventh </w:t>
      </w:r>
      <w:proofErr w:type="gramStart"/>
      <w:r w:rsidR="00F91C32" w:rsidRPr="00F91C32">
        <w:rPr>
          <w:sz w:val="18"/>
          <w:szCs w:val="18"/>
        </w:rPr>
        <w:t>session</w:t>
      </w:r>
      <w:proofErr w:type="gramEnd"/>
      <w:r w:rsidR="00F91C32" w:rsidRPr="00F91C32">
        <w:rPr>
          <w:sz w:val="18"/>
          <w:szCs w:val="18"/>
        </w:rPr>
        <w:t xml:space="preserve"> (see ST/SG/AC.10/C.3/92, paragraph 95 and ST/SG/AC.10/42, para. 15).</w:t>
      </w:r>
    </w:p>
  </w:footnote>
  <w:footnote w:id="3">
    <w:p w:rsidR="00CD6661" w:rsidRPr="00E16031" w:rsidRDefault="00CD6661" w:rsidP="00CD6661">
      <w:pPr>
        <w:pStyle w:val="Default"/>
        <w:ind w:left="1134" w:right="1134"/>
        <w:rPr>
          <w:rStyle w:val="FootnoteReference"/>
          <w:szCs w:val="18"/>
        </w:rPr>
      </w:pPr>
      <w:r w:rsidRPr="004B394B">
        <w:rPr>
          <w:rStyle w:val="FootnoteReference"/>
          <w:sz w:val="16"/>
          <w:szCs w:val="16"/>
        </w:rPr>
        <w:footnoteRef/>
      </w:r>
      <w:r w:rsidRPr="004B394B">
        <w:rPr>
          <w:rStyle w:val="FootnoteReference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proofErr w:type="gramStart"/>
      <w:r w:rsidR="00E16031" w:rsidRPr="00E16031">
        <w:rPr>
          <w:sz w:val="18"/>
          <w:szCs w:val="18"/>
        </w:rPr>
        <w:t>Informal document</w:t>
      </w:r>
      <w:r w:rsidR="00E16031">
        <w:rPr>
          <w:sz w:val="18"/>
          <w:szCs w:val="18"/>
        </w:rPr>
        <w:t xml:space="preserve"> </w:t>
      </w:r>
      <w:r w:rsidRPr="00E16031">
        <w:rPr>
          <w:sz w:val="18"/>
          <w:szCs w:val="18"/>
        </w:rPr>
        <w:t>INF.53</w:t>
      </w:r>
      <w:r w:rsidR="00E16031">
        <w:rPr>
          <w:sz w:val="18"/>
          <w:szCs w:val="18"/>
        </w:rPr>
        <w:t xml:space="preserve"> (TDG, 48</w:t>
      </w:r>
      <w:r w:rsidR="00E16031" w:rsidRPr="00E16031">
        <w:rPr>
          <w:sz w:val="18"/>
          <w:szCs w:val="18"/>
          <w:vertAlign w:val="superscript"/>
        </w:rPr>
        <w:t>th</w:t>
      </w:r>
      <w:r w:rsidR="00E16031">
        <w:rPr>
          <w:sz w:val="18"/>
          <w:szCs w:val="18"/>
        </w:rPr>
        <w:t xml:space="preserve"> session)</w:t>
      </w:r>
      <w:r w:rsidRPr="00E16031">
        <w:rPr>
          <w:sz w:val="18"/>
          <w:szCs w:val="18"/>
        </w:rPr>
        <w:t>, para.</w:t>
      </w:r>
      <w:proofErr w:type="gramEnd"/>
      <w:r w:rsidRPr="00E16031">
        <w:rPr>
          <w:sz w:val="18"/>
          <w:szCs w:val="18"/>
        </w:rPr>
        <w:t xml:space="preserve"> 12</w:t>
      </w:r>
      <w:r w:rsidR="00090473" w:rsidRPr="00E16031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4" w:rsidRPr="00FB3D8C" w:rsidRDefault="00C77A18" w:rsidP="00FB3D8C">
    <w:pPr>
      <w:pStyle w:val="Header"/>
    </w:pPr>
    <w:r>
      <w:t>ST/SG/AC.10/C.3/</w:t>
    </w:r>
    <w:r w:rsidR="00F91C32">
      <w:t>2016/19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4" w:rsidRPr="001E4813" w:rsidRDefault="00FE4A23" w:rsidP="001E4813">
    <w:pPr>
      <w:pStyle w:val="Header"/>
      <w:jc w:val="right"/>
      <w:rPr>
        <w:lang w:val="fr-CH"/>
      </w:rPr>
    </w:pPr>
    <w:r>
      <w:rPr>
        <w:lang w:val="fr-CH"/>
      </w:rPr>
      <w:t>ST/SG/AC.10/C.3/</w:t>
    </w:r>
    <w:r w:rsidR="004B394B">
      <w:rPr>
        <w:lang w:val="fr-CH"/>
      </w:rPr>
      <w:t>2016/IME01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18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B2151"/>
    <w:multiLevelType w:val="hybridMultilevel"/>
    <w:tmpl w:val="FB348880"/>
    <w:lvl w:ilvl="0" w:tplc="2D28DE34">
      <w:start w:val="8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FC5F72"/>
    <w:multiLevelType w:val="hybridMultilevel"/>
    <w:tmpl w:val="99FCD014"/>
    <w:lvl w:ilvl="0" w:tplc="61FA1426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4F81C80"/>
    <w:multiLevelType w:val="hybridMultilevel"/>
    <w:tmpl w:val="F2006C08"/>
    <w:lvl w:ilvl="0" w:tplc="FD8698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D59DD"/>
    <w:multiLevelType w:val="hybridMultilevel"/>
    <w:tmpl w:val="D44CF84C"/>
    <w:lvl w:ilvl="0" w:tplc="61AC70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2666D7B"/>
    <w:multiLevelType w:val="hybridMultilevel"/>
    <w:tmpl w:val="B19EA34C"/>
    <w:lvl w:ilvl="0" w:tplc="39388C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367EE9"/>
    <w:multiLevelType w:val="hybridMultilevel"/>
    <w:tmpl w:val="A5204186"/>
    <w:lvl w:ilvl="0" w:tplc="640CB984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48" w:hanging="360"/>
      </w:pPr>
    </w:lvl>
    <w:lvl w:ilvl="2" w:tplc="1009001B" w:tentative="1">
      <w:start w:val="1"/>
      <w:numFmt w:val="lowerRoman"/>
      <w:lvlText w:val="%3."/>
      <w:lvlJc w:val="right"/>
      <w:pPr>
        <w:ind w:left="4068" w:hanging="180"/>
      </w:pPr>
    </w:lvl>
    <w:lvl w:ilvl="3" w:tplc="1009000F" w:tentative="1">
      <w:start w:val="1"/>
      <w:numFmt w:val="decimal"/>
      <w:lvlText w:val="%4."/>
      <w:lvlJc w:val="left"/>
      <w:pPr>
        <w:ind w:left="4788" w:hanging="360"/>
      </w:pPr>
    </w:lvl>
    <w:lvl w:ilvl="4" w:tplc="10090019" w:tentative="1">
      <w:start w:val="1"/>
      <w:numFmt w:val="lowerLetter"/>
      <w:lvlText w:val="%5."/>
      <w:lvlJc w:val="left"/>
      <w:pPr>
        <w:ind w:left="5508" w:hanging="360"/>
      </w:pPr>
    </w:lvl>
    <w:lvl w:ilvl="5" w:tplc="1009001B" w:tentative="1">
      <w:start w:val="1"/>
      <w:numFmt w:val="lowerRoman"/>
      <w:lvlText w:val="%6."/>
      <w:lvlJc w:val="right"/>
      <w:pPr>
        <w:ind w:left="6228" w:hanging="180"/>
      </w:pPr>
    </w:lvl>
    <w:lvl w:ilvl="6" w:tplc="1009000F" w:tentative="1">
      <w:start w:val="1"/>
      <w:numFmt w:val="decimal"/>
      <w:lvlText w:val="%7."/>
      <w:lvlJc w:val="left"/>
      <w:pPr>
        <w:ind w:left="6948" w:hanging="360"/>
      </w:pPr>
    </w:lvl>
    <w:lvl w:ilvl="7" w:tplc="10090019" w:tentative="1">
      <w:start w:val="1"/>
      <w:numFmt w:val="lowerLetter"/>
      <w:lvlText w:val="%8."/>
      <w:lvlJc w:val="left"/>
      <w:pPr>
        <w:ind w:left="7668" w:hanging="360"/>
      </w:pPr>
    </w:lvl>
    <w:lvl w:ilvl="8" w:tplc="10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6F281B"/>
    <w:multiLevelType w:val="hybridMultilevel"/>
    <w:tmpl w:val="345C1A5A"/>
    <w:lvl w:ilvl="0" w:tplc="0FE065F0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>
    <w:nsid w:val="2D28202B"/>
    <w:multiLevelType w:val="hybridMultilevel"/>
    <w:tmpl w:val="A71EB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>
    <w:nsid w:val="35913412"/>
    <w:multiLevelType w:val="hybridMultilevel"/>
    <w:tmpl w:val="97F043D8"/>
    <w:lvl w:ilvl="0" w:tplc="32DA1E4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F7C1CBB"/>
    <w:multiLevelType w:val="hybridMultilevel"/>
    <w:tmpl w:val="762AA33A"/>
    <w:lvl w:ilvl="0" w:tplc="04520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1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C3CEF"/>
    <w:multiLevelType w:val="multilevel"/>
    <w:tmpl w:val="64AC9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</w:lvl>
  </w:abstractNum>
  <w:abstractNum w:abstractNumId="26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27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26"/>
  </w:num>
  <w:num w:numId="5">
    <w:abstractNumId w:val="20"/>
  </w:num>
  <w:num w:numId="6">
    <w:abstractNumId w:val="5"/>
  </w:num>
  <w:num w:numId="7">
    <w:abstractNumId w:val="9"/>
  </w:num>
  <w:num w:numId="8">
    <w:abstractNumId w:val="18"/>
  </w:num>
  <w:num w:numId="9">
    <w:abstractNumId w:val="25"/>
  </w:num>
  <w:num w:numId="10">
    <w:abstractNumId w:val="16"/>
  </w:num>
  <w:num w:numId="11">
    <w:abstractNumId w:val="2"/>
  </w:num>
  <w:num w:numId="12">
    <w:abstractNumId w:val="14"/>
  </w:num>
  <w:num w:numId="13">
    <w:abstractNumId w:val="27"/>
  </w:num>
  <w:num w:numId="14">
    <w:abstractNumId w:val="21"/>
  </w:num>
  <w:num w:numId="15">
    <w:abstractNumId w:val="22"/>
  </w:num>
  <w:num w:numId="16">
    <w:abstractNumId w:val="12"/>
  </w:num>
  <w:num w:numId="17">
    <w:abstractNumId w:val="7"/>
  </w:num>
  <w:num w:numId="18">
    <w:abstractNumId w:val="8"/>
  </w:num>
  <w:num w:numId="19">
    <w:abstractNumId w:val="1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  <w:num w:numId="24">
    <w:abstractNumId w:val="11"/>
  </w:num>
  <w:num w:numId="25">
    <w:abstractNumId w:val="3"/>
  </w:num>
  <w:num w:numId="26">
    <w:abstractNumId w:val="19"/>
  </w:num>
  <w:num w:numId="27">
    <w:abstractNumId w:val="23"/>
  </w:num>
  <w:num w:numId="28">
    <w:abstractNumId w:val="15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ston, David">
    <w15:presenceInfo w15:providerId="AD" w15:userId="S-1-5-21-1705761367-2505620512-3895969145-3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3332"/>
    <w:rsid w:val="00012BEE"/>
    <w:rsid w:val="000171FC"/>
    <w:rsid w:val="000210EC"/>
    <w:rsid w:val="00025C10"/>
    <w:rsid w:val="000261F6"/>
    <w:rsid w:val="00034899"/>
    <w:rsid w:val="000413DA"/>
    <w:rsid w:val="000426AF"/>
    <w:rsid w:val="00044CD7"/>
    <w:rsid w:val="00050F6B"/>
    <w:rsid w:val="0005340B"/>
    <w:rsid w:val="00057262"/>
    <w:rsid w:val="00057EF1"/>
    <w:rsid w:val="00060C82"/>
    <w:rsid w:val="00067341"/>
    <w:rsid w:val="00072C8C"/>
    <w:rsid w:val="0007325A"/>
    <w:rsid w:val="00080F0A"/>
    <w:rsid w:val="00083A13"/>
    <w:rsid w:val="00085784"/>
    <w:rsid w:val="00090473"/>
    <w:rsid w:val="000918C2"/>
    <w:rsid w:val="000931C0"/>
    <w:rsid w:val="00094053"/>
    <w:rsid w:val="000B0DCA"/>
    <w:rsid w:val="000B175B"/>
    <w:rsid w:val="000B3A0F"/>
    <w:rsid w:val="000C64FF"/>
    <w:rsid w:val="000C69A6"/>
    <w:rsid w:val="000D13B5"/>
    <w:rsid w:val="000E0415"/>
    <w:rsid w:val="000E2262"/>
    <w:rsid w:val="000E2F43"/>
    <w:rsid w:val="000E2FEC"/>
    <w:rsid w:val="000E5884"/>
    <w:rsid w:val="00105FDD"/>
    <w:rsid w:val="0011529F"/>
    <w:rsid w:val="001156AA"/>
    <w:rsid w:val="001220B8"/>
    <w:rsid w:val="001262C0"/>
    <w:rsid w:val="00126EA1"/>
    <w:rsid w:val="001336B2"/>
    <w:rsid w:val="00133C7A"/>
    <w:rsid w:val="00133ED6"/>
    <w:rsid w:val="00137553"/>
    <w:rsid w:val="001418E8"/>
    <w:rsid w:val="00145FFD"/>
    <w:rsid w:val="001506C9"/>
    <w:rsid w:val="001604C0"/>
    <w:rsid w:val="00161DED"/>
    <w:rsid w:val="00162157"/>
    <w:rsid w:val="00162703"/>
    <w:rsid w:val="00166DD2"/>
    <w:rsid w:val="00172A5D"/>
    <w:rsid w:val="00173C41"/>
    <w:rsid w:val="00173E97"/>
    <w:rsid w:val="001811F3"/>
    <w:rsid w:val="001832E3"/>
    <w:rsid w:val="00186037"/>
    <w:rsid w:val="001A00CE"/>
    <w:rsid w:val="001B4B04"/>
    <w:rsid w:val="001B7882"/>
    <w:rsid w:val="001C0A2D"/>
    <w:rsid w:val="001C2917"/>
    <w:rsid w:val="001C6663"/>
    <w:rsid w:val="001C719B"/>
    <w:rsid w:val="001C7895"/>
    <w:rsid w:val="001D26DF"/>
    <w:rsid w:val="001D3183"/>
    <w:rsid w:val="001E0EC3"/>
    <w:rsid w:val="001E2993"/>
    <w:rsid w:val="001E2A42"/>
    <w:rsid w:val="001E428B"/>
    <w:rsid w:val="001E4813"/>
    <w:rsid w:val="00202F2F"/>
    <w:rsid w:val="0020313C"/>
    <w:rsid w:val="00211E0B"/>
    <w:rsid w:val="0021245D"/>
    <w:rsid w:val="00230C96"/>
    <w:rsid w:val="00232E70"/>
    <w:rsid w:val="002405A7"/>
    <w:rsid w:val="00240C33"/>
    <w:rsid w:val="00241101"/>
    <w:rsid w:val="00246F3E"/>
    <w:rsid w:val="00247F42"/>
    <w:rsid w:val="00254938"/>
    <w:rsid w:val="00260DAB"/>
    <w:rsid w:val="00261C17"/>
    <w:rsid w:val="00267F1A"/>
    <w:rsid w:val="00270492"/>
    <w:rsid w:val="002775FB"/>
    <w:rsid w:val="00280C9A"/>
    <w:rsid w:val="00281563"/>
    <w:rsid w:val="00282F16"/>
    <w:rsid w:val="00291560"/>
    <w:rsid w:val="0029653B"/>
    <w:rsid w:val="0029712C"/>
    <w:rsid w:val="002B4232"/>
    <w:rsid w:val="002D5E30"/>
    <w:rsid w:val="002D78BB"/>
    <w:rsid w:val="002E03D9"/>
    <w:rsid w:val="002E42C4"/>
    <w:rsid w:val="002E45A0"/>
    <w:rsid w:val="002E4DC6"/>
    <w:rsid w:val="002E6B09"/>
    <w:rsid w:val="002F6E0F"/>
    <w:rsid w:val="003025AB"/>
    <w:rsid w:val="00302CC0"/>
    <w:rsid w:val="00303038"/>
    <w:rsid w:val="003107FA"/>
    <w:rsid w:val="00311C15"/>
    <w:rsid w:val="00317109"/>
    <w:rsid w:val="003229D8"/>
    <w:rsid w:val="0033069A"/>
    <w:rsid w:val="00330D86"/>
    <w:rsid w:val="00334089"/>
    <w:rsid w:val="0033745A"/>
    <w:rsid w:val="00341EB4"/>
    <w:rsid w:val="00355FB8"/>
    <w:rsid w:val="0036347F"/>
    <w:rsid w:val="00365502"/>
    <w:rsid w:val="00373FC5"/>
    <w:rsid w:val="003742FC"/>
    <w:rsid w:val="00391104"/>
    <w:rsid w:val="0039277A"/>
    <w:rsid w:val="003972E0"/>
    <w:rsid w:val="0039798C"/>
    <w:rsid w:val="00397DE2"/>
    <w:rsid w:val="003A0867"/>
    <w:rsid w:val="003A2B2B"/>
    <w:rsid w:val="003A7F0D"/>
    <w:rsid w:val="003B0241"/>
    <w:rsid w:val="003B16CF"/>
    <w:rsid w:val="003C2CC4"/>
    <w:rsid w:val="003C3936"/>
    <w:rsid w:val="003D4B23"/>
    <w:rsid w:val="003D5BA1"/>
    <w:rsid w:val="003E7507"/>
    <w:rsid w:val="003F1ED3"/>
    <w:rsid w:val="003F32D9"/>
    <w:rsid w:val="003F6500"/>
    <w:rsid w:val="00403098"/>
    <w:rsid w:val="00403EAE"/>
    <w:rsid w:val="004143A7"/>
    <w:rsid w:val="00424A40"/>
    <w:rsid w:val="00427EC1"/>
    <w:rsid w:val="004325CB"/>
    <w:rsid w:val="00435726"/>
    <w:rsid w:val="00435EE3"/>
    <w:rsid w:val="00436DEF"/>
    <w:rsid w:val="00442BB5"/>
    <w:rsid w:val="00443C1D"/>
    <w:rsid w:val="00446DE4"/>
    <w:rsid w:val="00447ACD"/>
    <w:rsid w:val="004501A7"/>
    <w:rsid w:val="004532E1"/>
    <w:rsid w:val="00456600"/>
    <w:rsid w:val="00465AC8"/>
    <w:rsid w:val="004735DE"/>
    <w:rsid w:val="0047798C"/>
    <w:rsid w:val="0048539B"/>
    <w:rsid w:val="0048605D"/>
    <w:rsid w:val="0049238A"/>
    <w:rsid w:val="004936EA"/>
    <w:rsid w:val="004949D0"/>
    <w:rsid w:val="004A0699"/>
    <w:rsid w:val="004A0F33"/>
    <w:rsid w:val="004A41CA"/>
    <w:rsid w:val="004A7FFD"/>
    <w:rsid w:val="004B1385"/>
    <w:rsid w:val="004B394B"/>
    <w:rsid w:val="004B40B2"/>
    <w:rsid w:val="004C3136"/>
    <w:rsid w:val="004E0E90"/>
    <w:rsid w:val="004F4928"/>
    <w:rsid w:val="004F721F"/>
    <w:rsid w:val="004F7E77"/>
    <w:rsid w:val="00500AC6"/>
    <w:rsid w:val="00503228"/>
    <w:rsid w:val="00505384"/>
    <w:rsid w:val="00512AD1"/>
    <w:rsid w:val="00514641"/>
    <w:rsid w:val="005275C3"/>
    <w:rsid w:val="005311FB"/>
    <w:rsid w:val="0053290B"/>
    <w:rsid w:val="005414C0"/>
    <w:rsid w:val="005420F2"/>
    <w:rsid w:val="00543E64"/>
    <w:rsid w:val="00557BBE"/>
    <w:rsid w:val="005602BC"/>
    <w:rsid w:val="00564A8C"/>
    <w:rsid w:val="0056584E"/>
    <w:rsid w:val="00567492"/>
    <w:rsid w:val="00582EEE"/>
    <w:rsid w:val="00587909"/>
    <w:rsid w:val="00592B8C"/>
    <w:rsid w:val="00596017"/>
    <w:rsid w:val="0059637C"/>
    <w:rsid w:val="005964D7"/>
    <w:rsid w:val="00596940"/>
    <w:rsid w:val="005A6006"/>
    <w:rsid w:val="005B12DD"/>
    <w:rsid w:val="005B3DB3"/>
    <w:rsid w:val="005B675E"/>
    <w:rsid w:val="005B793F"/>
    <w:rsid w:val="005D01BA"/>
    <w:rsid w:val="005D0566"/>
    <w:rsid w:val="005D69A1"/>
    <w:rsid w:val="005D74E8"/>
    <w:rsid w:val="005E28B6"/>
    <w:rsid w:val="005E3584"/>
    <w:rsid w:val="005F1684"/>
    <w:rsid w:val="005F491C"/>
    <w:rsid w:val="005F57B5"/>
    <w:rsid w:val="00603986"/>
    <w:rsid w:val="00610339"/>
    <w:rsid w:val="00611FB1"/>
    <w:rsid w:val="00611FC4"/>
    <w:rsid w:val="00612127"/>
    <w:rsid w:val="00612594"/>
    <w:rsid w:val="00613135"/>
    <w:rsid w:val="00613225"/>
    <w:rsid w:val="0061540F"/>
    <w:rsid w:val="00615ADE"/>
    <w:rsid w:val="00615BEE"/>
    <w:rsid w:val="006176FB"/>
    <w:rsid w:val="0062323E"/>
    <w:rsid w:val="00624AAB"/>
    <w:rsid w:val="00624CB0"/>
    <w:rsid w:val="00627ED0"/>
    <w:rsid w:val="00633F2A"/>
    <w:rsid w:val="0063576C"/>
    <w:rsid w:val="006362E9"/>
    <w:rsid w:val="00637C1A"/>
    <w:rsid w:val="00640B26"/>
    <w:rsid w:val="0064418D"/>
    <w:rsid w:val="006522E7"/>
    <w:rsid w:val="00652520"/>
    <w:rsid w:val="00660094"/>
    <w:rsid w:val="00660E37"/>
    <w:rsid w:val="00665396"/>
    <w:rsid w:val="00665595"/>
    <w:rsid w:val="00677071"/>
    <w:rsid w:val="00694FF3"/>
    <w:rsid w:val="00695A9B"/>
    <w:rsid w:val="006A68AB"/>
    <w:rsid w:val="006A7392"/>
    <w:rsid w:val="006A7A99"/>
    <w:rsid w:val="006B20B5"/>
    <w:rsid w:val="006B4ADA"/>
    <w:rsid w:val="006B5B7C"/>
    <w:rsid w:val="006C13D4"/>
    <w:rsid w:val="006C52A3"/>
    <w:rsid w:val="006D5429"/>
    <w:rsid w:val="006D7CD5"/>
    <w:rsid w:val="006E0290"/>
    <w:rsid w:val="006E0A8C"/>
    <w:rsid w:val="006E564B"/>
    <w:rsid w:val="006F02D2"/>
    <w:rsid w:val="006F1EFF"/>
    <w:rsid w:val="007032EE"/>
    <w:rsid w:val="00704BCD"/>
    <w:rsid w:val="007218CD"/>
    <w:rsid w:val="0072632A"/>
    <w:rsid w:val="00733AAE"/>
    <w:rsid w:val="00735F8E"/>
    <w:rsid w:val="00744DCF"/>
    <w:rsid w:val="00760441"/>
    <w:rsid w:val="007675D8"/>
    <w:rsid w:val="00771D8B"/>
    <w:rsid w:val="00772712"/>
    <w:rsid w:val="00772BD6"/>
    <w:rsid w:val="00773288"/>
    <w:rsid w:val="0077426A"/>
    <w:rsid w:val="00774A1A"/>
    <w:rsid w:val="007756DC"/>
    <w:rsid w:val="00780488"/>
    <w:rsid w:val="00782570"/>
    <w:rsid w:val="00783A99"/>
    <w:rsid w:val="00784BBB"/>
    <w:rsid w:val="0079606E"/>
    <w:rsid w:val="00796E0D"/>
    <w:rsid w:val="007A1923"/>
    <w:rsid w:val="007B204D"/>
    <w:rsid w:val="007B3310"/>
    <w:rsid w:val="007B5103"/>
    <w:rsid w:val="007B5960"/>
    <w:rsid w:val="007B6BA5"/>
    <w:rsid w:val="007B6F24"/>
    <w:rsid w:val="007B7EB1"/>
    <w:rsid w:val="007C0E2E"/>
    <w:rsid w:val="007C3390"/>
    <w:rsid w:val="007C4F4B"/>
    <w:rsid w:val="007C4F77"/>
    <w:rsid w:val="007D1BCB"/>
    <w:rsid w:val="007D3ADF"/>
    <w:rsid w:val="007D4DE2"/>
    <w:rsid w:val="007E028F"/>
    <w:rsid w:val="007E0778"/>
    <w:rsid w:val="007F0B83"/>
    <w:rsid w:val="007F272B"/>
    <w:rsid w:val="007F4FCD"/>
    <w:rsid w:val="007F6611"/>
    <w:rsid w:val="007F768B"/>
    <w:rsid w:val="00805178"/>
    <w:rsid w:val="00811877"/>
    <w:rsid w:val="008175E9"/>
    <w:rsid w:val="00820837"/>
    <w:rsid w:val="00821CC5"/>
    <w:rsid w:val="008242D7"/>
    <w:rsid w:val="00826BFB"/>
    <w:rsid w:val="00827E05"/>
    <w:rsid w:val="00830DAF"/>
    <w:rsid w:val="008311A3"/>
    <w:rsid w:val="008467F9"/>
    <w:rsid w:val="008577F2"/>
    <w:rsid w:val="00860A33"/>
    <w:rsid w:val="0086423F"/>
    <w:rsid w:val="008703E7"/>
    <w:rsid w:val="00871FD5"/>
    <w:rsid w:val="00872C11"/>
    <w:rsid w:val="00873B3B"/>
    <w:rsid w:val="00874E70"/>
    <w:rsid w:val="00876710"/>
    <w:rsid w:val="00884D20"/>
    <w:rsid w:val="008979B1"/>
    <w:rsid w:val="008A296D"/>
    <w:rsid w:val="008A6B25"/>
    <w:rsid w:val="008A6C4F"/>
    <w:rsid w:val="008B01F9"/>
    <w:rsid w:val="008B0E1D"/>
    <w:rsid w:val="008B411B"/>
    <w:rsid w:val="008B6F6E"/>
    <w:rsid w:val="008D54CD"/>
    <w:rsid w:val="008E09AC"/>
    <w:rsid w:val="008E0E46"/>
    <w:rsid w:val="008E3D2D"/>
    <w:rsid w:val="008F1782"/>
    <w:rsid w:val="008F4AB2"/>
    <w:rsid w:val="00903E58"/>
    <w:rsid w:val="00906E93"/>
    <w:rsid w:val="0090771C"/>
    <w:rsid w:val="00907AD2"/>
    <w:rsid w:val="009104B2"/>
    <w:rsid w:val="009111C7"/>
    <w:rsid w:val="0091455F"/>
    <w:rsid w:val="0092035F"/>
    <w:rsid w:val="00921B66"/>
    <w:rsid w:val="00922876"/>
    <w:rsid w:val="00925353"/>
    <w:rsid w:val="00934214"/>
    <w:rsid w:val="009402C2"/>
    <w:rsid w:val="00940685"/>
    <w:rsid w:val="00941D3C"/>
    <w:rsid w:val="00951741"/>
    <w:rsid w:val="009616A8"/>
    <w:rsid w:val="009619F2"/>
    <w:rsid w:val="00963CBA"/>
    <w:rsid w:val="009647D9"/>
    <w:rsid w:val="00971294"/>
    <w:rsid w:val="009727E1"/>
    <w:rsid w:val="009749EA"/>
    <w:rsid w:val="00974A8D"/>
    <w:rsid w:val="00975AAB"/>
    <w:rsid w:val="009772DC"/>
    <w:rsid w:val="0097794A"/>
    <w:rsid w:val="0099001C"/>
    <w:rsid w:val="00991261"/>
    <w:rsid w:val="009A3BA9"/>
    <w:rsid w:val="009B10F0"/>
    <w:rsid w:val="009B4ACF"/>
    <w:rsid w:val="009C418B"/>
    <w:rsid w:val="009D1BEF"/>
    <w:rsid w:val="009E0F2F"/>
    <w:rsid w:val="009F3A17"/>
    <w:rsid w:val="009F4329"/>
    <w:rsid w:val="00A071D1"/>
    <w:rsid w:val="00A11C1F"/>
    <w:rsid w:val="00A1427D"/>
    <w:rsid w:val="00A1540E"/>
    <w:rsid w:val="00A304F8"/>
    <w:rsid w:val="00A3172C"/>
    <w:rsid w:val="00A320C7"/>
    <w:rsid w:val="00A33628"/>
    <w:rsid w:val="00A37B8D"/>
    <w:rsid w:val="00A4329A"/>
    <w:rsid w:val="00A4390F"/>
    <w:rsid w:val="00A47FEB"/>
    <w:rsid w:val="00A51BA2"/>
    <w:rsid w:val="00A72F22"/>
    <w:rsid w:val="00A748A6"/>
    <w:rsid w:val="00A805EB"/>
    <w:rsid w:val="00A8121B"/>
    <w:rsid w:val="00A879A4"/>
    <w:rsid w:val="00AA048B"/>
    <w:rsid w:val="00AA59B9"/>
    <w:rsid w:val="00AB6DCD"/>
    <w:rsid w:val="00AC0759"/>
    <w:rsid w:val="00AC3F5A"/>
    <w:rsid w:val="00AD3A50"/>
    <w:rsid w:val="00AD701B"/>
    <w:rsid w:val="00AD7C47"/>
    <w:rsid w:val="00AE0162"/>
    <w:rsid w:val="00AE0873"/>
    <w:rsid w:val="00AE3D03"/>
    <w:rsid w:val="00AE52B5"/>
    <w:rsid w:val="00AF04A4"/>
    <w:rsid w:val="00AF0D0C"/>
    <w:rsid w:val="00AF4E86"/>
    <w:rsid w:val="00AF5010"/>
    <w:rsid w:val="00AF5976"/>
    <w:rsid w:val="00B04F48"/>
    <w:rsid w:val="00B109BD"/>
    <w:rsid w:val="00B10A66"/>
    <w:rsid w:val="00B12377"/>
    <w:rsid w:val="00B12EF7"/>
    <w:rsid w:val="00B16F5D"/>
    <w:rsid w:val="00B30179"/>
    <w:rsid w:val="00B33D93"/>
    <w:rsid w:val="00B33EC0"/>
    <w:rsid w:val="00B356B8"/>
    <w:rsid w:val="00B35B6B"/>
    <w:rsid w:val="00B37A59"/>
    <w:rsid w:val="00B45CC5"/>
    <w:rsid w:val="00B52A3E"/>
    <w:rsid w:val="00B55627"/>
    <w:rsid w:val="00B6108E"/>
    <w:rsid w:val="00B625AB"/>
    <w:rsid w:val="00B62B55"/>
    <w:rsid w:val="00B712CD"/>
    <w:rsid w:val="00B72447"/>
    <w:rsid w:val="00B81E12"/>
    <w:rsid w:val="00B84EA9"/>
    <w:rsid w:val="00B912BE"/>
    <w:rsid w:val="00B93121"/>
    <w:rsid w:val="00BA0EA4"/>
    <w:rsid w:val="00BA6971"/>
    <w:rsid w:val="00BC74E9"/>
    <w:rsid w:val="00BD14E2"/>
    <w:rsid w:val="00BD2146"/>
    <w:rsid w:val="00BD253D"/>
    <w:rsid w:val="00BD2A07"/>
    <w:rsid w:val="00BD3F6C"/>
    <w:rsid w:val="00BD4FA8"/>
    <w:rsid w:val="00BE4F74"/>
    <w:rsid w:val="00BE618E"/>
    <w:rsid w:val="00BE74EF"/>
    <w:rsid w:val="00BF0594"/>
    <w:rsid w:val="00BF34E3"/>
    <w:rsid w:val="00BF5C71"/>
    <w:rsid w:val="00BF6291"/>
    <w:rsid w:val="00C04153"/>
    <w:rsid w:val="00C143B4"/>
    <w:rsid w:val="00C17699"/>
    <w:rsid w:val="00C20118"/>
    <w:rsid w:val="00C21674"/>
    <w:rsid w:val="00C223EC"/>
    <w:rsid w:val="00C27298"/>
    <w:rsid w:val="00C27434"/>
    <w:rsid w:val="00C309A6"/>
    <w:rsid w:val="00C31B61"/>
    <w:rsid w:val="00C3396E"/>
    <w:rsid w:val="00C407EE"/>
    <w:rsid w:val="00C41A28"/>
    <w:rsid w:val="00C45639"/>
    <w:rsid w:val="00C463DD"/>
    <w:rsid w:val="00C54CCB"/>
    <w:rsid w:val="00C54FF0"/>
    <w:rsid w:val="00C56170"/>
    <w:rsid w:val="00C65812"/>
    <w:rsid w:val="00C70D56"/>
    <w:rsid w:val="00C7383C"/>
    <w:rsid w:val="00C73C64"/>
    <w:rsid w:val="00C745C3"/>
    <w:rsid w:val="00C74DB9"/>
    <w:rsid w:val="00C756ED"/>
    <w:rsid w:val="00C75C4B"/>
    <w:rsid w:val="00C77A18"/>
    <w:rsid w:val="00C8012E"/>
    <w:rsid w:val="00C84FF4"/>
    <w:rsid w:val="00C87A98"/>
    <w:rsid w:val="00C92E61"/>
    <w:rsid w:val="00C94465"/>
    <w:rsid w:val="00CA2B7F"/>
    <w:rsid w:val="00CA4B0E"/>
    <w:rsid w:val="00CA5B67"/>
    <w:rsid w:val="00CD455E"/>
    <w:rsid w:val="00CD6661"/>
    <w:rsid w:val="00CE3368"/>
    <w:rsid w:val="00CE4A8F"/>
    <w:rsid w:val="00CE5435"/>
    <w:rsid w:val="00CF41EA"/>
    <w:rsid w:val="00CF4B7F"/>
    <w:rsid w:val="00CF5B31"/>
    <w:rsid w:val="00D0099B"/>
    <w:rsid w:val="00D02F6D"/>
    <w:rsid w:val="00D03F43"/>
    <w:rsid w:val="00D11A2D"/>
    <w:rsid w:val="00D2031B"/>
    <w:rsid w:val="00D228C0"/>
    <w:rsid w:val="00D25FE2"/>
    <w:rsid w:val="00D317BB"/>
    <w:rsid w:val="00D3281C"/>
    <w:rsid w:val="00D3344B"/>
    <w:rsid w:val="00D43252"/>
    <w:rsid w:val="00D4433A"/>
    <w:rsid w:val="00D44EAE"/>
    <w:rsid w:val="00D8399D"/>
    <w:rsid w:val="00D91497"/>
    <w:rsid w:val="00D924F4"/>
    <w:rsid w:val="00D978C6"/>
    <w:rsid w:val="00D978F3"/>
    <w:rsid w:val="00DA67AD"/>
    <w:rsid w:val="00DB5D0F"/>
    <w:rsid w:val="00DB79B2"/>
    <w:rsid w:val="00DC0141"/>
    <w:rsid w:val="00DC1A84"/>
    <w:rsid w:val="00DC3242"/>
    <w:rsid w:val="00DD222A"/>
    <w:rsid w:val="00DE379C"/>
    <w:rsid w:val="00DE3A0C"/>
    <w:rsid w:val="00DE78DA"/>
    <w:rsid w:val="00DF12F7"/>
    <w:rsid w:val="00E02C81"/>
    <w:rsid w:val="00E05E6F"/>
    <w:rsid w:val="00E130AB"/>
    <w:rsid w:val="00E148E7"/>
    <w:rsid w:val="00E16031"/>
    <w:rsid w:val="00E201CB"/>
    <w:rsid w:val="00E2307D"/>
    <w:rsid w:val="00E24B3E"/>
    <w:rsid w:val="00E25A99"/>
    <w:rsid w:val="00E31E80"/>
    <w:rsid w:val="00E33C28"/>
    <w:rsid w:val="00E37E28"/>
    <w:rsid w:val="00E4094C"/>
    <w:rsid w:val="00E41868"/>
    <w:rsid w:val="00E42808"/>
    <w:rsid w:val="00E43853"/>
    <w:rsid w:val="00E470C5"/>
    <w:rsid w:val="00E54137"/>
    <w:rsid w:val="00E62142"/>
    <w:rsid w:val="00E7260F"/>
    <w:rsid w:val="00E7733E"/>
    <w:rsid w:val="00E86543"/>
    <w:rsid w:val="00E86D1F"/>
    <w:rsid w:val="00E87921"/>
    <w:rsid w:val="00E93B8F"/>
    <w:rsid w:val="00E96630"/>
    <w:rsid w:val="00EA264E"/>
    <w:rsid w:val="00EA5690"/>
    <w:rsid w:val="00EB31E8"/>
    <w:rsid w:val="00EB7B03"/>
    <w:rsid w:val="00EC1DA2"/>
    <w:rsid w:val="00EC3C48"/>
    <w:rsid w:val="00EC3D7E"/>
    <w:rsid w:val="00EC4291"/>
    <w:rsid w:val="00EC5A8A"/>
    <w:rsid w:val="00EC7CB8"/>
    <w:rsid w:val="00ED42EB"/>
    <w:rsid w:val="00ED7A2A"/>
    <w:rsid w:val="00ED7E78"/>
    <w:rsid w:val="00EE5D7E"/>
    <w:rsid w:val="00EE6D04"/>
    <w:rsid w:val="00EE6DBA"/>
    <w:rsid w:val="00EF1D7F"/>
    <w:rsid w:val="00EF31CF"/>
    <w:rsid w:val="00EF381F"/>
    <w:rsid w:val="00EF49AF"/>
    <w:rsid w:val="00EF66AA"/>
    <w:rsid w:val="00EF7873"/>
    <w:rsid w:val="00F0058A"/>
    <w:rsid w:val="00F065D0"/>
    <w:rsid w:val="00F06AE7"/>
    <w:rsid w:val="00F10CCD"/>
    <w:rsid w:val="00F13FE3"/>
    <w:rsid w:val="00F14C89"/>
    <w:rsid w:val="00F212B0"/>
    <w:rsid w:val="00F227EE"/>
    <w:rsid w:val="00F43F80"/>
    <w:rsid w:val="00F4559F"/>
    <w:rsid w:val="00F461BF"/>
    <w:rsid w:val="00F50610"/>
    <w:rsid w:val="00F53EDA"/>
    <w:rsid w:val="00F56BFE"/>
    <w:rsid w:val="00F6227B"/>
    <w:rsid w:val="00F65B42"/>
    <w:rsid w:val="00F66DFB"/>
    <w:rsid w:val="00F708A8"/>
    <w:rsid w:val="00F719A2"/>
    <w:rsid w:val="00F7753D"/>
    <w:rsid w:val="00F805CA"/>
    <w:rsid w:val="00F80636"/>
    <w:rsid w:val="00F83C0F"/>
    <w:rsid w:val="00F849F0"/>
    <w:rsid w:val="00F85F34"/>
    <w:rsid w:val="00F91C32"/>
    <w:rsid w:val="00F93D13"/>
    <w:rsid w:val="00F973FB"/>
    <w:rsid w:val="00FA06F7"/>
    <w:rsid w:val="00FA5CA3"/>
    <w:rsid w:val="00FA5F28"/>
    <w:rsid w:val="00FB171A"/>
    <w:rsid w:val="00FB24B1"/>
    <w:rsid w:val="00FB3D8C"/>
    <w:rsid w:val="00FC24D4"/>
    <w:rsid w:val="00FC68B7"/>
    <w:rsid w:val="00FD0E1B"/>
    <w:rsid w:val="00FD3F13"/>
    <w:rsid w:val="00FD7BF6"/>
    <w:rsid w:val="00FE13F7"/>
    <w:rsid w:val="00FE4A23"/>
    <w:rsid w:val="00FE646C"/>
    <w:rsid w:val="00FF0EC1"/>
    <w:rsid w:val="00FF116A"/>
    <w:rsid w:val="00FF3A32"/>
    <w:rsid w:val="00FF55DD"/>
    <w:rsid w:val="00FF567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F9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character" w:customStyle="1" w:styleId="FootnoteCharacters">
    <w:name w:val="Footnote Characters"/>
    <w:rsid w:val="00615ADE"/>
    <w:rPr>
      <w:rFonts w:ascii="Times New Roman" w:hAnsi="Times New Roman" w:cs="Times New Roman"/>
      <w:sz w:val="18"/>
      <w:vertAlign w:val="superscript"/>
    </w:rPr>
  </w:style>
  <w:style w:type="character" w:customStyle="1" w:styleId="FootnoteReference1">
    <w:name w:val="Footnote Reference1"/>
    <w:rsid w:val="00615ADE"/>
    <w:rPr>
      <w:rFonts w:ascii="Times New Roman" w:hAnsi="Times New Roman" w:cs="Times New Roman"/>
      <w:sz w:val="18"/>
      <w:vertAlign w:val="superscript"/>
    </w:rPr>
  </w:style>
  <w:style w:type="paragraph" w:customStyle="1" w:styleId="NormalWeb1">
    <w:name w:val="Normal (Web)1"/>
    <w:basedOn w:val="Normal"/>
    <w:rsid w:val="00615ADE"/>
    <w:pPr>
      <w:widowControl w:val="0"/>
      <w:spacing w:line="240" w:lineRule="auto"/>
    </w:pPr>
    <w:rPr>
      <w:rFonts w:eastAsia="Droid Sans" w:cs="FreeSans"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F93D13"/>
    <w:rPr>
      <w:rFonts w:ascii="Symbol" w:hAnsi="Symbol" w:cs="OpenSymbol"/>
      <w:lang w:val="en-GB"/>
    </w:rPr>
  </w:style>
  <w:style w:type="paragraph" w:customStyle="1" w:styleId="Default">
    <w:name w:val="Default"/>
    <w:rsid w:val="00B04F4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SingleTxtGCar">
    <w:name w:val="_ Single Txt_G Car"/>
    <w:link w:val="SingleTxtG"/>
    <w:locked/>
    <w:rsid w:val="00B04F48"/>
    <w:rPr>
      <w:lang w:eastAsia="en-US"/>
    </w:rPr>
  </w:style>
  <w:style w:type="paragraph" w:customStyle="1" w:styleId="ManualBodyText">
    <w:name w:val="Manual Body Text"/>
    <w:basedOn w:val="BodyText"/>
    <w:rsid w:val="00B04F48"/>
    <w:pPr>
      <w:numPr>
        <w:ilvl w:val="12"/>
      </w:numPr>
      <w:tabs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autoSpaceDE w:val="0"/>
      <w:autoSpaceDN w:val="0"/>
      <w:adjustRightInd w:val="0"/>
    </w:pPr>
    <w:rPr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character" w:customStyle="1" w:styleId="FootnoteCharacters">
    <w:name w:val="Footnote Characters"/>
    <w:rsid w:val="00615ADE"/>
    <w:rPr>
      <w:rFonts w:ascii="Times New Roman" w:hAnsi="Times New Roman" w:cs="Times New Roman"/>
      <w:sz w:val="18"/>
      <w:vertAlign w:val="superscript"/>
    </w:rPr>
  </w:style>
  <w:style w:type="character" w:customStyle="1" w:styleId="FootnoteReference1">
    <w:name w:val="Footnote Reference1"/>
    <w:rsid w:val="00615ADE"/>
    <w:rPr>
      <w:rFonts w:ascii="Times New Roman" w:hAnsi="Times New Roman" w:cs="Times New Roman"/>
      <w:sz w:val="18"/>
      <w:vertAlign w:val="superscript"/>
    </w:rPr>
  </w:style>
  <w:style w:type="paragraph" w:customStyle="1" w:styleId="NormalWeb1">
    <w:name w:val="Normal (Web)1"/>
    <w:basedOn w:val="Normal"/>
    <w:rsid w:val="00615ADE"/>
    <w:pPr>
      <w:widowControl w:val="0"/>
      <w:spacing w:line="240" w:lineRule="auto"/>
    </w:pPr>
    <w:rPr>
      <w:rFonts w:eastAsia="Droid Sans" w:cs="FreeSans"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F93D13"/>
    <w:rPr>
      <w:rFonts w:ascii="Symbol" w:hAnsi="Symbol" w:cs="OpenSymbol"/>
      <w:lang w:val="en-GB"/>
    </w:rPr>
  </w:style>
  <w:style w:type="paragraph" w:customStyle="1" w:styleId="Default">
    <w:name w:val="Default"/>
    <w:rsid w:val="00B04F4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SingleTxtGCar">
    <w:name w:val="_ Single Txt_G Car"/>
    <w:link w:val="SingleTxtG"/>
    <w:locked/>
    <w:rsid w:val="00B04F48"/>
    <w:rPr>
      <w:lang w:eastAsia="en-US"/>
    </w:rPr>
  </w:style>
  <w:style w:type="paragraph" w:customStyle="1" w:styleId="ManualBodyText">
    <w:name w:val="Manual Body Text"/>
    <w:basedOn w:val="BodyText"/>
    <w:rsid w:val="00B04F48"/>
    <w:pPr>
      <w:numPr>
        <w:ilvl w:val="12"/>
      </w:numPr>
      <w:tabs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autoSpaceDE w:val="0"/>
      <w:autoSpaceDN w:val="0"/>
      <w:adjustRightInd w:val="0"/>
    </w:pPr>
    <w:rPr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D9AC-9111-48CF-A395-7F78AF4F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10</TotalTime>
  <Pages>2</Pages>
  <Words>424</Words>
  <Characters>2435</Characters>
  <Application>Microsoft Office Word</Application>
  <DocSecurity>0</DocSecurity>
  <Lines>54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49th TDG WP to correct Section 1.1.2 of the MTC</vt:lpstr>
      <vt:lpstr>UN/SCEGHS/19/INF</vt:lpstr>
      <vt:lpstr>UN/SCEGHS/19/INF</vt:lpstr>
    </vt:vector>
  </TitlesOfParts>
  <Company>CSD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49th TDG WP to correct Section 1.1.2 of the MTC</dc:title>
  <dc:creator>dboston@ime.org</dc:creator>
  <cp:lastModifiedBy>Laurence Berthet</cp:lastModifiedBy>
  <cp:revision>6</cp:revision>
  <cp:lastPrinted>2016-04-01T14:08:00Z</cp:lastPrinted>
  <dcterms:created xsi:type="dcterms:W3CDTF">2016-03-31T11:32:00Z</dcterms:created>
  <dcterms:modified xsi:type="dcterms:W3CDTF">2016-04-01T14:08:00Z</dcterms:modified>
</cp:coreProperties>
</file>