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56552" w:rsidTr="00A32D41">
        <w:trPr>
          <w:trHeight w:val="851"/>
        </w:trPr>
        <w:tc>
          <w:tcPr>
            <w:tcW w:w="1259" w:type="dxa"/>
            <w:tcBorders>
              <w:top w:val="nil"/>
              <w:left w:val="nil"/>
              <w:bottom w:val="single" w:sz="4" w:space="0" w:color="auto"/>
              <w:right w:val="nil"/>
            </w:tcBorders>
          </w:tcPr>
          <w:p w:rsidR="00446DE4" w:rsidRPr="00756552" w:rsidRDefault="00446DE4" w:rsidP="00A32D41">
            <w:pPr>
              <w:spacing w:after="80" w:line="340" w:lineRule="exact"/>
            </w:pPr>
          </w:p>
        </w:tc>
        <w:tc>
          <w:tcPr>
            <w:tcW w:w="2236" w:type="dxa"/>
            <w:tcBorders>
              <w:top w:val="nil"/>
              <w:left w:val="nil"/>
              <w:bottom w:val="single" w:sz="4" w:space="0" w:color="auto"/>
              <w:right w:val="nil"/>
            </w:tcBorders>
            <w:vAlign w:val="bottom"/>
          </w:tcPr>
          <w:p w:rsidR="00446DE4" w:rsidRPr="00756552" w:rsidRDefault="00B3317B" w:rsidP="00A32D41">
            <w:pPr>
              <w:spacing w:after="80" w:line="340" w:lineRule="exact"/>
              <w:rPr>
                <w:sz w:val="28"/>
                <w:szCs w:val="28"/>
              </w:rPr>
            </w:pPr>
            <w:r w:rsidRPr="00756552">
              <w:rPr>
                <w:sz w:val="28"/>
                <w:szCs w:val="28"/>
              </w:rPr>
              <w:t>United Nations</w:t>
            </w:r>
          </w:p>
        </w:tc>
        <w:tc>
          <w:tcPr>
            <w:tcW w:w="6144" w:type="dxa"/>
            <w:gridSpan w:val="2"/>
            <w:tcBorders>
              <w:top w:val="nil"/>
              <w:left w:val="nil"/>
              <w:bottom w:val="single" w:sz="4" w:space="0" w:color="auto"/>
              <w:right w:val="nil"/>
            </w:tcBorders>
            <w:vAlign w:val="bottom"/>
          </w:tcPr>
          <w:p w:rsidR="00446DE4" w:rsidRPr="00756552" w:rsidRDefault="009461DD" w:rsidP="009A5B24">
            <w:pPr>
              <w:jc w:val="right"/>
            </w:pPr>
            <w:r w:rsidRPr="00756552">
              <w:rPr>
                <w:sz w:val="40"/>
              </w:rPr>
              <w:t>ST</w:t>
            </w:r>
            <w:r w:rsidR="003466AC" w:rsidRPr="00756552">
              <w:t>/</w:t>
            </w:r>
            <w:r w:rsidRPr="00756552">
              <w:t>SG</w:t>
            </w:r>
            <w:r w:rsidR="003466AC" w:rsidRPr="00756552">
              <w:t>/</w:t>
            </w:r>
            <w:r w:rsidRPr="00756552">
              <w:t>AC.10/C</w:t>
            </w:r>
            <w:r w:rsidR="003466AC" w:rsidRPr="00756552">
              <w:t>.3/</w:t>
            </w:r>
            <w:r w:rsidR="00BD10E7" w:rsidRPr="00756552">
              <w:t>201</w:t>
            </w:r>
            <w:r w:rsidR="005279D0" w:rsidRPr="00756552">
              <w:t>6</w:t>
            </w:r>
            <w:r w:rsidR="003466AC" w:rsidRPr="00756552">
              <w:t>/</w:t>
            </w:r>
            <w:r w:rsidR="009A5B24">
              <w:t>15</w:t>
            </w:r>
          </w:p>
        </w:tc>
      </w:tr>
      <w:tr w:rsidR="003107FA" w:rsidRPr="00756552" w:rsidTr="00A32D41">
        <w:trPr>
          <w:trHeight w:val="2835"/>
        </w:trPr>
        <w:tc>
          <w:tcPr>
            <w:tcW w:w="1259" w:type="dxa"/>
            <w:tcBorders>
              <w:top w:val="single" w:sz="4" w:space="0" w:color="auto"/>
              <w:left w:val="nil"/>
              <w:bottom w:val="single" w:sz="12" w:space="0" w:color="auto"/>
              <w:right w:val="nil"/>
            </w:tcBorders>
          </w:tcPr>
          <w:p w:rsidR="003107FA" w:rsidRPr="00756552" w:rsidRDefault="005132B7" w:rsidP="00A32D41">
            <w:pPr>
              <w:spacing w:before="120"/>
              <w:jc w:val="center"/>
            </w:pPr>
            <w:r w:rsidRPr="00756552">
              <w:rPr>
                <w:noProof/>
                <w:lang w:eastAsia="en-GB"/>
              </w:rPr>
              <w:drawing>
                <wp:inline distT="0" distB="0" distL="0" distR="0">
                  <wp:extent cx="711200" cy="58928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56552" w:rsidRDefault="00D96CC5" w:rsidP="00A32D41">
            <w:pPr>
              <w:spacing w:before="120" w:line="420" w:lineRule="exact"/>
              <w:rPr>
                <w:b/>
                <w:sz w:val="40"/>
                <w:szCs w:val="40"/>
              </w:rPr>
            </w:pPr>
            <w:r w:rsidRPr="00756552">
              <w:rPr>
                <w:b/>
                <w:sz w:val="40"/>
                <w:szCs w:val="40"/>
              </w:rPr>
              <w:t>Secretariat</w:t>
            </w:r>
          </w:p>
        </w:tc>
        <w:tc>
          <w:tcPr>
            <w:tcW w:w="2930" w:type="dxa"/>
            <w:tcBorders>
              <w:top w:val="single" w:sz="4" w:space="0" w:color="auto"/>
              <w:left w:val="nil"/>
              <w:bottom w:val="single" w:sz="12" w:space="0" w:color="auto"/>
              <w:right w:val="nil"/>
            </w:tcBorders>
          </w:tcPr>
          <w:p w:rsidR="003466AC" w:rsidRPr="00756552" w:rsidRDefault="003466AC" w:rsidP="00A32D41">
            <w:pPr>
              <w:spacing w:before="240" w:line="240" w:lineRule="exact"/>
            </w:pPr>
            <w:r w:rsidRPr="00756552">
              <w:t>Distr.: General</w:t>
            </w:r>
          </w:p>
          <w:p w:rsidR="003466AC" w:rsidRPr="00756552" w:rsidRDefault="000219BF" w:rsidP="00A32D41">
            <w:pPr>
              <w:spacing w:line="240" w:lineRule="exact"/>
            </w:pPr>
            <w:r>
              <w:t>11</w:t>
            </w:r>
            <w:bookmarkStart w:id="0" w:name="_GoBack"/>
            <w:bookmarkEnd w:id="0"/>
            <w:r w:rsidR="000E0662" w:rsidRPr="00756552">
              <w:t xml:space="preserve"> </w:t>
            </w:r>
            <w:r w:rsidR="000604BA" w:rsidRPr="00756552">
              <w:t>April</w:t>
            </w:r>
            <w:r w:rsidR="00B757DF" w:rsidRPr="00756552">
              <w:t xml:space="preserve"> </w:t>
            </w:r>
            <w:r w:rsidR="00230AFE" w:rsidRPr="00756552">
              <w:t>201</w:t>
            </w:r>
            <w:r w:rsidR="00870CE1" w:rsidRPr="00756552">
              <w:t>6</w:t>
            </w:r>
          </w:p>
          <w:p w:rsidR="003466AC" w:rsidRPr="00756552" w:rsidRDefault="003466AC" w:rsidP="00A32D41">
            <w:pPr>
              <w:spacing w:line="240" w:lineRule="exact"/>
            </w:pPr>
          </w:p>
          <w:p w:rsidR="003107FA" w:rsidRPr="00756552" w:rsidRDefault="003466AC" w:rsidP="00A32D41">
            <w:pPr>
              <w:spacing w:line="240" w:lineRule="exact"/>
            </w:pPr>
            <w:r w:rsidRPr="00756552">
              <w:t>Original: English</w:t>
            </w:r>
          </w:p>
        </w:tc>
      </w:tr>
    </w:tbl>
    <w:p w:rsidR="00D35506" w:rsidRPr="00756552" w:rsidRDefault="009F0F06" w:rsidP="005176CD">
      <w:pPr>
        <w:spacing w:before="120"/>
        <w:rPr>
          <w:b/>
          <w:sz w:val="24"/>
          <w:szCs w:val="24"/>
        </w:rPr>
      </w:pPr>
      <w:r w:rsidRPr="00756552">
        <w:rPr>
          <w:b/>
          <w:sz w:val="24"/>
          <w:szCs w:val="24"/>
        </w:rPr>
        <w:t>Committee of Experts on the Transport of Dangerous Goods</w:t>
      </w:r>
      <w:r w:rsidRPr="00756552">
        <w:rPr>
          <w:b/>
          <w:sz w:val="24"/>
          <w:szCs w:val="24"/>
        </w:rPr>
        <w:br/>
        <w:t>and on the Globally Harmonized System of Classification</w:t>
      </w:r>
      <w:r w:rsidRPr="00756552">
        <w:rPr>
          <w:b/>
          <w:sz w:val="24"/>
          <w:szCs w:val="24"/>
        </w:rPr>
        <w:br/>
        <w:t>and Labelling of Chemicals</w:t>
      </w:r>
    </w:p>
    <w:p w:rsidR="00041765" w:rsidRPr="00756552" w:rsidRDefault="00041765" w:rsidP="00041765">
      <w:pPr>
        <w:spacing w:before="120"/>
        <w:rPr>
          <w:b/>
        </w:rPr>
      </w:pPr>
      <w:r w:rsidRPr="00756552">
        <w:rPr>
          <w:b/>
        </w:rPr>
        <w:t xml:space="preserve">Sub-Committee of Experts on the Transport </w:t>
      </w:r>
      <w:r w:rsidRPr="00756552">
        <w:rPr>
          <w:b/>
        </w:rPr>
        <w:br/>
        <w:t xml:space="preserve">of Dangerous Goods </w:t>
      </w:r>
    </w:p>
    <w:p w:rsidR="00041765" w:rsidRPr="00756552" w:rsidRDefault="00041765" w:rsidP="005176CD">
      <w:pPr>
        <w:spacing w:before="120"/>
        <w:rPr>
          <w:b/>
        </w:rPr>
      </w:pPr>
      <w:r w:rsidRPr="00756552">
        <w:rPr>
          <w:b/>
        </w:rPr>
        <w:t xml:space="preserve">Forty-ninth </w:t>
      </w:r>
      <w:proofErr w:type="gramStart"/>
      <w:r w:rsidRPr="00756552">
        <w:rPr>
          <w:b/>
        </w:rPr>
        <w:t>session</w:t>
      </w:r>
      <w:proofErr w:type="gramEnd"/>
    </w:p>
    <w:p w:rsidR="00041765" w:rsidRPr="00756552" w:rsidRDefault="00041765" w:rsidP="00041765">
      <w:pPr>
        <w:rPr>
          <w:sz w:val="19"/>
          <w:szCs w:val="19"/>
        </w:rPr>
      </w:pPr>
      <w:r w:rsidRPr="00756552">
        <w:rPr>
          <w:sz w:val="19"/>
          <w:szCs w:val="19"/>
        </w:rPr>
        <w:t>Geneva, 27 June – 6 July 2016</w:t>
      </w:r>
    </w:p>
    <w:p w:rsidR="000604BA" w:rsidRPr="00756552" w:rsidRDefault="000604BA" w:rsidP="000604BA">
      <w:pPr>
        <w:rPr>
          <w:b/>
        </w:rPr>
      </w:pPr>
      <w:r w:rsidRPr="00756552">
        <w:t>Item 7 of the provisional agenda</w:t>
      </w:r>
      <w:r w:rsidRPr="00756552">
        <w:rPr>
          <w:b/>
        </w:rPr>
        <w:t xml:space="preserve"> </w:t>
      </w:r>
    </w:p>
    <w:p w:rsidR="000604BA" w:rsidRPr="00756552" w:rsidRDefault="000604BA" w:rsidP="000604BA">
      <w:pPr>
        <w:rPr>
          <w:b/>
        </w:rPr>
      </w:pPr>
      <w:r w:rsidRPr="00756552">
        <w:rPr>
          <w:b/>
        </w:rPr>
        <w:t xml:space="preserve">Global harmonization of transport of dangerous goods </w:t>
      </w:r>
    </w:p>
    <w:p w:rsidR="000604BA" w:rsidRPr="00756552" w:rsidRDefault="000604BA" w:rsidP="000604BA">
      <w:pPr>
        <w:pStyle w:val="HChG"/>
        <w:spacing w:before="0"/>
        <w:rPr>
          <w:rFonts w:eastAsia="MS Mincho"/>
          <w:lang w:eastAsia="ja-JP"/>
        </w:rPr>
      </w:pPr>
      <w:proofErr w:type="gramStart"/>
      <w:r w:rsidRPr="00756552">
        <w:rPr>
          <w:sz w:val="20"/>
        </w:rPr>
        <w:t>regulations</w:t>
      </w:r>
      <w:proofErr w:type="gramEnd"/>
      <w:r w:rsidRPr="00756552">
        <w:rPr>
          <w:sz w:val="20"/>
        </w:rPr>
        <w:t xml:space="preserve"> with the Model Regulations</w:t>
      </w:r>
    </w:p>
    <w:p w:rsidR="007656AE" w:rsidRPr="00756552" w:rsidRDefault="000604BA" w:rsidP="009A5B24">
      <w:pPr>
        <w:pStyle w:val="HChG"/>
      </w:pPr>
      <w:r w:rsidRPr="00756552">
        <w:tab/>
      </w:r>
      <w:r w:rsidRPr="00756552">
        <w:tab/>
        <w:t xml:space="preserve">Proposals to insert the definitions “Reference steel” and “Mild steel” in section 1.2.1 of the UN Model </w:t>
      </w:r>
      <w:r w:rsidRPr="009A5B24">
        <w:t>Regulations</w:t>
      </w:r>
    </w:p>
    <w:p w:rsidR="007656AE" w:rsidRPr="00756552" w:rsidRDefault="007656AE" w:rsidP="009A5B24">
      <w:pPr>
        <w:pStyle w:val="H1G"/>
      </w:pPr>
      <w:r w:rsidRPr="00756552">
        <w:rPr>
          <w:rFonts w:eastAsia="MS Mincho"/>
        </w:rPr>
        <w:tab/>
      </w:r>
      <w:r w:rsidRPr="00756552">
        <w:rPr>
          <w:rFonts w:eastAsia="MS Mincho"/>
        </w:rPr>
        <w:tab/>
      </w:r>
      <w:r w:rsidRPr="009A5B24">
        <w:rPr>
          <w:rFonts w:eastAsia="MS Mincho"/>
        </w:rPr>
        <w:t>Transmitted</w:t>
      </w:r>
      <w:r w:rsidRPr="00756552">
        <w:rPr>
          <w:rFonts w:eastAsia="MS Mincho"/>
        </w:rPr>
        <w:t xml:space="preserve"> by the </w:t>
      </w:r>
      <w:r w:rsidR="000604BA" w:rsidRPr="00756552">
        <w:rPr>
          <w:rFonts w:eastAsia="MS Mincho"/>
        </w:rPr>
        <w:t>observer</w:t>
      </w:r>
      <w:r w:rsidRPr="00756552">
        <w:rPr>
          <w:rFonts w:eastAsia="MS Mincho"/>
        </w:rPr>
        <w:t xml:space="preserve"> from </w:t>
      </w:r>
      <w:r w:rsidR="000604BA" w:rsidRPr="00756552">
        <w:rPr>
          <w:rFonts w:eastAsia="MS Mincho"/>
        </w:rPr>
        <w:t>Romania</w:t>
      </w:r>
      <w:r w:rsidRPr="00756552">
        <w:rPr>
          <w:rStyle w:val="FootnoteReference"/>
          <w:rFonts w:eastAsia="MS Mincho"/>
        </w:rPr>
        <w:footnoteReference w:id="2"/>
      </w:r>
    </w:p>
    <w:p w:rsidR="007656AE" w:rsidRPr="00756552" w:rsidRDefault="007656AE" w:rsidP="009A5B24">
      <w:pPr>
        <w:pStyle w:val="HChG"/>
      </w:pPr>
      <w:r w:rsidRPr="00756552">
        <w:tab/>
      </w:r>
      <w:r w:rsidRPr="00756552">
        <w:tab/>
      </w:r>
      <w:r w:rsidRPr="009A5B24">
        <w:t>Introduction</w:t>
      </w:r>
    </w:p>
    <w:p w:rsidR="000604BA" w:rsidRPr="00756552" w:rsidRDefault="00A51C77" w:rsidP="000604BA">
      <w:pPr>
        <w:pStyle w:val="SingleTxtG"/>
      </w:pPr>
      <w:r w:rsidRPr="00756552">
        <w:t>1.</w:t>
      </w:r>
      <w:r w:rsidR="004F1403" w:rsidRPr="00756552">
        <w:tab/>
      </w:r>
      <w:r w:rsidR="000604BA" w:rsidRPr="00756552">
        <w:t xml:space="preserve">The Romanian observer attending the forty-eighth session of the Sub-Committee of Experts on the Transport of Dangerous Goods of December 2015, proposed in documents </w:t>
      </w:r>
      <w:r w:rsidR="003E235B">
        <w:t>ST/SG/AC.10/C.3/</w:t>
      </w:r>
      <w:r w:rsidR="000604BA" w:rsidRPr="00756552">
        <w:t xml:space="preserve">2015/44 and </w:t>
      </w:r>
      <w:r w:rsidR="003E235B">
        <w:t>-/</w:t>
      </w:r>
      <w:r w:rsidR="000604BA" w:rsidRPr="00756552">
        <w:t xml:space="preserve">2015/55 </w:t>
      </w:r>
      <w:r w:rsidR="0065246B" w:rsidRPr="00756552">
        <w:t xml:space="preserve">to </w:t>
      </w:r>
      <w:r w:rsidR="000604BA" w:rsidRPr="00756552">
        <w:t xml:space="preserve">delete the </w:t>
      </w:r>
      <w:r w:rsidR="007640C9" w:rsidRPr="00756552">
        <w:t xml:space="preserve">“Reference steel” and “Mild steel” </w:t>
      </w:r>
      <w:r w:rsidR="000604BA" w:rsidRPr="00756552">
        <w:t xml:space="preserve">definitions in </w:t>
      </w:r>
      <w:r w:rsidR="007640C9" w:rsidRPr="00756552">
        <w:t xml:space="preserve">Chapter </w:t>
      </w:r>
      <w:r w:rsidR="000604BA" w:rsidRPr="00756552">
        <w:t xml:space="preserve">6.7 </w:t>
      </w:r>
      <w:r w:rsidR="001C7136">
        <w:t>and</w:t>
      </w:r>
      <w:r w:rsidR="000604BA" w:rsidRPr="00756552">
        <w:t xml:space="preserve"> mov</w:t>
      </w:r>
      <w:r w:rsidR="001C7136">
        <w:t>e</w:t>
      </w:r>
      <w:r w:rsidR="000604BA" w:rsidRPr="00756552">
        <w:t xml:space="preserve"> both</w:t>
      </w:r>
      <w:r w:rsidR="001C7136">
        <w:t xml:space="preserve"> definitions</w:t>
      </w:r>
      <w:r w:rsidR="000604BA" w:rsidRPr="00756552">
        <w:t xml:space="preserve"> in section 1.2.1.</w:t>
      </w:r>
    </w:p>
    <w:p w:rsidR="004F1403" w:rsidRPr="00756552" w:rsidRDefault="000604BA" w:rsidP="000604BA">
      <w:pPr>
        <w:pStyle w:val="SingleTxtG"/>
      </w:pPr>
      <w:r w:rsidRPr="00756552">
        <w:t>2.</w:t>
      </w:r>
      <w:r w:rsidRPr="00756552">
        <w:tab/>
        <w:t>The document</w:t>
      </w:r>
      <w:r w:rsidR="0065246B" w:rsidRPr="00756552">
        <w:t>s</w:t>
      </w:r>
      <w:r w:rsidRPr="00756552">
        <w:t xml:space="preserve"> </w:t>
      </w:r>
      <w:r w:rsidR="00842F5C" w:rsidRPr="00756552">
        <w:t>were</w:t>
      </w:r>
      <w:r w:rsidRPr="00756552">
        <w:t xml:space="preserve"> discussed and the Sub-Committee decided</w:t>
      </w:r>
      <w:r w:rsidR="003E235B">
        <w:t xml:space="preserve"> (ST/SG/AC.10/C.3/96), </w:t>
      </w:r>
      <w:r w:rsidRPr="00756552">
        <w:t>as follows:</w:t>
      </w:r>
    </w:p>
    <w:p w:rsidR="000604BA" w:rsidRPr="00756552" w:rsidRDefault="000604BA" w:rsidP="009A5B24">
      <w:pPr>
        <w:pStyle w:val="SingleTxtG"/>
        <w:spacing w:line="240" w:lineRule="auto"/>
        <w:ind w:left="1701"/>
        <w:rPr>
          <w:i/>
        </w:rPr>
      </w:pPr>
      <w:r w:rsidRPr="00756552">
        <w:rPr>
          <w:i/>
        </w:rPr>
        <w:t>“99.</w:t>
      </w:r>
      <w:r w:rsidRPr="00756552">
        <w:rPr>
          <w:i/>
        </w:rPr>
        <w:tab/>
        <w:t>The Sub-Committee noted that in RID and ADR, the definitions of “mild steel” and of “reference steel” were located in section 1.2.1 and in Chapter 6.7, while in the Model Regulations they were located in Chapter 6.7. Some delegations were reluctant to move these definitions to section 1.2.1 because the definition of “reference steel” is not the same when applied to IBCs, and the term “mild steel” is used in other chapters, e.g. Chapter 6.4 and experts for Class 7 should be consulted to check whether the definition in Chapter 6.7 was also appropriate in the context of Chapter 6.4.</w:t>
      </w:r>
    </w:p>
    <w:p w:rsidR="000604BA" w:rsidRPr="00756552" w:rsidRDefault="000604BA" w:rsidP="009A5B24">
      <w:pPr>
        <w:pStyle w:val="SingleTxtG"/>
        <w:spacing w:line="240" w:lineRule="auto"/>
        <w:ind w:left="1701"/>
        <w:rPr>
          <w:i/>
        </w:rPr>
      </w:pPr>
      <w:r w:rsidRPr="00756552">
        <w:rPr>
          <w:i/>
        </w:rPr>
        <w:lastRenderedPageBreak/>
        <w:t>100.</w:t>
      </w:r>
      <w:r w:rsidRPr="00756552">
        <w:rPr>
          <w:i/>
        </w:rPr>
        <w:tab/>
        <w:t>After discussion it was decided not to proceed with the proposed changes at this stage.</w:t>
      </w:r>
      <w:proofErr w:type="gramStart"/>
      <w:r w:rsidRPr="00756552">
        <w:rPr>
          <w:i/>
        </w:rPr>
        <w:t>”.</w:t>
      </w:r>
      <w:proofErr w:type="gramEnd"/>
    </w:p>
    <w:p w:rsidR="00EE27EF" w:rsidRPr="00756552" w:rsidRDefault="004F1403" w:rsidP="00EE27EF">
      <w:pPr>
        <w:pStyle w:val="SingleTxtG"/>
      </w:pPr>
      <w:r w:rsidRPr="00756552">
        <w:t>3.</w:t>
      </w:r>
      <w:r w:rsidRPr="00756552">
        <w:tab/>
      </w:r>
      <w:r w:rsidR="0065246B" w:rsidRPr="00756552">
        <w:t xml:space="preserve">In this situation, </w:t>
      </w:r>
      <w:r w:rsidR="003E235B">
        <w:t>The Government of Romania</w:t>
      </w:r>
      <w:r w:rsidR="0065246B" w:rsidRPr="00756552">
        <w:t xml:space="preserve"> prepared document </w:t>
      </w:r>
      <w:r w:rsidR="00B375CC" w:rsidRPr="00756552">
        <w:t xml:space="preserve">ECE/TRANS/WP.15/AC.1/2016/10 </w:t>
      </w:r>
      <w:r w:rsidR="003E235B">
        <w:t>for the M</w:t>
      </w:r>
      <w:r w:rsidR="0065246B" w:rsidRPr="00756552">
        <w:t xml:space="preserve">arch 2016 session of the </w:t>
      </w:r>
      <w:r w:rsidR="00B375CC" w:rsidRPr="00756552">
        <w:t xml:space="preserve">RID/ADR/ADN </w:t>
      </w:r>
      <w:r w:rsidR="003E235B">
        <w:t>Joint M</w:t>
      </w:r>
      <w:r w:rsidR="0065246B" w:rsidRPr="00756552">
        <w:t>eeting in order</w:t>
      </w:r>
      <w:r w:rsidR="00EE27EF" w:rsidRPr="00756552">
        <w:t>:</w:t>
      </w:r>
    </w:p>
    <w:p w:rsidR="00EE27EF" w:rsidRPr="00756552" w:rsidRDefault="009A5B24" w:rsidP="009A5B24">
      <w:pPr>
        <w:pStyle w:val="Bullet1G"/>
      </w:pPr>
      <w:r>
        <w:t>T</w:t>
      </w:r>
      <w:r w:rsidR="00EE27EF" w:rsidRPr="00756552">
        <w:t>o</w:t>
      </w:r>
      <w:r w:rsidR="0065246B" w:rsidRPr="00756552">
        <w:t xml:space="preserve"> </w:t>
      </w:r>
      <w:r w:rsidR="00EE27EF" w:rsidRPr="00756552">
        <w:t xml:space="preserve">inform </w:t>
      </w:r>
      <w:r w:rsidR="003E235B">
        <w:t>the Joint Meeting</w:t>
      </w:r>
      <w:r w:rsidR="00EE27EF" w:rsidRPr="00756552">
        <w:t xml:space="preserve"> about </w:t>
      </w:r>
      <w:r w:rsidR="00FA1E2B" w:rsidRPr="00756552">
        <w:t xml:space="preserve">the decision </w:t>
      </w:r>
      <w:r w:rsidR="00C35B98" w:rsidRPr="00756552">
        <w:t>taken by</w:t>
      </w:r>
      <w:r w:rsidR="00FA1E2B" w:rsidRPr="00756552">
        <w:t xml:space="preserve"> the </w:t>
      </w:r>
      <w:r w:rsidR="003E235B">
        <w:t>Sub-Committee;</w:t>
      </w:r>
      <w:r w:rsidR="00EE27EF" w:rsidRPr="00756552">
        <w:t xml:space="preserve"> </w:t>
      </w:r>
    </w:p>
    <w:p w:rsidR="00EE27EF" w:rsidRPr="00756552" w:rsidRDefault="009A5B24" w:rsidP="009A5B24">
      <w:pPr>
        <w:pStyle w:val="Bullet1G"/>
      </w:pPr>
      <w:r>
        <w:t>T</w:t>
      </w:r>
      <w:r w:rsidR="00FA1E2B" w:rsidRPr="00756552">
        <w:t xml:space="preserve">o </w:t>
      </w:r>
      <w:r w:rsidR="0065246B" w:rsidRPr="00756552">
        <w:t>analyse the situation in the Working Group on Tanks</w:t>
      </w:r>
      <w:r w:rsidR="003E235B">
        <w:t>;</w:t>
      </w:r>
      <w:r w:rsidR="0065246B" w:rsidRPr="00756552">
        <w:t xml:space="preserve"> and </w:t>
      </w:r>
    </w:p>
    <w:p w:rsidR="0065246B" w:rsidRPr="00756552" w:rsidRDefault="009A5B24" w:rsidP="009A5B24">
      <w:pPr>
        <w:pStyle w:val="Bullet1G"/>
      </w:pPr>
      <w:r>
        <w:t>T</w:t>
      </w:r>
      <w:r w:rsidR="0065246B" w:rsidRPr="00756552">
        <w:t>o inform the</w:t>
      </w:r>
      <w:r w:rsidR="003E235B">
        <w:t xml:space="preserve"> Joint M</w:t>
      </w:r>
      <w:r w:rsidR="00732175" w:rsidRPr="00756552">
        <w:t xml:space="preserve">eeting </w:t>
      </w:r>
      <w:r w:rsidR="00EE27EF" w:rsidRPr="00756552">
        <w:t xml:space="preserve">as well </w:t>
      </w:r>
      <w:r w:rsidR="00732175" w:rsidRPr="00756552">
        <w:t>about our understanding o</w:t>
      </w:r>
      <w:r w:rsidR="00B375CC" w:rsidRPr="00756552">
        <w:t>n</w:t>
      </w:r>
      <w:r w:rsidR="00732175" w:rsidRPr="00756552">
        <w:t xml:space="preserve"> </w:t>
      </w:r>
      <w:r w:rsidR="00B375CC" w:rsidRPr="00756552">
        <w:t xml:space="preserve">the </w:t>
      </w:r>
      <w:r w:rsidR="00091B37" w:rsidRPr="00756552">
        <w:t xml:space="preserve">consequences of </w:t>
      </w:r>
      <w:r w:rsidR="00732175" w:rsidRPr="00756552">
        <w:t xml:space="preserve">mild steel definition </w:t>
      </w:r>
      <w:r w:rsidR="00091B37" w:rsidRPr="00756552">
        <w:t>influence</w:t>
      </w:r>
      <w:r w:rsidR="00842F5C" w:rsidRPr="00756552">
        <w:t>s in</w:t>
      </w:r>
      <w:r w:rsidR="00091B37" w:rsidRPr="00756552">
        <w:t xml:space="preserve"> the test</w:t>
      </w:r>
      <w:r w:rsidR="00B375CC" w:rsidRPr="00756552">
        <w:t>s</w:t>
      </w:r>
      <w:r w:rsidR="00091B37" w:rsidRPr="00756552">
        <w:t xml:space="preserve"> of radioactive material.</w:t>
      </w:r>
    </w:p>
    <w:p w:rsidR="00B375CC" w:rsidRPr="00756552" w:rsidRDefault="00245539" w:rsidP="00B375CC">
      <w:pPr>
        <w:pStyle w:val="SingleTxtG"/>
      </w:pPr>
      <w:r w:rsidRPr="00756552">
        <w:t>4.</w:t>
      </w:r>
      <w:r w:rsidRPr="00756552">
        <w:tab/>
      </w:r>
      <w:r w:rsidR="00B375CC" w:rsidRPr="00756552">
        <w:t xml:space="preserve">The Working Group on Tanks met from 14 to 16 March 2016 on the basis of the mandate from the RID/ADR/ADN Joint Meeting and dealt with the aforementioned document. </w:t>
      </w:r>
      <w:r w:rsidR="003E235B">
        <w:t>The observer from Romania</w:t>
      </w:r>
      <w:r w:rsidR="00B375CC" w:rsidRPr="00756552">
        <w:t xml:space="preserve"> reproduce</w:t>
      </w:r>
      <w:r w:rsidR="003E235B">
        <w:t>s</w:t>
      </w:r>
      <w:r w:rsidR="00B375CC" w:rsidRPr="00756552">
        <w:t xml:space="preserve"> hereafter the relevant excerpt from the report of the Working Group on Tanks as reflected in informal document INF.61</w:t>
      </w:r>
      <w:r w:rsidR="003E235B">
        <w:t xml:space="preserve"> (ECE/TRANS/WP.15/AC.1/142/Add.1)</w:t>
      </w:r>
      <w:r w:rsidR="00B375CC" w:rsidRPr="00756552">
        <w:t>:</w:t>
      </w:r>
    </w:p>
    <w:p w:rsidR="00B375CC" w:rsidRPr="00756552" w:rsidRDefault="009A5B24" w:rsidP="009A5B24">
      <w:pPr>
        <w:pStyle w:val="H23G"/>
      </w:pPr>
      <w:r>
        <w:tab/>
      </w:r>
      <w:r>
        <w:tab/>
      </w:r>
      <w:r w:rsidR="00B375CC" w:rsidRPr="00756552">
        <w:t>“Item 1: ECE/TRANS/WP.15/AC.1/2016/10 (Romania) – Definitions of reference steel and mild steel.</w:t>
      </w:r>
    </w:p>
    <w:p w:rsidR="00B375CC" w:rsidRPr="00C91F88" w:rsidRDefault="009A5B24" w:rsidP="009A5B24">
      <w:pPr>
        <w:pStyle w:val="SingleTxtG"/>
        <w:rPr>
          <w:i/>
        </w:rPr>
      </w:pPr>
      <w:r w:rsidRPr="00C91F88">
        <w:rPr>
          <w:i/>
        </w:rPr>
        <w:t>5</w:t>
      </w:r>
      <w:r w:rsidR="00B375CC" w:rsidRPr="00C91F88">
        <w:rPr>
          <w:i/>
        </w:rPr>
        <w:t>.</w:t>
      </w:r>
      <w:r w:rsidR="00B375CC" w:rsidRPr="00C91F88">
        <w:rPr>
          <w:i/>
        </w:rPr>
        <w:tab/>
        <w:t>The intention of the document is to study the consequences of the deletion of the definitions of reference steel and mild steel in 6.7 in favour of those already present in 1.2.1 in RID/ADR. As requested by Romania the working group discussed the meaning of the definitions in the context of 2.2.7 in combination with 6.4, 6.5, 6.7 and 1.2.1 in combination with 6.8.</w:t>
      </w:r>
    </w:p>
    <w:p w:rsidR="00B375CC" w:rsidRPr="00C91F88" w:rsidRDefault="009A5B24" w:rsidP="009A5B24">
      <w:pPr>
        <w:pStyle w:val="SingleTxtG"/>
        <w:rPr>
          <w:i/>
        </w:rPr>
      </w:pPr>
      <w:r w:rsidRPr="00C91F88">
        <w:rPr>
          <w:i/>
        </w:rPr>
        <w:t>6</w:t>
      </w:r>
      <w:r w:rsidR="00B375CC" w:rsidRPr="00C91F88">
        <w:rPr>
          <w:i/>
        </w:rPr>
        <w:t>.</w:t>
      </w:r>
      <w:r w:rsidR="00B375CC" w:rsidRPr="00C91F88">
        <w:rPr>
          <w:i/>
        </w:rPr>
        <w:tab/>
        <w:t>The group could agree that the meaning and values of the definitions of mild steel and reference steel in 1.2.1 in combination with 6.8 and 6.7 have the same contents, despite some additional wording in the definition of mild steel in 6.7. On technical grounds there are no severe consequences to be expected by replacing the definitions of 6.7 by the definitions of 1.2.1.</w:t>
      </w:r>
    </w:p>
    <w:p w:rsidR="00B375CC" w:rsidRPr="00C91F88" w:rsidRDefault="009A5B24" w:rsidP="009A5B24">
      <w:pPr>
        <w:pStyle w:val="SingleTxtG"/>
        <w:rPr>
          <w:i/>
        </w:rPr>
      </w:pPr>
      <w:r w:rsidRPr="00C91F88">
        <w:rPr>
          <w:i/>
        </w:rPr>
        <w:t>7.</w:t>
      </w:r>
      <w:r w:rsidRPr="00C91F88">
        <w:rPr>
          <w:i/>
        </w:rPr>
        <w:tab/>
      </w:r>
      <w:r w:rsidR="00B375CC" w:rsidRPr="00C91F88">
        <w:rPr>
          <w:i/>
        </w:rPr>
        <w:t xml:space="preserve">However it was questioned if moving the definitions out of a set of approximately 15 other definitions in 6.7.2, 6.7.3 and 6.7.4 </w:t>
      </w:r>
      <w:r w:rsidR="00756552" w:rsidRPr="00C91F88">
        <w:rPr>
          <w:i/>
        </w:rPr>
        <w:t>would be a worthwhile exercise.</w:t>
      </w:r>
    </w:p>
    <w:p w:rsidR="00B375CC" w:rsidRPr="00C91F88" w:rsidRDefault="009A5B24" w:rsidP="009A5B24">
      <w:pPr>
        <w:pStyle w:val="SingleTxtG"/>
        <w:rPr>
          <w:i/>
        </w:rPr>
      </w:pPr>
      <w:r w:rsidRPr="00C91F88">
        <w:rPr>
          <w:i/>
        </w:rPr>
        <w:t>8</w:t>
      </w:r>
      <w:r w:rsidR="00B375CC" w:rsidRPr="00C91F88">
        <w:rPr>
          <w:i/>
        </w:rPr>
        <w:t>.</w:t>
      </w:r>
      <w:r w:rsidR="00B375CC" w:rsidRPr="00C91F88">
        <w:rPr>
          <w:i/>
        </w:rPr>
        <w:tab/>
        <w:t>Concerning the use of the term “reference steel” in 6.5 for IBCs it was questioned if “mild steel” would have been more appropriate here. Reference steel has theoretical values for calculation purposes only and mild steel to indicate a range of low carbon steels that need no equivalent wall thickness calcula</w:t>
      </w:r>
      <w:r w:rsidR="00756552" w:rsidRPr="00C91F88">
        <w:rPr>
          <w:i/>
        </w:rPr>
        <w:t>tion.</w:t>
      </w:r>
    </w:p>
    <w:p w:rsidR="00B375CC" w:rsidRPr="00C91F88" w:rsidRDefault="00B375CC" w:rsidP="009A5B24">
      <w:pPr>
        <w:pStyle w:val="SingleTxtG"/>
        <w:ind w:left="1701"/>
        <w:rPr>
          <w:i/>
        </w:rPr>
      </w:pPr>
      <w:r w:rsidRPr="00C91F88">
        <w:rPr>
          <w:i/>
        </w:rPr>
        <w:t>The group felt not to be in the position to confirm if the relation of the definition of mild steel in 1.2.1  was in line with the requir</w:t>
      </w:r>
      <w:r w:rsidR="00756552" w:rsidRPr="00C91F88">
        <w:rPr>
          <w:i/>
        </w:rPr>
        <w:t>ements in 2.2.7 and 6.4 or not.</w:t>
      </w:r>
    </w:p>
    <w:p w:rsidR="00245539" w:rsidRPr="00C91F88" w:rsidRDefault="00B375CC" w:rsidP="009A5B24">
      <w:pPr>
        <w:pStyle w:val="SingleTxtG"/>
        <w:ind w:left="1701"/>
        <w:rPr>
          <w:i/>
        </w:rPr>
      </w:pPr>
      <w:r w:rsidRPr="00C91F88">
        <w:rPr>
          <w:i/>
        </w:rPr>
        <w:t>It was suggested that Romania should verify with the experts at the UN level if the definition of reference steel that is currently in 1.2.1 is suitable to 6.5 and the definition mild steel is suitable for 2.2.7/6.4. Depending on the outcome of this verification it should be considered if in the future the definitions need to be limited to tanks only.</w:t>
      </w:r>
      <w:proofErr w:type="gramStart"/>
      <w:r w:rsidRPr="00C91F88">
        <w:rPr>
          <w:i/>
        </w:rPr>
        <w:t>”.</w:t>
      </w:r>
      <w:proofErr w:type="gramEnd"/>
    </w:p>
    <w:p w:rsidR="00842F5C" w:rsidRPr="00756552" w:rsidRDefault="00842F5C" w:rsidP="009A5B24">
      <w:pPr>
        <w:pStyle w:val="HChG"/>
      </w:pPr>
      <w:r w:rsidRPr="00756552">
        <w:tab/>
      </w:r>
      <w:r w:rsidRPr="00756552">
        <w:tab/>
        <w:t>Implications of defining mild steel for the tests of Class 7</w:t>
      </w:r>
    </w:p>
    <w:p w:rsidR="00842F5C" w:rsidRPr="00756552" w:rsidRDefault="009A5B24" w:rsidP="00842F5C">
      <w:pPr>
        <w:pStyle w:val="SingleTxtG"/>
        <w:spacing w:before="120" w:line="240" w:lineRule="auto"/>
      </w:pPr>
      <w:r>
        <w:t>9</w:t>
      </w:r>
      <w:r w:rsidR="00842F5C" w:rsidRPr="00756552">
        <w:t>.</w:t>
      </w:r>
      <w:r w:rsidR="00842F5C" w:rsidRPr="00756552">
        <w:tab/>
        <w:t>Another issue considered by the experts was the one of the consequences of the application of the mild steel d</w:t>
      </w:r>
      <w:r w:rsidR="009D42A9">
        <w:t xml:space="preserve">efinition in the Class 7 tests of </w:t>
      </w:r>
      <w:r w:rsidR="00E3107B" w:rsidRPr="00756552">
        <w:t xml:space="preserve">paragraphs </w:t>
      </w:r>
      <w:r w:rsidR="00842F5C" w:rsidRPr="00756552">
        <w:t xml:space="preserve">2.7.2.3.3.5, 6.4.17.2 </w:t>
      </w:r>
      <w:r w:rsidR="00952E79" w:rsidRPr="00756552">
        <w:t>(</w:t>
      </w:r>
      <w:r w:rsidR="00C91F88">
        <w:t>twice</w:t>
      </w:r>
      <w:r w:rsidR="00952E79" w:rsidRPr="00756552">
        <w:t xml:space="preserve">) </w:t>
      </w:r>
      <w:r w:rsidR="00842F5C" w:rsidRPr="00756552">
        <w:t>and 6.4.20.2</w:t>
      </w:r>
      <w:r w:rsidR="00952E79" w:rsidRPr="00756552">
        <w:t xml:space="preserve"> </w:t>
      </w:r>
      <w:r w:rsidR="00E3107B" w:rsidRPr="00756552">
        <w:t xml:space="preserve">of </w:t>
      </w:r>
      <w:r w:rsidR="00C91F88">
        <w:t>the UN Model Regulations</w:t>
      </w:r>
      <w:r w:rsidR="00E3107B" w:rsidRPr="00756552">
        <w:t xml:space="preserve"> </w:t>
      </w:r>
      <w:r w:rsidR="00952E79" w:rsidRPr="00756552">
        <w:t xml:space="preserve">which correspond to </w:t>
      </w:r>
      <w:r w:rsidR="00E3107B" w:rsidRPr="00756552">
        <w:t xml:space="preserve">the </w:t>
      </w:r>
      <w:r w:rsidR="00952E79" w:rsidRPr="00756552">
        <w:t>paragraphs 706, 727 (</w:t>
      </w:r>
      <w:r w:rsidR="00C91F88">
        <w:t>twice</w:t>
      </w:r>
      <w:r w:rsidR="00952E79" w:rsidRPr="00756552">
        <w:t>) and 735</w:t>
      </w:r>
      <w:r w:rsidR="00E3107B" w:rsidRPr="00756552">
        <w:t xml:space="preserve"> of </w:t>
      </w:r>
      <w:r w:rsidR="00C91F88">
        <w:t xml:space="preserve">the IAEA Regulations for the Safe Transport of </w:t>
      </w:r>
      <w:r w:rsidR="00C91F88">
        <w:lastRenderedPageBreak/>
        <w:t>Radioactive Material (</w:t>
      </w:r>
      <w:r w:rsidR="00E3107B" w:rsidRPr="00756552">
        <w:t>SSR-6</w:t>
      </w:r>
      <w:r w:rsidR="00C91F88">
        <w:t>)</w:t>
      </w:r>
      <w:r w:rsidR="009D42A9">
        <w:t>,</w:t>
      </w:r>
      <w:r w:rsidR="00842F5C" w:rsidRPr="00756552">
        <w:t xml:space="preserve"> where: the steel plate falling from 9 met</w:t>
      </w:r>
      <w:r w:rsidR="00C91F88">
        <w:t>res</w:t>
      </w:r>
      <w:r w:rsidR="00842F5C" w:rsidRPr="00756552">
        <w:t xml:space="preserve"> or the probe falling from 3 met</w:t>
      </w:r>
      <w:r w:rsidR="00C91F88">
        <w:t>res</w:t>
      </w:r>
      <w:r w:rsidR="00842F5C" w:rsidRPr="00756552">
        <w:t xml:space="preserve"> over the specimen and the cylindrical bar which strike the specimen or is drop onto the specimen, are made of mild steel.</w:t>
      </w:r>
    </w:p>
    <w:p w:rsidR="00842F5C" w:rsidRPr="00756552" w:rsidRDefault="009A5B24" w:rsidP="009A5B24">
      <w:pPr>
        <w:pStyle w:val="SingleTxtG"/>
      </w:pPr>
      <w:r>
        <w:t>10</w:t>
      </w:r>
      <w:r w:rsidR="00842F5C" w:rsidRPr="00756552">
        <w:t>.</w:t>
      </w:r>
      <w:r w:rsidR="00842F5C" w:rsidRPr="00756552">
        <w:tab/>
        <w:t xml:space="preserve">In our understanding the mild steel tools (plates and bars), used for the tests described in </w:t>
      </w:r>
      <w:r w:rsidR="00825910" w:rsidRPr="00756552">
        <w:t xml:space="preserve">the </w:t>
      </w:r>
      <w:r w:rsidR="00842F5C" w:rsidRPr="00756552">
        <w:t>paragraph</w:t>
      </w:r>
      <w:r w:rsidR="00825910" w:rsidRPr="00756552">
        <w:t>s</w:t>
      </w:r>
      <w:r w:rsidR="00842F5C" w:rsidRPr="00756552">
        <w:t xml:space="preserve"> </w:t>
      </w:r>
      <w:r w:rsidR="00825910" w:rsidRPr="00756552">
        <w:t>mentioned before</w:t>
      </w:r>
      <w:r w:rsidR="00842F5C" w:rsidRPr="00756552">
        <w:t xml:space="preserve"> must be </w:t>
      </w:r>
      <w:r w:rsidR="00AD59FB" w:rsidRPr="00756552">
        <w:t>mainly</w:t>
      </w:r>
      <w:r w:rsidR="00842F5C" w:rsidRPr="00756552">
        <w:t xml:space="preserve"> solid.</w:t>
      </w:r>
    </w:p>
    <w:p w:rsidR="00842F5C" w:rsidRPr="00756552" w:rsidRDefault="00842F5C" w:rsidP="009A5B24">
      <w:pPr>
        <w:pStyle w:val="SingleTxtG"/>
      </w:pPr>
      <w:r w:rsidRPr="00756552">
        <w:t>We included in the analyses the provisions of the Regulations for the Safe Transport of Radioactive Material - 2012 Edition – SSR-6 supplemented by a hierarchy of Safety Guides, including:</w:t>
      </w:r>
    </w:p>
    <w:p w:rsidR="00842F5C" w:rsidRPr="00756552" w:rsidRDefault="00842F5C" w:rsidP="009A5B24">
      <w:pPr>
        <w:numPr>
          <w:ilvl w:val="0"/>
          <w:numId w:val="40"/>
        </w:numPr>
        <w:spacing w:before="120" w:after="120" w:line="240" w:lineRule="auto"/>
        <w:ind w:left="1701" w:right="1134" w:firstLine="0"/>
        <w:jc w:val="both"/>
      </w:pPr>
      <w:r w:rsidRPr="00756552">
        <w:t>Advisory Material for the IAEA Regulations for the Safe Transport of Radioactive Material, IAEA Safety Standards Series No. TS-G-1.1 (Rev. 1);</w:t>
      </w:r>
    </w:p>
    <w:p w:rsidR="00842F5C" w:rsidRPr="00756552" w:rsidRDefault="00842F5C" w:rsidP="009A5B24">
      <w:pPr>
        <w:numPr>
          <w:ilvl w:val="0"/>
          <w:numId w:val="40"/>
        </w:numPr>
        <w:spacing w:before="120" w:after="120" w:line="240" w:lineRule="auto"/>
        <w:ind w:left="1701" w:right="1134" w:firstLine="0"/>
        <w:jc w:val="both"/>
      </w:pPr>
      <w:r w:rsidRPr="00756552">
        <w:t>Planning and Preparing for Emergency Response to Transport Accidents Involving Radioactive Material, IAEA Safety St</w:t>
      </w:r>
      <w:r w:rsidR="003C194B">
        <w:t>andards Series No. TS-G-1.2 (ST</w:t>
      </w:r>
      <w:r w:rsidR="003C194B">
        <w:noBreakHyphen/>
      </w:r>
      <w:r w:rsidRPr="00756552">
        <w:t>3);</w:t>
      </w:r>
    </w:p>
    <w:p w:rsidR="00842F5C" w:rsidRPr="00756552" w:rsidRDefault="00842F5C" w:rsidP="009A5B24">
      <w:pPr>
        <w:numPr>
          <w:ilvl w:val="0"/>
          <w:numId w:val="40"/>
        </w:numPr>
        <w:spacing w:before="120" w:after="120" w:line="240" w:lineRule="auto"/>
        <w:ind w:left="1701" w:right="1134" w:firstLine="0"/>
        <w:jc w:val="both"/>
      </w:pPr>
      <w:r w:rsidRPr="00756552">
        <w:t>Compliance Assurance for the Safe Transport of Radioactive Material, IAEA Safety Standards Series No. TS-G-1.5;</w:t>
      </w:r>
    </w:p>
    <w:p w:rsidR="00C35B98" w:rsidRPr="00756552" w:rsidRDefault="00842F5C" w:rsidP="009A5B24">
      <w:pPr>
        <w:numPr>
          <w:ilvl w:val="0"/>
          <w:numId w:val="40"/>
        </w:numPr>
        <w:spacing w:before="120" w:after="120" w:line="240" w:lineRule="auto"/>
        <w:ind w:left="1701" w:right="1134" w:firstLine="0"/>
        <w:jc w:val="both"/>
      </w:pPr>
      <w:r w:rsidRPr="00756552">
        <w:t>The Management System for the Safe Transport of Radioactive Material, IAEA Safety Standards Series No. TS-G-1.4; and</w:t>
      </w:r>
    </w:p>
    <w:p w:rsidR="00842F5C" w:rsidRPr="00756552" w:rsidRDefault="00842F5C" w:rsidP="009A5B24">
      <w:pPr>
        <w:numPr>
          <w:ilvl w:val="0"/>
          <w:numId w:val="40"/>
        </w:numPr>
        <w:spacing w:before="120" w:after="120" w:line="240" w:lineRule="auto"/>
        <w:ind w:left="1701" w:right="1134" w:firstLine="0"/>
        <w:jc w:val="both"/>
      </w:pPr>
      <w:r w:rsidRPr="00756552">
        <w:t>Radiation Protection Programmes for the Transport of Radioactive Material, IAEA Safety Standards Series No. TS-G-1.3.</w:t>
      </w:r>
    </w:p>
    <w:p w:rsidR="00842F5C" w:rsidRPr="00756552" w:rsidRDefault="00842F5C" w:rsidP="00842F5C">
      <w:pPr>
        <w:pStyle w:val="HChG"/>
      </w:pPr>
      <w:r w:rsidRPr="00756552">
        <w:tab/>
      </w:r>
      <w:r w:rsidRPr="00756552">
        <w:tab/>
        <w:t>Implications of defining mild steel for the tests of the Manual of Tests and Criteria</w:t>
      </w:r>
    </w:p>
    <w:p w:rsidR="006203B6" w:rsidRPr="00756552" w:rsidRDefault="003C194B" w:rsidP="006203B6">
      <w:pPr>
        <w:pStyle w:val="SingleTxtG"/>
      </w:pPr>
      <w:r>
        <w:t>11</w:t>
      </w:r>
      <w:r w:rsidR="008C3CB0" w:rsidRPr="00756552">
        <w:t>.</w:t>
      </w:r>
      <w:r w:rsidR="008C3CB0" w:rsidRPr="00756552">
        <w:tab/>
      </w:r>
      <w:r w:rsidR="00870CE1" w:rsidRPr="00756552">
        <w:t xml:space="preserve"> </w:t>
      </w:r>
      <w:r w:rsidR="00842F5C" w:rsidRPr="00756552">
        <w:t xml:space="preserve">Our study was extended </w:t>
      </w:r>
      <w:r w:rsidR="00C9265E" w:rsidRPr="00756552">
        <w:t xml:space="preserve">also </w:t>
      </w:r>
      <w:r w:rsidR="00842F5C" w:rsidRPr="00756552">
        <w:t xml:space="preserve">to the </w:t>
      </w:r>
      <w:r w:rsidR="00196EBD" w:rsidRPr="00756552">
        <w:t xml:space="preserve">Manual </w:t>
      </w:r>
      <w:r w:rsidR="00842F5C" w:rsidRPr="00756552">
        <w:t>of Tests and Criteria</w:t>
      </w:r>
      <w:r w:rsidR="00196EBD" w:rsidRPr="00756552">
        <w:t xml:space="preserve"> where the term</w:t>
      </w:r>
      <w:r w:rsidR="008A7098" w:rsidRPr="00756552">
        <w:t xml:space="preserve"> “</w:t>
      </w:r>
      <w:r w:rsidR="008A7098" w:rsidRPr="00756552">
        <w:rPr>
          <w:i/>
        </w:rPr>
        <w:t>mild steel</w:t>
      </w:r>
      <w:r w:rsidR="008A7098" w:rsidRPr="00756552">
        <w:t>” is</w:t>
      </w:r>
      <w:r w:rsidR="00196EBD" w:rsidRPr="00756552">
        <w:t xml:space="preserve"> used </w:t>
      </w:r>
      <w:r w:rsidR="00590638" w:rsidRPr="00756552">
        <w:t xml:space="preserve">23 times, </w:t>
      </w:r>
      <w:r w:rsidR="002E26E2" w:rsidRPr="00756552">
        <w:t xml:space="preserve">mainly </w:t>
      </w:r>
      <w:r w:rsidR="006203B6" w:rsidRPr="00756552">
        <w:t>in:</w:t>
      </w:r>
    </w:p>
    <w:p w:rsidR="006203B6" w:rsidRPr="00756552" w:rsidRDefault="003C194B" w:rsidP="006203B6">
      <w:pPr>
        <w:pStyle w:val="SingleTxtG"/>
        <w:ind w:firstLine="567"/>
      </w:pPr>
      <w:r>
        <w:t>–</w:t>
      </w:r>
      <w:r>
        <w:tab/>
      </w:r>
      <w:r w:rsidR="002E26E2" w:rsidRPr="00756552">
        <w:t xml:space="preserve">Part I (Test series 1 to 8, except 4) and </w:t>
      </w:r>
    </w:p>
    <w:p w:rsidR="006203B6" w:rsidRPr="00756552" w:rsidRDefault="003C194B" w:rsidP="006203B6">
      <w:pPr>
        <w:pStyle w:val="SingleTxtG"/>
        <w:ind w:firstLine="567"/>
      </w:pPr>
      <w:r>
        <w:t>–</w:t>
      </w:r>
      <w:r>
        <w:tab/>
      </w:r>
      <w:r w:rsidR="002E26E2" w:rsidRPr="00756552">
        <w:t>Part</w:t>
      </w:r>
      <w:r w:rsidR="006203B6" w:rsidRPr="00756552">
        <w:t xml:space="preserve"> II (Test series A, B, C and F),</w:t>
      </w:r>
    </w:p>
    <w:p w:rsidR="006203B6" w:rsidRPr="00756552" w:rsidRDefault="006203B6" w:rsidP="003C194B">
      <w:pPr>
        <w:pStyle w:val="SingleTxtG"/>
        <w:ind w:firstLine="567"/>
      </w:pPr>
      <w:proofErr w:type="gramStart"/>
      <w:r w:rsidRPr="00756552">
        <w:t>but</w:t>
      </w:r>
      <w:proofErr w:type="gramEnd"/>
      <w:r w:rsidRPr="00756552">
        <w:t xml:space="preserve"> also in:</w:t>
      </w:r>
    </w:p>
    <w:p w:rsidR="006203B6" w:rsidRPr="00756552" w:rsidRDefault="003C194B" w:rsidP="006203B6">
      <w:pPr>
        <w:pStyle w:val="SingleTxtG"/>
        <w:ind w:firstLine="567"/>
      </w:pPr>
      <w:r>
        <w:t>–</w:t>
      </w:r>
      <w:r>
        <w:tab/>
      </w:r>
      <w:r w:rsidR="002E26E2" w:rsidRPr="00756552">
        <w:t>Part III (Test O.2: Test for oxidizing liquids</w:t>
      </w:r>
      <w:r w:rsidR="008A7098" w:rsidRPr="00756552">
        <w:t xml:space="preserve"> </w:t>
      </w:r>
      <w:r w:rsidR="00590638" w:rsidRPr="00756552">
        <w:t xml:space="preserve">- </w:t>
      </w:r>
      <w:r w:rsidR="008A7098" w:rsidRPr="00756552">
        <w:t>para</w:t>
      </w:r>
      <w:r w:rsidR="00C35B98" w:rsidRPr="00756552">
        <w:t>graph</w:t>
      </w:r>
      <w:r w:rsidR="008A7098" w:rsidRPr="00756552">
        <w:t xml:space="preserve"> 34.4.2.2.2</w:t>
      </w:r>
      <w:r w:rsidR="002E26E2" w:rsidRPr="00756552">
        <w:t xml:space="preserve">) and </w:t>
      </w:r>
    </w:p>
    <w:p w:rsidR="006203B6" w:rsidRPr="00756552" w:rsidRDefault="003C194B" w:rsidP="006203B6">
      <w:pPr>
        <w:pStyle w:val="SingleTxtG"/>
        <w:ind w:firstLine="567"/>
      </w:pPr>
      <w:r>
        <w:t>–</w:t>
      </w:r>
      <w:r>
        <w:tab/>
      </w:r>
      <w:r w:rsidR="008A7098" w:rsidRPr="00756552">
        <w:t xml:space="preserve">Appendix 7 </w:t>
      </w:r>
      <w:r w:rsidR="00590638" w:rsidRPr="00756552">
        <w:t>(</w:t>
      </w:r>
      <w:r w:rsidR="008A7098" w:rsidRPr="00756552">
        <w:t xml:space="preserve">HSL flash composition test </w:t>
      </w:r>
      <w:r w:rsidR="00590638" w:rsidRPr="00756552">
        <w:t>-</w:t>
      </w:r>
      <w:r w:rsidR="00F936B7" w:rsidRPr="00756552">
        <w:t xml:space="preserve"> </w:t>
      </w:r>
      <w:r w:rsidR="008A7098" w:rsidRPr="00756552">
        <w:t>para</w:t>
      </w:r>
      <w:r w:rsidR="00C35B98" w:rsidRPr="00756552">
        <w:t>graph</w:t>
      </w:r>
      <w:r w:rsidR="008A7098" w:rsidRPr="00756552">
        <w:t xml:space="preserve"> 2.3).</w:t>
      </w:r>
    </w:p>
    <w:p w:rsidR="00C35B98" w:rsidRPr="00756552" w:rsidRDefault="003C194B" w:rsidP="00AC36C6">
      <w:pPr>
        <w:pStyle w:val="SingleTxtG"/>
      </w:pPr>
      <w:r>
        <w:t>12</w:t>
      </w:r>
      <w:r w:rsidR="00B4702D" w:rsidRPr="00756552">
        <w:t>.</w:t>
      </w:r>
      <w:r w:rsidR="00B4702D" w:rsidRPr="00756552">
        <w:tab/>
      </w:r>
      <w:r w:rsidR="006203B6" w:rsidRPr="00756552">
        <w:t xml:space="preserve">The terms: mild steel witness plate, mild steel base plate, mild steel bar, wheel, </w:t>
      </w:r>
      <w:r w:rsidR="00AC36C6" w:rsidRPr="00756552">
        <w:t xml:space="preserve">sheet, mild steel plate, mild steel sheet and outer casing of mild steel, are described in the Sub-sections of </w:t>
      </w:r>
      <w:r w:rsidR="00AC36C6" w:rsidRPr="00756552">
        <w:rPr>
          <w:i/>
        </w:rPr>
        <w:t>Apparatus and materials</w:t>
      </w:r>
      <w:r w:rsidR="00AC36C6" w:rsidRPr="00756552">
        <w:t xml:space="preserve"> for the re</w:t>
      </w:r>
      <w:r w:rsidR="00726F46" w:rsidRPr="00756552">
        <w:t>spective</w:t>
      </w:r>
      <w:r w:rsidR="00AC36C6" w:rsidRPr="00756552">
        <w:t xml:space="preserve"> tests. </w:t>
      </w:r>
    </w:p>
    <w:p w:rsidR="006203B6" w:rsidRPr="00756552" w:rsidRDefault="003C194B" w:rsidP="00AC36C6">
      <w:pPr>
        <w:pStyle w:val="SingleTxtG"/>
      </w:pPr>
      <w:r>
        <w:t>13</w:t>
      </w:r>
      <w:r w:rsidR="00C35B98" w:rsidRPr="00756552">
        <w:t>.</w:t>
      </w:r>
      <w:r w:rsidR="00C35B98" w:rsidRPr="00756552">
        <w:tab/>
      </w:r>
      <w:r w:rsidR="00AC36C6" w:rsidRPr="00756552">
        <w:t xml:space="preserve">The most detailed description </w:t>
      </w:r>
      <w:r w:rsidR="00871B8D" w:rsidRPr="00756552">
        <w:t>appears</w:t>
      </w:r>
      <w:r w:rsidR="00AC36C6" w:rsidRPr="00756552">
        <w:t xml:space="preserve"> in 13.5.2.2 (Test 3 (b) (ii): Rotary friction test) where “</w:t>
      </w:r>
      <w:r w:rsidR="00AC36C6" w:rsidRPr="00756552">
        <w:rPr>
          <w:i/>
          <w:u w:val="single"/>
        </w:rPr>
        <w:t>The bar</w:t>
      </w:r>
      <w:r w:rsidR="00AC36C6" w:rsidRPr="00756552">
        <w:rPr>
          <w:i/>
        </w:rPr>
        <w:t xml:space="preserve"> (A) </w:t>
      </w:r>
      <w:r w:rsidR="00AC36C6" w:rsidRPr="00756552">
        <w:rPr>
          <w:i/>
          <w:u w:val="single"/>
        </w:rPr>
        <w:t>is made of general purpose mild steel</w:t>
      </w:r>
      <w:r w:rsidR="00AC36C6" w:rsidRPr="00756552">
        <w:rPr>
          <w:i/>
        </w:rPr>
        <w:t xml:space="preserve"> whose surface has been prepared by grit-blasting to a finish of 3.2 µm ± 0.4 µm</w:t>
      </w:r>
      <w:r w:rsidR="00AC36C6" w:rsidRPr="00756552">
        <w:t>.”</w:t>
      </w:r>
      <w:r w:rsidR="00F936B7" w:rsidRPr="00756552">
        <w:t>.</w:t>
      </w:r>
    </w:p>
    <w:p w:rsidR="00F936B7" w:rsidRPr="00756552" w:rsidRDefault="003C194B" w:rsidP="00F936B7">
      <w:pPr>
        <w:pStyle w:val="SingleTxtG"/>
      </w:pPr>
      <w:r>
        <w:t>14</w:t>
      </w:r>
      <w:r w:rsidR="00825910" w:rsidRPr="00756552">
        <w:t>.</w:t>
      </w:r>
      <w:r w:rsidR="00825910" w:rsidRPr="00756552">
        <w:tab/>
      </w:r>
      <w:r w:rsidR="00F936B7" w:rsidRPr="00756552">
        <w:t xml:space="preserve">This is the only place in the Manual of Test and Criteria </w:t>
      </w:r>
      <w:r w:rsidR="00825910" w:rsidRPr="00756552">
        <w:t xml:space="preserve">and in the UN Model Regulations </w:t>
      </w:r>
      <w:r w:rsidR="00F936B7" w:rsidRPr="00756552">
        <w:t>where:</w:t>
      </w:r>
    </w:p>
    <w:p w:rsidR="00F936B7" w:rsidRPr="00756552" w:rsidRDefault="003C194B" w:rsidP="003C194B">
      <w:pPr>
        <w:pStyle w:val="SingleTxtG"/>
        <w:ind w:firstLine="567"/>
      </w:pPr>
      <w:r>
        <w:t>–</w:t>
      </w:r>
      <w:r>
        <w:tab/>
        <w:t>T</w:t>
      </w:r>
      <w:r w:rsidR="00F936B7" w:rsidRPr="00756552">
        <w:t xml:space="preserve">he </w:t>
      </w:r>
      <w:r w:rsidR="004E31E4" w:rsidRPr="00756552">
        <w:t xml:space="preserve">finishing of the </w:t>
      </w:r>
      <w:r w:rsidR="00F936B7" w:rsidRPr="00756552">
        <w:t xml:space="preserve">surface of a mild steel </w:t>
      </w:r>
      <w:r w:rsidR="00F15EF4" w:rsidRPr="00756552">
        <w:t>tool</w:t>
      </w:r>
      <w:r w:rsidR="00F936B7" w:rsidRPr="00756552">
        <w:t xml:space="preserve"> is detailed and</w:t>
      </w:r>
    </w:p>
    <w:p w:rsidR="00F936B7" w:rsidRPr="00756552" w:rsidRDefault="003C194B" w:rsidP="003C194B">
      <w:pPr>
        <w:pStyle w:val="SingleTxtG"/>
        <w:ind w:left="1701"/>
      </w:pPr>
      <w:r>
        <w:t>–</w:t>
      </w:r>
      <w:r>
        <w:tab/>
        <w:t>A</w:t>
      </w:r>
      <w:r w:rsidR="00756552" w:rsidRPr="00756552">
        <w:t xml:space="preserve"> description of the needed </w:t>
      </w:r>
      <w:r w:rsidR="002106D0">
        <w:t xml:space="preserve">mild </w:t>
      </w:r>
      <w:r w:rsidR="00756552" w:rsidRPr="00756552">
        <w:t xml:space="preserve">steel appears. What </w:t>
      </w:r>
      <w:r w:rsidR="00F936B7" w:rsidRPr="00756552">
        <w:t xml:space="preserve">represents </w:t>
      </w:r>
      <w:r w:rsidR="00756552">
        <w:t>mild</w:t>
      </w:r>
      <w:r w:rsidR="00F936B7" w:rsidRPr="00756552">
        <w:t xml:space="preserve"> steel</w:t>
      </w:r>
      <w:r w:rsidR="00756552" w:rsidRPr="00756552">
        <w:t>? A</w:t>
      </w:r>
      <w:r w:rsidR="00F936B7" w:rsidRPr="00756552">
        <w:t xml:space="preserve"> </w:t>
      </w:r>
      <w:r w:rsidR="00F936B7" w:rsidRPr="00756552">
        <w:rPr>
          <w:u w:val="single"/>
        </w:rPr>
        <w:t>general purpose steel</w:t>
      </w:r>
      <w:r w:rsidR="00A252DE" w:rsidRPr="00756552">
        <w:t xml:space="preserve"> or </w:t>
      </w:r>
      <w:r w:rsidR="004E31E4" w:rsidRPr="00756552">
        <w:t xml:space="preserve">a </w:t>
      </w:r>
      <w:r w:rsidR="00A252DE" w:rsidRPr="00756552">
        <w:t xml:space="preserve">low carbon steel </w:t>
      </w:r>
      <w:r w:rsidR="00825910" w:rsidRPr="00756552">
        <w:t>–</w:t>
      </w:r>
      <w:r w:rsidR="00A252DE" w:rsidRPr="00756552">
        <w:t xml:space="preserve"> </w:t>
      </w:r>
      <w:r w:rsidR="00825910" w:rsidRPr="00756552">
        <w:t>in other words</w:t>
      </w:r>
      <w:r w:rsidR="00F936B7" w:rsidRPr="00756552">
        <w:t>.</w:t>
      </w:r>
    </w:p>
    <w:p w:rsidR="00825910" w:rsidRPr="00756552" w:rsidRDefault="00825910" w:rsidP="008C3CB0">
      <w:pPr>
        <w:pStyle w:val="SingleTxtG"/>
      </w:pPr>
      <w:r w:rsidRPr="00756552">
        <w:t>1</w:t>
      </w:r>
      <w:r w:rsidR="003C194B">
        <w:t>4</w:t>
      </w:r>
      <w:r w:rsidRPr="00756552">
        <w:t>.</w:t>
      </w:r>
      <w:r w:rsidRPr="00756552">
        <w:tab/>
      </w:r>
      <w:r w:rsidR="00C35B98" w:rsidRPr="00756552">
        <w:t>Now it s</w:t>
      </w:r>
      <w:r w:rsidRPr="00756552">
        <w:t xml:space="preserve">hould be </w:t>
      </w:r>
      <w:r w:rsidR="00C35B98" w:rsidRPr="00756552">
        <w:t>noted</w:t>
      </w:r>
      <w:r w:rsidRPr="00756552">
        <w:t xml:space="preserve"> that in the provisions for the test</w:t>
      </w:r>
      <w:r w:rsidR="00C35B98" w:rsidRPr="00756552">
        <w:t>s</w:t>
      </w:r>
      <w:r w:rsidRPr="00756552">
        <w:t xml:space="preserve"> of Class 7 (</w:t>
      </w:r>
      <w:r w:rsidR="009D42A9">
        <w:t>mentioned in para</w:t>
      </w:r>
      <w:r w:rsidR="00FE6934">
        <w:t xml:space="preserve">graph </w:t>
      </w:r>
      <w:r w:rsidR="009D42A9">
        <w:t xml:space="preserve">5 of </w:t>
      </w:r>
      <w:r w:rsidR="00FE6934">
        <w:t xml:space="preserve">the </w:t>
      </w:r>
      <w:r w:rsidR="009D42A9">
        <w:t>current document</w:t>
      </w:r>
      <w:r w:rsidRPr="00756552">
        <w:t xml:space="preserve">) </w:t>
      </w:r>
      <w:r w:rsidR="00C35B98" w:rsidRPr="00756552">
        <w:t>such details are not present</w:t>
      </w:r>
      <w:r w:rsidRPr="00756552">
        <w:t>.</w:t>
      </w:r>
    </w:p>
    <w:p w:rsidR="00C9265E" w:rsidRPr="00756552" w:rsidRDefault="00A607BC" w:rsidP="008C3CB0">
      <w:pPr>
        <w:pStyle w:val="SingleTxtG"/>
      </w:pPr>
      <w:r w:rsidRPr="00756552">
        <w:lastRenderedPageBreak/>
        <w:t>1</w:t>
      </w:r>
      <w:r w:rsidR="003C194B">
        <w:t>6</w:t>
      </w:r>
      <w:r w:rsidR="00A252DE" w:rsidRPr="00756552">
        <w:t>.</w:t>
      </w:r>
      <w:r w:rsidR="00A252DE" w:rsidRPr="00756552">
        <w:tab/>
      </w:r>
      <w:r w:rsidR="00C9265E" w:rsidRPr="00756552">
        <w:t>The Working Group</w:t>
      </w:r>
      <w:r w:rsidR="00756552">
        <w:t xml:space="preserve"> on </w:t>
      </w:r>
      <w:r w:rsidR="00756552" w:rsidRPr="00756552">
        <w:t>Explosive</w:t>
      </w:r>
      <w:r w:rsidR="00756552">
        <w:t>s</w:t>
      </w:r>
      <w:r w:rsidR="00756552" w:rsidRPr="00756552">
        <w:t xml:space="preserve"> </w:t>
      </w:r>
      <w:r w:rsidR="00C9265E" w:rsidRPr="00756552">
        <w:t>could document the decision on this issue</w:t>
      </w:r>
      <w:r w:rsidR="00916996" w:rsidRPr="00756552">
        <w:t xml:space="preserve"> within its competence</w:t>
      </w:r>
      <w:r w:rsidR="006F4CA3" w:rsidRPr="00756552">
        <w:t>.</w:t>
      </w:r>
    </w:p>
    <w:p w:rsidR="00AA14C6" w:rsidRDefault="00AA14C6" w:rsidP="008C3CB0">
      <w:pPr>
        <w:pStyle w:val="SingleTxtG"/>
        <w:rPr>
          <w:b/>
          <w:sz w:val="28"/>
        </w:rPr>
      </w:pPr>
    </w:p>
    <w:p w:rsidR="006D1704" w:rsidRPr="00756552" w:rsidRDefault="003C194B" w:rsidP="003C194B">
      <w:pPr>
        <w:pStyle w:val="HChG"/>
      </w:pPr>
      <w:r>
        <w:tab/>
      </w:r>
      <w:r>
        <w:tab/>
      </w:r>
      <w:r w:rsidR="007942BE">
        <w:t>Reference steel</w:t>
      </w:r>
    </w:p>
    <w:p w:rsidR="00174731" w:rsidRPr="00756552" w:rsidRDefault="00A252DE" w:rsidP="00174731">
      <w:pPr>
        <w:pStyle w:val="SingleTxtG"/>
        <w:spacing w:line="240" w:lineRule="auto"/>
      </w:pPr>
      <w:r w:rsidRPr="00756552">
        <w:t>1</w:t>
      </w:r>
      <w:r w:rsidR="003C194B">
        <w:t>7</w:t>
      </w:r>
      <w:r w:rsidR="001059C0" w:rsidRPr="00756552">
        <w:t>.</w:t>
      </w:r>
      <w:r w:rsidR="001059C0" w:rsidRPr="00756552">
        <w:tab/>
      </w:r>
      <w:r w:rsidR="00174731" w:rsidRPr="00756552">
        <w:t>“</w:t>
      </w:r>
      <w:r w:rsidR="00174731" w:rsidRPr="00AA14C6">
        <w:rPr>
          <w:i/>
        </w:rPr>
        <w:t>Reference steel</w:t>
      </w:r>
      <w:r w:rsidR="00174731" w:rsidRPr="00756552">
        <w:t xml:space="preserve">” </w:t>
      </w:r>
      <w:r w:rsidR="00174731">
        <w:t>appears now: 5 times in Chapter 4.2, 4 times in Chapter 6.5 and 25 times in Chapter 6.7 (besides the three identical definitions in 6.7.2, 6.7.3 and 6.7.4).</w:t>
      </w:r>
    </w:p>
    <w:p w:rsidR="00AA14C6" w:rsidRDefault="00174731" w:rsidP="00916996">
      <w:pPr>
        <w:pStyle w:val="SingleTxtG"/>
      </w:pPr>
      <w:r>
        <w:t>1</w:t>
      </w:r>
      <w:r w:rsidR="003C194B">
        <w:t>8</w:t>
      </w:r>
      <w:r>
        <w:t>.</w:t>
      </w:r>
      <w:r>
        <w:tab/>
      </w:r>
      <w:r w:rsidRPr="00756552">
        <w:t xml:space="preserve">The current definition in Chapter 6.7 </w:t>
      </w:r>
      <w:r>
        <w:t>is</w:t>
      </w:r>
      <w:r w:rsidRPr="00756552">
        <w:t>:</w:t>
      </w:r>
      <w:r>
        <w:t xml:space="preserve"> </w:t>
      </w:r>
      <w:r w:rsidRPr="00756552">
        <w:rPr>
          <w:i/>
        </w:rPr>
        <w:t>Reference steel</w:t>
      </w:r>
      <w:r w:rsidRPr="00756552">
        <w:t xml:space="preserve"> means </w:t>
      </w:r>
      <w:proofErr w:type="gramStart"/>
      <w:r w:rsidRPr="00756552">
        <w:t>a steel</w:t>
      </w:r>
      <w:proofErr w:type="gramEnd"/>
      <w:r w:rsidRPr="00756552">
        <w:t xml:space="preserve"> with a tensile strength of 370 N/mm</w:t>
      </w:r>
      <w:r w:rsidRPr="00756552">
        <w:rPr>
          <w:vertAlign w:val="superscript"/>
        </w:rPr>
        <w:t>2</w:t>
      </w:r>
      <w:r w:rsidRPr="00756552">
        <w:t xml:space="preserve"> and a</w:t>
      </w:r>
      <w:r>
        <w:t>n elongation at fracture of 27%.</w:t>
      </w:r>
    </w:p>
    <w:p w:rsidR="007942BE" w:rsidRDefault="007942BE" w:rsidP="007942BE">
      <w:pPr>
        <w:pStyle w:val="SingleTxtG"/>
        <w:spacing w:before="120" w:line="240" w:lineRule="auto"/>
      </w:pPr>
      <w:r w:rsidRPr="00756552">
        <w:t>1</w:t>
      </w:r>
      <w:r w:rsidR="003C194B">
        <w:t>9</w:t>
      </w:r>
      <w:r w:rsidRPr="00756552">
        <w:t>.</w:t>
      </w:r>
      <w:r w:rsidRPr="00756552">
        <w:tab/>
        <w:t>For the defined reference steel, the product of the tensile strength (370 N/mm</w:t>
      </w:r>
      <w:r w:rsidRPr="00756552">
        <w:rPr>
          <w:vertAlign w:val="superscript"/>
        </w:rPr>
        <w:t>2</w:t>
      </w:r>
      <w:r w:rsidRPr="00756552">
        <w:t xml:space="preserve">) and the elongation at fracture (27%) is equal to 9990 (370 x 27 = 9990) </w:t>
      </w:r>
      <w:r w:rsidR="00174731">
        <w:t>and</w:t>
      </w:r>
      <w:r w:rsidRPr="00756552">
        <w:t xml:space="preserve"> differ from the 10000 by 0.1%, which falls within the tolerances (limits of deviation) of any steel characteristics</w:t>
      </w:r>
      <w:r w:rsidR="00C505CF">
        <w:t xml:space="preserve">. </w:t>
      </w:r>
      <w:r w:rsidR="00C505CF" w:rsidRPr="00174731">
        <w:t xml:space="preserve">This </w:t>
      </w:r>
      <w:r w:rsidR="00C505CF">
        <w:t>degree of 0.1% introduces</w:t>
      </w:r>
      <w:r w:rsidR="00174731">
        <w:t xml:space="preserve"> </w:t>
      </w:r>
      <w:r w:rsidR="00C505CF">
        <w:t xml:space="preserve">such </w:t>
      </w:r>
      <w:r w:rsidR="00174731">
        <w:t xml:space="preserve">a </w:t>
      </w:r>
      <w:r w:rsidR="00C505CF">
        <w:t xml:space="preserve">small </w:t>
      </w:r>
      <w:r w:rsidR="00174731">
        <w:t xml:space="preserve">difference </w:t>
      </w:r>
      <w:r w:rsidR="00C505CF">
        <w:t>in</w:t>
      </w:r>
      <w:r w:rsidR="00174731">
        <w:t xml:space="preserve"> the </w:t>
      </w:r>
      <w:r w:rsidR="00174731" w:rsidRPr="00174731">
        <w:t xml:space="preserve">wall thickness </w:t>
      </w:r>
      <w:r w:rsidR="00174731">
        <w:t xml:space="preserve">which </w:t>
      </w:r>
      <w:r w:rsidR="00C505CF">
        <w:t xml:space="preserve">is determined but </w:t>
      </w:r>
      <w:r w:rsidR="00174731" w:rsidRPr="00174731">
        <w:t>cannot</w:t>
      </w:r>
      <w:r w:rsidR="00174731">
        <w:t xml:space="preserve"> be </w:t>
      </w:r>
      <w:r w:rsidR="00C505CF">
        <w:t>measured by the apparatus in the real life</w:t>
      </w:r>
      <w:r w:rsidRPr="00756552">
        <w:t>.</w:t>
      </w:r>
    </w:p>
    <w:p w:rsidR="007942BE" w:rsidRPr="00756552" w:rsidRDefault="003C194B" w:rsidP="007942BE">
      <w:pPr>
        <w:pStyle w:val="SingleTxtG"/>
        <w:spacing w:line="240" w:lineRule="auto"/>
      </w:pPr>
      <w:r>
        <w:t>20</w:t>
      </w:r>
      <w:r w:rsidR="007942BE" w:rsidRPr="00756552">
        <w:t>.</w:t>
      </w:r>
      <w:r w:rsidR="007942BE" w:rsidRPr="00756552">
        <w:tab/>
        <w:t>The same condition appears in 6.5.5.1.5 and 6.5.5.1 6 for metal IBCs, as follows:</w:t>
      </w:r>
    </w:p>
    <w:p w:rsidR="007942BE" w:rsidRPr="00756552" w:rsidRDefault="007942BE" w:rsidP="003C194B">
      <w:pPr>
        <w:pStyle w:val="SingleTxtG"/>
        <w:spacing w:after="0" w:line="240" w:lineRule="auto"/>
        <w:ind w:left="1701"/>
      </w:pPr>
      <w:r w:rsidRPr="00756552">
        <w:t xml:space="preserve">6.5.5.1.5 </w:t>
      </w:r>
      <w:r w:rsidR="003C194B">
        <w:tab/>
      </w:r>
      <w:r w:rsidRPr="00756552">
        <w:t>Metal IBCs shall be made of metals which meet the following requirements:</w:t>
      </w:r>
    </w:p>
    <w:p w:rsidR="007942BE" w:rsidRPr="00756552" w:rsidRDefault="003C194B" w:rsidP="003C194B">
      <w:pPr>
        <w:pStyle w:val="SingleTxtG"/>
        <w:spacing w:line="240" w:lineRule="auto"/>
        <w:ind w:left="1701"/>
      </w:pPr>
      <w:r>
        <w:t>(</w:t>
      </w:r>
      <w:r w:rsidR="007942BE" w:rsidRPr="00756552">
        <w:t>a)</w:t>
      </w:r>
      <w:r w:rsidR="007942BE" w:rsidRPr="00756552">
        <w:tab/>
      </w:r>
      <w:proofErr w:type="gramStart"/>
      <w:r w:rsidR="007942BE" w:rsidRPr="00756552">
        <w:rPr>
          <w:u w:val="single"/>
        </w:rPr>
        <w:t>for</w:t>
      </w:r>
      <w:proofErr w:type="gramEnd"/>
      <w:r w:rsidR="007942BE" w:rsidRPr="00756552">
        <w:rPr>
          <w:u w:val="single"/>
        </w:rPr>
        <w:t xml:space="preserve"> steel</w:t>
      </w:r>
      <w:r w:rsidR="007942BE" w:rsidRPr="00756552">
        <w:t xml:space="preserve"> the elongation at fracture, in %, shall not be less than </w:t>
      </w:r>
      <w:r w:rsidR="007942BE" w:rsidRPr="00756552">
        <w:rPr>
          <w:noProof/>
          <w:vertAlign w:val="subscript"/>
          <w:lang w:eastAsia="en-GB"/>
        </w:rPr>
        <w:drawing>
          <wp:inline distT="0" distB="0" distL="0" distR="0">
            <wp:extent cx="405130" cy="362585"/>
            <wp:effectExtent l="0" t="0" r="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05130" cy="362585"/>
                    </a:xfrm>
                    <a:prstGeom prst="rect">
                      <a:avLst/>
                    </a:prstGeom>
                    <a:noFill/>
                    <a:ln w="9525">
                      <a:noFill/>
                      <a:miter lim="800000"/>
                      <a:headEnd/>
                      <a:tailEnd/>
                    </a:ln>
                  </pic:spPr>
                </pic:pic>
              </a:graphicData>
            </a:graphic>
          </wp:inline>
        </w:drawing>
      </w:r>
      <w:r w:rsidR="007942BE" w:rsidRPr="00756552">
        <w:t xml:space="preserve"> with an absolute minimum of 20%; where Rm = guaranteed minimum tensile strength of the steel to be used, in N/mm</w:t>
      </w:r>
      <w:r w:rsidR="007942BE" w:rsidRPr="00756552">
        <w:rPr>
          <w:vertAlign w:val="superscript"/>
        </w:rPr>
        <w:t>2</w:t>
      </w:r>
      <w:r w:rsidR="007942BE" w:rsidRPr="00756552">
        <w:t>, and</w:t>
      </w:r>
    </w:p>
    <w:p w:rsidR="007942BE" w:rsidRPr="00756552" w:rsidRDefault="007942BE" w:rsidP="003C194B">
      <w:pPr>
        <w:pStyle w:val="SingleTxtG"/>
        <w:spacing w:before="120" w:line="240" w:lineRule="auto"/>
        <w:ind w:firstLine="567"/>
      </w:pPr>
      <w:r w:rsidRPr="00756552">
        <w:t xml:space="preserve">6.5.5.1.6 </w:t>
      </w:r>
      <w:r w:rsidR="003C194B">
        <w:tab/>
      </w:r>
      <w:r w:rsidRPr="00756552">
        <w:rPr>
          <w:i/>
        </w:rPr>
        <w:t>Minimum wall thickness:</w:t>
      </w:r>
    </w:p>
    <w:p w:rsidR="007942BE" w:rsidRPr="00756552" w:rsidRDefault="003C194B" w:rsidP="003C194B">
      <w:pPr>
        <w:pStyle w:val="SingleTxtG"/>
        <w:spacing w:line="240" w:lineRule="auto"/>
        <w:ind w:left="1701"/>
      </w:pPr>
      <w:r>
        <w:t>(</w:t>
      </w:r>
      <w:r w:rsidR="007942BE" w:rsidRPr="00756552">
        <w:t>a)</w:t>
      </w:r>
      <w:r w:rsidR="007942BE" w:rsidRPr="00756552">
        <w:tab/>
      </w:r>
      <w:proofErr w:type="gramStart"/>
      <w:r w:rsidR="007942BE" w:rsidRPr="00756552">
        <w:t>for</w:t>
      </w:r>
      <w:proofErr w:type="gramEnd"/>
      <w:r w:rsidR="007942BE" w:rsidRPr="00756552">
        <w:t xml:space="preserve"> </w:t>
      </w:r>
      <w:r w:rsidR="007942BE" w:rsidRPr="00756552">
        <w:rPr>
          <w:b/>
          <w:u w:val="single"/>
        </w:rPr>
        <w:t>a</w:t>
      </w:r>
      <w:r w:rsidR="007942BE" w:rsidRPr="00756552">
        <w:t xml:space="preserve"> </w:t>
      </w:r>
      <w:r w:rsidR="007942BE" w:rsidRPr="00756552">
        <w:rPr>
          <w:u w:val="single"/>
        </w:rPr>
        <w:t>reference steel</w:t>
      </w:r>
      <w:r w:rsidR="007942BE" w:rsidRPr="00756552">
        <w:t xml:space="preserve"> having a product of Rm </w:t>
      </w:r>
      <w:r w:rsidR="007942BE" w:rsidRPr="00756552">
        <w:sym w:font="Symbol" w:char="00B4"/>
      </w:r>
      <w:r w:rsidR="007942BE" w:rsidRPr="00756552">
        <w:t> </w:t>
      </w:r>
      <w:proofErr w:type="spellStart"/>
      <w:r w:rsidR="007942BE" w:rsidRPr="00756552">
        <w:t>A</w:t>
      </w:r>
      <w:r w:rsidR="007942BE" w:rsidRPr="00756552">
        <w:rPr>
          <w:vertAlign w:val="subscript"/>
        </w:rPr>
        <w:t>o</w:t>
      </w:r>
      <w:proofErr w:type="spellEnd"/>
      <w:r w:rsidR="007942BE">
        <w:t> = 10</w:t>
      </w:r>
      <w:r w:rsidR="007942BE" w:rsidRPr="00756552">
        <w:t xml:space="preserve">000, the wall thickness shall not be less than (...); where: </w:t>
      </w:r>
      <w:proofErr w:type="spellStart"/>
      <w:r w:rsidR="007942BE" w:rsidRPr="00756552">
        <w:t>A</w:t>
      </w:r>
      <w:r w:rsidR="007942BE" w:rsidRPr="00756552">
        <w:rPr>
          <w:vertAlign w:val="subscript"/>
        </w:rPr>
        <w:t>o</w:t>
      </w:r>
      <w:proofErr w:type="spellEnd"/>
      <w:r w:rsidR="007942BE" w:rsidRPr="00756552">
        <w:rPr>
          <w:vertAlign w:val="subscript"/>
        </w:rPr>
        <w:t xml:space="preserve">  </w:t>
      </w:r>
      <w:r w:rsidR="007942BE" w:rsidRPr="00756552">
        <w:t>= minimum elongation (as a percentage) of the reference steel to be used on fracture under tensile stress (see 6.5.5.1.5);</w:t>
      </w:r>
    </w:p>
    <w:p w:rsidR="007942BE" w:rsidRDefault="003C194B" w:rsidP="007942BE">
      <w:pPr>
        <w:pStyle w:val="SingleTxtG"/>
        <w:spacing w:line="240" w:lineRule="auto"/>
      </w:pPr>
      <w:r>
        <w:t>21.</w:t>
      </w:r>
      <w:r w:rsidR="007942BE" w:rsidRPr="00756552">
        <w:tab/>
        <w:t>It must be said here also that reference steel as defined now is a particular case of mild steel.</w:t>
      </w:r>
    </w:p>
    <w:p w:rsidR="007942BE" w:rsidRPr="00682FB8" w:rsidRDefault="003C194B" w:rsidP="007942BE">
      <w:pPr>
        <w:pStyle w:val="SingleTxtG"/>
        <w:spacing w:before="120" w:line="240" w:lineRule="auto"/>
      </w:pPr>
      <w:r>
        <w:t>22</w:t>
      </w:r>
      <w:r w:rsidR="007942BE" w:rsidRPr="00682FB8">
        <w:t>.</w:t>
      </w:r>
      <w:r w:rsidR="007942BE" w:rsidRPr="00682FB8">
        <w:tab/>
        <w:t xml:space="preserve">Any way, in the light of the recommendations of paragraph 5 of the </w:t>
      </w:r>
      <w:r w:rsidR="00A56F0C" w:rsidRPr="00682FB8">
        <w:t xml:space="preserve">Report </w:t>
      </w:r>
      <w:r w:rsidR="007942BE" w:rsidRPr="00682FB8">
        <w:t>of the Working Group on Tanks</w:t>
      </w:r>
      <w:r w:rsidR="0056570C" w:rsidRPr="00682FB8">
        <w:t>,</w:t>
      </w:r>
      <w:r w:rsidR="007942BE" w:rsidRPr="00682FB8">
        <w:t xml:space="preserve"> the actual conflict in 6.5.5.1</w:t>
      </w:r>
      <w:r w:rsidR="00682FB8" w:rsidRPr="00682FB8">
        <w:t>.6</w:t>
      </w:r>
      <w:r w:rsidR="007942BE" w:rsidRPr="00682FB8">
        <w:t xml:space="preserve"> must be solved.</w:t>
      </w:r>
    </w:p>
    <w:p w:rsidR="007942BE" w:rsidRPr="007942BE" w:rsidRDefault="003C194B" w:rsidP="003C194B">
      <w:pPr>
        <w:pStyle w:val="HChG"/>
      </w:pPr>
      <w:r>
        <w:tab/>
      </w:r>
      <w:r>
        <w:tab/>
      </w:r>
      <w:r w:rsidR="007942BE" w:rsidRPr="007942BE">
        <w:t>Mild steel</w:t>
      </w:r>
    </w:p>
    <w:p w:rsidR="00AA14C6" w:rsidRDefault="003C194B" w:rsidP="00166A44">
      <w:pPr>
        <w:pStyle w:val="SingleTxtG"/>
      </w:pPr>
      <w:r>
        <w:t>23</w:t>
      </w:r>
      <w:r w:rsidR="00AA14C6">
        <w:t>.</w:t>
      </w:r>
      <w:r w:rsidR="00AA14C6">
        <w:tab/>
      </w:r>
      <w:r w:rsidR="00AA14C6" w:rsidRPr="00756552">
        <w:t>“</w:t>
      </w:r>
      <w:r w:rsidR="00AA14C6" w:rsidRPr="00AA14C6">
        <w:rPr>
          <w:i/>
        </w:rPr>
        <w:t>Mild steel</w:t>
      </w:r>
      <w:r w:rsidR="00AA14C6" w:rsidRPr="00756552">
        <w:t xml:space="preserve">” </w:t>
      </w:r>
      <w:r w:rsidR="00AA14C6">
        <w:t>appears now</w:t>
      </w:r>
      <w:r w:rsidR="00166A44">
        <w:t>:</w:t>
      </w:r>
      <w:r w:rsidR="00AA14C6">
        <w:t xml:space="preserve"> </w:t>
      </w:r>
      <w:r w:rsidR="00166A44">
        <w:t>once in the DATA SHEET TO BE SUBMITTED TO THE UNITED NATIONS FOR NEW OR AMENDED CLASSIFICATION OF SU</w:t>
      </w:r>
      <w:r w:rsidR="00551670">
        <w:t>BSTANCES of the Recommendations</w:t>
      </w:r>
      <w:r w:rsidR="00166A44">
        <w:t>, once</w:t>
      </w:r>
      <w:r w:rsidR="00AA14C6">
        <w:t xml:space="preserve"> in Chapter 2</w:t>
      </w:r>
      <w:r w:rsidR="00166A44">
        <w:t>.7</w:t>
      </w:r>
      <w:r w:rsidR="00AA14C6">
        <w:t xml:space="preserve">, </w:t>
      </w:r>
      <w:r w:rsidR="00166A44">
        <w:t>3</w:t>
      </w:r>
      <w:r w:rsidR="00AA14C6">
        <w:t xml:space="preserve"> times in Chapter 6.</w:t>
      </w:r>
      <w:r w:rsidR="00166A44">
        <w:t>4,</w:t>
      </w:r>
      <w:r w:rsidR="00AA14C6">
        <w:t xml:space="preserve"> </w:t>
      </w:r>
      <w:r w:rsidR="00166A44">
        <w:t xml:space="preserve">3 </w:t>
      </w:r>
      <w:r w:rsidR="00AA14C6">
        <w:t xml:space="preserve">times in Chapter 6.7 (besides the </w:t>
      </w:r>
      <w:r w:rsidR="00166A44">
        <w:t>two</w:t>
      </w:r>
      <w:r w:rsidR="00AA14C6">
        <w:t xml:space="preserve"> </w:t>
      </w:r>
      <w:r w:rsidR="00174731">
        <w:t xml:space="preserve">identical </w:t>
      </w:r>
      <w:r w:rsidR="00AA14C6">
        <w:t>definitions)</w:t>
      </w:r>
      <w:r w:rsidR="007942BE">
        <w:t xml:space="preserve"> and 23 times in the Manual of Tests and Criteria</w:t>
      </w:r>
      <w:r w:rsidR="00AA14C6">
        <w:t>.</w:t>
      </w:r>
    </w:p>
    <w:p w:rsidR="003F52FD" w:rsidRPr="00756552" w:rsidRDefault="003C194B" w:rsidP="003F52FD">
      <w:pPr>
        <w:pStyle w:val="SingleTxtG"/>
        <w:spacing w:line="240" w:lineRule="auto"/>
      </w:pPr>
      <w:r>
        <w:t>24</w:t>
      </w:r>
      <w:r w:rsidR="003F52FD" w:rsidRPr="00756552">
        <w:t>.</w:t>
      </w:r>
      <w:r w:rsidR="003F52FD" w:rsidRPr="00756552">
        <w:tab/>
        <w:t>The current definitions in Chapter 6.7 are:</w:t>
      </w:r>
    </w:p>
    <w:p w:rsidR="005615D1" w:rsidRDefault="005615D1" w:rsidP="003C194B">
      <w:pPr>
        <w:pStyle w:val="SingleTxtG"/>
        <w:spacing w:line="240" w:lineRule="auto"/>
        <w:ind w:firstLine="567"/>
        <w:rPr>
          <w:i/>
        </w:rPr>
      </w:pPr>
      <w:r w:rsidRPr="005615D1">
        <w:rPr>
          <w:i/>
        </w:rPr>
        <w:t xml:space="preserve">6.7.2.1 Definitions </w:t>
      </w:r>
    </w:p>
    <w:p w:rsidR="003F52FD" w:rsidRDefault="003F52FD" w:rsidP="003C194B">
      <w:pPr>
        <w:pStyle w:val="SingleTxtG"/>
        <w:spacing w:line="240" w:lineRule="auto"/>
        <w:ind w:left="1701"/>
      </w:pPr>
      <w:r w:rsidRPr="00756552">
        <w:rPr>
          <w:i/>
        </w:rPr>
        <w:t>Mild steel</w:t>
      </w:r>
      <w:r w:rsidRPr="00756552">
        <w:t xml:space="preserve"> means </w:t>
      </w:r>
      <w:proofErr w:type="gramStart"/>
      <w:r w:rsidRPr="00756552">
        <w:t>a steel</w:t>
      </w:r>
      <w:proofErr w:type="gramEnd"/>
      <w:r w:rsidRPr="00756552">
        <w:t xml:space="preserve"> with a </w:t>
      </w:r>
      <w:r w:rsidRPr="00756552">
        <w:rPr>
          <w:u w:val="single"/>
        </w:rPr>
        <w:t>guaranteed minimum</w:t>
      </w:r>
      <w:r w:rsidRPr="00756552">
        <w:t xml:space="preserve"> tensile strength </w:t>
      </w:r>
      <w:r w:rsidRPr="00756552">
        <w:rPr>
          <w:u w:val="single"/>
        </w:rPr>
        <w:t>of</w:t>
      </w:r>
      <w:r w:rsidRPr="00756552">
        <w:t> 360 N/mm</w:t>
      </w:r>
      <w:r w:rsidRPr="00756552">
        <w:rPr>
          <w:vertAlign w:val="superscript"/>
        </w:rPr>
        <w:t>2</w:t>
      </w:r>
      <w:r w:rsidRPr="00756552">
        <w:t xml:space="preserve"> to </w:t>
      </w:r>
      <w:r w:rsidRPr="00756552">
        <w:rPr>
          <w:u w:val="single"/>
        </w:rPr>
        <w:t>440</w:t>
      </w:r>
      <w:r w:rsidRPr="00756552">
        <w:t> N/mm</w:t>
      </w:r>
      <w:r w:rsidRPr="00756552">
        <w:rPr>
          <w:vertAlign w:val="superscript"/>
        </w:rPr>
        <w:t>2</w:t>
      </w:r>
      <w:r w:rsidRPr="00756552">
        <w:t xml:space="preserve"> and a </w:t>
      </w:r>
      <w:r w:rsidRPr="00756552">
        <w:rPr>
          <w:u w:val="single"/>
        </w:rPr>
        <w:t>guaranteed minimum</w:t>
      </w:r>
      <w:r w:rsidRPr="00756552">
        <w:t xml:space="preserve"> elongation at fracture conforming to 6.7.</w:t>
      </w:r>
      <w:r w:rsidRPr="00756552">
        <w:rPr>
          <w:u w:val="single"/>
        </w:rPr>
        <w:t>2</w:t>
      </w:r>
      <w:r w:rsidRPr="00756552">
        <w:t>.3.3.3;</w:t>
      </w:r>
    </w:p>
    <w:p w:rsidR="005615D1" w:rsidRDefault="005615D1" w:rsidP="003C194B">
      <w:pPr>
        <w:pStyle w:val="SingleTxtG"/>
        <w:spacing w:line="240" w:lineRule="auto"/>
        <w:ind w:firstLine="567"/>
        <w:rPr>
          <w:i/>
        </w:rPr>
      </w:pPr>
      <w:r>
        <w:rPr>
          <w:i/>
        </w:rPr>
        <w:t>6.7.3</w:t>
      </w:r>
      <w:r w:rsidRPr="005615D1">
        <w:rPr>
          <w:i/>
        </w:rPr>
        <w:t xml:space="preserve">.1 Definitions </w:t>
      </w:r>
    </w:p>
    <w:p w:rsidR="003F52FD" w:rsidRPr="00756552" w:rsidRDefault="003F52FD" w:rsidP="003C194B">
      <w:pPr>
        <w:pStyle w:val="SingleTxtG"/>
        <w:spacing w:line="240" w:lineRule="auto"/>
        <w:ind w:left="1701"/>
      </w:pPr>
      <w:r w:rsidRPr="00756552">
        <w:rPr>
          <w:i/>
        </w:rPr>
        <w:lastRenderedPageBreak/>
        <w:t>Mild steel</w:t>
      </w:r>
      <w:r w:rsidRPr="00756552">
        <w:t xml:space="preserve"> means </w:t>
      </w:r>
      <w:proofErr w:type="gramStart"/>
      <w:r w:rsidRPr="00756552">
        <w:t>a steel</w:t>
      </w:r>
      <w:proofErr w:type="gramEnd"/>
      <w:r w:rsidRPr="00756552">
        <w:t xml:space="preserve"> with a </w:t>
      </w:r>
      <w:r w:rsidRPr="00756552">
        <w:rPr>
          <w:u w:val="single"/>
        </w:rPr>
        <w:t>guaranteed minimum</w:t>
      </w:r>
      <w:r w:rsidRPr="00756552">
        <w:t xml:space="preserve"> tensile strength </w:t>
      </w:r>
      <w:r w:rsidRPr="00756552">
        <w:rPr>
          <w:u w:val="single"/>
        </w:rPr>
        <w:t>of</w:t>
      </w:r>
      <w:r w:rsidRPr="00756552">
        <w:t> 360 N/mm</w:t>
      </w:r>
      <w:r w:rsidRPr="00756552">
        <w:rPr>
          <w:vertAlign w:val="superscript"/>
        </w:rPr>
        <w:t>2</w:t>
      </w:r>
      <w:r w:rsidRPr="00756552">
        <w:t xml:space="preserve"> to </w:t>
      </w:r>
      <w:r w:rsidRPr="00756552">
        <w:rPr>
          <w:u w:val="single"/>
        </w:rPr>
        <w:t>440</w:t>
      </w:r>
      <w:r w:rsidRPr="00756552">
        <w:t> N/mm</w:t>
      </w:r>
      <w:r w:rsidRPr="00756552">
        <w:rPr>
          <w:vertAlign w:val="superscript"/>
        </w:rPr>
        <w:t>2</w:t>
      </w:r>
      <w:r w:rsidRPr="00756552">
        <w:t xml:space="preserve"> and a </w:t>
      </w:r>
      <w:r w:rsidRPr="00756552">
        <w:rPr>
          <w:u w:val="single"/>
        </w:rPr>
        <w:t>guaranteed minimum</w:t>
      </w:r>
      <w:r w:rsidRPr="00756552">
        <w:t xml:space="preserve"> elongation at fracture conforming to 6.7.</w:t>
      </w:r>
      <w:r w:rsidRPr="00756552">
        <w:rPr>
          <w:u w:val="single"/>
        </w:rPr>
        <w:t>3</w:t>
      </w:r>
      <w:r w:rsidRPr="00756552">
        <w:t>.3.3.3;</w:t>
      </w:r>
    </w:p>
    <w:p w:rsidR="003F52FD" w:rsidRPr="00756552" w:rsidRDefault="003F52FD" w:rsidP="003C194B">
      <w:pPr>
        <w:pStyle w:val="SingleTxtG"/>
        <w:spacing w:line="240" w:lineRule="auto"/>
        <w:ind w:firstLine="567"/>
      </w:pPr>
      <w:r w:rsidRPr="00756552">
        <w:t>Where the text of 6.7.</w:t>
      </w:r>
      <w:r w:rsidRPr="00756552">
        <w:rPr>
          <w:u w:val="single"/>
        </w:rPr>
        <w:t>2</w:t>
      </w:r>
      <w:r w:rsidRPr="00756552">
        <w:t>.3.3.3 and 6.7.</w:t>
      </w:r>
      <w:r w:rsidRPr="00756552">
        <w:rPr>
          <w:u w:val="single"/>
        </w:rPr>
        <w:t>3</w:t>
      </w:r>
      <w:r w:rsidRPr="00756552">
        <w:t>.3.3.3 is the same, as follows:</w:t>
      </w:r>
    </w:p>
    <w:p w:rsidR="003F52FD" w:rsidRPr="00756552" w:rsidRDefault="003F52FD" w:rsidP="003C194B">
      <w:pPr>
        <w:pStyle w:val="SingleTxtG"/>
        <w:spacing w:line="240" w:lineRule="auto"/>
        <w:ind w:left="1701"/>
      </w:pPr>
      <w:r w:rsidRPr="00756552">
        <w:t>“Steels used in the construction of shells shall have an elongation at fracture, in %, of not less than 10 000/Rm with an absolute minimum of 16% for fine grain steels and 20% for other steels.</w:t>
      </w:r>
      <w:proofErr w:type="gramStart"/>
      <w:r w:rsidRPr="00756552">
        <w:t>”.</w:t>
      </w:r>
      <w:proofErr w:type="gramEnd"/>
    </w:p>
    <w:p w:rsidR="00EC3F03" w:rsidRPr="00551670" w:rsidRDefault="00F35300" w:rsidP="007942BE">
      <w:pPr>
        <w:pStyle w:val="SingleTxtG"/>
        <w:rPr>
          <w:lang w:val="en-US"/>
        </w:rPr>
      </w:pPr>
      <w:r w:rsidRPr="00551670">
        <w:rPr>
          <w:lang w:val="en-US"/>
        </w:rPr>
        <w:t>2</w:t>
      </w:r>
      <w:r w:rsidR="003C194B">
        <w:rPr>
          <w:lang w:val="en-US"/>
        </w:rPr>
        <w:t>5</w:t>
      </w:r>
      <w:r w:rsidR="007942BE" w:rsidRPr="00551670">
        <w:rPr>
          <w:lang w:val="en-US"/>
        </w:rPr>
        <w:t>.</w:t>
      </w:r>
      <w:r w:rsidR="007942BE" w:rsidRPr="00551670">
        <w:rPr>
          <w:lang w:val="en-US"/>
        </w:rPr>
        <w:tab/>
      </w:r>
      <w:r w:rsidR="00EC3F03" w:rsidRPr="00551670">
        <w:t>The provisions of 6.7.</w:t>
      </w:r>
      <w:r w:rsidR="00EC3F03" w:rsidRPr="00551670">
        <w:rPr>
          <w:u w:val="single"/>
        </w:rPr>
        <w:t>2</w:t>
      </w:r>
      <w:r w:rsidR="00EC3F03" w:rsidRPr="00551670">
        <w:t>.3.3.3 and 6.7.</w:t>
      </w:r>
      <w:r w:rsidR="00EC3F03" w:rsidRPr="00551670">
        <w:rPr>
          <w:u w:val="single"/>
        </w:rPr>
        <w:t>3</w:t>
      </w:r>
      <w:r w:rsidR="00EC3F03" w:rsidRPr="00551670">
        <w:t xml:space="preserve">.3.3.3 regarding </w:t>
      </w:r>
      <w:r w:rsidR="00EC3F03" w:rsidRPr="00551670">
        <w:rPr>
          <w:i/>
          <w:u w:val="single"/>
        </w:rPr>
        <w:t>the guaranteed minimum elongation at fracture</w:t>
      </w:r>
      <w:r w:rsidR="00EC3F03" w:rsidRPr="00551670">
        <w:t xml:space="preserve"> still apply independently of the mild steel definition in sections 1.2.1 or 6.7.2, and 6.7.3. In this case</w:t>
      </w:r>
      <w:r w:rsidR="005615D1" w:rsidRPr="00551670">
        <w:t>,</w:t>
      </w:r>
      <w:r w:rsidR="00EC3F03" w:rsidRPr="00551670">
        <w:t xml:space="preserve"> the only specialised term used in the </w:t>
      </w:r>
      <w:r w:rsidR="00FE6934" w:rsidRPr="00551670">
        <w:t xml:space="preserve">definition </w:t>
      </w:r>
      <w:r w:rsidR="00EC3F03" w:rsidRPr="00551670">
        <w:t xml:space="preserve">is </w:t>
      </w:r>
      <w:r w:rsidR="00EC3F03" w:rsidRPr="00551670">
        <w:rPr>
          <w:i/>
          <w:u w:val="single"/>
        </w:rPr>
        <w:t>the guaranteed minimum tensile strength</w:t>
      </w:r>
      <w:r w:rsidR="00EC3F03" w:rsidRPr="00551670">
        <w:t xml:space="preserve">. In Chapter 6.8 of RID/ADR another specialised term </w:t>
      </w:r>
      <w:r w:rsidR="005615D1" w:rsidRPr="00551670">
        <w:t>is used</w:t>
      </w:r>
      <w:r w:rsidR="00551670" w:rsidRPr="00551670">
        <w:t>:</w:t>
      </w:r>
      <w:r w:rsidR="005615D1" w:rsidRPr="00551670">
        <w:t xml:space="preserve"> </w:t>
      </w:r>
      <w:r w:rsidR="00EC3F03" w:rsidRPr="00551670">
        <w:rPr>
          <w:rFonts w:ascii="TimesNewRomanPSMT" w:hAnsi="TimesNewRomanPSMT" w:cs="TimesNewRomanPSMT"/>
          <w:i/>
          <w:u w:val="single"/>
        </w:rPr>
        <w:t>determined tensile strength</w:t>
      </w:r>
      <w:r w:rsidR="00EC3F03" w:rsidRPr="00551670">
        <w:rPr>
          <w:rFonts w:ascii="TimesNewRomanPSMT" w:hAnsi="TimesNewRomanPSMT" w:cs="TimesNewRomanPSMT"/>
        </w:rPr>
        <w:t xml:space="preserve"> (6.8.2.1.12)</w:t>
      </w:r>
      <w:r w:rsidR="00EC3F03" w:rsidRPr="00551670">
        <w:t xml:space="preserve"> and there is no conflict with the general definition of mild steel in 1.2.1.</w:t>
      </w:r>
    </w:p>
    <w:p w:rsidR="007942BE" w:rsidRPr="00551670" w:rsidRDefault="003C194B" w:rsidP="007942BE">
      <w:pPr>
        <w:pStyle w:val="SingleTxtG"/>
        <w:rPr>
          <w:lang w:val="en-US"/>
        </w:rPr>
      </w:pPr>
      <w:r>
        <w:rPr>
          <w:lang w:val="en-US"/>
        </w:rPr>
        <w:t>26</w:t>
      </w:r>
      <w:r w:rsidR="00EC3F03" w:rsidRPr="00551670">
        <w:rPr>
          <w:lang w:val="en-US"/>
        </w:rPr>
        <w:t>.</w:t>
      </w:r>
      <w:r w:rsidR="00EC3F03" w:rsidRPr="00551670">
        <w:rPr>
          <w:lang w:val="en-US"/>
        </w:rPr>
        <w:tab/>
      </w:r>
      <w:r w:rsidR="0057495F" w:rsidRPr="00551670">
        <w:rPr>
          <w:lang w:val="en-US"/>
        </w:rPr>
        <w:t xml:space="preserve">We consider </w:t>
      </w:r>
      <w:r w:rsidR="00C505CF" w:rsidRPr="00551670">
        <w:rPr>
          <w:lang w:val="en-US"/>
        </w:rPr>
        <w:t xml:space="preserve">there is a need to extend the </w:t>
      </w:r>
      <w:r w:rsidR="00EC3F03" w:rsidRPr="00551670">
        <w:rPr>
          <w:lang w:val="en-US"/>
        </w:rPr>
        <w:t xml:space="preserve">scope of the </w:t>
      </w:r>
      <w:r w:rsidR="00C505CF" w:rsidRPr="00551670">
        <w:rPr>
          <w:lang w:val="en-US"/>
        </w:rPr>
        <w:t xml:space="preserve">definition of mild steel over the </w:t>
      </w:r>
      <w:r w:rsidR="0056570C" w:rsidRPr="00551670">
        <w:rPr>
          <w:lang w:val="en-US"/>
        </w:rPr>
        <w:t xml:space="preserve">text of the </w:t>
      </w:r>
      <w:r w:rsidR="00C505CF" w:rsidRPr="00551670">
        <w:rPr>
          <w:lang w:val="en-US"/>
        </w:rPr>
        <w:t xml:space="preserve">Regulations, including the Manual of Tests and </w:t>
      </w:r>
      <w:r w:rsidR="0057495F" w:rsidRPr="00551670">
        <w:rPr>
          <w:lang w:val="en-US"/>
        </w:rPr>
        <w:t>Criteria</w:t>
      </w:r>
      <w:r w:rsidR="00C505CF" w:rsidRPr="00551670">
        <w:rPr>
          <w:lang w:val="en-US"/>
        </w:rPr>
        <w:t>.</w:t>
      </w:r>
    </w:p>
    <w:p w:rsidR="007942BE" w:rsidRPr="00551670" w:rsidRDefault="003C194B" w:rsidP="007942BE">
      <w:pPr>
        <w:pStyle w:val="SingleTxtG"/>
        <w:rPr>
          <w:lang w:val="en-US"/>
        </w:rPr>
      </w:pPr>
      <w:r>
        <w:rPr>
          <w:lang w:val="en-US"/>
        </w:rPr>
        <w:t>27</w:t>
      </w:r>
      <w:r w:rsidR="007942BE" w:rsidRPr="00551670">
        <w:rPr>
          <w:lang w:val="en-US"/>
        </w:rPr>
        <w:t>.</w:t>
      </w:r>
      <w:r w:rsidR="007942BE" w:rsidRPr="00551670">
        <w:rPr>
          <w:lang w:val="en-US"/>
        </w:rPr>
        <w:tab/>
      </w:r>
      <w:r w:rsidR="0057495F" w:rsidRPr="00551670">
        <w:rPr>
          <w:lang w:val="en-US"/>
        </w:rPr>
        <w:t>The only real issue to be dealt</w:t>
      </w:r>
      <w:r w:rsidR="005615D1" w:rsidRPr="00551670">
        <w:rPr>
          <w:lang w:val="en-US"/>
        </w:rPr>
        <w:t xml:space="preserve"> with</w:t>
      </w:r>
      <w:r w:rsidR="0057495F" w:rsidRPr="00551670">
        <w:rPr>
          <w:lang w:val="en-US"/>
        </w:rPr>
        <w:t xml:space="preserve"> is the analysis of the use of </w:t>
      </w:r>
      <w:r w:rsidR="0057495F" w:rsidRPr="00551670">
        <w:t>“</w:t>
      </w:r>
      <w:r w:rsidR="0057495F" w:rsidRPr="00551670">
        <w:rPr>
          <w:i/>
        </w:rPr>
        <w:t>mild steel</w:t>
      </w:r>
      <w:r w:rsidR="0057495F" w:rsidRPr="00551670">
        <w:t xml:space="preserve">” </w:t>
      </w:r>
      <w:r w:rsidR="0057495F" w:rsidRPr="00551670">
        <w:rPr>
          <w:lang w:val="en-US"/>
        </w:rPr>
        <w:t xml:space="preserve">instead of </w:t>
      </w:r>
      <w:r w:rsidR="0057495F" w:rsidRPr="00551670">
        <w:t>“</w:t>
      </w:r>
      <w:r w:rsidR="0057495F" w:rsidRPr="00551670">
        <w:rPr>
          <w:i/>
          <w:lang w:val="en-US"/>
        </w:rPr>
        <w:t>reference steel</w:t>
      </w:r>
      <w:r w:rsidR="0057495F" w:rsidRPr="00551670">
        <w:t xml:space="preserve">” </w:t>
      </w:r>
      <w:r w:rsidR="0057495F" w:rsidRPr="00551670">
        <w:rPr>
          <w:lang w:val="en-US"/>
        </w:rPr>
        <w:t>in sub-section</w:t>
      </w:r>
      <w:r w:rsidR="007942BE" w:rsidRPr="00551670">
        <w:rPr>
          <w:lang w:val="en-US"/>
        </w:rPr>
        <w:t xml:space="preserve"> 6.5.5.1</w:t>
      </w:r>
      <w:r w:rsidR="0057495F" w:rsidRPr="00551670">
        <w:rPr>
          <w:lang w:val="en-US"/>
        </w:rPr>
        <w:t xml:space="preserve"> for metal IBCs</w:t>
      </w:r>
      <w:r w:rsidR="007942BE" w:rsidRPr="00551670">
        <w:rPr>
          <w:lang w:val="en-US"/>
        </w:rPr>
        <w:t>.</w:t>
      </w:r>
    </w:p>
    <w:p w:rsidR="00916996" w:rsidRPr="00551670" w:rsidRDefault="003C194B" w:rsidP="003C194B">
      <w:pPr>
        <w:pStyle w:val="HChG"/>
      </w:pPr>
      <w:r>
        <w:tab/>
      </w:r>
      <w:r>
        <w:tab/>
      </w:r>
      <w:r w:rsidR="00F35300" w:rsidRPr="00551670">
        <w:t>To resume the issue</w:t>
      </w:r>
    </w:p>
    <w:p w:rsidR="0057495F" w:rsidRPr="00551670" w:rsidRDefault="003C194B" w:rsidP="0057495F">
      <w:pPr>
        <w:pStyle w:val="SingleTxtG"/>
        <w:spacing w:line="240" w:lineRule="auto"/>
      </w:pPr>
      <w:r>
        <w:t>28</w:t>
      </w:r>
      <w:r w:rsidR="0057495F" w:rsidRPr="00551670">
        <w:t>.</w:t>
      </w:r>
      <w:r w:rsidR="0057495F" w:rsidRPr="00551670">
        <w:tab/>
      </w:r>
      <w:r w:rsidR="00916996" w:rsidRPr="00551670">
        <w:t>T</w:t>
      </w:r>
      <w:r w:rsidR="00B91424" w:rsidRPr="00551670">
        <w:t xml:space="preserve">he introduction of both </w:t>
      </w:r>
      <w:r w:rsidR="00916996" w:rsidRPr="00551670">
        <w:t xml:space="preserve">definitions in section 1.2.1 </w:t>
      </w:r>
      <w:r w:rsidR="0057495F" w:rsidRPr="00551670">
        <w:t xml:space="preserve">strengthens the </w:t>
      </w:r>
      <w:r w:rsidR="0056570C" w:rsidRPr="00551670">
        <w:t>Regulations</w:t>
      </w:r>
      <w:r w:rsidR="0057495F" w:rsidRPr="00551670">
        <w:t>.</w:t>
      </w:r>
    </w:p>
    <w:p w:rsidR="00C8164D" w:rsidRPr="00551670" w:rsidRDefault="003C194B" w:rsidP="003F52FD">
      <w:pPr>
        <w:pStyle w:val="SingleTxtG"/>
        <w:spacing w:line="240" w:lineRule="auto"/>
      </w:pPr>
      <w:r>
        <w:t>29</w:t>
      </w:r>
      <w:r w:rsidR="0057495F" w:rsidRPr="00551670">
        <w:t>.</w:t>
      </w:r>
      <w:r w:rsidR="0057495F" w:rsidRPr="00551670">
        <w:tab/>
      </w:r>
      <w:r w:rsidR="00C8164D" w:rsidRPr="00551670">
        <w:t>We propose below a solution for the Sub-section 6.5.5.1.6.</w:t>
      </w:r>
    </w:p>
    <w:p w:rsidR="00916996" w:rsidRPr="00551670" w:rsidRDefault="003C194B" w:rsidP="003F52FD">
      <w:pPr>
        <w:pStyle w:val="SingleTxtG"/>
        <w:spacing w:line="240" w:lineRule="auto"/>
      </w:pPr>
      <w:r>
        <w:t>30</w:t>
      </w:r>
      <w:r w:rsidR="00C8164D" w:rsidRPr="00551670">
        <w:t>.</w:t>
      </w:r>
      <w:r w:rsidR="00C8164D" w:rsidRPr="00551670">
        <w:tab/>
      </w:r>
      <w:r w:rsidR="00120FAB" w:rsidRPr="00551670">
        <w:t>Ultimately</w:t>
      </w:r>
      <w:r w:rsidR="00EC3F03" w:rsidRPr="00551670">
        <w:t>, t</w:t>
      </w:r>
      <w:r w:rsidR="00916996" w:rsidRPr="00551670">
        <w:t xml:space="preserve">he </w:t>
      </w:r>
      <w:r w:rsidR="00120FAB" w:rsidRPr="00551670">
        <w:t xml:space="preserve">current </w:t>
      </w:r>
      <w:r w:rsidR="00916996" w:rsidRPr="00551670">
        <w:t xml:space="preserve">definitions in 6.7 could be preserved if they differ </w:t>
      </w:r>
      <w:r w:rsidR="00120FAB" w:rsidRPr="00551670">
        <w:t xml:space="preserve">substantially </w:t>
      </w:r>
      <w:r w:rsidR="00916996" w:rsidRPr="00551670">
        <w:t xml:space="preserve">from the </w:t>
      </w:r>
      <w:r w:rsidR="00810F38" w:rsidRPr="00551670">
        <w:t>accepted (</w:t>
      </w:r>
      <w:r w:rsidR="00916996" w:rsidRPr="00551670">
        <w:t>general</w:t>
      </w:r>
      <w:r w:rsidR="00810F38" w:rsidRPr="00551670">
        <w:t>)</w:t>
      </w:r>
      <w:r w:rsidR="00916996" w:rsidRPr="00551670">
        <w:t xml:space="preserve"> definitions </w:t>
      </w:r>
      <w:r w:rsidR="005615D1" w:rsidRPr="00551670">
        <w:t xml:space="preserve">in </w:t>
      </w:r>
      <w:r w:rsidR="00916996" w:rsidRPr="00551670">
        <w:t>1.2.1</w:t>
      </w:r>
      <w:r w:rsidR="005615D1" w:rsidRPr="00551670">
        <w:t>,</w:t>
      </w:r>
      <w:r w:rsidR="00A24A52" w:rsidRPr="00551670">
        <w:t xml:space="preserve"> but the </w:t>
      </w:r>
      <w:r w:rsidR="00A56F0C" w:rsidRPr="00551670">
        <w:t xml:space="preserve">text of the </w:t>
      </w:r>
      <w:r w:rsidR="00A24A52" w:rsidRPr="00551670">
        <w:t xml:space="preserve">Regulations must be covered </w:t>
      </w:r>
      <w:r w:rsidR="00A56F0C" w:rsidRPr="00551670">
        <w:t xml:space="preserve">by the steels definitions </w:t>
      </w:r>
      <w:r w:rsidR="00A24A52" w:rsidRPr="00551670">
        <w:t>not only because of the Guiding Principles for Chapter 1.2 – definitions and units of measurements which stipulate: “</w:t>
      </w:r>
      <w:r w:rsidR="00A24A52" w:rsidRPr="00551670">
        <w:rPr>
          <w:i/>
        </w:rPr>
        <w:t>Definitions and units of measurements of general applicability used throughout the Model Regulations are listed here</w:t>
      </w:r>
      <w:r w:rsidR="00A24A52" w:rsidRPr="00551670">
        <w:t>.</w:t>
      </w:r>
      <w:r w:rsidR="00916996" w:rsidRPr="00551670">
        <w:t xml:space="preserve"> </w:t>
      </w:r>
      <w:proofErr w:type="gramStart"/>
      <w:r w:rsidR="00A24A52" w:rsidRPr="00551670">
        <w:t>[...]</w:t>
      </w:r>
      <w:r w:rsidR="00E82F3E" w:rsidRPr="00551670">
        <w:t>”</w:t>
      </w:r>
      <w:r w:rsidR="0056570C" w:rsidRPr="00551670">
        <w:t>, but because of the consistency of the provisions</w:t>
      </w:r>
      <w:r w:rsidR="00E82F3E" w:rsidRPr="00551670">
        <w:t>.</w:t>
      </w:r>
      <w:proofErr w:type="gramEnd"/>
    </w:p>
    <w:p w:rsidR="0060709C" w:rsidRPr="00551670" w:rsidRDefault="0060709C" w:rsidP="003C194B">
      <w:pPr>
        <w:pStyle w:val="HChG"/>
      </w:pPr>
      <w:r w:rsidRPr="00551670">
        <w:tab/>
      </w:r>
      <w:r w:rsidRPr="00551670">
        <w:tab/>
      </w:r>
      <w:r w:rsidRPr="003C194B">
        <w:t>Proposal</w:t>
      </w:r>
      <w:r w:rsidR="006E1879" w:rsidRPr="003C194B">
        <w:t>s</w:t>
      </w:r>
    </w:p>
    <w:p w:rsidR="00981354" w:rsidRPr="00551670" w:rsidRDefault="003C194B" w:rsidP="00981354">
      <w:pPr>
        <w:pStyle w:val="SingleTxtG"/>
        <w:spacing w:line="240" w:lineRule="auto"/>
        <w:rPr>
          <w:lang w:val="ro-RO"/>
        </w:rPr>
      </w:pPr>
      <w:r>
        <w:t>31</w:t>
      </w:r>
      <w:r w:rsidR="00245539" w:rsidRPr="00551670">
        <w:t>.</w:t>
      </w:r>
      <w:r w:rsidR="00245539" w:rsidRPr="00551670">
        <w:tab/>
      </w:r>
      <w:r w:rsidR="00774172" w:rsidRPr="00551670">
        <w:t>Replace</w:t>
      </w:r>
      <w:r w:rsidR="00981354" w:rsidRPr="00551670">
        <w:t xml:space="preserve"> the text in 6.5.5.1.6 (a) before the table to read as follows</w:t>
      </w:r>
      <w:r w:rsidR="009A7801" w:rsidRPr="00551670">
        <w:t xml:space="preserve"> </w:t>
      </w:r>
      <w:r w:rsidR="00FC7E16" w:rsidRPr="00551670">
        <w:rPr>
          <w:lang w:val="en-US"/>
        </w:rPr>
        <w:t xml:space="preserve">(new text </w:t>
      </w:r>
      <w:r w:rsidR="00551670" w:rsidRPr="00551670">
        <w:rPr>
          <w:lang w:val="en-US"/>
        </w:rPr>
        <w:t>underlined</w:t>
      </w:r>
      <w:r w:rsidR="00FC7E16" w:rsidRPr="00551670">
        <w:rPr>
          <w:lang w:val="en-US"/>
        </w:rPr>
        <w:t xml:space="preserve"> deletions in strike-through)</w:t>
      </w:r>
      <w:r w:rsidR="00981354" w:rsidRPr="00551670">
        <w:rPr>
          <w:lang w:val="ro-RO"/>
        </w:rPr>
        <w:t>:</w:t>
      </w:r>
    </w:p>
    <w:p w:rsidR="009A7801" w:rsidRPr="00551670" w:rsidRDefault="00981354" w:rsidP="003C194B">
      <w:pPr>
        <w:pStyle w:val="SingleTxtG"/>
        <w:spacing w:line="240" w:lineRule="auto"/>
        <w:ind w:left="1701"/>
      </w:pPr>
      <w:r w:rsidRPr="00551670">
        <w:t>(a)</w:t>
      </w:r>
      <w:r w:rsidRPr="00551670">
        <w:tab/>
      </w:r>
      <w:proofErr w:type="gramStart"/>
      <w:r w:rsidRPr="00551670">
        <w:t>for</w:t>
      </w:r>
      <w:proofErr w:type="gramEnd"/>
      <w:r w:rsidRPr="00551670">
        <w:t xml:space="preserve"> a </w:t>
      </w:r>
      <w:r w:rsidRPr="00551670">
        <w:rPr>
          <w:strike/>
        </w:rPr>
        <w:t>reference steel</w:t>
      </w:r>
      <w:r w:rsidRPr="00551670">
        <w:t xml:space="preserve"> </w:t>
      </w:r>
      <w:r w:rsidRPr="00551670">
        <w:rPr>
          <w:u w:val="single"/>
        </w:rPr>
        <w:t xml:space="preserve">mild steel </w:t>
      </w:r>
      <w:r w:rsidRPr="00551670">
        <w:rPr>
          <w:strike/>
        </w:rPr>
        <w:t>having a product of Rm </w:t>
      </w:r>
      <w:r w:rsidRPr="00551670">
        <w:rPr>
          <w:strike/>
        </w:rPr>
        <w:sym w:font="Symbol" w:char="00B4"/>
      </w:r>
      <w:r w:rsidRPr="00551670">
        <w:rPr>
          <w:strike/>
        </w:rPr>
        <w:t> </w:t>
      </w:r>
      <w:proofErr w:type="spellStart"/>
      <w:r w:rsidRPr="00551670">
        <w:rPr>
          <w:strike/>
        </w:rPr>
        <w:t>A</w:t>
      </w:r>
      <w:r w:rsidRPr="00551670">
        <w:rPr>
          <w:strike/>
          <w:vertAlign w:val="subscript"/>
        </w:rPr>
        <w:t>o</w:t>
      </w:r>
      <w:proofErr w:type="spellEnd"/>
      <w:r w:rsidRPr="00551670">
        <w:rPr>
          <w:strike/>
          <w:vertAlign w:val="subscript"/>
        </w:rPr>
        <w:t xml:space="preserve"> </w:t>
      </w:r>
      <w:r w:rsidRPr="00551670">
        <w:rPr>
          <w:strike/>
        </w:rPr>
        <w:t>= 10 000</w:t>
      </w:r>
      <w:r w:rsidR="00FC7E16" w:rsidRPr="00551670">
        <w:t xml:space="preserve"> </w:t>
      </w:r>
      <w:r w:rsidRPr="00551670">
        <w:rPr>
          <w:u w:val="single"/>
          <w:lang w:val="en-US"/>
        </w:rPr>
        <w:t>[</w:t>
      </w:r>
      <w:r w:rsidRPr="00551670">
        <w:rPr>
          <w:u w:val="single"/>
        </w:rPr>
        <w:t>as defined in 6.5.5.1.5 (a)],</w:t>
      </w:r>
      <w:r w:rsidRPr="00551670">
        <w:t xml:space="preserve"> the wall thickness shall not be less than:</w:t>
      </w:r>
    </w:p>
    <w:p w:rsidR="00981354" w:rsidRPr="00551670" w:rsidRDefault="00981354" w:rsidP="003C194B">
      <w:pPr>
        <w:pStyle w:val="SingleTxtG"/>
        <w:spacing w:line="240" w:lineRule="auto"/>
        <w:ind w:firstLine="567"/>
      </w:pPr>
      <w:proofErr w:type="gramStart"/>
      <w:r w:rsidRPr="00551670">
        <w:t>and</w:t>
      </w:r>
      <w:proofErr w:type="gramEnd"/>
      <w:r w:rsidRPr="00551670">
        <w:t xml:space="preserve"> delete the text under the table</w:t>
      </w:r>
      <w:r w:rsidR="009A7801" w:rsidRPr="00551670">
        <w:t>:</w:t>
      </w:r>
    </w:p>
    <w:p w:rsidR="00774172" w:rsidRPr="00551670" w:rsidRDefault="00981354" w:rsidP="00981354">
      <w:pPr>
        <w:pStyle w:val="SingleTxtG"/>
        <w:spacing w:line="240" w:lineRule="auto"/>
        <w:ind w:left="2410" w:hanging="709"/>
      </w:pPr>
      <w:proofErr w:type="gramStart"/>
      <w:r w:rsidRPr="00551670">
        <w:rPr>
          <w:strike/>
        </w:rPr>
        <w:t>where</w:t>
      </w:r>
      <w:proofErr w:type="gramEnd"/>
      <w:r w:rsidRPr="00551670">
        <w:rPr>
          <w:strike/>
        </w:rPr>
        <w:t>:</w:t>
      </w:r>
      <w:r w:rsidRPr="00551670">
        <w:rPr>
          <w:strike/>
        </w:rPr>
        <w:tab/>
      </w:r>
      <w:proofErr w:type="spellStart"/>
      <w:r w:rsidRPr="00551670">
        <w:rPr>
          <w:strike/>
        </w:rPr>
        <w:t>A</w:t>
      </w:r>
      <w:r w:rsidRPr="00551670">
        <w:rPr>
          <w:strike/>
          <w:vertAlign w:val="subscript"/>
        </w:rPr>
        <w:t>o</w:t>
      </w:r>
      <w:proofErr w:type="spellEnd"/>
      <w:r w:rsidRPr="00551670">
        <w:rPr>
          <w:strike/>
          <w:vertAlign w:val="subscript"/>
        </w:rPr>
        <w:t xml:space="preserve">  </w:t>
      </w:r>
      <w:r w:rsidRPr="00551670">
        <w:rPr>
          <w:strike/>
        </w:rPr>
        <w:t>=</w:t>
      </w:r>
      <w:r w:rsidRPr="00551670">
        <w:rPr>
          <w:strike/>
        </w:rPr>
        <w:tab/>
        <w:t>minimum elongation (as a percentage) of the reference steel to be used on fracture under tensile stress (see 6.5.5.1.5);</w:t>
      </w:r>
      <w:r w:rsidR="00774172" w:rsidRPr="00551670">
        <w:t>” .</w:t>
      </w:r>
    </w:p>
    <w:p w:rsidR="00682FB8" w:rsidRPr="00551670" w:rsidRDefault="003C194B" w:rsidP="006E1879">
      <w:pPr>
        <w:pStyle w:val="SingleTxtG"/>
        <w:spacing w:line="240" w:lineRule="auto"/>
      </w:pPr>
      <w:r>
        <w:t>32</w:t>
      </w:r>
      <w:r w:rsidR="00774172" w:rsidRPr="00551670">
        <w:t>.</w:t>
      </w:r>
      <w:r w:rsidR="00774172" w:rsidRPr="00551670">
        <w:tab/>
      </w:r>
      <w:r w:rsidR="00682FB8" w:rsidRPr="00551670">
        <w:t>Replace “reference steel” by “mild steel” in 6.5.5.1.6 (b) – once, in the body of the text before the formula.</w:t>
      </w:r>
    </w:p>
    <w:p w:rsidR="006E1879" w:rsidRPr="00551670" w:rsidRDefault="003C194B" w:rsidP="006E1879">
      <w:pPr>
        <w:pStyle w:val="SingleTxtG"/>
        <w:spacing w:line="240" w:lineRule="auto"/>
      </w:pPr>
      <w:r>
        <w:t>33</w:t>
      </w:r>
      <w:r w:rsidR="00682FB8" w:rsidRPr="00551670">
        <w:t>.</w:t>
      </w:r>
      <w:r w:rsidR="00682FB8" w:rsidRPr="00551670">
        <w:tab/>
      </w:r>
      <w:r w:rsidR="006E1879" w:rsidRPr="00551670">
        <w:t>Insert the definition “Reference steel” in section 1.2.1:</w:t>
      </w:r>
    </w:p>
    <w:p w:rsidR="006E1879" w:rsidRPr="00551670" w:rsidRDefault="006E1879" w:rsidP="003C194B">
      <w:pPr>
        <w:pStyle w:val="SingleTxtG"/>
        <w:spacing w:line="240" w:lineRule="auto"/>
        <w:ind w:left="1701"/>
      </w:pPr>
      <w:r w:rsidRPr="00551670">
        <w:t>“</w:t>
      </w:r>
      <w:r w:rsidR="00D211EC" w:rsidRPr="00551670">
        <w:rPr>
          <w:i/>
        </w:rPr>
        <w:t>Reference steel</w:t>
      </w:r>
      <w:r w:rsidRPr="00551670">
        <w:t xml:space="preserve"> means </w:t>
      </w:r>
      <w:proofErr w:type="gramStart"/>
      <w:r w:rsidRPr="00551670">
        <w:t>a steel</w:t>
      </w:r>
      <w:proofErr w:type="gramEnd"/>
      <w:r w:rsidRPr="00551670">
        <w:t xml:space="preserve"> with a tensile strength of 370 N/mm</w:t>
      </w:r>
      <w:r w:rsidRPr="00551670">
        <w:rPr>
          <w:vertAlign w:val="superscript"/>
        </w:rPr>
        <w:t>2</w:t>
      </w:r>
      <w:r w:rsidRPr="00551670">
        <w:t xml:space="preserve"> and an elongation at fracture of 27%;”</w:t>
      </w:r>
    </w:p>
    <w:p w:rsidR="006E1879" w:rsidRPr="00551670" w:rsidRDefault="003C194B" w:rsidP="006E1879">
      <w:pPr>
        <w:pStyle w:val="SingleTxtG"/>
        <w:spacing w:line="240" w:lineRule="auto"/>
      </w:pPr>
      <w:r>
        <w:t>34</w:t>
      </w:r>
      <w:r w:rsidR="006E1879" w:rsidRPr="00551670">
        <w:t>.</w:t>
      </w:r>
      <w:r w:rsidR="006E1879" w:rsidRPr="00551670">
        <w:tab/>
        <w:t>Delete the definitions of “Reference steel” from 6.7.2.1, 6.7.3.1 and 6.7.4.1.</w:t>
      </w:r>
    </w:p>
    <w:p w:rsidR="006E1879" w:rsidRPr="00551670" w:rsidRDefault="00682FB8" w:rsidP="006E1879">
      <w:pPr>
        <w:pStyle w:val="SingleTxtG"/>
        <w:spacing w:line="240" w:lineRule="auto"/>
      </w:pPr>
      <w:r w:rsidRPr="00551670">
        <w:t>3</w:t>
      </w:r>
      <w:r w:rsidR="003C194B">
        <w:t>5</w:t>
      </w:r>
      <w:r w:rsidR="006E1879" w:rsidRPr="00551670">
        <w:t>.</w:t>
      </w:r>
      <w:r w:rsidR="006E1879" w:rsidRPr="00551670">
        <w:tab/>
        <w:t>Insert the definition “Mild steel” in section 1.2.1, as follows:</w:t>
      </w:r>
    </w:p>
    <w:p w:rsidR="006E1879" w:rsidRPr="00551670" w:rsidRDefault="006E1879" w:rsidP="003C194B">
      <w:pPr>
        <w:pStyle w:val="SingleTxtG"/>
        <w:spacing w:line="240" w:lineRule="auto"/>
        <w:ind w:left="1701"/>
      </w:pPr>
      <w:r w:rsidRPr="00551670">
        <w:lastRenderedPageBreak/>
        <w:t>"</w:t>
      </w:r>
      <w:r w:rsidR="00D211EC" w:rsidRPr="00551670">
        <w:rPr>
          <w:i/>
        </w:rPr>
        <w:t>Mild steel</w:t>
      </w:r>
      <w:r w:rsidRPr="00551670">
        <w:t xml:space="preserve"> means </w:t>
      </w:r>
      <w:proofErr w:type="gramStart"/>
      <w:r w:rsidRPr="00551670">
        <w:t>a steel</w:t>
      </w:r>
      <w:proofErr w:type="gramEnd"/>
      <w:r w:rsidRPr="00551670">
        <w:t xml:space="preserve"> with a </w:t>
      </w:r>
      <w:r w:rsidR="00FC7E16" w:rsidRPr="00551670">
        <w:rPr>
          <w:lang w:val="en-US"/>
        </w:rPr>
        <w:t>[</w:t>
      </w:r>
      <w:r w:rsidR="00FC7E16" w:rsidRPr="00551670">
        <w:t xml:space="preserve">guaranteed] </w:t>
      </w:r>
      <w:r w:rsidRPr="00551670">
        <w:t>minimum tensile strength of 360 N/mm</w:t>
      </w:r>
      <w:r w:rsidRPr="00551670">
        <w:rPr>
          <w:vertAlign w:val="superscript"/>
        </w:rPr>
        <w:t>2</w:t>
      </w:r>
      <w:r w:rsidRPr="00551670">
        <w:t xml:space="preserve"> to 440 N/mm</w:t>
      </w:r>
      <w:r w:rsidRPr="00551670">
        <w:rPr>
          <w:vertAlign w:val="superscript"/>
        </w:rPr>
        <w:t>2</w:t>
      </w:r>
      <w:r w:rsidRPr="00551670">
        <w:t>";</w:t>
      </w:r>
    </w:p>
    <w:p w:rsidR="005113BE" w:rsidRDefault="00774172" w:rsidP="006E1879">
      <w:pPr>
        <w:pStyle w:val="SingleTxtG"/>
        <w:spacing w:line="240" w:lineRule="auto"/>
      </w:pPr>
      <w:r w:rsidRPr="00756552">
        <w:t>3</w:t>
      </w:r>
      <w:r w:rsidR="003C194B">
        <w:t>6</w:t>
      </w:r>
      <w:r w:rsidR="006E1879" w:rsidRPr="00756552">
        <w:t>.</w:t>
      </w:r>
      <w:r w:rsidR="006E1879" w:rsidRPr="00756552">
        <w:tab/>
        <w:t>Delete the definitions of “Mild steel” from 6.7.2.1 and 6.7.3.1.</w:t>
      </w:r>
    </w:p>
    <w:p w:rsidR="0075659C" w:rsidRPr="0075659C" w:rsidRDefault="003C194B" w:rsidP="003C194B">
      <w:pPr>
        <w:pStyle w:val="HChG"/>
      </w:pPr>
      <w:r>
        <w:tab/>
      </w:r>
      <w:r>
        <w:tab/>
      </w:r>
      <w:r w:rsidR="0075659C" w:rsidRPr="0075659C">
        <w:t>Consequential amendments</w:t>
      </w:r>
    </w:p>
    <w:p w:rsidR="0075659C" w:rsidRDefault="00F35300" w:rsidP="0075659C">
      <w:pPr>
        <w:pStyle w:val="SingleTxtG"/>
        <w:spacing w:line="240" w:lineRule="auto"/>
      </w:pPr>
      <w:r>
        <w:t>3</w:t>
      </w:r>
      <w:r w:rsidR="003C194B">
        <w:t>7</w:t>
      </w:r>
      <w:r w:rsidR="0075659C">
        <w:t>.</w:t>
      </w:r>
      <w:r w:rsidR="0075659C">
        <w:tab/>
        <w:t xml:space="preserve">Delete de following parenthesis </w:t>
      </w:r>
      <w:r w:rsidR="0052461F">
        <w:t xml:space="preserve">(including the text contained) </w:t>
      </w:r>
      <w:r w:rsidR="0075659C">
        <w:t>from the paragraphs:</w:t>
      </w:r>
    </w:p>
    <w:p w:rsidR="0075659C" w:rsidRDefault="003C194B" w:rsidP="0075659C">
      <w:pPr>
        <w:pStyle w:val="SingleTxtG"/>
        <w:spacing w:line="240" w:lineRule="auto"/>
        <w:ind w:firstLine="567"/>
      </w:pPr>
      <w:r>
        <w:t>–</w:t>
      </w:r>
      <w:r w:rsidR="0075659C">
        <w:tab/>
        <w:t xml:space="preserve">6.7.2.4.7 and 6.7.2.4.9: </w:t>
      </w:r>
      <w:r w:rsidR="0075659C">
        <w:tab/>
        <w:t>(see 6.7.2.1), and</w:t>
      </w:r>
    </w:p>
    <w:p w:rsidR="0075659C" w:rsidRPr="00756552" w:rsidRDefault="003C194B" w:rsidP="0075659C">
      <w:pPr>
        <w:pStyle w:val="SingleTxtG"/>
        <w:spacing w:line="240" w:lineRule="auto"/>
        <w:ind w:firstLine="567"/>
      </w:pPr>
      <w:r>
        <w:t>–</w:t>
      </w:r>
      <w:r w:rsidR="0075659C">
        <w:tab/>
        <w:t xml:space="preserve">6.7.3.4.6: </w:t>
      </w:r>
      <w:r w:rsidR="0075659C">
        <w:tab/>
      </w:r>
      <w:r w:rsidR="0075659C">
        <w:tab/>
      </w:r>
      <w:r w:rsidR="0075659C">
        <w:tab/>
        <w:t>(see 6.7.3.1).</w:t>
      </w:r>
    </w:p>
    <w:p w:rsidR="00845287" w:rsidRPr="00756552" w:rsidRDefault="0060709C" w:rsidP="0060709C">
      <w:pPr>
        <w:pStyle w:val="SingleTxtG"/>
        <w:spacing w:before="240" w:after="0"/>
        <w:jc w:val="center"/>
        <w:rPr>
          <w:u w:val="single"/>
        </w:rPr>
      </w:pPr>
      <w:r w:rsidRPr="00756552">
        <w:rPr>
          <w:u w:val="single"/>
        </w:rPr>
        <w:tab/>
      </w:r>
      <w:r w:rsidRPr="00756552">
        <w:rPr>
          <w:u w:val="single"/>
        </w:rPr>
        <w:tab/>
      </w:r>
      <w:r w:rsidRPr="00756552">
        <w:rPr>
          <w:u w:val="single"/>
        </w:rPr>
        <w:tab/>
      </w:r>
    </w:p>
    <w:p w:rsidR="007656AE" w:rsidRPr="00756552" w:rsidRDefault="007656AE" w:rsidP="006D1704">
      <w:pPr>
        <w:pStyle w:val="SingleTxtG"/>
        <w:ind w:left="0"/>
      </w:pPr>
    </w:p>
    <w:sectPr w:rsidR="007656AE" w:rsidRPr="00756552" w:rsidSect="003466A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BD787A" w15:done="0"/>
  <w15:commentEx w15:paraId="2FC3D67C" w15:done="0"/>
  <w15:commentEx w15:paraId="5D701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79" w:rsidRDefault="00631A79"/>
  </w:endnote>
  <w:endnote w:type="continuationSeparator" w:id="0">
    <w:p w:rsidR="00631A79" w:rsidRDefault="00631A79"/>
  </w:endnote>
  <w:endnote w:type="continuationNotice" w:id="1">
    <w:p w:rsidR="00631A79" w:rsidRDefault="0063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FC4432" w:rsidP="003466AC">
    <w:pPr>
      <w:pStyle w:val="Footer"/>
      <w:tabs>
        <w:tab w:val="right" w:pos="9638"/>
      </w:tabs>
      <w:rPr>
        <w:sz w:val="18"/>
      </w:rPr>
    </w:pPr>
    <w:r w:rsidRPr="003466AC">
      <w:rPr>
        <w:b/>
        <w:sz w:val="18"/>
      </w:rPr>
      <w:fldChar w:fldCharType="begin"/>
    </w:r>
    <w:r w:rsidR="00870CE1" w:rsidRPr="003466AC">
      <w:rPr>
        <w:b/>
        <w:sz w:val="18"/>
      </w:rPr>
      <w:instrText xml:space="preserve"> PAGE  \* MERGEFORMAT </w:instrText>
    </w:r>
    <w:r w:rsidRPr="003466AC">
      <w:rPr>
        <w:b/>
        <w:sz w:val="18"/>
      </w:rPr>
      <w:fldChar w:fldCharType="separate"/>
    </w:r>
    <w:r w:rsidR="000219BF">
      <w:rPr>
        <w:b/>
        <w:noProof/>
        <w:sz w:val="18"/>
      </w:rPr>
      <w:t>6</w:t>
    </w:r>
    <w:r w:rsidRPr="003466AC">
      <w:rPr>
        <w:b/>
        <w:sz w:val="18"/>
      </w:rPr>
      <w:fldChar w:fldCharType="end"/>
    </w:r>
    <w:r w:rsidR="00870CE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870CE1" w:rsidP="003466AC">
    <w:pPr>
      <w:pStyle w:val="Footer"/>
      <w:tabs>
        <w:tab w:val="right" w:pos="9638"/>
      </w:tabs>
      <w:rPr>
        <w:b/>
        <w:sz w:val="18"/>
      </w:rPr>
    </w:pPr>
    <w:r>
      <w:tab/>
    </w:r>
    <w:r w:rsidR="00FC4432" w:rsidRPr="003466AC">
      <w:rPr>
        <w:b/>
        <w:sz w:val="18"/>
      </w:rPr>
      <w:fldChar w:fldCharType="begin"/>
    </w:r>
    <w:r w:rsidRPr="003466AC">
      <w:rPr>
        <w:b/>
        <w:sz w:val="18"/>
      </w:rPr>
      <w:instrText xml:space="preserve"> PAGE  \* MERGEFORMAT </w:instrText>
    </w:r>
    <w:r w:rsidR="00FC4432" w:rsidRPr="003466AC">
      <w:rPr>
        <w:b/>
        <w:sz w:val="18"/>
      </w:rPr>
      <w:fldChar w:fldCharType="separate"/>
    </w:r>
    <w:r w:rsidR="000219BF">
      <w:rPr>
        <w:b/>
        <w:noProof/>
        <w:sz w:val="18"/>
      </w:rPr>
      <w:t>5</w:t>
    </w:r>
    <w:r w:rsidR="00FC4432" w:rsidRPr="003466A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79" w:rsidRPr="000B175B" w:rsidRDefault="00631A79" w:rsidP="000B175B">
      <w:pPr>
        <w:tabs>
          <w:tab w:val="right" w:pos="2155"/>
        </w:tabs>
        <w:spacing w:after="80"/>
        <w:ind w:left="680"/>
        <w:rPr>
          <w:u w:val="single"/>
        </w:rPr>
      </w:pPr>
      <w:r>
        <w:rPr>
          <w:u w:val="single"/>
        </w:rPr>
        <w:tab/>
      </w:r>
    </w:p>
  </w:footnote>
  <w:footnote w:type="continuationSeparator" w:id="0">
    <w:p w:rsidR="00631A79" w:rsidRPr="00FC68B7" w:rsidRDefault="00631A79" w:rsidP="00FC68B7">
      <w:pPr>
        <w:tabs>
          <w:tab w:val="left" w:pos="2155"/>
        </w:tabs>
        <w:spacing w:after="80"/>
        <w:ind w:left="680"/>
        <w:rPr>
          <w:u w:val="single"/>
        </w:rPr>
      </w:pPr>
      <w:r>
        <w:rPr>
          <w:u w:val="single"/>
        </w:rPr>
        <w:tab/>
      </w:r>
    </w:p>
  </w:footnote>
  <w:footnote w:type="continuationNotice" w:id="1">
    <w:p w:rsidR="00631A79" w:rsidRDefault="00631A79"/>
  </w:footnote>
  <w:footnote w:id="2">
    <w:p w:rsidR="00870CE1" w:rsidRPr="007656AE" w:rsidRDefault="00870CE1" w:rsidP="00B91424">
      <w:pPr>
        <w:pStyle w:val="FootnoteText"/>
        <w:ind w:firstLine="0"/>
        <w:jc w:val="both"/>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3466AC" w:rsidRDefault="00DF0345">
    <w:pPr>
      <w:pStyle w:val="Header"/>
    </w:pPr>
    <w:r>
      <w:t>ST/SG/AC.10/C.3/2016/</w:t>
    </w:r>
    <w:r w:rsidR="00411766">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E1" w:rsidRPr="004A7B6C" w:rsidRDefault="00870CE1" w:rsidP="004A7B6C">
    <w:pPr>
      <w:pStyle w:val="Header"/>
      <w:jc w:val="right"/>
    </w:pPr>
    <w:r>
      <w:t>ST/SG/AC.10/C.3/201</w:t>
    </w:r>
    <w:r w:rsidR="00411766">
      <w:t>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83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lowerLetter"/>
      <w:lvlText w:val="(%1)"/>
      <w:lvlJc w:val="left"/>
      <w:pPr>
        <w:tabs>
          <w:tab w:val="num" w:pos="0"/>
        </w:tabs>
        <w:ind w:left="450" w:hanging="360"/>
      </w:pPr>
    </w:lvl>
  </w:abstractNum>
  <w:abstractNum w:abstractNumId="12">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rPr>
    </w:lvl>
  </w:abstractNum>
  <w:abstractNum w:abstractNumId="13">
    <w:nsid w:val="05A07B90"/>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0C8B70F0"/>
    <w:multiLevelType w:val="hybridMultilevel"/>
    <w:tmpl w:val="0A80230C"/>
    <w:lvl w:ilvl="0" w:tplc="0409001B">
      <w:start w:val="1"/>
      <w:numFmt w:val="lowerRoman"/>
      <w:lvlText w:val="%1."/>
      <w:lvlJc w:val="right"/>
      <w:pPr>
        <w:ind w:left="2421"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2F1098"/>
    <w:multiLevelType w:val="hybridMultilevel"/>
    <w:tmpl w:val="697C368C"/>
    <w:lvl w:ilvl="0" w:tplc="CBBEDD4C">
      <w:numFmt w:val="bullet"/>
      <w:lvlText w:val="-"/>
      <w:lvlJc w:val="left"/>
      <w:pPr>
        <w:ind w:left="2061" w:hanging="360"/>
      </w:pPr>
      <w:rPr>
        <w:rFonts w:ascii="Times New Roman" w:eastAsia="Times New Roman" w:hAnsi="Times New Roman"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19">
    <w:nsid w:val="1B954D07"/>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CC9072E"/>
    <w:multiLevelType w:val="hybridMultilevel"/>
    <w:tmpl w:val="4D146DCA"/>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91DD6"/>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14A588D"/>
    <w:multiLevelType w:val="hybridMultilevel"/>
    <w:tmpl w:val="24C894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44287945"/>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43F68DB"/>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4471778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6501C9C"/>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6E97DF9"/>
    <w:multiLevelType w:val="hybridMultilevel"/>
    <w:tmpl w:val="7FE619DC"/>
    <w:lvl w:ilvl="0" w:tplc="5052C7C6">
      <w:start w:val="8"/>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84400FD"/>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A303AF2"/>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E7744C0"/>
    <w:multiLevelType w:val="hybridMultilevel"/>
    <w:tmpl w:val="6EB8E4BC"/>
    <w:lvl w:ilvl="0" w:tplc="FA5888E2">
      <w:start w:val="8"/>
      <w:numFmt w:val="decimal"/>
      <w:lvlText w:val="%1."/>
      <w:lvlJc w:val="left"/>
      <w:pPr>
        <w:ind w:left="1689"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3D24C61"/>
    <w:multiLevelType w:val="hybridMultilevel"/>
    <w:tmpl w:val="F8E03DD2"/>
    <w:lvl w:ilvl="0" w:tplc="123A79A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41E1D98"/>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7E2A3D"/>
    <w:multiLevelType w:val="hybridMultilevel"/>
    <w:tmpl w:val="E11A5590"/>
    <w:lvl w:ilvl="0" w:tplc="5F3019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6E95084E"/>
    <w:multiLevelType w:val="hybridMultilevel"/>
    <w:tmpl w:val="80B2A538"/>
    <w:lvl w:ilvl="0" w:tplc="E9C0F21A">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37">
    <w:nsid w:val="71E66751"/>
    <w:multiLevelType w:val="hybridMultilevel"/>
    <w:tmpl w:val="CB923C00"/>
    <w:lvl w:ilvl="0" w:tplc="6A3AAC24">
      <w:start w:val="1"/>
      <w:numFmt w:val="bullet"/>
      <w:lvlText w:val="−"/>
      <w:lvlJc w:val="left"/>
      <w:pPr>
        <w:ind w:left="1854" w:hanging="360"/>
      </w:pPr>
      <w:rPr>
        <w:rFonts w:ascii="Times New Roman" w:hAnsi="Times New Roman" w:cs="Times New Roman"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A805E51"/>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7B303461"/>
    <w:multiLevelType w:val="hybridMultilevel"/>
    <w:tmpl w:val="2078F876"/>
    <w:lvl w:ilvl="0" w:tplc="022EEC8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31"/>
  </w:num>
  <w:num w:numId="12">
    <w:abstractNumId w:val="17"/>
  </w:num>
  <w:num w:numId="13">
    <w:abstractNumId w:val="14"/>
  </w:num>
  <w:num w:numId="14">
    <w:abstractNumId w:val="34"/>
  </w:num>
  <w:num w:numId="15">
    <w:abstractNumId w:val="38"/>
  </w:num>
  <w:num w:numId="16">
    <w:abstractNumId w:val="11"/>
  </w:num>
  <w:num w:numId="17">
    <w:abstractNumId w:val="12"/>
  </w:num>
  <w:num w:numId="18">
    <w:abstractNumId w:val="15"/>
  </w:num>
  <w:num w:numId="19">
    <w:abstractNumId w:val="24"/>
  </w:num>
  <w:num w:numId="20">
    <w:abstractNumId w:val="35"/>
  </w:num>
  <w:num w:numId="21">
    <w:abstractNumId w:val="32"/>
  </w:num>
  <w:num w:numId="22">
    <w:abstractNumId w:val="30"/>
  </w:num>
  <w:num w:numId="23">
    <w:abstractNumId w:val="20"/>
  </w:num>
  <w:num w:numId="24">
    <w:abstractNumId w:val="23"/>
  </w:num>
  <w:num w:numId="25">
    <w:abstractNumId w:val="25"/>
  </w:num>
  <w:num w:numId="26">
    <w:abstractNumId w:val="0"/>
  </w:num>
  <w:num w:numId="27">
    <w:abstractNumId w:val="26"/>
  </w:num>
  <w:num w:numId="28">
    <w:abstractNumId w:val="21"/>
  </w:num>
  <w:num w:numId="29">
    <w:abstractNumId w:val="13"/>
  </w:num>
  <w:num w:numId="30">
    <w:abstractNumId w:val="39"/>
  </w:num>
  <w:num w:numId="31">
    <w:abstractNumId w:val="33"/>
  </w:num>
  <w:num w:numId="32">
    <w:abstractNumId w:val="28"/>
  </w:num>
  <w:num w:numId="33">
    <w:abstractNumId w:val="36"/>
  </w:num>
  <w:num w:numId="34">
    <w:abstractNumId w:val="16"/>
  </w:num>
  <w:num w:numId="35">
    <w:abstractNumId w:val="19"/>
  </w:num>
  <w:num w:numId="36">
    <w:abstractNumId w:val="18"/>
  </w:num>
  <w:num w:numId="37">
    <w:abstractNumId w:val="40"/>
  </w:num>
  <w:num w:numId="38">
    <w:abstractNumId w:val="29"/>
  </w:num>
  <w:num w:numId="39">
    <w:abstractNumId w:val="22"/>
  </w:num>
  <w:num w:numId="40">
    <w:abstractNumId w:val="37"/>
  </w:num>
  <w:num w:numId="41">
    <w:abstractNumId w:val="27"/>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ca Stanciu">
    <w15:presenceInfo w15:providerId="Windows Live" w15:userId="464cd588b57fb2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43F3"/>
    <w:rsid w:val="00005930"/>
    <w:rsid w:val="00005D07"/>
    <w:rsid w:val="000136A3"/>
    <w:rsid w:val="0001795F"/>
    <w:rsid w:val="000214D7"/>
    <w:rsid w:val="000219BF"/>
    <w:rsid w:val="000226D5"/>
    <w:rsid w:val="00026E95"/>
    <w:rsid w:val="00034900"/>
    <w:rsid w:val="00041765"/>
    <w:rsid w:val="00041E8E"/>
    <w:rsid w:val="00043A96"/>
    <w:rsid w:val="00043CD1"/>
    <w:rsid w:val="00046C4F"/>
    <w:rsid w:val="00050F6B"/>
    <w:rsid w:val="0005114D"/>
    <w:rsid w:val="000551EC"/>
    <w:rsid w:val="000604BA"/>
    <w:rsid w:val="000669BF"/>
    <w:rsid w:val="00072C8C"/>
    <w:rsid w:val="000765A2"/>
    <w:rsid w:val="00091419"/>
    <w:rsid w:val="00091B37"/>
    <w:rsid w:val="00091C30"/>
    <w:rsid w:val="000931C0"/>
    <w:rsid w:val="000933F0"/>
    <w:rsid w:val="00097227"/>
    <w:rsid w:val="000A626F"/>
    <w:rsid w:val="000B175B"/>
    <w:rsid w:val="000B2297"/>
    <w:rsid w:val="000B3A0F"/>
    <w:rsid w:val="000B5B37"/>
    <w:rsid w:val="000C2AF9"/>
    <w:rsid w:val="000C3CA0"/>
    <w:rsid w:val="000C6232"/>
    <w:rsid w:val="000D7AAB"/>
    <w:rsid w:val="000E0415"/>
    <w:rsid w:val="000E0662"/>
    <w:rsid w:val="000E6BA2"/>
    <w:rsid w:val="000F38EF"/>
    <w:rsid w:val="000F55F3"/>
    <w:rsid w:val="000F6A97"/>
    <w:rsid w:val="001026FB"/>
    <w:rsid w:val="00104B94"/>
    <w:rsid w:val="001059C0"/>
    <w:rsid w:val="00113A17"/>
    <w:rsid w:val="0011420F"/>
    <w:rsid w:val="00115106"/>
    <w:rsid w:val="00117542"/>
    <w:rsid w:val="00117787"/>
    <w:rsid w:val="00120FAB"/>
    <w:rsid w:val="00123FB1"/>
    <w:rsid w:val="001311AD"/>
    <w:rsid w:val="00131D42"/>
    <w:rsid w:val="00133B0D"/>
    <w:rsid w:val="0013619A"/>
    <w:rsid w:val="00144D36"/>
    <w:rsid w:val="00150BD0"/>
    <w:rsid w:val="0015105B"/>
    <w:rsid w:val="00151EB2"/>
    <w:rsid w:val="0015303B"/>
    <w:rsid w:val="00153FB7"/>
    <w:rsid w:val="001551D6"/>
    <w:rsid w:val="00162B16"/>
    <w:rsid w:val="001633FB"/>
    <w:rsid w:val="00166A44"/>
    <w:rsid w:val="00174731"/>
    <w:rsid w:val="00175631"/>
    <w:rsid w:val="00176B7E"/>
    <w:rsid w:val="001779D9"/>
    <w:rsid w:val="0018094B"/>
    <w:rsid w:val="00180C03"/>
    <w:rsid w:val="00184A9C"/>
    <w:rsid w:val="0019568D"/>
    <w:rsid w:val="00196642"/>
    <w:rsid w:val="00196EBD"/>
    <w:rsid w:val="001A13D6"/>
    <w:rsid w:val="001A425A"/>
    <w:rsid w:val="001B4B04"/>
    <w:rsid w:val="001B7130"/>
    <w:rsid w:val="001C6663"/>
    <w:rsid w:val="001C7136"/>
    <w:rsid w:val="001C75BA"/>
    <w:rsid w:val="001C7895"/>
    <w:rsid w:val="001D174F"/>
    <w:rsid w:val="001D26DF"/>
    <w:rsid w:val="001D2FDC"/>
    <w:rsid w:val="001D40D7"/>
    <w:rsid w:val="001D4439"/>
    <w:rsid w:val="001E0287"/>
    <w:rsid w:val="001E2486"/>
    <w:rsid w:val="001E3506"/>
    <w:rsid w:val="001E3D5E"/>
    <w:rsid w:val="001F3705"/>
    <w:rsid w:val="001F592F"/>
    <w:rsid w:val="001F5FA3"/>
    <w:rsid w:val="0020326C"/>
    <w:rsid w:val="002106D0"/>
    <w:rsid w:val="00211E0B"/>
    <w:rsid w:val="002141E2"/>
    <w:rsid w:val="002168A8"/>
    <w:rsid w:val="00223481"/>
    <w:rsid w:val="002277F7"/>
    <w:rsid w:val="002309A7"/>
    <w:rsid w:val="00230AFE"/>
    <w:rsid w:val="00237785"/>
    <w:rsid w:val="00241466"/>
    <w:rsid w:val="00244717"/>
    <w:rsid w:val="00244943"/>
    <w:rsid w:val="00244EF4"/>
    <w:rsid w:val="00245539"/>
    <w:rsid w:val="00255BCC"/>
    <w:rsid w:val="00256D47"/>
    <w:rsid w:val="00260303"/>
    <w:rsid w:val="00266C29"/>
    <w:rsid w:val="00266FF9"/>
    <w:rsid w:val="002725CA"/>
    <w:rsid w:val="00274CF5"/>
    <w:rsid w:val="00280EB7"/>
    <w:rsid w:val="00294EC8"/>
    <w:rsid w:val="00294F05"/>
    <w:rsid w:val="002965C6"/>
    <w:rsid w:val="00297A60"/>
    <w:rsid w:val="002A04A5"/>
    <w:rsid w:val="002A1361"/>
    <w:rsid w:val="002A30C2"/>
    <w:rsid w:val="002B0D4A"/>
    <w:rsid w:val="002B1CDA"/>
    <w:rsid w:val="002B2DF4"/>
    <w:rsid w:val="002B4B44"/>
    <w:rsid w:val="002C4E7D"/>
    <w:rsid w:val="002C6766"/>
    <w:rsid w:val="002D22E5"/>
    <w:rsid w:val="002D503D"/>
    <w:rsid w:val="002D7539"/>
    <w:rsid w:val="002E0746"/>
    <w:rsid w:val="002E26E2"/>
    <w:rsid w:val="002E4861"/>
    <w:rsid w:val="002E75F6"/>
    <w:rsid w:val="002F522D"/>
    <w:rsid w:val="003006DC"/>
    <w:rsid w:val="003107FA"/>
    <w:rsid w:val="0031424A"/>
    <w:rsid w:val="00320D32"/>
    <w:rsid w:val="003229D8"/>
    <w:rsid w:val="00323571"/>
    <w:rsid w:val="00323EBC"/>
    <w:rsid w:val="00326928"/>
    <w:rsid w:val="00326B64"/>
    <w:rsid w:val="003307EB"/>
    <w:rsid w:val="00330D2E"/>
    <w:rsid w:val="00334502"/>
    <w:rsid w:val="003346C5"/>
    <w:rsid w:val="00334988"/>
    <w:rsid w:val="00337F27"/>
    <w:rsid w:val="003466AC"/>
    <w:rsid w:val="003540F1"/>
    <w:rsid w:val="00354971"/>
    <w:rsid w:val="003671E7"/>
    <w:rsid w:val="00371D23"/>
    <w:rsid w:val="0037312F"/>
    <w:rsid w:val="00382BB1"/>
    <w:rsid w:val="00387614"/>
    <w:rsid w:val="00390028"/>
    <w:rsid w:val="00390AC8"/>
    <w:rsid w:val="00390D3D"/>
    <w:rsid w:val="0039277A"/>
    <w:rsid w:val="003972E0"/>
    <w:rsid w:val="003A077E"/>
    <w:rsid w:val="003A3F7F"/>
    <w:rsid w:val="003B1D06"/>
    <w:rsid w:val="003B5F26"/>
    <w:rsid w:val="003C1755"/>
    <w:rsid w:val="003C1832"/>
    <w:rsid w:val="003C194B"/>
    <w:rsid w:val="003C2CC4"/>
    <w:rsid w:val="003C750C"/>
    <w:rsid w:val="003D1000"/>
    <w:rsid w:val="003D39F8"/>
    <w:rsid w:val="003D4B23"/>
    <w:rsid w:val="003E235B"/>
    <w:rsid w:val="003F52FD"/>
    <w:rsid w:val="004043B5"/>
    <w:rsid w:val="00411766"/>
    <w:rsid w:val="00423D3D"/>
    <w:rsid w:val="00424EDD"/>
    <w:rsid w:val="004325CB"/>
    <w:rsid w:val="00437F3F"/>
    <w:rsid w:val="00444524"/>
    <w:rsid w:val="00446DE4"/>
    <w:rsid w:val="00454036"/>
    <w:rsid w:val="0045652B"/>
    <w:rsid w:val="0046419A"/>
    <w:rsid w:val="00473948"/>
    <w:rsid w:val="00484E32"/>
    <w:rsid w:val="0049147A"/>
    <w:rsid w:val="00491634"/>
    <w:rsid w:val="004925FF"/>
    <w:rsid w:val="00493BDC"/>
    <w:rsid w:val="0049434E"/>
    <w:rsid w:val="00496C2B"/>
    <w:rsid w:val="004A1AAA"/>
    <w:rsid w:val="004A7B6C"/>
    <w:rsid w:val="004B2C9D"/>
    <w:rsid w:val="004B550A"/>
    <w:rsid w:val="004C110B"/>
    <w:rsid w:val="004C48D9"/>
    <w:rsid w:val="004C4C63"/>
    <w:rsid w:val="004D0BAA"/>
    <w:rsid w:val="004D10E5"/>
    <w:rsid w:val="004D3BA2"/>
    <w:rsid w:val="004D4071"/>
    <w:rsid w:val="004D4993"/>
    <w:rsid w:val="004D5B50"/>
    <w:rsid w:val="004E31E4"/>
    <w:rsid w:val="004E4B59"/>
    <w:rsid w:val="004F1403"/>
    <w:rsid w:val="004F511C"/>
    <w:rsid w:val="004F5ADD"/>
    <w:rsid w:val="00505080"/>
    <w:rsid w:val="005113BE"/>
    <w:rsid w:val="0051274C"/>
    <w:rsid w:val="005132B7"/>
    <w:rsid w:val="00513567"/>
    <w:rsid w:val="005176CD"/>
    <w:rsid w:val="00517A3F"/>
    <w:rsid w:val="0052254F"/>
    <w:rsid w:val="00523525"/>
    <w:rsid w:val="0052461F"/>
    <w:rsid w:val="00526BEE"/>
    <w:rsid w:val="00527910"/>
    <w:rsid w:val="005279BF"/>
    <w:rsid w:val="005279D0"/>
    <w:rsid w:val="00531781"/>
    <w:rsid w:val="005420F2"/>
    <w:rsid w:val="00542A15"/>
    <w:rsid w:val="00551670"/>
    <w:rsid w:val="0055467D"/>
    <w:rsid w:val="005569F6"/>
    <w:rsid w:val="005615D1"/>
    <w:rsid w:val="005644BC"/>
    <w:rsid w:val="0056570C"/>
    <w:rsid w:val="005666F6"/>
    <w:rsid w:val="00573908"/>
    <w:rsid w:val="0057495F"/>
    <w:rsid w:val="0057643F"/>
    <w:rsid w:val="0058227C"/>
    <w:rsid w:val="00590144"/>
    <w:rsid w:val="00590638"/>
    <w:rsid w:val="00591F7A"/>
    <w:rsid w:val="00593B86"/>
    <w:rsid w:val="0059553E"/>
    <w:rsid w:val="00595C98"/>
    <w:rsid w:val="005A4F15"/>
    <w:rsid w:val="005A5811"/>
    <w:rsid w:val="005A6C02"/>
    <w:rsid w:val="005B3DB3"/>
    <w:rsid w:val="005D04B3"/>
    <w:rsid w:val="005D0EBF"/>
    <w:rsid w:val="005D3656"/>
    <w:rsid w:val="005E178F"/>
    <w:rsid w:val="005E5115"/>
    <w:rsid w:val="0060435F"/>
    <w:rsid w:val="00604C8E"/>
    <w:rsid w:val="0060709C"/>
    <w:rsid w:val="00611FC4"/>
    <w:rsid w:val="00615E86"/>
    <w:rsid w:val="006176FB"/>
    <w:rsid w:val="006203B6"/>
    <w:rsid w:val="00624237"/>
    <w:rsid w:val="006246A3"/>
    <w:rsid w:val="00631A79"/>
    <w:rsid w:val="00633033"/>
    <w:rsid w:val="00633B43"/>
    <w:rsid w:val="0063419C"/>
    <w:rsid w:val="00640B26"/>
    <w:rsid w:val="00642EDA"/>
    <w:rsid w:val="00645121"/>
    <w:rsid w:val="00645A1A"/>
    <w:rsid w:val="006500BA"/>
    <w:rsid w:val="00651D6C"/>
    <w:rsid w:val="00651DCB"/>
    <w:rsid w:val="00652193"/>
    <w:rsid w:val="0065246B"/>
    <w:rsid w:val="006524E0"/>
    <w:rsid w:val="00653001"/>
    <w:rsid w:val="00663491"/>
    <w:rsid w:val="00672E30"/>
    <w:rsid w:val="00675A95"/>
    <w:rsid w:val="0067677C"/>
    <w:rsid w:val="00682FB8"/>
    <w:rsid w:val="006837D8"/>
    <w:rsid w:val="006927B6"/>
    <w:rsid w:val="006A24C7"/>
    <w:rsid w:val="006A3B7F"/>
    <w:rsid w:val="006A4E98"/>
    <w:rsid w:val="006A66FA"/>
    <w:rsid w:val="006A6E59"/>
    <w:rsid w:val="006A7392"/>
    <w:rsid w:val="006B18DD"/>
    <w:rsid w:val="006B381D"/>
    <w:rsid w:val="006C0D34"/>
    <w:rsid w:val="006C2985"/>
    <w:rsid w:val="006C7C4D"/>
    <w:rsid w:val="006C7E11"/>
    <w:rsid w:val="006D0270"/>
    <w:rsid w:val="006D10CC"/>
    <w:rsid w:val="006D1704"/>
    <w:rsid w:val="006D3D21"/>
    <w:rsid w:val="006D6FB3"/>
    <w:rsid w:val="006E1879"/>
    <w:rsid w:val="006E4A58"/>
    <w:rsid w:val="006E564B"/>
    <w:rsid w:val="006E603B"/>
    <w:rsid w:val="006E7ABF"/>
    <w:rsid w:val="006F4CA3"/>
    <w:rsid w:val="006F585C"/>
    <w:rsid w:val="007016BE"/>
    <w:rsid w:val="0071032E"/>
    <w:rsid w:val="007117DB"/>
    <w:rsid w:val="0071546F"/>
    <w:rsid w:val="00716EAD"/>
    <w:rsid w:val="0072632A"/>
    <w:rsid w:val="00726F46"/>
    <w:rsid w:val="0073035D"/>
    <w:rsid w:val="00732175"/>
    <w:rsid w:val="007321DB"/>
    <w:rsid w:val="007332E8"/>
    <w:rsid w:val="00736305"/>
    <w:rsid w:val="00736D0A"/>
    <w:rsid w:val="00736E1D"/>
    <w:rsid w:val="007478B0"/>
    <w:rsid w:val="00750CB8"/>
    <w:rsid w:val="00753561"/>
    <w:rsid w:val="00753641"/>
    <w:rsid w:val="00755C2C"/>
    <w:rsid w:val="00755DDF"/>
    <w:rsid w:val="00756552"/>
    <w:rsid w:val="0075659C"/>
    <w:rsid w:val="00756E94"/>
    <w:rsid w:val="0076317E"/>
    <w:rsid w:val="007640C9"/>
    <w:rsid w:val="007656AE"/>
    <w:rsid w:val="00767DC6"/>
    <w:rsid w:val="00774172"/>
    <w:rsid w:val="007832B8"/>
    <w:rsid w:val="00786D41"/>
    <w:rsid w:val="00790791"/>
    <w:rsid w:val="007942BE"/>
    <w:rsid w:val="00795FD2"/>
    <w:rsid w:val="00797B51"/>
    <w:rsid w:val="007B33F4"/>
    <w:rsid w:val="007B345B"/>
    <w:rsid w:val="007B4CF7"/>
    <w:rsid w:val="007B551C"/>
    <w:rsid w:val="007B5CA0"/>
    <w:rsid w:val="007B6BA5"/>
    <w:rsid w:val="007C3390"/>
    <w:rsid w:val="007C4F4B"/>
    <w:rsid w:val="007D087E"/>
    <w:rsid w:val="007E110F"/>
    <w:rsid w:val="007F52DF"/>
    <w:rsid w:val="007F6611"/>
    <w:rsid w:val="00802ED5"/>
    <w:rsid w:val="008037E8"/>
    <w:rsid w:val="0080388F"/>
    <w:rsid w:val="0080400A"/>
    <w:rsid w:val="00805746"/>
    <w:rsid w:val="00805C8D"/>
    <w:rsid w:val="00810F38"/>
    <w:rsid w:val="00811AE2"/>
    <w:rsid w:val="00814F39"/>
    <w:rsid w:val="008175E9"/>
    <w:rsid w:val="008242D7"/>
    <w:rsid w:val="00825910"/>
    <w:rsid w:val="008417F8"/>
    <w:rsid w:val="00842F5C"/>
    <w:rsid w:val="00845287"/>
    <w:rsid w:val="008454E6"/>
    <w:rsid w:val="00847959"/>
    <w:rsid w:val="00850488"/>
    <w:rsid w:val="00851253"/>
    <w:rsid w:val="0085445A"/>
    <w:rsid w:val="00860261"/>
    <w:rsid w:val="00860F29"/>
    <w:rsid w:val="008639E6"/>
    <w:rsid w:val="00870CE1"/>
    <w:rsid w:val="00871B8D"/>
    <w:rsid w:val="00871FD5"/>
    <w:rsid w:val="00874585"/>
    <w:rsid w:val="00875DBB"/>
    <w:rsid w:val="00887592"/>
    <w:rsid w:val="008979B1"/>
    <w:rsid w:val="008A04A8"/>
    <w:rsid w:val="008A12EC"/>
    <w:rsid w:val="008A289B"/>
    <w:rsid w:val="008A2B22"/>
    <w:rsid w:val="008A4052"/>
    <w:rsid w:val="008A5A71"/>
    <w:rsid w:val="008A6B25"/>
    <w:rsid w:val="008A6C4F"/>
    <w:rsid w:val="008A7098"/>
    <w:rsid w:val="008C22A0"/>
    <w:rsid w:val="008C3CB0"/>
    <w:rsid w:val="008C542B"/>
    <w:rsid w:val="008D1274"/>
    <w:rsid w:val="008E01C8"/>
    <w:rsid w:val="008E0613"/>
    <w:rsid w:val="008E0E46"/>
    <w:rsid w:val="008F5E8D"/>
    <w:rsid w:val="009043BF"/>
    <w:rsid w:val="0091608D"/>
    <w:rsid w:val="00916996"/>
    <w:rsid w:val="00916D07"/>
    <w:rsid w:val="0092475B"/>
    <w:rsid w:val="009341E2"/>
    <w:rsid w:val="0093640A"/>
    <w:rsid w:val="00941F06"/>
    <w:rsid w:val="00942C4F"/>
    <w:rsid w:val="00945A5D"/>
    <w:rsid w:val="009461DD"/>
    <w:rsid w:val="00952E79"/>
    <w:rsid w:val="00960C04"/>
    <w:rsid w:val="00963CBA"/>
    <w:rsid w:val="00965120"/>
    <w:rsid w:val="009674E4"/>
    <w:rsid w:val="00976767"/>
    <w:rsid w:val="00977E87"/>
    <w:rsid w:val="00981354"/>
    <w:rsid w:val="00982D5E"/>
    <w:rsid w:val="00987BC5"/>
    <w:rsid w:val="0099124E"/>
    <w:rsid w:val="00991261"/>
    <w:rsid w:val="0099431A"/>
    <w:rsid w:val="009951EC"/>
    <w:rsid w:val="00995726"/>
    <w:rsid w:val="009A5A0D"/>
    <w:rsid w:val="009A5B24"/>
    <w:rsid w:val="009A6899"/>
    <w:rsid w:val="009A7801"/>
    <w:rsid w:val="009B1A1B"/>
    <w:rsid w:val="009B4D27"/>
    <w:rsid w:val="009B666A"/>
    <w:rsid w:val="009B6E3B"/>
    <w:rsid w:val="009B7D51"/>
    <w:rsid w:val="009C0CE1"/>
    <w:rsid w:val="009C2400"/>
    <w:rsid w:val="009C3671"/>
    <w:rsid w:val="009D3C39"/>
    <w:rsid w:val="009D3D51"/>
    <w:rsid w:val="009D42A9"/>
    <w:rsid w:val="009D4BA2"/>
    <w:rsid w:val="009E190F"/>
    <w:rsid w:val="009E67D4"/>
    <w:rsid w:val="009F0F06"/>
    <w:rsid w:val="009F241C"/>
    <w:rsid w:val="009F2FAA"/>
    <w:rsid w:val="009F66A7"/>
    <w:rsid w:val="00A0170A"/>
    <w:rsid w:val="00A02F78"/>
    <w:rsid w:val="00A1341E"/>
    <w:rsid w:val="00A1427D"/>
    <w:rsid w:val="00A1568F"/>
    <w:rsid w:val="00A22A58"/>
    <w:rsid w:val="00A24A52"/>
    <w:rsid w:val="00A24F0D"/>
    <w:rsid w:val="00A252DE"/>
    <w:rsid w:val="00A32D41"/>
    <w:rsid w:val="00A40A95"/>
    <w:rsid w:val="00A46896"/>
    <w:rsid w:val="00A51C77"/>
    <w:rsid w:val="00A56F0C"/>
    <w:rsid w:val="00A607BC"/>
    <w:rsid w:val="00A60A6D"/>
    <w:rsid w:val="00A64846"/>
    <w:rsid w:val="00A70548"/>
    <w:rsid w:val="00A70D0E"/>
    <w:rsid w:val="00A72F22"/>
    <w:rsid w:val="00A748A6"/>
    <w:rsid w:val="00A74C22"/>
    <w:rsid w:val="00A75EC9"/>
    <w:rsid w:val="00A7692C"/>
    <w:rsid w:val="00A879A4"/>
    <w:rsid w:val="00A901F7"/>
    <w:rsid w:val="00A91217"/>
    <w:rsid w:val="00A925A6"/>
    <w:rsid w:val="00A952EC"/>
    <w:rsid w:val="00A96774"/>
    <w:rsid w:val="00AA14C6"/>
    <w:rsid w:val="00AB340F"/>
    <w:rsid w:val="00AC36C6"/>
    <w:rsid w:val="00AC4748"/>
    <w:rsid w:val="00AC52CF"/>
    <w:rsid w:val="00AC7C65"/>
    <w:rsid w:val="00AD1098"/>
    <w:rsid w:val="00AD145B"/>
    <w:rsid w:val="00AD59FB"/>
    <w:rsid w:val="00AE1A69"/>
    <w:rsid w:val="00AE1BDD"/>
    <w:rsid w:val="00AE5C8F"/>
    <w:rsid w:val="00AE7E01"/>
    <w:rsid w:val="00AF09CC"/>
    <w:rsid w:val="00AF37EB"/>
    <w:rsid w:val="00AF6F99"/>
    <w:rsid w:val="00B0770C"/>
    <w:rsid w:val="00B1098D"/>
    <w:rsid w:val="00B138BE"/>
    <w:rsid w:val="00B16BD4"/>
    <w:rsid w:val="00B22191"/>
    <w:rsid w:val="00B3008F"/>
    <w:rsid w:val="00B30179"/>
    <w:rsid w:val="00B3317B"/>
    <w:rsid w:val="00B375CC"/>
    <w:rsid w:val="00B4216B"/>
    <w:rsid w:val="00B457A8"/>
    <w:rsid w:val="00B45B5C"/>
    <w:rsid w:val="00B4702D"/>
    <w:rsid w:val="00B50E21"/>
    <w:rsid w:val="00B54FC4"/>
    <w:rsid w:val="00B56239"/>
    <w:rsid w:val="00B56D93"/>
    <w:rsid w:val="00B57529"/>
    <w:rsid w:val="00B610FD"/>
    <w:rsid w:val="00B6216D"/>
    <w:rsid w:val="00B625CD"/>
    <w:rsid w:val="00B74EEC"/>
    <w:rsid w:val="00B757DF"/>
    <w:rsid w:val="00B81E12"/>
    <w:rsid w:val="00B91424"/>
    <w:rsid w:val="00B93068"/>
    <w:rsid w:val="00B96BB9"/>
    <w:rsid w:val="00BA0311"/>
    <w:rsid w:val="00BA1EA9"/>
    <w:rsid w:val="00BA7B65"/>
    <w:rsid w:val="00BB01D2"/>
    <w:rsid w:val="00BB4145"/>
    <w:rsid w:val="00BB66A8"/>
    <w:rsid w:val="00BC1635"/>
    <w:rsid w:val="00BC1657"/>
    <w:rsid w:val="00BC309B"/>
    <w:rsid w:val="00BC5E5C"/>
    <w:rsid w:val="00BC74E9"/>
    <w:rsid w:val="00BD10E7"/>
    <w:rsid w:val="00BD21C4"/>
    <w:rsid w:val="00BD60DD"/>
    <w:rsid w:val="00BE618E"/>
    <w:rsid w:val="00C02C78"/>
    <w:rsid w:val="00C179A3"/>
    <w:rsid w:val="00C25F5C"/>
    <w:rsid w:val="00C26E34"/>
    <w:rsid w:val="00C35B98"/>
    <w:rsid w:val="00C414AF"/>
    <w:rsid w:val="00C41B4A"/>
    <w:rsid w:val="00C41E3D"/>
    <w:rsid w:val="00C43318"/>
    <w:rsid w:val="00C44F0B"/>
    <w:rsid w:val="00C45CEB"/>
    <w:rsid w:val="00C463DD"/>
    <w:rsid w:val="00C4753A"/>
    <w:rsid w:val="00C505CF"/>
    <w:rsid w:val="00C5346F"/>
    <w:rsid w:val="00C564F1"/>
    <w:rsid w:val="00C5779A"/>
    <w:rsid w:val="00C620C6"/>
    <w:rsid w:val="00C62F76"/>
    <w:rsid w:val="00C63172"/>
    <w:rsid w:val="00C66B28"/>
    <w:rsid w:val="00C709F7"/>
    <w:rsid w:val="00C70FB3"/>
    <w:rsid w:val="00C73898"/>
    <w:rsid w:val="00C745C3"/>
    <w:rsid w:val="00C8164D"/>
    <w:rsid w:val="00C81A91"/>
    <w:rsid w:val="00C91393"/>
    <w:rsid w:val="00C91F88"/>
    <w:rsid w:val="00C9265E"/>
    <w:rsid w:val="00C97310"/>
    <w:rsid w:val="00CA123A"/>
    <w:rsid w:val="00CA12AA"/>
    <w:rsid w:val="00CA46AE"/>
    <w:rsid w:val="00CB4D07"/>
    <w:rsid w:val="00CB6EE8"/>
    <w:rsid w:val="00CB6FB4"/>
    <w:rsid w:val="00CC1247"/>
    <w:rsid w:val="00CC2AA5"/>
    <w:rsid w:val="00CC3494"/>
    <w:rsid w:val="00CC58CB"/>
    <w:rsid w:val="00CD1364"/>
    <w:rsid w:val="00CD3225"/>
    <w:rsid w:val="00CD3B29"/>
    <w:rsid w:val="00CD5CA5"/>
    <w:rsid w:val="00CE2508"/>
    <w:rsid w:val="00CE4A8F"/>
    <w:rsid w:val="00CE5D72"/>
    <w:rsid w:val="00CE6891"/>
    <w:rsid w:val="00CF18E6"/>
    <w:rsid w:val="00CF520A"/>
    <w:rsid w:val="00D10D4D"/>
    <w:rsid w:val="00D1673B"/>
    <w:rsid w:val="00D2031B"/>
    <w:rsid w:val="00D211EC"/>
    <w:rsid w:val="00D21B90"/>
    <w:rsid w:val="00D22FAA"/>
    <w:rsid w:val="00D2426E"/>
    <w:rsid w:val="00D25FE2"/>
    <w:rsid w:val="00D317E0"/>
    <w:rsid w:val="00D3259D"/>
    <w:rsid w:val="00D341A4"/>
    <w:rsid w:val="00D35506"/>
    <w:rsid w:val="00D429FC"/>
    <w:rsid w:val="00D43252"/>
    <w:rsid w:val="00D47F6D"/>
    <w:rsid w:val="00D55608"/>
    <w:rsid w:val="00D62D60"/>
    <w:rsid w:val="00D65926"/>
    <w:rsid w:val="00D715EE"/>
    <w:rsid w:val="00D71928"/>
    <w:rsid w:val="00D753D8"/>
    <w:rsid w:val="00D803CC"/>
    <w:rsid w:val="00D87CDE"/>
    <w:rsid w:val="00D92A4E"/>
    <w:rsid w:val="00D94FCC"/>
    <w:rsid w:val="00D95703"/>
    <w:rsid w:val="00D96CC5"/>
    <w:rsid w:val="00D978C6"/>
    <w:rsid w:val="00DA1AB9"/>
    <w:rsid w:val="00DA307A"/>
    <w:rsid w:val="00DA67AD"/>
    <w:rsid w:val="00DB021E"/>
    <w:rsid w:val="00DB2FD3"/>
    <w:rsid w:val="00DB37C7"/>
    <w:rsid w:val="00DC14A6"/>
    <w:rsid w:val="00DC1C9C"/>
    <w:rsid w:val="00DC2CED"/>
    <w:rsid w:val="00DC62E4"/>
    <w:rsid w:val="00DD4F93"/>
    <w:rsid w:val="00DD601F"/>
    <w:rsid w:val="00DE6659"/>
    <w:rsid w:val="00DF0345"/>
    <w:rsid w:val="00DF1E95"/>
    <w:rsid w:val="00DF40BC"/>
    <w:rsid w:val="00E030E1"/>
    <w:rsid w:val="00E12E23"/>
    <w:rsid w:val="00E130AB"/>
    <w:rsid w:val="00E20CC9"/>
    <w:rsid w:val="00E2294B"/>
    <w:rsid w:val="00E25793"/>
    <w:rsid w:val="00E3107B"/>
    <w:rsid w:val="00E33A7D"/>
    <w:rsid w:val="00E36504"/>
    <w:rsid w:val="00E41524"/>
    <w:rsid w:val="00E44B05"/>
    <w:rsid w:val="00E50BEB"/>
    <w:rsid w:val="00E5189E"/>
    <w:rsid w:val="00E549AA"/>
    <w:rsid w:val="00E5644E"/>
    <w:rsid w:val="00E57356"/>
    <w:rsid w:val="00E63FF3"/>
    <w:rsid w:val="00E64AEB"/>
    <w:rsid w:val="00E7260F"/>
    <w:rsid w:val="00E74FDF"/>
    <w:rsid w:val="00E7609D"/>
    <w:rsid w:val="00E82F3E"/>
    <w:rsid w:val="00E845AE"/>
    <w:rsid w:val="00E8535A"/>
    <w:rsid w:val="00E8656C"/>
    <w:rsid w:val="00E86DFE"/>
    <w:rsid w:val="00E877F7"/>
    <w:rsid w:val="00E96630"/>
    <w:rsid w:val="00E97F20"/>
    <w:rsid w:val="00EA772F"/>
    <w:rsid w:val="00EB0430"/>
    <w:rsid w:val="00EB226B"/>
    <w:rsid w:val="00EB6832"/>
    <w:rsid w:val="00EC1092"/>
    <w:rsid w:val="00EC18CA"/>
    <w:rsid w:val="00EC3F03"/>
    <w:rsid w:val="00EC76A6"/>
    <w:rsid w:val="00ED67B4"/>
    <w:rsid w:val="00ED7A2A"/>
    <w:rsid w:val="00EE228C"/>
    <w:rsid w:val="00EE27EF"/>
    <w:rsid w:val="00EF1D7F"/>
    <w:rsid w:val="00EF2C6C"/>
    <w:rsid w:val="00F00672"/>
    <w:rsid w:val="00F11769"/>
    <w:rsid w:val="00F13CAD"/>
    <w:rsid w:val="00F1540D"/>
    <w:rsid w:val="00F15EF4"/>
    <w:rsid w:val="00F2273C"/>
    <w:rsid w:val="00F2538A"/>
    <w:rsid w:val="00F27C06"/>
    <w:rsid w:val="00F35300"/>
    <w:rsid w:val="00F40DB9"/>
    <w:rsid w:val="00F40E75"/>
    <w:rsid w:val="00F51C2A"/>
    <w:rsid w:val="00F52F38"/>
    <w:rsid w:val="00F54674"/>
    <w:rsid w:val="00F5709A"/>
    <w:rsid w:val="00F60B87"/>
    <w:rsid w:val="00F731E5"/>
    <w:rsid w:val="00F75F55"/>
    <w:rsid w:val="00F7684E"/>
    <w:rsid w:val="00F827B4"/>
    <w:rsid w:val="00F835C7"/>
    <w:rsid w:val="00F862EF"/>
    <w:rsid w:val="00F871D5"/>
    <w:rsid w:val="00F90E19"/>
    <w:rsid w:val="00F91A6C"/>
    <w:rsid w:val="00F936B7"/>
    <w:rsid w:val="00F95FC2"/>
    <w:rsid w:val="00FA009F"/>
    <w:rsid w:val="00FA1207"/>
    <w:rsid w:val="00FA1E2B"/>
    <w:rsid w:val="00FA51F0"/>
    <w:rsid w:val="00FA5E57"/>
    <w:rsid w:val="00FB01FC"/>
    <w:rsid w:val="00FB1972"/>
    <w:rsid w:val="00FB57F7"/>
    <w:rsid w:val="00FB6B59"/>
    <w:rsid w:val="00FC0F6F"/>
    <w:rsid w:val="00FC4432"/>
    <w:rsid w:val="00FC68B7"/>
    <w:rsid w:val="00FC7E16"/>
    <w:rsid w:val="00FD42BC"/>
    <w:rsid w:val="00FD6B2B"/>
    <w:rsid w:val="00FE1B9F"/>
    <w:rsid w:val="00FE6934"/>
    <w:rsid w:val="00FF03BB"/>
    <w:rsid w:val="00FF1E74"/>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sid w:val="00297A60"/>
    <w:rPr>
      <w:rFonts w:cs="Courier New"/>
    </w:rPr>
  </w:style>
  <w:style w:type="paragraph" w:styleId="BodyText">
    <w:name w:val="Body Text"/>
    <w:basedOn w:val="Normal"/>
    <w:next w:val="Normal"/>
    <w:semiHidden/>
    <w:rsid w:val="00297A60"/>
  </w:style>
  <w:style w:type="paragraph" w:styleId="BodyTextIndent">
    <w:name w:val="Body Text Indent"/>
    <w:basedOn w:val="Normal"/>
    <w:semiHidden/>
    <w:rsid w:val="00297A60"/>
    <w:pPr>
      <w:spacing w:after="120"/>
      <w:ind w:left="283"/>
    </w:pPr>
  </w:style>
  <w:style w:type="paragraph" w:styleId="BlockText">
    <w:name w:val="Block Text"/>
    <w:basedOn w:val="Normal"/>
    <w:semiHidden/>
    <w:rsid w:val="00297A60"/>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297A60"/>
    <w:rPr>
      <w:sz w:val="6"/>
    </w:rPr>
  </w:style>
  <w:style w:type="paragraph" w:styleId="CommentText">
    <w:name w:val="annotation text"/>
    <w:basedOn w:val="Normal"/>
    <w:link w:val="CommentTextChar"/>
    <w:semiHidden/>
    <w:rsid w:val="00297A60"/>
  </w:style>
  <w:style w:type="character" w:styleId="LineNumber">
    <w:name w:val="line number"/>
    <w:semiHidden/>
    <w:rsid w:val="00297A60"/>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paragraph" w:styleId="CommentSubject">
    <w:name w:val="annotation subject"/>
    <w:basedOn w:val="CommentText"/>
    <w:next w:val="CommentText"/>
    <w:link w:val="CommentSubjectChar"/>
    <w:semiHidden/>
    <w:unhideWhenUsed/>
    <w:rsid w:val="001C7136"/>
    <w:pPr>
      <w:spacing w:line="240" w:lineRule="auto"/>
    </w:pPr>
    <w:rPr>
      <w:b/>
      <w:bCs/>
    </w:rPr>
  </w:style>
  <w:style w:type="character" w:customStyle="1" w:styleId="CommentTextChar">
    <w:name w:val="Comment Text Char"/>
    <w:basedOn w:val="DefaultParagraphFont"/>
    <w:link w:val="CommentText"/>
    <w:semiHidden/>
    <w:rsid w:val="001C7136"/>
    <w:rPr>
      <w:lang w:val="en-GB"/>
    </w:rPr>
  </w:style>
  <w:style w:type="character" w:customStyle="1" w:styleId="CommentSubjectChar">
    <w:name w:val="Comment Subject Char"/>
    <w:basedOn w:val="CommentTextChar"/>
    <w:link w:val="CommentSubject"/>
    <w:semiHidden/>
    <w:rsid w:val="001C713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val="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PlainTextChar">
    <w:name w:val="Plain Text Char"/>
    <w:link w:val="PlainText"/>
    <w:uiPriority w:val="99"/>
    <w:semiHidden/>
    <w:rsid w:val="00F2538A"/>
    <w:rPr>
      <w:rFonts w:cs="Courier New"/>
      <w:lang w:val="en-GB"/>
    </w:rPr>
  </w:style>
  <w:style w:type="paragraph" w:customStyle="1" w:styleId="SingleTxtG">
    <w:name w:val="_ Single Txt_G"/>
    <w:basedOn w:val="Normal"/>
    <w:link w:val="SingleTxtGC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link w:val="PlainTextChar"/>
    <w:uiPriority w:val="99"/>
    <w:semiHidden/>
    <w:rsid w:val="00297A60"/>
    <w:rPr>
      <w:rFonts w:cs="Courier New"/>
    </w:rPr>
  </w:style>
  <w:style w:type="paragraph" w:styleId="BodyText">
    <w:name w:val="Body Text"/>
    <w:basedOn w:val="Normal"/>
    <w:next w:val="Normal"/>
    <w:semiHidden/>
    <w:rsid w:val="00297A60"/>
  </w:style>
  <w:style w:type="paragraph" w:styleId="BodyTextIndent">
    <w:name w:val="Body Text Indent"/>
    <w:basedOn w:val="Normal"/>
    <w:semiHidden/>
    <w:rsid w:val="00297A60"/>
    <w:pPr>
      <w:spacing w:after="120"/>
      <w:ind w:left="283"/>
    </w:pPr>
  </w:style>
  <w:style w:type="paragraph" w:styleId="BlockText">
    <w:name w:val="Block Text"/>
    <w:basedOn w:val="Normal"/>
    <w:semiHidden/>
    <w:rsid w:val="00297A60"/>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297A60"/>
    <w:rPr>
      <w:sz w:val="6"/>
    </w:rPr>
  </w:style>
  <w:style w:type="paragraph" w:styleId="CommentText">
    <w:name w:val="annotation text"/>
    <w:basedOn w:val="Normal"/>
    <w:link w:val="CommentTextChar"/>
    <w:semiHidden/>
    <w:rsid w:val="00297A60"/>
  </w:style>
  <w:style w:type="character" w:styleId="LineNumber">
    <w:name w:val="line number"/>
    <w:semiHidden/>
    <w:rsid w:val="00297A60"/>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SingleTxtGCar">
    <w:name w:val="_ Single Txt_G Car"/>
    <w:link w:val="SingleTxtG"/>
    <w:rsid w:val="009F2FAA"/>
    <w:rPr>
      <w:lang w:val="en-GB"/>
    </w:rPr>
  </w:style>
  <w:style w:type="paragraph" w:styleId="BalloonText">
    <w:name w:val="Balloon Text"/>
    <w:basedOn w:val="Normal"/>
    <w:link w:val="BalloonTextChar"/>
    <w:rsid w:val="00EB0430"/>
    <w:pPr>
      <w:spacing w:line="240" w:lineRule="auto"/>
    </w:pPr>
    <w:rPr>
      <w:rFonts w:ascii="Tahoma" w:hAnsi="Tahoma" w:cs="Tahoma"/>
      <w:sz w:val="16"/>
      <w:szCs w:val="16"/>
    </w:rPr>
  </w:style>
  <w:style w:type="character" w:customStyle="1" w:styleId="BalloonTextChar">
    <w:name w:val="Balloon Text Char"/>
    <w:link w:val="BalloonText"/>
    <w:rsid w:val="00EB0430"/>
    <w:rPr>
      <w:rFonts w:ascii="Tahoma" w:hAnsi="Tahoma" w:cs="Tahoma"/>
      <w:sz w:val="16"/>
      <w:szCs w:val="16"/>
      <w:lang w:val="en-GB" w:eastAsia="en-US"/>
    </w:rPr>
  </w:style>
  <w:style w:type="paragraph" w:customStyle="1" w:styleId="Default">
    <w:name w:val="Default"/>
    <w:rsid w:val="009E67D4"/>
    <w:pPr>
      <w:widowControl w:val="0"/>
      <w:autoSpaceDE w:val="0"/>
      <w:autoSpaceDN w:val="0"/>
      <w:adjustRightInd w:val="0"/>
    </w:pPr>
    <w:rPr>
      <w:color w:val="000000"/>
      <w:sz w:val="24"/>
      <w:szCs w:val="24"/>
    </w:rPr>
  </w:style>
  <w:style w:type="paragraph" w:styleId="ListParagraph">
    <w:name w:val="List Paragraph"/>
    <w:basedOn w:val="Normal"/>
    <w:uiPriority w:val="34"/>
    <w:qFormat/>
    <w:rsid w:val="007D087E"/>
    <w:pPr>
      <w:ind w:left="720"/>
      <w:contextualSpacing/>
    </w:pPr>
  </w:style>
  <w:style w:type="character" w:customStyle="1" w:styleId="HChGChar">
    <w:name w:val="_ H _Ch_G Char"/>
    <w:link w:val="HChG"/>
    <w:rsid w:val="007656AE"/>
    <w:rPr>
      <w:b/>
      <w:sz w:val="28"/>
      <w:lang w:val="en-GB"/>
    </w:rPr>
  </w:style>
  <w:style w:type="character" w:customStyle="1" w:styleId="SingleTxtGChar">
    <w:name w:val="_ Single Txt_G Char"/>
    <w:locked/>
    <w:rsid w:val="007656AE"/>
    <w:rPr>
      <w:lang w:eastAsia="en-US"/>
    </w:rPr>
  </w:style>
  <w:style w:type="paragraph" w:styleId="CommentSubject">
    <w:name w:val="annotation subject"/>
    <w:basedOn w:val="CommentText"/>
    <w:next w:val="CommentText"/>
    <w:link w:val="CommentSubjectChar"/>
    <w:semiHidden/>
    <w:unhideWhenUsed/>
    <w:rsid w:val="001C7136"/>
    <w:pPr>
      <w:spacing w:line="240" w:lineRule="auto"/>
    </w:pPr>
    <w:rPr>
      <w:b/>
      <w:bCs/>
    </w:rPr>
  </w:style>
  <w:style w:type="character" w:customStyle="1" w:styleId="CommentTextChar">
    <w:name w:val="Comment Text Char"/>
    <w:basedOn w:val="DefaultParagraphFont"/>
    <w:link w:val="CommentText"/>
    <w:semiHidden/>
    <w:rsid w:val="001C7136"/>
    <w:rPr>
      <w:lang w:val="en-GB"/>
    </w:rPr>
  </w:style>
  <w:style w:type="character" w:customStyle="1" w:styleId="CommentSubjectChar">
    <w:name w:val="Comment Subject Char"/>
    <w:basedOn w:val="CommentTextChar"/>
    <w:link w:val="CommentSubject"/>
    <w:semiHidden/>
    <w:rsid w:val="001C713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1344">
      <w:bodyDiv w:val="1"/>
      <w:marLeft w:val="0"/>
      <w:marRight w:val="0"/>
      <w:marTop w:val="0"/>
      <w:marBottom w:val="0"/>
      <w:divBdr>
        <w:top w:val="none" w:sz="0" w:space="0" w:color="auto"/>
        <w:left w:val="none" w:sz="0" w:space="0" w:color="auto"/>
        <w:bottom w:val="none" w:sz="0" w:space="0" w:color="auto"/>
        <w:right w:val="none" w:sz="0" w:space="0" w:color="auto"/>
      </w:divBdr>
    </w:div>
    <w:div w:id="2039694152">
      <w:bodyDiv w:val="1"/>
      <w:marLeft w:val="0"/>
      <w:marRight w:val="0"/>
      <w:marTop w:val="0"/>
      <w:marBottom w:val="0"/>
      <w:divBdr>
        <w:top w:val="none" w:sz="0" w:space="0" w:color="auto"/>
        <w:left w:val="none" w:sz="0" w:space="0" w:color="auto"/>
        <w:bottom w:val="none" w:sz="0" w:space="0" w:color="auto"/>
        <w:right w:val="none" w:sz="0" w:space="0" w:color="auto"/>
      </w:divBdr>
    </w:div>
    <w:div w:id="206852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3099-FE6F-4186-8F45-4B7F32E5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2137</Words>
  <Characters>10813</Characters>
  <Application>Microsoft Office Word</Application>
  <DocSecurity>0</DocSecurity>
  <Lines>210</Lines>
  <Paragraphs>98</Paragraphs>
  <ScaleCrop>false</ScaleCrop>
  <HeadingPairs>
    <vt:vector size="6" baseType="variant">
      <vt:variant>
        <vt:lpstr>Title</vt:lpstr>
      </vt:variant>
      <vt:variant>
        <vt:i4>1</vt:i4>
      </vt:variant>
      <vt:variant>
        <vt:lpstr>Titlu</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12916</CharactersWithSpaces>
  <SharedDoc>false</SharedDoc>
  <HLinks>
    <vt:vector size="6" baseType="variant">
      <vt:variant>
        <vt:i4>6160404</vt:i4>
      </vt:variant>
      <vt:variant>
        <vt:i4>-1</vt:i4>
      </vt:variant>
      <vt:variant>
        <vt:i4>2049</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2016-04-08T15:23:00Z</cp:lastPrinted>
  <dcterms:created xsi:type="dcterms:W3CDTF">2016-04-01T14:53:00Z</dcterms:created>
  <dcterms:modified xsi:type="dcterms:W3CDTF">2016-04-08T15:23:00Z</dcterms:modified>
</cp:coreProperties>
</file>