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B" w:rsidRDefault="0023371B" w:rsidP="0023371B">
      <w:pPr>
        <w:spacing w:line="240" w:lineRule="auto"/>
        <w:rPr>
          <w:sz w:val="2"/>
        </w:rPr>
        <w:sectPr w:rsidR="0023371B" w:rsidSect="002337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23371B" w:rsidRDefault="0023371B" w:rsidP="0023371B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23371B" w:rsidRDefault="0023371B" w:rsidP="0023371B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9F1595" w:rsidRDefault="009F1595" w:rsidP="00EE427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7E7B">
        <w:t>Forum mondial de l</w:t>
      </w:r>
      <w:r>
        <w:t>’</w:t>
      </w:r>
      <w:r w:rsidRPr="00FC7E7B">
        <w:t>harmonisation</w:t>
      </w:r>
      <w:r w:rsidR="00EE4270">
        <w:t xml:space="preserve"> </w:t>
      </w:r>
      <w:r w:rsidRPr="00FC7E7B">
        <w:rPr>
          <w:rFonts w:eastAsia="Times New Roman"/>
          <w:szCs w:val="24"/>
        </w:rPr>
        <w:br/>
      </w:r>
      <w:r w:rsidRPr="00FC7E7B">
        <w:t>des Règlements concernant les véhicules</w:t>
      </w:r>
    </w:p>
    <w:p w:rsidR="00EE4270" w:rsidRPr="00EE4270" w:rsidRDefault="00EE4270" w:rsidP="00EE4270">
      <w:pPr>
        <w:spacing w:line="120" w:lineRule="exact"/>
        <w:rPr>
          <w:sz w:val="10"/>
        </w:rPr>
      </w:pPr>
    </w:p>
    <w:p w:rsidR="009F1595" w:rsidRDefault="009F1595" w:rsidP="00EE427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7E7B">
        <w:t>Groupe de travail de la sécurité passive</w:t>
      </w:r>
    </w:p>
    <w:p w:rsidR="00EE4270" w:rsidRPr="00EE4270" w:rsidRDefault="00EE4270" w:rsidP="00EE4270">
      <w:pPr>
        <w:spacing w:line="120" w:lineRule="exact"/>
        <w:rPr>
          <w:sz w:val="10"/>
        </w:rPr>
      </w:pPr>
    </w:p>
    <w:p w:rsidR="009F1595" w:rsidRPr="00FC7E7B" w:rsidRDefault="009F1595" w:rsidP="00EE427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</w:rPr>
      </w:pPr>
      <w:r w:rsidRPr="00FC7E7B">
        <w:t>Cinquante-huitième session</w:t>
      </w:r>
    </w:p>
    <w:p w:rsidR="009F1595" w:rsidRPr="00FC7E7B" w:rsidRDefault="009F1595" w:rsidP="00EE427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  <w:bCs/>
        </w:rPr>
      </w:pPr>
      <w:r w:rsidRPr="00FC7E7B">
        <w:t xml:space="preserve">Genève, 8-11 décembre </w:t>
      </w:r>
      <w:bookmarkStart w:id="2" w:name="insstart"/>
      <w:bookmarkEnd w:id="2"/>
      <w:r w:rsidRPr="00FC7E7B">
        <w:t>2015</w:t>
      </w:r>
    </w:p>
    <w:p w:rsidR="009F1595" w:rsidRPr="00FC7E7B" w:rsidRDefault="009F1595" w:rsidP="00EE427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  <w:bCs/>
        </w:rPr>
      </w:pPr>
      <w:r w:rsidRPr="00FC7E7B">
        <w:t>Point 19 de l</w:t>
      </w:r>
      <w:r>
        <w:t>’</w:t>
      </w:r>
      <w:r w:rsidRPr="00FC7E7B">
        <w:t>ordre du jour provisoire</w:t>
      </w:r>
    </w:p>
    <w:p w:rsidR="0023371B" w:rsidRDefault="009F1595" w:rsidP="00EE427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7E7B">
        <w:t>Règlement n</w:t>
      </w:r>
      <w:r w:rsidR="00F539C4" w:rsidRPr="00F539C4">
        <w:rPr>
          <w:vertAlign w:val="superscript"/>
        </w:rPr>
        <w:t>o</w:t>
      </w:r>
      <w:r w:rsidR="00F539C4">
        <w:t> </w:t>
      </w:r>
      <w:r w:rsidRPr="00FC7E7B">
        <w:t>129 (Dispositifs améliorés de retenue pour enfants)</w:t>
      </w:r>
    </w:p>
    <w:p w:rsidR="00EE4270" w:rsidRPr="00EE4270" w:rsidRDefault="00EE4270" w:rsidP="00EE4270">
      <w:pPr>
        <w:spacing w:line="120" w:lineRule="exact"/>
        <w:rPr>
          <w:sz w:val="10"/>
        </w:rPr>
      </w:pPr>
    </w:p>
    <w:p w:rsidR="00EE4270" w:rsidRPr="00EE4270" w:rsidRDefault="00EE4270" w:rsidP="00EE4270">
      <w:pPr>
        <w:spacing w:line="120" w:lineRule="exact"/>
        <w:rPr>
          <w:sz w:val="10"/>
        </w:rPr>
      </w:pPr>
    </w:p>
    <w:p w:rsidR="00EE4270" w:rsidRPr="00EE4270" w:rsidRDefault="00EE4270" w:rsidP="00EE4270">
      <w:pPr>
        <w:spacing w:line="120" w:lineRule="exact"/>
        <w:rPr>
          <w:sz w:val="10"/>
        </w:rPr>
      </w:pPr>
    </w:p>
    <w:p w:rsidR="009F1595" w:rsidRDefault="00EE4270" w:rsidP="00EE427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F1595" w:rsidRPr="00FC7E7B">
        <w:t>Proposition de complément 5 au Règlement n</w:t>
      </w:r>
      <w:r w:rsidRPr="00EE4270">
        <w:rPr>
          <w:vertAlign w:val="superscript"/>
        </w:rPr>
        <w:t>o</w:t>
      </w:r>
      <w:r>
        <w:t> </w:t>
      </w:r>
      <w:r w:rsidR="009F1595" w:rsidRPr="00FC7E7B">
        <w:t xml:space="preserve">129 </w:t>
      </w:r>
      <w:r>
        <w:br/>
      </w:r>
      <w:r w:rsidR="009F1595" w:rsidRPr="00FC7E7B">
        <w:t>(Dispositifs améliorés de retenue pour enfants)</w:t>
      </w: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9F1595" w:rsidRDefault="00EE4270" w:rsidP="00EE427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="009F1595" w:rsidRPr="00FC7E7B">
        <w:t>Communication de l</w:t>
      </w:r>
      <w:r w:rsidR="009F1595">
        <w:t>’</w:t>
      </w:r>
      <w:r w:rsidR="009F1595" w:rsidRPr="00FC7E7B">
        <w:t>expert de l</w:t>
      </w:r>
      <w:r w:rsidR="009F1595">
        <w:t>’</w:t>
      </w:r>
      <w:r w:rsidR="009F1595" w:rsidRPr="00FC7E7B">
        <w:t xml:space="preserve">Association européenne </w:t>
      </w:r>
      <w:r>
        <w:br/>
      </w:r>
      <w:r w:rsidR="009F1595" w:rsidRPr="00FC7E7B">
        <w:t>des fournisseurs de l</w:t>
      </w:r>
      <w:r w:rsidR="009F1595">
        <w:t>’</w:t>
      </w:r>
      <w:r w:rsidR="009F1595" w:rsidRPr="00FC7E7B">
        <w:t>automobile</w:t>
      </w:r>
      <w:r w:rsidRPr="00F07AAA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23371B" w:rsidRDefault="00EE4270" w:rsidP="00EE4270">
      <w:pPr>
        <w:pStyle w:val="SingleTxt"/>
      </w:pPr>
      <w:r>
        <w:tab/>
      </w:r>
      <w:r w:rsidR="009F1595" w:rsidRPr="00FC7E7B">
        <w:t>Le texte reproduit ci-après, établi par l</w:t>
      </w:r>
      <w:r w:rsidR="009F1595">
        <w:t>’</w:t>
      </w:r>
      <w:r w:rsidR="009F1595" w:rsidRPr="00FC7E7B">
        <w:t>expert de l</w:t>
      </w:r>
      <w:r w:rsidR="009F1595">
        <w:t>’</w:t>
      </w:r>
      <w:r w:rsidR="009F1595" w:rsidRPr="00FC7E7B">
        <w:t>Association européenne des fournisseurs de l</w:t>
      </w:r>
      <w:r w:rsidR="009F1595">
        <w:t>’</w:t>
      </w:r>
      <w:r w:rsidR="009F1595" w:rsidRPr="00FC7E7B">
        <w:t>automobile (CLEPA), vise à introduire un gabarit intégral</w:t>
      </w:r>
      <w:r w:rsidR="009F1595">
        <w:t xml:space="preserve"> </w:t>
      </w:r>
      <w:r>
        <w:t>–</w:t>
      </w:r>
      <w:r w:rsidR="009F1595">
        <w:t xml:space="preserve"> </w:t>
      </w:r>
      <w:r w:rsidR="009F1595" w:rsidRPr="00FC7E7B">
        <w:t>qui faisait jusqu</w:t>
      </w:r>
      <w:r w:rsidR="009F1595">
        <w:t>’</w:t>
      </w:r>
      <w:r w:rsidR="009F1595" w:rsidRPr="00FC7E7B">
        <w:t>ici défaut</w:t>
      </w:r>
      <w:r w:rsidR="009F1595">
        <w:t xml:space="preserve"> </w:t>
      </w:r>
      <w:r>
        <w:t>–</w:t>
      </w:r>
      <w:r w:rsidR="009F1595">
        <w:t xml:space="preserve"> </w:t>
      </w:r>
      <w:r w:rsidR="009F1595" w:rsidRPr="00FC7E7B">
        <w:t>permettant de réaliser des essais sur les configurations possibles aux fins de l</w:t>
      </w:r>
      <w:r w:rsidR="009F1595">
        <w:t>’</w:t>
      </w:r>
      <w:r w:rsidR="009F1595" w:rsidRPr="00FC7E7B">
        <w:t>homologation de type de dispositifs améliorés de retenue pour enfants. Les modifications qu</w:t>
      </w:r>
      <w:r w:rsidR="009F1595">
        <w:t>’</w:t>
      </w:r>
      <w:r w:rsidR="009F1595" w:rsidRPr="00FC7E7B">
        <w:t>il est proposé d</w:t>
      </w:r>
      <w:r w:rsidR="009F1595">
        <w:t>’</w:t>
      </w:r>
      <w:r w:rsidR="009F1595" w:rsidRPr="00FC7E7B">
        <w:t>apporter au texte actuel du Règlement sont signalées en caractères gras pour les ajouts ou biffés pour les suppressions.</w:t>
      </w:r>
    </w:p>
    <w:p w:rsidR="009F1595" w:rsidRDefault="009F1595">
      <w:pPr>
        <w:spacing w:line="240" w:lineRule="auto"/>
      </w:pPr>
      <w:r>
        <w:br w:type="page"/>
      </w:r>
    </w:p>
    <w:p w:rsidR="009F1595" w:rsidRDefault="00EE4270" w:rsidP="00EE427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I.</w:t>
      </w:r>
      <w:r>
        <w:tab/>
      </w:r>
      <w:r w:rsidR="009F1595" w:rsidRPr="00FC7E7B">
        <w:t>Proposition</w:t>
      </w: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EE4270" w:rsidRPr="00EE4270" w:rsidRDefault="00EE4270" w:rsidP="00EE4270">
      <w:pPr>
        <w:pStyle w:val="SingleTxt"/>
        <w:spacing w:after="0" w:line="120" w:lineRule="exact"/>
        <w:rPr>
          <w:sz w:val="10"/>
        </w:rPr>
      </w:pPr>
    </w:p>
    <w:p w:rsidR="009F1595" w:rsidRPr="00FC7E7B" w:rsidRDefault="009F1595" w:rsidP="00EE4270">
      <w:pPr>
        <w:pStyle w:val="SingleTxt"/>
        <w:rPr>
          <w:rFonts w:eastAsia="Times New Roman"/>
          <w:iCs/>
        </w:rPr>
      </w:pPr>
      <w:r w:rsidRPr="00EE4270">
        <w:rPr>
          <w:i/>
        </w:rPr>
        <w:t>Paragraphe 6.1.2, tableau 1</w:t>
      </w:r>
      <w:r w:rsidRPr="00FC7E7B">
        <w:t>, modifier comme suit</w:t>
      </w:r>
      <w:r w:rsidR="00D64836">
        <w:t> </w:t>
      </w:r>
      <w:r w:rsidRPr="00FC7E7B">
        <w:t>:</w:t>
      </w:r>
    </w:p>
    <w:p w:rsidR="009F1595" w:rsidRDefault="00EE4270" w:rsidP="00EE42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E4270">
        <w:rPr>
          <w:b w:val="0"/>
        </w:rPr>
        <w:t>« </w:t>
      </w:r>
      <w:r w:rsidR="009F1595" w:rsidRPr="00EE4270">
        <w:rPr>
          <w:b w:val="0"/>
        </w:rPr>
        <w:t>Tableau 1</w:t>
      </w:r>
      <w:r>
        <w:br/>
      </w:r>
      <w:r w:rsidR="009F1595" w:rsidRPr="00FC7E7B">
        <w:t>Configurations possibles aux fins de l</w:t>
      </w:r>
      <w:r w:rsidR="009F1595">
        <w:t>’</w:t>
      </w:r>
      <w:r w:rsidR="009F1595" w:rsidRPr="00FC7E7B">
        <w:t>homologation de type</w:t>
      </w:r>
    </w:p>
    <w:p w:rsidR="009F1595" w:rsidRPr="008A6F78" w:rsidRDefault="009F1595" w:rsidP="00EE4270">
      <w:pPr>
        <w:pStyle w:val="SingleTxt"/>
        <w:spacing w:after="0" w:line="120" w:lineRule="exact"/>
        <w:rPr>
          <w:sz w:val="10"/>
        </w:rPr>
      </w:pPr>
    </w:p>
    <w:p w:rsidR="00EE4270" w:rsidRDefault="00EE4270" w:rsidP="00EE427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1703"/>
        <w:gridCol w:w="1827"/>
      </w:tblGrid>
      <w:tr w:rsidR="00532BA0" w:rsidRPr="00E8796F" w:rsidTr="00532BA0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8796F">
              <w:rPr>
                <w:i/>
                <w:sz w:val="16"/>
                <w:lang w:val="fr-FR"/>
              </w:rPr>
              <w:t>Orientation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E8796F">
              <w:rPr>
                <w:i/>
                <w:sz w:val="16"/>
                <w:lang w:val="fr-FR"/>
              </w:rPr>
              <w:t>Catégorie</w:t>
            </w:r>
          </w:p>
        </w:tc>
      </w:tr>
      <w:tr w:rsidR="00532BA0" w:rsidRPr="00E8796F" w:rsidTr="00532BA0"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8796F">
              <w:rPr>
                <w:i/>
                <w:sz w:val="16"/>
                <w:lang w:val="fr-FR"/>
              </w:rPr>
              <w:t>DRE-i-Size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2BA0" w:rsidRPr="00E8796F" w:rsidRDefault="00532BA0" w:rsidP="00247F9E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8796F">
              <w:rPr>
                <w:i/>
                <w:sz w:val="16"/>
                <w:lang w:val="fr-FR"/>
              </w:rPr>
              <w:t>DRE ISOFIX spécifique</w:t>
            </w:r>
            <w:r>
              <w:rPr>
                <w:i/>
                <w:sz w:val="16"/>
                <w:lang w:val="fr-FR"/>
              </w:rPr>
              <w:t xml:space="preserve"> </w:t>
            </w:r>
            <w:r w:rsidRPr="00E8796F">
              <w:rPr>
                <w:i/>
                <w:sz w:val="16"/>
                <w:lang w:val="fr-FR"/>
              </w:rPr>
              <w:br/>
              <w:t>à un véhicule, intégral</w:t>
            </w:r>
          </w:p>
        </w:tc>
      </w:tr>
      <w:tr w:rsidR="00532BA0" w:rsidRPr="00E8796F" w:rsidTr="00532BA0">
        <w:trPr>
          <w:trHeight w:hRule="exact" w:val="11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532BA0" w:rsidRPr="00E8796F" w:rsidTr="00532BA0">
        <w:tc>
          <w:tcPr>
            <w:tcW w:w="1701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INTEGRAL</w:t>
            </w:r>
          </w:p>
        </w:tc>
        <w:tc>
          <w:tcPr>
            <w:tcW w:w="2268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Vers le côté (nacelle)</w:t>
            </w:r>
          </w:p>
        </w:tc>
        <w:tc>
          <w:tcPr>
            <w:tcW w:w="1703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FC7E7B">
              <w:rPr>
                <w:strike/>
              </w:rPr>
              <w:t>s.o.</w:t>
            </w:r>
            <w:r>
              <w:t xml:space="preserve"> </w:t>
            </w:r>
            <w:r w:rsidRPr="00FC7E7B">
              <w:rPr>
                <w:b/>
              </w:rPr>
              <w:t>A</w:t>
            </w:r>
          </w:p>
        </w:tc>
        <w:tc>
          <w:tcPr>
            <w:tcW w:w="1827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A</w:t>
            </w:r>
          </w:p>
        </w:tc>
      </w:tr>
      <w:tr w:rsidR="00532BA0" w:rsidRPr="00E8796F" w:rsidTr="00532BA0">
        <w:tc>
          <w:tcPr>
            <w:tcW w:w="1701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Vers l’arrière</w:t>
            </w:r>
          </w:p>
        </w:tc>
        <w:tc>
          <w:tcPr>
            <w:tcW w:w="1703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A</w:t>
            </w:r>
          </w:p>
        </w:tc>
        <w:tc>
          <w:tcPr>
            <w:tcW w:w="1827" w:type="dxa"/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A</w:t>
            </w:r>
          </w:p>
        </w:tc>
      </w:tr>
      <w:tr w:rsidR="00532BA0" w:rsidRPr="00E8796F" w:rsidTr="00532BA0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Vers l’avant (intégral)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A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</w:tcPr>
          <w:p w:rsidR="00532BA0" w:rsidRPr="00E8796F" w:rsidRDefault="00532BA0" w:rsidP="00247F9E">
            <w:pPr>
              <w:spacing w:before="40" w:after="120"/>
              <w:ind w:right="113"/>
              <w:rPr>
                <w:lang w:val="fr-FR"/>
              </w:rPr>
            </w:pPr>
            <w:r w:rsidRPr="00E8796F">
              <w:rPr>
                <w:lang w:val="fr-FR"/>
              </w:rPr>
              <w:t>A</w:t>
            </w:r>
          </w:p>
        </w:tc>
      </w:tr>
    </w:tbl>
    <w:p w:rsidR="00532BA0" w:rsidRDefault="00532BA0" w:rsidP="00EE4270">
      <w:pPr>
        <w:pStyle w:val="SingleTxt"/>
        <w:spacing w:after="0" w:line="120" w:lineRule="exact"/>
        <w:rPr>
          <w:sz w:val="10"/>
        </w:rPr>
      </w:pPr>
    </w:p>
    <w:p w:rsidR="00532BA0" w:rsidRPr="008A6F78" w:rsidRDefault="00532BA0" w:rsidP="00EE4270">
      <w:pPr>
        <w:pStyle w:val="SingleTxt"/>
        <w:spacing w:after="0" w:line="120" w:lineRule="exact"/>
        <w:rPr>
          <w:sz w:val="10"/>
        </w:rPr>
      </w:pPr>
    </w:p>
    <w:p w:rsidR="009F1595" w:rsidRPr="00FC7E7B" w:rsidRDefault="009F1595" w:rsidP="00EE4270">
      <w:pPr>
        <w:pStyle w:val="SingleTxt"/>
        <w:rPr>
          <w:rFonts w:eastAsia="Times New Roman"/>
        </w:rPr>
      </w:pPr>
      <w:r w:rsidRPr="00FC7E7B">
        <w:t>DRE</w:t>
      </w:r>
      <w:r w:rsidR="00D64836">
        <w:t> </w:t>
      </w:r>
      <w:r w:rsidRPr="00FC7E7B">
        <w:t>:</w:t>
      </w:r>
    </w:p>
    <w:p w:rsidR="009F1595" w:rsidRPr="00FC7E7B" w:rsidRDefault="009F1595" w:rsidP="00EE4270">
      <w:pPr>
        <w:pStyle w:val="SingleTxt"/>
        <w:rPr>
          <w:rFonts w:eastAsia="Times New Roman"/>
          <w:spacing w:val="-2"/>
        </w:rPr>
      </w:pPr>
      <w:r w:rsidRPr="00FC7E7B">
        <w:t>…</w:t>
      </w:r>
      <w:r w:rsidR="00EE4270">
        <w:t> ».</w:t>
      </w:r>
    </w:p>
    <w:p w:rsidR="009F1595" w:rsidRPr="00FC7E7B" w:rsidRDefault="009F1595" w:rsidP="00EE4270">
      <w:pPr>
        <w:pStyle w:val="SingleTxt"/>
        <w:rPr>
          <w:rFonts w:eastAsia="Times New Roman"/>
          <w:i/>
        </w:rPr>
      </w:pPr>
      <w:r w:rsidRPr="00FC7E7B">
        <w:rPr>
          <w:i/>
        </w:rPr>
        <w:t>Paragraphe 6.3.2.2</w:t>
      </w:r>
      <w:r w:rsidRPr="00EE4270">
        <w:t xml:space="preserve">, </w:t>
      </w:r>
      <w:r w:rsidRPr="00FC7E7B">
        <w:t>modifier comme suit</w:t>
      </w:r>
      <w:r w:rsidR="00D64836">
        <w:t> </w:t>
      </w:r>
      <w:r w:rsidRPr="00FC7E7B">
        <w:t>:</w:t>
      </w:r>
    </w:p>
    <w:p w:rsidR="009F1595" w:rsidRPr="00FC7E7B" w:rsidRDefault="00EE4270" w:rsidP="00EE4270">
      <w:pPr>
        <w:pStyle w:val="SingleTxt"/>
        <w:rPr>
          <w:rFonts w:eastAsia="Times New Roman"/>
          <w:bCs/>
        </w:rPr>
      </w:pPr>
      <w:r>
        <w:t>« </w:t>
      </w:r>
      <w:r w:rsidR="009F1595" w:rsidRPr="00FC7E7B">
        <w:t>6.3.2.2</w:t>
      </w:r>
      <w:r w:rsidR="00F62803" w:rsidRPr="004354BC">
        <w:rPr>
          <w:lang w:val="en-US"/>
        </w:rPr>
        <w:tab/>
      </w:r>
      <w:r w:rsidR="009F1595" w:rsidRPr="00FC7E7B">
        <w:t>Dimensions hors tout</w:t>
      </w:r>
    </w:p>
    <w:p w:rsidR="009F1595" w:rsidRPr="00FC7E7B" w:rsidRDefault="00EE4270" w:rsidP="00EE4270">
      <w:pPr>
        <w:pStyle w:val="SingleTxt"/>
        <w:ind w:left="2218" w:hanging="951"/>
        <w:rPr>
          <w:rFonts w:eastAsia="Times New Roman"/>
        </w:rPr>
      </w:pPr>
      <w:r>
        <w:tab/>
      </w:r>
      <w:r>
        <w:tab/>
      </w:r>
      <w:r w:rsidR="009F1595" w:rsidRPr="00FC7E7B">
        <w:t>Les dimensions maximales en largeur, hauteur et profondeur du dispositif de retenue pour enfants et les emplacements des ancrages ISOFIX dans lesquels doivent s</w:t>
      </w:r>
      <w:r w:rsidR="009F1595">
        <w:t>’</w:t>
      </w:r>
      <w:r w:rsidR="009F1595" w:rsidRPr="00FC7E7B">
        <w:t xml:space="preserve">enclencher les attaches sont définis par le gabarit du siège du véhicule (VSF), défini au </w:t>
      </w:r>
      <w:hyperlink w:anchor="_DEFINITIONS" w:history="1">
        <w:r w:rsidR="009F1595" w:rsidRPr="00FC7E7B">
          <w:t xml:space="preserve">paragraphe </w:t>
        </w:r>
      </w:hyperlink>
      <w:r>
        <w:t>2.17</w:t>
      </w:r>
      <w:r w:rsidR="009F1595" w:rsidRPr="00FC7E7B">
        <w:t xml:space="preserve"> du présent Règlement.</w:t>
      </w:r>
    </w:p>
    <w:p w:rsidR="009F1595" w:rsidRPr="00FC7E7B" w:rsidRDefault="00EE4270" w:rsidP="00EE4270">
      <w:pPr>
        <w:pStyle w:val="SingleTxt"/>
        <w:ind w:left="2693" w:hanging="1426"/>
        <w:rPr>
          <w:rFonts w:eastAsia="Times New Roman"/>
        </w:rPr>
      </w:pPr>
      <w:r>
        <w:tab/>
      </w:r>
      <w:r>
        <w:tab/>
      </w:r>
      <w:r w:rsidR="009F1595" w:rsidRPr="00FC7E7B">
        <w:t>a)</w:t>
      </w:r>
      <w:r w:rsidR="00D64836" w:rsidRPr="004354BC">
        <w:rPr>
          <w:lang w:val="en-US"/>
        </w:rPr>
        <w:tab/>
      </w:r>
      <w:r w:rsidR="009F1595" w:rsidRPr="00FC7E7B">
        <w:t>Les dispositifs de retenue pour enfants faisant face vers l</w:t>
      </w:r>
      <w:r w:rsidR="009F1595">
        <w:t>’</w:t>
      </w:r>
      <w:r w:rsidR="009F1595" w:rsidRPr="00FC7E7B">
        <w:t xml:space="preserve">avant de type i-Size doivent pouvoir rentrer </w:t>
      </w:r>
      <w:bookmarkStart w:id="3" w:name="OLE_LINK6"/>
      <w:bookmarkStart w:id="4" w:name="OLE_LINK7"/>
      <w:r>
        <w:t>d</w:t>
      </w:r>
      <w:r w:rsidR="009F1595" w:rsidRPr="00FC7E7B">
        <w:t>ans une enveloppe ISO/F2x lorsqu</w:t>
      </w:r>
      <w:r w:rsidR="009F1595">
        <w:t>’</w:t>
      </w:r>
      <w:r w:rsidR="009F1595" w:rsidRPr="00FC7E7B">
        <w:t>il s</w:t>
      </w:r>
      <w:r w:rsidR="009F1595">
        <w:t>’</w:t>
      </w:r>
      <w:r w:rsidR="009F1595" w:rsidRPr="00FC7E7B">
        <w:t xml:space="preserve">agit de dispositifs de retenue pour tout-petits enfants </w:t>
      </w:r>
      <w:r>
        <w:t>(</w:t>
      </w:r>
      <w:r w:rsidR="009F1595" w:rsidRPr="00FC7E7B">
        <w:t>hauteur 650 mm) de type ISOFIX classe B1</w:t>
      </w:r>
      <w:bookmarkEnd w:id="3"/>
      <w:bookmarkEnd w:id="4"/>
      <w:r w:rsidR="009F1595" w:rsidRPr="00FC7E7B">
        <w:t>;</w:t>
      </w:r>
    </w:p>
    <w:p w:rsidR="009F1595" w:rsidRPr="00FC7E7B" w:rsidRDefault="00EE4270" w:rsidP="00EE4270">
      <w:pPr>
        <w:pStyle w:val="SingleTxt"/>
        <w:ind w:left="2693" w:hanging="1426"/>
        <w:rPr>
          <w:rFonts w:eastAsia="Times New Roman"/>
        </w:rPr>
      </w:pPr>
      <w:r>
        <w:tab/>
      </w:r>
      <w:r>
        <w:tab/>
      </w:r>
      <w:r w:rsidR="009F1595" w:rsidRPr="00FC7E7B">
        <w:t>b)</w:t>
      </w:r>
      <w:r w:rsidR="00D64836" w:rsidRPr="004354BC">
        <w:rPr>
          <w:lang w:val="en-US"/>
        </w:rPr>
        <w:tab/>
      </w:r>
      <w:r w:rsidR="009F1595" w:rsidRPr="00FC7E7B">
        <w:t>Les dispositifs de retenue pour enfants faisant face vers l</w:t>
      </w:r>
      <w:r w:rsidR="009F1595">
        <w:t>’</w:t>
      </w:r>
      <w:r w:rsidR="009F1595" w:rsidRPr="00FC7E7B">
        <w:t>arrière de type i-Size doivent pouvoir rentrer dans une enveloppe ISO/R2 lorsqu</w:t>
      </w:r>
      <w:r w:rsidR="009F1595">
        <w:t>’</w:t>
      </w:r>
      <w:r w:rsidR="009F1595" w:rsidRPr="00FC7E7B">
        <w:t>il s</w:t>
      </w:r>
      <w:r w:rsidR="009F1595">
        <w:t>’</w:t>
      </w:r>
      <w:r w:rsidR="009F1595" w:rsidRPr="00FC7E7B">
        <w:t>agit de dispositifs de retenue pour tout-petits enfants de corpulence réduite de type ISOFIX classe D;</w:t>
      </w:r>
    </w:p>
    <w:p w:rsidR="009F1595" w:rsidRPr="00FC7E7B" w:rsidRDefault="008A6F78" w:rsidP="008A6F78">
      <w:pPr>
        <w:pStyle w:val="SingleTxt"/>
        <w:ind w:left="2693" w:hanging="1426"/>
        <w:rPr>
          <w:rFonts w:eastAsia="Times New Roman"/>
          <w:b/>
        </w:rPr>
      </w:pPr>
      <w:r>
        <w:rPr>
          <w:b/>
        </w:rPr>
        <w:tab/>
      </w:r>
      <w:r>
        <w:rPr>
          <w:b/>
        </w:rPr>
        <w:tab/>
      </w:r>
      <w:r w:rsidR="009F1595" w:rsidRPr="00FC7E7B">
        <w:rPr>
          <w:b/>
        </w:rPr>
        <w:t>c)</w:t>
      </w:r>
      <w:r w:rsidR="00D64836" w:rsidRPr="004354BC">
        <w:rPr>
          <w:lang w:val="en-US"/>
        </w:rPr>
        <w:tab/>
      </w:r>
      <w:r w:rsidR="009F1595" w:rsidRPr="00FC7E7B">
        <w:rPr>
          <w:b/>
        </w:rPr>
        <w:t xml:space="preserve">Les dispositifs de retenue pour enfants faisant face vers le côté </w:t>
      </w:r>
      <w:r>
        <w:rPr>
          <w:b/>
        </w:rPr>
        <w:t>de type i-</w:t>
      </w:r>
      <w:r w:rsidR="00A25C81">
        <w:rPr>
          <w:b/>
        </w:rPr>
        <w:t xml:space="preserve">Size </w:t>
      </w:r>
      <w:r w:rsidR="009F1595" w:rsidRPr="00FC7E7B">
        <w:rPr>
          <w:b/>
        </w:rPr>
        <w:t xml:space="preserve">doivent pouvoir rentrer dans </w:t>
      </w:r>
      <w:r>
        <w:rPr>
          <w:b/>
        </w:rPr>
        <w:t>l’</w:t>
      </w:r>
      <w:r w:rsidR="009F1595" w:rsidRPr="00FC7E7B">
        <w:rPr>
          <w:b/>
        </w:rPr>
        <w:t xml:space="preserve">enveloppe </w:t>
      </w:r>
      <w:r>
        <w:rPr>
          <w:b/>
        </w:rPr>
        <w:t xml:space="preserve">prévue à </w:t>
      </w:r>
      <w:r w:rsidR="009F1595" w:rsidRPr="00FC7E7B">
        <w:rPr>
          <w:b/>
        </w:rPr>
        <w:t xml:space="preserve">gauche </w:t>
      </w:r>
      <w:r>
        <w:rPr>
          <w:b/>
        </w:rPr>
        <w:t xml:space="preserve">(F) </w:t>
      </w:r>
      <w:r w:rsidR="009F1595" w:rsidRPr="00FC7E7B">
        <w:rPr>
          <w:b/>
        </w:rPr>
        <w:t xml:space="preserve">ou </w:t>
      </w:r>
      <w:r>
        <w:rPr>
          <w:b/>
        </w:rPr>
        <w:t>à</w:t>
      </w:r>
      <w:r w:rsidR="009F1595" w:rsidRPr="00FC7E7B">
        <w:rPr>
          <w:b/>
        </w:rPr>
        <w:t xml:space="preserve"> droit</w:t>
      </w:r>
      <w:r>
        <w:rPr>
          <w:b/>
        </w:rPr>
        <w:t>e (G)</w:t>
      </w:r>
      <w:r w:rsidR="009F1595" w:rsidRPr="00FC7E7B">
        <w:rPr>
          <w:b/>
        </w:rPr>
        <w:t>;</w:t>
      </w:r>
    </w:p>
    <w:p w:rsidR="009F1595" w:rsidRDefault="008A6F78" w:rsidP="00D64836">
      <w:pPr>
        <w:pStyle w:val="SingleTxt"/>
        <w:ind w:left="2693" w:hanging="1426"/>
      </w:pPr>
      <w:r>
        <w:rPr>
          <w:b/>
        </w:rPr>
        <w:tab/>
      </w:r>
      <w:r>
        <w:rPr>
          <w:b/>
        </w:rPr>
        <w:tab/>
      </w:r>
      <w:r w:rsidR="009F1595" w:rsidRPr="00FC7E7B">
        <w:rPr>
          <w:b/>
        </w:rPr>
        <w:t>d)</w:t>
      </w:r>
      <w:r w:rsidR="00D64836" w:rsidRPr="004354BC">
        <w:rPr>
          <w:lang w:val="en-US"/>
        </w:rPr>
        <w:tab/>
      </w:r>
      <w:r w:rsidR="009F1595" w:rsidRPr="00FC7E7B">
        <w:t>Les dispositifs de retenue pour enfants ISOFIX spécifiques à un véhicule doivent pouvoir rentrer dans n</w:t>
      </w:r>
      <w:r w:rsidR="009F1595">
        <w:t>’</w:t>
      </w:r>
      <w:r w:rsidR="009F1595" w:rsidRPr="00FC7E7B">
        <w:t>importe quelle enveloppe ISO.</w:t>
      </w:r>
      <w:r>
        <w:t> </w:t>
      </w:r>
      <w:r w:rsidR="009F1595">
        <w:t>»</w:t>
      </w:r>
      <w:r w:rsidR="009F1595" w:rsidRPr="00FC7E7B">
        <w:t>.</w:t>
      </w:r>
    </w:p>
    <w:p w:rsidR="008A6F78" w:rsidRPr="008A6F78" w:rsidRDefault="008A6F78" w:rsidP="008A6F78">
      <w:pPr>
        <w:pStyle w:val="SingleTxt"/>
        <w:spacing w:after="0" w:line="120" w:lineRule="exact"/>
        <w:ind w:left="2693" w:hanging="1426"/>
        <w:rPr>
          <w:sz w:val="10"/>
        </w:rPr>
      </w:pPr>
    </w:p>
    <w:p w:rsidR="008A6F78" w:rsidRPr="008A6F78" w:rsidRDefault="008A6F78" w:rsidP="008A6F78">
      <w:pPr>
        <w:pStyle w:val="SingleTxt"/>
        <w:spacing w:after="0" w:line="120" w:lineRule="exact"/>
        <w:ind w:left="2693" w:hanging="1426"/>
        <w:rPr>
          <w:rFonts w:eastAsia="Times New Roman"/>
          <w:sz w:val="10"/>
        </w:rPr>
      </w:pPr>
    </w:p>
    <w:p w:rsidR="009F1595" w:rsidRDefault="009F1595" w:rsidP="008A6F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7E7B">
        <w:rPr>
          <w:sz w:val="32"/>
        </w:rPr>
        <w:tab/>
      </w:r>
      <w:r w:rsidRPr="00FC7E7B">
        <w:t>II.</w:t>
      </w:r>
      <w:r w:rsidRPr="00FC7E7B">
        <w:rPr>
          <w:sz w:val="32"/>
        </w:rPr>
        <w:tab/>
      </w:r>
      <w:r w:rsidR="008A6F78">
        <w:t>Justification</w:t>
      </w:r>
    </w:p>
    <w:p w:rsidR="008A6F78" w:rsidRPr="008A6F78" w:rsidRDefault="008A6F78" w:rsidP="008A6F78">
      <w:pPr>
        <w:pStyle w:val="SingleTxt"/>
        <w:spacing w:after="0" w:line="120" w:lineRule="exact"/>
        <w:rPr>
          <w:sz w:val="10"/>
        </w:rPr>
      </w:pPr>
    </w:p>
    <w:p w:rsidR="008A6F78" w:rsidRPr="008A6F78" w:rsidRDefault="008A6F78" w:rsidP="008A6F78">
      <w:pPr>
        <w:pStyle w:val="SingleTxt"/>
        <w:spacing w:after="0" w:line="120" w:lineRule="exact"/>
        <w:rPr>
          <w:sz w:val="10"/>
        </w:rPr>
      </w:pPr>
    </w:p>
    <w:p w:rsidR="009F1595" w:rsidRPr="004B59EF" w:rsidRDefault="009F1595" w:rsidP="004B59EF">
      <w:pPr>
        <w:pStyle w:val="SingleTxt"/>
        <w:rPr>
          <w:b/>
          <w:szCs w:val="20"/>
        </w:rPr>
      </w:pPr>
      <w:r w:rsidRPr="00FC7E7B">
        <w:rPr>
          <w:sz w:val="32"/>
        </w:rPr>
        <w:tab/>
      </w:r>
      <w:r w:rsidRPr="004B59EF">
        <w:rPr>
          <w:szCs w:val="20"/>
        </w:rPr>
        <w:t>Il s’agit d</w:t>
      </w:r>
      <w:r w:rsidR="00D81AC8">
        <w:rPr>
          <w:szCs w:val="20"/>
        </w:rPr>
        <w:t>e compléter le Règlement ONU n</w:t>
      </w:r>
      <w:r w:rsidR="00D81AC8" w:rsidRPr="00D81AC8">
        <w:rPr>
          <w:szCs w:val="20"/>
          <w:vertAlign w:val="superscript"/>
        </w:rPr>
        <w:t>o</w:t>
      </w:r>
      <w:r w:rsidR="00D81AC8">
        <w:rPr>
          <w:szCs w:val="20"/>
        </w:rPr>
        <w:t> </w:t>
      </w:r>
      <w:r w:rsidRPr="004B59EF">
        <w:rPr>
          <w:szCs w:val="20"/>
        </w:rPr>
        <w:t xml:space="preserve">129 (Dispositifs améliorés de retenue pour enfants) en y ajoutant des prescriptions relatives aux gabarits intégraux manquants. Pour des explications plus détaillées, </w:t>
      </w:r>
      <w:r w:rsidR="004B59EF" w:rsidRPr="004B59EF">
        <w:rPr>
          <w:szCs w:val="20"/>
        </w:rPr>
        <w:t>le document</w:t>
      </w:r>
      <w:r w:rsidRPr="004B59EF">
        <w:rPr>
          <w:szCs w:val="20"/>
        </w:rPr>
        <w:t xml:space="preserve"> GRSP-58-01.</w:t>
      </w:r>
    </w:p>
    <w:p w:rsidR="00F07AAA" w:rsidRPr="00F07AAA" w:rsidRDefault="00F07AAA" w:rsidP="00F07AAA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07AAA" w:rsidRPr="00F07AAA" w:rsidSect="0023371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2T11:36:00Z" w:initials="Start">
    <w:p w:rsidR="0023371B" w:rsidRDefault="0023371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NO&gt;&gt;N1521496F&lt;&lt;ODS JOB NO&gt;&gt;</w:t>
      </w:r>
    </w:p>
    <w:p w:rsidR="0023371B" w:rsidRDefault="0023371B">
      <w:pPr>
        <w:pStyle w:val="CommentText"/>
      </w:pPr>
      <w:r>
        <w:t>&lt;&lt;ODS DOC SYMBOL1&gt;&gt;ECE/TRANS/WP.29/GRSP/2015/29&lt;&lt;ODS DOC SYMBOL1&gt;&gt;</w:t>
      </w:r>
    </w:p>
    <w:p w:rsidR="0023371B" w:rsidRDefault="0023371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D4" w:rsidRDefault="00F774D4" w:rsidP="00F3330B">
      <w:pPr>
        <w:spacing w:line="240" w:lineRule="auto"/>
      </w:pPr>
      <w:r>
        <w:separator/>
      </w:r>
    </w:p>
  </w:endnote>
  <w:endnote w:type="continuationSeparator" w:id="0">
    <w:p w:rsidR="00F774D4" w:rsidRDefault="00F774D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371B" w:rsidTr="0023371B">
      <w:trPr>
        <w:jc w:val="center"/>
      </w:trPr>
      <w:tc>
        <w:tcPr>
          <w:tcW w:w="5126" w:type="dxa"/>
          <w:shd w:val="clear" w:color="auto" w:fill="auto"/>
        </w:tcPr>
        <w:p w:rsidR="0023371B" w:rsidRPr="0023371B" w:rsidRDefault="0023371B" w:rsidP="0023371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C0A46">
            <w:rPr>
              <w:b w:val="0"/>
              <w:w w:val="103"/>
              <w:sz w:val="14"/>
            </w:rPr>
            <w:t>GE.15-16077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3371B" w:rsidRPr="0023371B" w:rsidRDefault="0023371B" w:rsidP="0023371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76A7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76A7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3371B" w:rsidRPr="0023371B" w:rsidRDefault="0023371B" w:rsidP="00233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371B" w:rsidTr="0023371B">
      <w:trPr>
        <w:jc w:val="center"/>
      </w:trPr>
      <w:tc>
        <w:tcPr>
          <w:tcW w:w="5126" w:type="dxa"/>
          <w:shd w:val="clear" w:color="auto" w:fill="auto"/>
        </w:tcPr>
        <w:p w:rsidR="0023371B" w:rsidRPr="0023371B" w:rsidRDefault="0023371B" w:rsidP="0023371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C0A4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C0A4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3371B" w:rsidRPr="0023371B" w:rsidRDefault="0023371B" w:rsidP="0023371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C0A46">
            <w:rPr>
              <w:b w:val="0"/>
              <w:w w:val="103"/>
              <w:sz w:val="14"/>
            </w:rPr>
            <w:t>GE.15-16077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3371B" w:rsidRPr="0023371B" w:rsidRDefault="0023371B" w:rsidP="00233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1B" w:rsidRDefault="0023371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FA1EE0" wp14:editId="3F7F5FD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P/2015/2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P/2015/2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3371B" w:rsidTr="0023371B">
      <w:tc>
        <w:tcPr>
          <w:tcW w:w="3859" w:type="dxa"/>
        </w:tcPr>
        <w:p w:rsidR="0023371B" w:rsidRDefault="0023371B" w:rsidP="0023371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C0A46">
            <w:rPr>
              <w:b w:val="0"/>
              <w:sz w:val="20"/>
            </w:rPr>
            <w:t>GE.15-16077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F07AAA">
            <w:rPr>
              <w:b w:val="0"/>
              <w:sz w:val="20"/>
            </w:rPr>
            <w:t>07</w:t>
          </w:r>
          <w:r>
            <w:rPr>
              <w:b w:val="0"/>
              <w:sz w:val="20"/>
            </w:rPr>
            <w:t xml:space="preserve">1015    </w:t>
          </w:r>
          <w:r w:rsidR="00F07AAA">
            <w:rPr>
              <w:b w:val="0"/>
              <w:sz w:val="20"/>
            </w:rPr>
            <w:t>27</w:t>
          </w:r>
          <w:r>
            <w:rPr>
              <w:b w:val="0"/>
              <w:sz w:val="20"/>
            </w:rPr>
            <w:t>1015</w:t>
          </w:r>
        </w:p>
        <w:p w:rsidR="0023371B" w:rsidRPr="0023371B" w:rsidRDefault="0023371B" w:rsidP="0023371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C0A46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*1516077*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23371B" w:rsidRDefault="0023371B" w:rsidP="0023371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48C0370" wp14:editId="5A6C94B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371B" w:rsidRPr="0023371B" w:rsidRDefault="0023371B" w:rsidP="0023371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D4" w:rsidRPr="00F07AAA" w:rsidRDefault="00F07AAA" w:rsidP="00F07AAA">
      <w:pPr>
        <w:pStyle w:val="Footer"/>
        <w:spacing w:after="80"/>
        <w:ind w:left="792"/>
        <w:rPr>
          <w:sz w:val="16"/>
        </w:rPr>
      </w:pPr>
      <w:r w:rsidRPr="00F07AAA">
        <w:rPr>
          <w:sz w:val="16"/>
        </w:rPr>
        <w:t>__________________</w:t>
      </w:r>
    </w:p>
  </w:footnote>
  <w:footnote w:type="continuationSeparator" w:id="0">
    <w:p w:rsidR="00F774D4" w:rsidRPr="00F07AAA" w:rsidRDefault="00F07AAA" w:rsidP="00F07AAA">
      <w:pPr>
        <w:pStyle w:val="Footer"/>
        <w:spacing w:after="80"/>
        <w:ind w:left="792"/>
        <w:rPr>
          <w:sz w:val="16"/>
        </w:rPr>
      </w:pPr>
      <w:r w:rsidRPr="00F07AAA">
        <w:rPr>
          <w:sz w:val="16"/>
        </w:rPr>
        <w:t>__________________</w:t>
      </w:r>
    </w:p>
  </w:footnote>
  <w:footnote w:id="1">
    <w:p w:rsidR="00EE4270" w:rsidRPr="00EE4270" w:rsidRDefault="00EE4270" w:rsidP="00F07AA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FootnoteReference"/>
        </w:rPr>
        <w:tab/>
      </w:r>
      <w:r w:rsidRPr="00EE4270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2012-2016 (ECE/TRANS/224, par. 94, et ECE/TRANS/2012/12,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371B" w:rsidTr="0023371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371B" w:rsidRPr="0023371B" w:rsidRDefault="0023371B" w:rsidP="0023371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C0A46">
            <w:rPr>
              <w:b/>
              <w:color w:val="000000"/>
            </w:rPr>
            <w:t>ECE/TRANS/WP.29/GRSP/2015/29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3371B" w:rsidRDefault="0023371B" w:rsidP="0023371B">
          <w:pPr>
            <w:pStyle w:val="Header"/>
          </w:pPr>
        </w:p>
      </w:tc>
    </w:tr>
  </w:tbl>
  <w:p w:rsidR="0023371B" w:rsidRPr="0023371B" w:rsidRDefault="0023371B" w:rsidP="0023371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371B" w:rsidTr="0023371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371B" w:rsidRDefault="0023371B" w:rsidP="0023371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3371B" w:rsidRPr="0023371B" w:rsidRDefault="0023371B" w:rsidP="0023371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C0A46">
            <w:rPr>
              <w:b/>
              <w:color w:val="000000"/>
            </w:rPr>
            <w:t>ECE/TRANS/WP.29/GRSP/2015/29</w:t>
          </w:r>
          <w:r>
            <w:rPr>
              <w:b/>
              <w:color w:val="000000"/>
            </w:rPr>
            <w:fldChar w:fldCharType="end"/>
          </w:r>
        </w:p>
      </w:tc>
    </w:tr>
  </w:tbl>
  <w:p w:rsidR="0023371B" w:rsidRPr="0023371B" w:rsidRDefault="0023371B" w:rsidP="0023371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3371B" w:rsidTr="0023371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371B" w:rsidRDefault="0023371B" w:rsidP="0023371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371B" w:rsidRPr="0023371B" w:rsidRDefault="0023371B" w:rsidP="0023371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371B" w:rsidRDefault="0023371B" w:rsidP="0023371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3371B" w:rsidRPr="0023371B" w:rsidRDefault="0023371B" w:rsidP="0023371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/TRANS/WP.29/GRSP/2015/29</w:t>
          </w:r>
        </w:p>
      </w:tc>
    </w:tr>
    <w:tr w:rsidR="0023371B" w:rsidRPr="0023371B" w:rsidTr="0023371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371B" w:rsidRPr="0023371B" w:rsidRDefault="0023371B" w:rsidP="0023371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D297B10" wp14:editId="1B62F26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371B" w:rsidRPr="0023371B" w:rsidRDefault="0023371B" w:rsidP="0023371B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371B" w:rsidRPr="0023371B" w:rsidRDefault="0023371B" w:rsidP="0023371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371B" w:rsidRDefault="0023371B" w:rsidP="0023371B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23371B" w:rsidRDefault="004B59EF" w:rsidP="0023371B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</w:t>
          </w:r>
          <w:r w:rsidR="0023371B">
            <w:rPr>
              <w:color w:val="000000"/>
            </w:rPr>
            <w:t xml:space="preserve">2 </w:t>
          </w:r>
          <w:r>
            <w:rPr>
              <w:color w:val="000000"/>
            </w:rPr>
            <w:t>septembre</w:t>
          </w:r>
          <w:r w:rsidR="0023371B">
            <w:rPr>
              <w:color w:val="000000"/>
            </w:rPr>
            <w:t xml:space="preserve"> 2015</w:t>
          </w:r>
        </w:p>
        <w:p w:rsidR="0023371B" w:rsidRDefault="0023371B" w:rsidP="0023371B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23371B" w:rsidRPr="0023371B" w:rsidRDefault="0023371B" w:rsidP="0023371B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23371B" w:rsidRPr="0023371B" w:rsidRDefault="0023371B" w:rsidP="0023371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6077*"/>
    <w:docVar w:name="CreationDt" w:val="10/12/2015 11:36 AM"/>
    <w:docVar w:name="DocCategory" w:val="Doc"/>
    <w:docVar w:name="DocType" w:val="Final"/>
    <w:docVar w:name="DutyStation" w:val="Geneva"/>
    <w:docVar w:name="FooterJN" w:val="GE.15-16077"/>
    <w:docVar w:name="jobn" w:val="GE.15-16077 (F)"/>
    <w:docVar w:name="jobnDT" w:val="GE.15-16077 (F)   121015"/>
    <w:docVar w:name="jobnDTDT" w:val="GE.15-16077 (F)   121015   121015"/>
    <w:docVar w:name="JobNo" w:val="GE.1516077F"/>
    <w:docVar w:name="JobNo2" w:val="GE.1521496F"/>
    <w:docVar w:name="LocalDrive" w:val="0"/>
    <w:docVar w:name="OandT" w:val="OKRZESIK"/>
    <w:docVar w:name="PaperSize" w:val="A4"/>
    <w:docVar w:name="sss1" w:val="ECE/TRANS/WP.29/GRSP/2015/29"/>
    <w:docVar w:name="sss2" w:val="-"/>
    <w:docVar w:name="Symbol1" w:val="ECE/TRANS/WP.29/GRSP/2015/29"/>
    <w:docVar w:name="Symbol2" w:val="-"/>
  </w:docVars>
  <w:rsids>
    <w:rsidRoot w:val="00F774D4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56F7"/>
    <w:rsid w:val="00116149"/>
    <w:rsid w:val="00122A9E"/>
    <w:rsid w:val="00123812"/>
    <w:rsid w:val="001256F6"/>
    <w:rsid w:val="001262BA"/>
    <w:rsid w:val="00126FB2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371B"/>
    <w:rsid w:val="00237D01"/>
    <w:rsid w:val="00240F64"/>
    <w:rsid w:val="002410E3"/>
    <w:rsid w:val="00241F29"/>
    <w:rsid w:val="00243D1C"/>
    <w:rsid w:val="00245B48"/>
    <w:rsid w:val="00246425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2162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59EF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2BA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47D4"/>
    <w:rsid w:val="005F642C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0A46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4E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6F78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1595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5C81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258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4E3B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5263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6A75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2CFB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4836"/>
    <w:rsid w:val="00D66AB5"/>
    <w:rsid w:val="00D676A0"/>
    <w:rsid w:val="00D70856"/>
    <w:rsid w:val="00D73117"/>
    <w:rsid w:val="00D73D86"/>
    <w:rsid w:val="00D81AC8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4270"/>
    <w:rsid w:val="00EE5F6D"/>
    <w:rsid w:val="00EF0701"/>
    <w:rsid w:val="00EF11F2"/>
    <w:rsid w:val="00EF236F"/>
    <w:rsid w:val="00EF3067"/>
    <w:rsid w:val="00F03AFB"/>
    <w:rsid w:val="00F03CB2"/>
    <w:rsid w:val="00F07AAA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39C4"/>
    <w:rsid w:val="00F54C59"/>
    <w:rsid w:val="00F609CB"/>
    <w:rsid w:val="00F62803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4D4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3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1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1B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9F1595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 w:eastAsia="fr-CH" w:bidi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3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1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1B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9F1595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2C1A-8558-4889-92EA-5A9E90A2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Benedicte Boudol</cp:lastModifiedBy>
  <cp:revision>2</cp:revision>
  <cp:lastPrinted>2015-10-12T11:42:00Z</cp:lastPrinted>
  <dcterms:created xsi:type="dcterms:W3CDTF">2015-10-26T07:57:00Z</dcterms:created>
  <dcterms:modified xsi:type="dcterms:W3CDTF">2015-10-26T07:57:00Z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1516077F</vt:lpwstr>
  </property>
  <property fmtid="{D5CDD505-2E9C-101B-9397-08002B2CF9AE}" pid="3" name="ODSRefJobNo">
    <vt:lpwstr>1521496F</vt:lpwstr>
  </property>
  <property fmtid="{D5CDD505-2E9C-101B-9397-08002B2CF9AE}" pid="4" name="Symbol1">
    <vt:lpwstr>ECE/TRANS/WP.29/GRSP/2015/29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12 octobre 2015</vt:lpwstr>
  </property>
  <property fmtid="{D5CDD505-2E9C-101B-9397-08002B2CF9AE}" pid="12" name="Original">
    <vt:lpwstr>anglais</vt:lpwstr>
  </property>
  <property fmtid="{D5CDD505-2E9C-101B-9397-08002B2CF9AE}" pid="13" name="Release Date">
    <vt:lpwstr>121015</vt:lpwstr>
  </property>
</Properties>
</file>