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C5" w:rsidRPr="000B573A" w:rsidRDefault="00A676C5" w:rsidP="00A676C5">
      <w:pPr>
        <w:spacing w:line="240" w:lineRule="auto"/>
        <w:rPr>
          <w:sz w:val="2"/>
          <w:lang w:val="fr-FR"/>
        </w:rPr>
        <w:sectPr w:rsidR="00A676C5" w:rsidRPr="000B573A" w:rsidSect="00A676C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B573A">
        <w:rPr>
          <w:rStyle w:val="CommentReference"/>
          <w:lang w:val="fr-FR"/>
        </w:rPr>
        <w:commentReference w:id="0"/>
      </w:r>
      <w:bookmarkStart w:id="1" w:name="_GoBack"/>
      <w:bookmarkEnd w:id="1"/>
    </w:p>
    <w:p w:rsidR="00A676C5" w:rsidRPr="000B573A" w:rsidRDefault="00A676C5" w:rsidP="00C0272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B573A">
        <w:rPr>
          <w:lang w:val="fr-FR"/>
        </w:rPr>
        <w:lastRenderedPageBreak/>
        <w:t>Commission économique pour l’Europe</w:t>
      </w:r>
    </w:p>
    <w:p w:rsidR="00254CD1" w:rsidRPr="000B573A" w:rsidRDefault="00254CD1" w:rsidP="00254CD1">
      <w:pPr>
        <w:spacing w:line="120" w:lineRule="exact"/>
        <w:rPr>
          <w:sz w:val="10"/>
          <w:lang w:val="fr-FR"/>
        </w:rPr>
      </w:pPr>
    </w:p>
    <w:p w:rsidR="00A676C5" w:rsidRPr="000B573A" w:rsidRDefault="00A676C5" w:rsidP="00C02728">
      <w:pPr>
        <w:pStyle w:val="H1"/>
        <w:spacing w:line="300" w:lineRule="exact"/>
        <w:rPr>
          <w:b w:val="0"/>
          <w:sz w:val="28"/>
          <w:lang w:val="fr-FR"/>
        </w:rPr>
      </w:pPr>
      <w:r w:rsidRPr="000B573A">
        <w:rPr>
          <w:b w:val="0"/>
          <w:sz w:val="28"/>
          <w:lang w:val="fr-FR"/>
        </w:rPr>
        <w:t>Comité des transports intérieurs</w:t>
      </w: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B573A">
        <w:rPr>
          <w:lang w:val="fr-FR"/>
        </w:rPr>
        <w:t xml:space="preserve">Forum mondial de l’harmonisation </w:t>
      </w:r>
      <w:r w:rsidRPr="000B573A">
        <w:rPr>
          <w:lang w:val="fr-FR"/>
        </w:rPr>
        <w:br/>
        <w:t>des Règlements concernant les véhicules</w:t>
      </w: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B573A">
        <w:rPr>
          <w:lang w:val="fr-FR"/>
        </w:rPr>
        <w:t xml:space="preserve">Groupe de travail en matière de roulement </w:t>
      </w:r>
      <w:r w:rsidRPr="000B573A">
        <w:rPr>
          <w:lang w:val="fr-FR"/>
        </w:rPr>
        <w:br/>
        <w:t>et de freinage</w:t>
      </w: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Quatre-vingtième session</w:t>
      </w:r>
    </w:p>
    <w:p w:rsidR="00254CD1" w:rsidRPr="000B573A" w:rsidRDefault="00254CD1" w:rsidP="00254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B573A">
        <w:rPr>
          <w:lang w:val="fr-FR"/>
        </w:rPr>
        <w:t>Genève, 15-18 septembre 2015</w:t>
      </w:r>
    </w:p>
    <w:p w:rsidR="00254CD1" w:rsidRPr="000B573A" w:rsidRDefault="00254CD1" w:rsidP="00254C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B573A">
        <w:rPr>
          <w:lang w:val="fr-FR"/>
        </w:rPr>
        <w:t>Point 1 de l’ordre du jour provisoire</w:t>
      </w:r>
    </w:p>
    <w:p w:rsidR="00254CD1" w:rsidRPr="000B573A" w:rsidRDefault="00254CD1" w:rsidP="00254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Adoption de l’ordre du jour</w:t>
      </w: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SingleTxt"/>
        <w:spacing w:after="0" w:line="120" w:lineRule="exact"/>
        <w:ind w:left="0"/>
        <w:rPr>
          <w:sz w:val="10"/>
          <w:lang w:val="fr-FR"/>
        </w:rPr>
      </w:pPr>
    </w:p>
    <w:p w:rsidR="00254CD1" w:rsidRPr="000B573A" w:rsidRDefault="00254CD1" w:rsidP="0025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lang w:val="fr-FR"/>
        </w:rPr>
      </w:pPr>
      <w:bookmarkStart w:id="2" w:name="OLE_LINK2"/>
      <w:r w:rsidRPr="000B573A">
        <w:rPr>
          <w:lang w:val="fr-FR"/>
        </w:rPr>
        <w:tab/>
      </w:r>
      <w:r w:rsidRPr="000B573A">
        <w:rPr>
          <w:lang w:val="fr-FR"/>
        </w:rPr>
        <w:tab/>
        <w:t>Ordre du jour provisoire de la quatre-vingtième session</w:t>
      </w:r>
      <w:r w:rsidRPr="000B573A">
        <w:rPr>
          <w:b w:val="0"/>
          <w:bCs/>
          <w:sz w:val="20"/>
          <w:szCs w:val="20"/>
          <w:vertAlign w:val="superscript"/>
          <w:lang w:val="fr-FR"/>
        </w:rPr>
        <w:footnoteReference w:id="1"/>
      </w:r>
      <w:r w:rsidRPr="000B573A">
        <w:rPr>
          <w:sz w:val="20"/>
          <w:szCs w:val="20"/>
          <w:vertAlign w:val="superscript"/>
          <w:lang w:val="fr-FR"/>
        </w:rPr>
        <w:t>,</w:t>
      </w:r>
      <w:r w:rsidRPr="000B573A">
        <w:rPr>
          <w:bCs/>
          <w:sz w:val="20"/>
          <w:szCs w:val="20"/>
          <w:vertAlign w:val="superscript"/>
          <w:lang w:val="fr-FR"/>
        </w:rPr>
        <w:t xml:space="preserve"> </w:t>
      </w:r>
      <w:r w:rsidRPr="000B573A">
        <w:rPr>
          <w:b w:val="0"/>
          <w:bCs/>
          <w:sz w:val="20"/>
          <w:szCs w:val="20"/>
          <w:vertAlign w:val="superscript"/>
          <w:lang w:val="fr-FR"/>
        </w:rPr>
        <w:footnoteReference w:id="2"/>
      </w:r>
      <w:bookmarkEnd w:id="2"/>
    </w:p>
    <w:p w:rsidR="00254CD1" w:rsidRPr="000B573A" w:rsidRDefault="00254CD1" w:rsidP="00254CD1">
      <w:pPr>
        <w:pStyle w:val="SingleTxt"/>
        <w:spacing w:after="0" w:line="120" w:lineRule="exact"/>
        <w:rPr>
          <w:sz w:val="10"/>
          <w:lang w:val="fr-FR"/>
        </w:rPr>
      </w:pPr>
    </w:p>
    <w:p w:rsidR="00254CD1" w:rsidRPr="000B573A" w:rsidRDefault="00254CD1" w:rsidP="00254CD1">
      <w:pPr>
        <w:pStyle w:val="SingleTxt"/>
        <w:spacing w:after="0" w:line="120" w:lineRule="exact"/>
        <w:rPr>
          <w:sz w:val="10"/>
          <w:lang w:val="fr-FR"/>
        </w:rPr>
      </w:pPr>
    </w:p>
    <w:p w:rsidR="00254CD1" w:rsidRPr="000B573A" w:rsidRDefault="00631CFA" w:rsidP="00631CF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w:t>
      </w:r>
      <w:r w:rsidR="00254CD1" w:rsidRPr="000B573A">
        <w:rPr>
          <w:lang w:val="fr-FR"/>
        </w:rPr>
        <w:t>ui se tiendra au Palais des Nations, à Genève, du 15</w:t>
      </w:r>
      <w:r w:rsidR="00C325BF" w:rsidRPr="000B573A">
        <w:rPr>
          <w:lang w:val="fr-FR"/>
        </w:rPr>
        <w:t> </w:t>
      </w:r>
      <w:r w:rsidR="00254CD1" w:rsidRPr="000B573A">
        <w:rPr>
          <w:lang w:val="fr-FR"/>
        </w:rPr>
        <w:t>septembre 2015 à 14</w:t>
      </w:r>
      <w:r w:rsidR="00AC310E" w:rsidRPr="000B573A">
        <w:rPr>
          <w:lang w:val="fr-FR"/>
        </w:rPr>
        <w:t> </w:t>
      </w:r>
      <w:r w:rsidR="00254CD1" w:rsidRPr="000B573A">
        <w:rPr>
          <w:lang w:val="fr-FR"/>
        </w:rPr>
        <w:t>h</w:t>
      </w:r>
      <w:r w:rsidR="00AC310E" w:rsidRPr="000B573A">
        <w:rPr>
          <w:lang w:val="fr-FR"/>
        </w:rPr>
        <w:t> </w:t>
      </w:r>
      <w:r w:rsidR="00254CD1" w:rsidRPr="000B573A">
        <w:rPr>
          <w:lang w:val="fr-FR"/>
        </w:rPr>
        <w:t>30 au 18</w:t>
      </w:r>
      <w:r w:rsidR="00C325BF" w:rsidRPr="000B573A">
        <w:rPr>
          <w:lang w:val="fr-FR"/>
        </w:rPr>
        <w:t> </w:t>
      </w:r>
      <w:r w:rsidR="00254CD1" w:rsidRPr="000B573A">
        <w:rPr>
          <w:lang w:val="fr-FR"/>
        </w:rPr>
        <w:t>septembre 2015 à 17</w:t>
      </w:r>
      <w:r w:rsidR="00AC310E" w:rsidRPr="000B573A">
        <w:rPr>
          <w:lang w:val="fr-FR"/>
        </w:rPr>
        <w:t> </w:t>
      </w:r>
      <w:r w:rsidR="00254CD1" w:rsidRPr="000B573A">
        <w:rPr>
          <w:lang w:val="fr-FR"/>
        </w:rPr>
        <w:t>h</w:t>
      </w:r>
      <w:r w:rsidR="00AC310E" w:rsidRPr="000B573A">
        <w:rPr>
          <w:lang w:val="fr-FR"/>
        </w:rPr>
        <w:t> </w:t>
      </w:r>
      <w:r w:rsidR="00254CD1" w:rsidRPr="000B573A">
        <w:rPr>
          <w:lang w:val="fr-FR"/>
        </w:rPr>
        <w:t>30.</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25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I.</w:t>
      </w:r>
      <w:r w:rsidRPr="000B573A">
        <w:rPr>
          <w:lang w:val="fr-FR"/>
        </w:rPr>
        <w:tab/>
        <w:t>Ordre du jour provisoire</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31CFA">
      <w:pPr>
        <w:pStyle w:val="SingleTxt"/>
        <w:jc w:val="left"/>
        <w:rPr>
          <w:lang w:val="fr-FR"/>
        </w:rPr>
      </w:pPr>
      <w:r w:rsidRPr="000B573A">
        <w:rPr>
          <w:lang w:val="fr-FR"/>
        </w:rPr>
        <w:t>1.</w:t>
      </w:r>
      <w:r w:rsidRPr="000B573A">
        <w:rPr>
          <w:lang w:val="fr-FR"/>
        </w:rPr>
        <w:tab/>
        <w:t>Adoption de l’ordre du jour.</w:t>
      </w:r>
    </w:p>
    <w:p w:rsidR="00254CD1" w:rsidRPr="000B573A" w:rsidRDefault="00254CD1" w:rsidP="00631CFA">
      <w:pPr>
        <w:pStyle w:val="SingleTxt"/>
        <w:ind w:left="1742" w:hanging="475"/>
        <w:jc w:val="left"/>
        <w:rPr>
          <w:lang w:val="fr-FR"/>
        </w:rPr>
      </w:pPr>
      <w:r w:rsidRPr="000B573A">
        <w:rPr>
          <w:lang w:val="fr-FR"/>
        </w:rPr>
        <w:t>2.</w:t>
      </w:r>
      <w:r w:rsidRPr="000B573A">
        <w:rPr>
          <w:lang w:val="fr-FR"/>
        </w:rPr>
        <w:tab/>
        <w:t>Systèmes de freinage automatique d’urgence (AEBS) et systèmes d’alerte de franchissement de ligne (LDWS).</w:t>
      </w:r>
    </w:p>
    <w:p w:rsidR="00254CD1" w:rsidRPr="000B573A" w:rsidRDefault="00254CD1" w:rsidP="00631CFA">
      <w:pPr>
        <w:pStyle w:val="SingleTxt"/>
        <w:keepNext/>
        <w:jc w:val="left"/>
        <w:rPr>
          <w:lang w:val="fr-FR"/>
        </w:rPr>
      </w:pPr>
      <w:r w:rsidRPr="000B573A">
        <w:rPr>
          <w:lang w:val="fr-FR"/>
        </w:rPr>
        <w:t>3.</w:t>
      </w:r>
      <w:r w:rsidRPr="000B573A">
        <w:rPr>
          <w:lang w:val="fr-FR"/>
        </w:rPr>
        <w:tab/>
        <w:t>Règlements n</w:t>
      </w:r>
      <w:r w:rsidRPr="000B573A">
        <w:rPr>
          <w:vertAlign w:val="superscript"/>
          <w:lang w:val="fr-FR"/>
        </w:rPr>
        <w:t>os</w:t>
      </w:r>
      <w:r w:rsidR="00005645" w:rsidRPr="000B573A">
        <w:rPr>
          <w:lang w:val="fr-FR"/>
        </w:rPr>
        <w:t> </w:t>
      </w:r>
      <w:r w:rsidRPr="000B573A">
        <w:rPr>
          <w:lang w:val="fr-FR"/>
        </w:rPr>
        <w:t>13 et 13-H (Freinage)</w:t>
      </w:r>
      <w:r w:rsidR="00C325BF" w:rsidRPr="000B573A">
        <w:rPr>
          <w:lang w:val="fr-FR"/>
        </w:rPr>
        <w:t> :</w:t>
      </w:r>
    </w:p>
    <w:p w:rsidR="00254CD1" w:rsidRPr="000B573A" w:rsidRDefault="00C02728" w:rsidP="00631CFA">
      <w:pPr>
        <w:pStyle w:val="SingleTxt"/>
        <w:spacing w:after="100"/>
        <w:ind w:left="1742" w:hanging="475"/>
        <w:jc w:val="left"/>
        <w:rPr>
          <w:lang w:val="fr-FR"/>
        </w:rPr>
      </w:pPr>
      <w:r w:rsidRPr="000B573A">
        <w:rPr>
          <w:lang w:val="fr-FR"/>
        </w:rPr>
        <w:tab/>
      </w:r>
      <w:r w:rsidR="00254CD1" w:rsidRPr="000B573A">
        <w:rPr>
          <w:lang w:val="fr-FR"/>
        </w:rPr>
        <w:t>a)</w:t>
      </w:r>
      <w:r w:rsidR="00254CD1" w:rsidRPr="000B573A">
        <w:rPr>
          <w:lang w:val="fr-FR"/>
        </w:rPr>
        <w:tab/>
        <w:t>Système de contrôle de stabilité (ESC);</w:t>
      </w:r>
    </w:p>
    <w:p w:rsidR="00254CD1" w:rsidRPr="000B573A" w:rsidRDefault="00C02728" w:rsidP="00631CFA">
      <w:pPr>
        <w:pStyle w:val="SingleTxt"/>
        <w:spacing w:after="100"/>
        <w:ind w:left="1742" w:hanging="475"/>
        <w:jc w:val="left"/>
        <w:rPr>
          <w:lang w:val="fr-FR"/>
        </w:rPr>
      </w:pPr>
      <w:r w:rsidRPr="000B573A">
        <w:rPr>
          <w:lang w:val="fr-FR"/>
        </w:rPr>
        <w:lastRenderedPageBreak/>
        <w:tab/>
      </w:r>
      <w:r w:rsidR="00254CD1" w:rsidRPr="000B573A">
        <w:rPr>
          <w:lang w:val="fr-FR"/>
        </w:rPr>
        <w:t>b)</w:t>
      </w:r>
      <w:r w:rsidR="00254CD1" w:rsidRPr="000B573A">
        <w:rPr>
          <w:lang w:val="fr-FR"/>
        </w:rPr>
        <w:tab/>
        <w:t>Ensembles modulaires de véhicules (MVC);</w:t>
      </w:r>
    </w:p>
    <w:p w:rsidR="00254CD1" w:rsidRPr="000B573A" w:rsidRDefault="00C02728" w:rsidP="00631CFA">
      <w:pPr>
        <w:pStyle w:val="SingleTxt"/>
        <w:spacing w:after="100"/>
        <w:ind w:left="1742" w:hanging="475"/>
        <w:jc w:val="left"/>
        <w:rPr>
          <w:lang w:val="fr-FR"/>
        </w:rPr>
      </w:pPr>
      <w:r w:rsidRPr="000B573A">
        <w:rPr>
          <w:lang w:val="fr-FR"/>
        </w:rPr>
        <w:tab/>
      </w:r>
      <w:r w:rsidR="00254CD1" w:rsidRPr="000B573A">
        <w:rPr>
          <w:lang w:val="fr-FR"/>
        </w:rPr>
        <w:t>c)</w:t>
      </w:r>
      <w:r w:rsidR="00254CD1" w:rsidRPr="000B573A">
        <w:rPr>
          <w:lang w:val="fr-FR"/>
        </w:rPr>
        <w:tab/>
        <w:t>Précisions;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d)</w:t>
      </w:r>
      <w:r w:rsidR="00254CD1" w:rsidRPr="000B573A">
        <w:rPr>
          <w:lang w:val="fr-FR"/>
        </w:rPr>
        <w:tab/>
        <w:t xml:space="preserve">Symboles relatifs au freinage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121 (Identification des commandes manuelles, des témoins et des indicateurs);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e)</w:t>
      </w:r>
      <w:r w:rsidR="00254CD1" w:rsidRPr="000B573A">
        <w:rPr>
          <w:lang w:val="fr-FR"/>
        </w:rPr>
        <w:tab/>
        <w:t>Questions diverses.</w:t>
      </w:r>
    </w:p>
    <w:p w:rsidR="00254CD1" w:rsidRPr="000B573A" w:rsidRDefault="00254CD1" w:rsidP="00631CFA">
      <w:pPr>
        <w:pStyle w:val="SingleTxt"/>
        <w:spacing w:after="100"/>
        <w:ind w:left="1742" w:hanging="475"/>
        <w:jc w:val="left"/>
        <w:rPr>
          <w:lang w:val="fr-FR"/>
        </w:rPr>
      </w:pPr>
      <w:r w:rsidRPr="000B573A">
        <w:rPr>
          <w:lang w:val="fr-FR"/>
        </w:rPr>
        <w:t>4.</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55 (Pièces mécaniques d’attelage).</w:t>
      </w:r>
    </w:p>
    <w:p w:rsidR="00254CD1" w:rsidRPr="000B573A" w:rsidRDefault="00254CD1" w:rsidP="00631CFA">
      <w:pPr>
        <w:pStyle w:val="SingleTxt"/>
        <w:spacing w:after="100"/>
        <w:ind w:left="1742" w:hanging="475"/>
        <w:jc w:val="left"/>
        <w:rPr>
          <w:lang w:val="fr-FR"/>
        </w:rPr>
      </w:pPr>
      <w:r w:rsidRPr="000B573A">
        <w:rPr>
          <w:lang w:val="fr-FR"/>
        </w:rPr>
        <w:t>5.</w:t>
      </w:r>
      <w:r w:rsidRPr="000B573A">
        <w:rPr>
          <w:lang w:val="fr-FR"/>
        </w:rPr>
        <w:tab/>
        <w:t>Freinage des motocycles</w:t>
      </w:r>
      <w:r w:rsidR="00C325BF" w:rsidRPr="000B573A">
        <w:rPr>
          <w:lang w:val="fr-FR"/>
        </w:rPr>
        <w:t> :</w:t>
      </w:r>
    </w:p>
    <w:p w:rsidR="00254CD1" w:rsidRPr="000B573A" w:rsidRDefault="00254CD1" w:rsidP="00631CFA">
      <w:pPr>
        <w:pStyle w:val="SingleTxt"/>
        <w:spacing w:after="100"/>
        <w:ind w:left="2218" w:hanging="951"/>
        <w:jc w:val="left"/>
        <w:rPr>
          <w:lang w:val="fr-FR"/>
        </w:rPr>
      </w:pPr>
      <w:r w:rsidRPr="000B573A">
        <w:rPr>
          <w:lang w:val="fr-FR"/>
        </w:rPr>
        <w:tab/>
        <w:t>a)</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78;</w:t>
      </w:r>
    </w:p>
    <w:p w:rsidR="00254CD1" w:rsidRPr="000B573A" w:rsidRDefault="00C02728" w:rsidP="00631CFA">
      <w:pPr>
        <w:pStyle w:val="SingleTxt"/>
        <w:spacing w:after="100"/>
        <w:jc w:val="left"/>
        <w:rPr>
          <w:lang w:val="fr-FR"/>
        </w:rPr>
      </w:pPr>
      <w:r w:rsidRPr="000B573A">
        <w:rPr>
          <w:lang w:val="fr-FR"/>
        </w:rPr>
        <w:tab/>
      </w:r>
      <w:r w:rsidR="00254CD1" w:rsidRPr="000B573A">
        <w:rPr>
          <w:lang w:val="fr-FR"/>
        </w:rPr>
        <w:t>b)</w:t>
      </w:r>
      <w:r w:rsidR="00254CD1" w:rsidRPr="000B573A">
        <w:rPr>
          <w:lang w:val="fr-FR"/>
        </w:rPr>
        <w:tab/>
        <w:t xml:space="preserve">Règlement technique mondial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w:t>
      </w:r>
    </w:p>
    <w:p w:rsidR="00254CD1" w:rsidRPr="000B573A" w:rsidRDefault="00254CD1" w:rsidP="00631CFA">
      <w:pPr>
        <w:pStyle w:val="SingleTxt"/>
        <w:spacing w:after="100"/>
        <w:ind w:left="1742" w:hanging="475"/>
        <w:jc w:val="left"/>
        <w:rPr>
          <w:lang w:val="fr-FR"/>
        </w:rPr>
      </w:pPr>
      <w:r w:rsidRPr="000B573A">
        <w:rPr>
          <w:lang w:val="fr-FR"/>
        </w:rPr>
        <w:t>6.</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90 (Garnitures de frein assemblées de rechange).</w:t>
      </w:r>
    </w:p>
    <w:p w:rsidR="00254CD1" w:rsidRPr="000B573A" w:rsidRDefault="00254CD1" w:rsidP="00631CFA">
      <w:pPr>
        <w:pStyle w:val="SingleTxt"/>
        <w:spacing w:after="100"/>
        <w:ind w:left="1742" w:hanging="475"/>
        <w:jc w:val="left"/>
        <w:rPr>
          <w:lang w:val="fr-FR"/>
        </w:rPr>
      </w:pPr>
      <w:r w:rsidRPr="000B573A">
        <w:rPr>
          <w:lang w:val="fr-FR"/>
        </w:rPr>
        <w:t>7.</w:t>
      </w:r>
      <w:r w:rsidRPr="000B573A">
        <w:rPr>
          <w:lang w:val="fr-FR"/>
        </w:rPr>
        <w:tab/>
        <w:t>Pneumatiques</w:t>
      </w:r>
      <w:r w:rsidR="00C325BF" w:rsidRPr="000B573A">
        <w:rPr>
          <w:lang w:val="fr-FR"/>
        </w:rPr>
        <w:t> :</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a)</w:t>
      </w:r>
      <w:r w:rsidR="00254CD1" w:rsidRPr="000B573A">
        <w:rPr>
          <w:lang w:val="fr-FR"/>
        </w:rPr>
        <w:tab/>
        <w:t xml:space="preserve">Règlement technique mondial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16;</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b)</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30;</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c)</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54;</w:t>
      </w:r>
    </w:p>
    <w:p w:rsidR="00254CD1" w:rsidRPr="000B573A" w:rsidRDefault="00C02728" w:rsidP="00631CFA">
      <w:pPr>
        <w:pStyle w:val="SingleTxt"/>
        <w:spacing w:after="100"/>
        <w:jc w:val="left"/>
        <w:rPr>
          <w:lang w:val="fr-FR"/>
        </w:rPr>
      </w:pPr>
      <w:r w:rsidRPr="000B573A">
        <w:rPr>
          <w:lang w:val="fr-FR"/>
        </w:rPr>
        <w:tab/>
      </w:r>
      <w:r w:rsidR="00254CD1" w:rsidRPr="000B573A">
        <w:rPr>
          <w:lang w:val="fr-FR"/>
        </w:rPr>
        <w:t>d)</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75;</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e)</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106;</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f)</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109;</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g)</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117;</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h)</w:t>
      </w:r>
      <w:r w:rsidR="00254CD1" w:rsidRPr="000B573A">
        <w:rPr>
          <w:lang w:val="fr-FR"/>
        </w:rPr>
        <w:tab/>
        <w:t>Questions diverses.</w:t>
      </w:r>
    </w:p>
    <w:p w:rsidR="00254CD1" w:rsidRPr="000B573A" w:rsidRDefault="00254CD1" w:rsidP="00631CFA">
      <w:pPr>
        <w:pStyle w:val="SingleTxt"/>
        <w:spacing w:after="100"/>
        <w:ind w:left="2218" w:hanging="951"/>
        <w:jc w:val="left"/>
        <w:rPr>
          <w:lang w:val="fr-FR"/>
        </w:rPr>
      </w:pPr>
      <w:r w:rsidRPr="000B573A">
        <w:rPr>
          <w:lang w:val="fr-FR"/>
        </w:rPr>
        <w:t>8.</w:t>
      </w:r>
      <w:r w:rsidRPr="000B573A">
        <w:rPr>
          <w:lang w:val="fr-FR"/>
        </w:rPr>
        <w:tab/>
        <w:t>Systèmes de transport intelligents (STI)</w:t>
      </w:r>
      <w:r w:rsidR="00C325BF" w:rsidRPr="000B573A">
        <w:rPr>
          <w:lang w:val="fr-FR"/>
        </w:rPr>
        <w:t> :</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a)</w:t>
      </w:r>
      <w:r w:rsidR="00254CD1" w:rsidRPr="000B573A">
        <w:rPr>
          <w:lang w:val="fr-FR"/>
        </w:rPr>
        <w:tab/>
        <w:t>Systèmes automatiques pour véhicules;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b)</w:t>
      </w:r>
      <w:r w:rsidR="00254CD1" w:rsidRPr="000B573A">
        <w:rPr>
          <w:lang w:val="fr-FR"/>
        </w:rPr>
        <w:tab/>
        <w:t>Systèmes de parcage télécommandé;</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c)</w:t>
      </w:r>
      <w:r w:rsidR="00254CD1" w:rsidRPr="000B573A">
        <w:rPr>
          <w:lang w:val="fr-FR"/>
        </w:rPr>
        <w:tab/>
        <w:t>Autres questions relatives aux STI.</w:t>
      </w:r>
    </w:p>
    <w:p w:rsidR="00254CD1" w:rsidRPr="000B573A" w:rsidRDefault="00254CD1" w:rsidP="00631CFA">
      <w:pPr>
        <w:pStyle w:val="SingleTxt"/>
        <w:spacing w:after="100"/>
        <w:ind w:left="1742" w:hanging="475"/>
        <w:jc w:val="left"/>
        <w:rPr>
          <w:lang w:val="fr-FR"/>
        </w:rPr>
      </w:pPr>
      <w:r w:rsidRPr="000B573A">
        <w:rPr>
          <w:lang w:val="fr-FR"/>
        </w:rPr>
        <w:t>9.</w:t>
      </w:r>
      <w:r w:rsidRPr="000B573A">
        <w:rPr>
          <w:lang w:val="fr-FR"/>
        </w:rPr>
        <w:tab/>
        <w:t>Équipement de direction</w:t>
      </w:r>
      <w:r w:rsidR="00C325BF" w:rsidRPr="000B573A">
        <w:rPr>
          <w:lang w:val="fr-FR"/>
        </w:rPr>
        <w:t> :</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a)</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79;</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b)</w:t>
      </w:r>
      <w:r w:rsidR="00254CD1" w:rsidRPr="000B573A">
        <w:rPr>
          <w:lang w:val="fr-FR"/>
        </w:rPr>
        <w:tab/>
        <w:t>Systèmes d’aide au maintien dans la voie (LKAS) et systèmes d’aide au parcage (PAS);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c)</w:t>
      </w:r>
      <w:r w:rsidR="00254CD1" w:rsidRPr="000B573A">
        <w:rPr>
          <w:lang w:val="fr-FR"/>
        </w:rPr>
        <w:tab/>
        <w:t>Commande automatique de la direction (ACSF).</w:t>
      </w:r>
    </w:p>
    <w:p w:rsidR="00254CD1" w:rsidRPr="000B573A" w:rsidRDefault="00254CD1" w:rsidP="00631CFA">
      <w:pPr>
        <w:pStyle w:val="SingleTxt"/>
        <w:spacing w:after="100"/>
        <w:ind w:left="1742" w:hanging="475"/>
        <w:jc w:val="left"/>
        <w:rPr>
          <w:lang w:val="fr-FR"/>
        </w:rPr>
      </w:pPr>
      <w:r w:rsidRPr="000B573A">
        <w:rPr>
          <w:lang w:val="fr-FR"/>
        </w:rPr>
        <w:t>10.</w:t>
      </w:r>
      <w:r w:rsidRPr="000B573A">
        <w:rPr>
          <w:lang w:val="fr-FR"/>
        </w:rPr>
        <w:tab/>
        <w:t>Homologation de type internationale de l’ensemble du véhicule (IWVTA)</w:t>
      </w:r>
      <w:r w:rsidR="00631CFA">
        <w:rPr>
          <w:lang w:val="fr-FR"/>
        </w:rPr>
        <w:t> :</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a)</w:t>
      </w:r>
      <w:r w:rsidR="00254CD1" w:rsidRPr="000B573A">
        <w:rPr>
          <w:lang w:val="fr-FR"/>
        </w:rPr>
        <w:tab/>
        <w:t>Rapport sur les activités du groupe de travail informel et des sous-groupes IWVTA;</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b)</w:t>
      </w:r>
      <w:r w:rsidR="00254CD1" w:rsidRPr="000B573A">
        <w:rPr>
          <w:lang w:val="fr-FR"/>
        </w:rPr>
        <w:tab/>
        <w:t>Règlement sur le montage des pneumatiques;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c)</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13-H;</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d)</w:t>
      </w:r>
      <w:r w:rsidR="00254CD1"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64 et système de surveillance de la pression des pneumatiques (TPMS);</w:t>
      </w:r>
    </w:p>
    <w:p w:rsidR="00254CD1" w:rsidRPr="000B573A" w:rsidRDefault="00C02728" w:rsidP="00631CFA">
      <w:pPr>
        <w:pStyle w:val="SingleTxt"/>
        <w:spacing w:after="100"/>
        <w:ind w:left="2218" w:hanging="951"/>
        <w:jc w:val="left"/>
        <w:rPr>
          <w:lang w:val="fr-FR"/>
        </w:rPr>
      </w:pPr>
      <w:r w:rsidRPr="000B573A">
        <w:rPr>
          <w:lang w:val="fr-FR"/>
        </w:rPr>
        <w:tab/>
      </w:r>
      <w:r w:rsidR="00254CD1" w:rsidRPr="000B573A">
        <w:rPr>
          <w:lang w:val="fr-FR"/>
        </w:rPr>
        <w:t>e)</w:t>
      </w:r>
      <w:r w:rsidR="00254CD1" w:rsidRPr="000B573A">
        <w:rPr>
          <w:lang w:val="fr-FR"/>
        </w:rPr>
        <w:tab/>
        <w:t>Questions diverses.</w:t>
      </w:r>
    </w:p>
    <w:p w:rsidR="00254CD1" w:rsidRPr="000B573A" w:rsidRDefault="00254CD1" w:rsidP="00631CFA">
      <w:pPr>
        <w:pStyle w:val="SingleTxt"/>
        <w:spacing w:after="100"/>
        <w:ind w:left="1742" w:hanging="475"/>
        <w:jc w:val="left"/>
        <w:rPr>
          <w:lang w:val="fr-FR"/>
        </w:rPr>
      </w:pPr>
      <w:r w:rsidRPr="000B573A">
        <w:rPr>
          <w:lang w:val="fr-FR"/>
        </w:rPr>
        <w:t>11.</w:t>
      </w:r>
      <w:r w:rsidRPr="000B573A">
        <w:rPr>
          <w:lang w:val="fr-FR"/>
        </w:rPr>
        <w:tab/>
        <w:t>Échange de vues sur les innovations et les activités nationales pertinentes.</w:t>
      </w:r>
    </w:p>
    <w:p w:rsidR="00254CD1" w:rsidRPr="000B573A" w:rsidRDefault="00254CD1" w:rsidP="00631CFA">
      <w:pPr>
        <w:pStyle w:val="SingleTxt"/>
        <w:ind w:left="1742" w:hanging="475"/>
        <w:jc w:val="left"/>
        <w:rPr>
          <w:lang w:val="fr-FR"/>
        </w:rPr>
      </w:pPr>
      <w:r w:rsidRPr="000B573A">
        <w:rPr>
          <w:lang w:val="fr-FR"/>
        </w:rPr>
        <w:t>12.</w:t>
      </w:r>
      <w:r w:rsidRPr="000B573A">
        <w:rPr>
          <w:lang w:val="fr-FR"/>
        </w:rPr>
        <w:tab/>
        <w:t>Élection du Bureau.</w:t>
      </w:r>
    </w:p>
    <w:p w:rsidR="00254CD1" w:rsidRPr="000B573A" w:rsidRDefault="00254CD1" w:rsidP="00631CFA">
      <w:pPr>
        <w:pStyle w:val="SingleTxt"/>
        <w:keepNext/>
        <w:ind w:left="1742" w:hanging="475"/>
        <w:jc w:val="left"/>
        <w:rPr>
          <w:lang w:val="fr-FR"/>
        </w:rPr>
      </w:pPr>
      <w:r w:rsidRPr="000B573A">
        <w:rPr>
          <w:lang w:val="fr-FR"/>
        </w:rPr>
        <w:t>13.</w:t>
      </w:r>
      <w:r w:rsidRPr="000B573A">
        <w:rPr>
          <w:lang w:val="fr-FR"/>
        </w:rPr>
        <w:tab/>
        <w:t>Questions diverses</w:t>
      </w:r>
      <w:r w:rsidR="00C325BF" w:rsidRPr="000B573A">
        <w:rPr>
          <w:lang w:val="fr-FR"/>
        </w:rPr>
        <w:t> :</w:t>
      </w:r>
    </w:p>
    <w:p w:rsidR="00254CD1" w:rsidRPr="000B573A" w:rsidRDefault="00C02728" w:rsidP="00631CFA">
      <w:pPr>
        <w:pStyle w:val="SingleTxt"/>
        <w:ind w:left="2218" w:hanging="951"/>
        <w:jc w:val="left"/>
        <w:rPr>
          <w:lang w:val="fr-FR"/>
        </w:rPr>
      </w:pPr>
      <w:r w:rsidRPr="000B573A">
        <w:rPr>
          <w:lang w:val="fr-FR"/>
        </w:rPr>
        <w:tab/>
      </w:r>
      <w:r w:rsidR="00254CD1" w:rsidRPr="000B573A">
        <w:rPr>
          <w:lang w:val="fr-FR"/>
        </w:rPr>
        <w:t>a)</w:t>
      </w:r>
      <w:r w:rsidR="00254CD1" w:rsidRPr="000B573A">
        <w:rPr>
          <w:lang w:val="fr-FR"/>
        </w:rPr>
        <w:tab/>
        <w:t>Faits marquants des sessions de mars et juin 2015 du WP.29;</w:t>
      </w:r>
    </w:p>
    <w:p w:rsidR="00254CD1" w:rsidRPr="000B573A" w:rsidRDefault="00C02728" w:rsidP="00631CFA">
      <w:pPr>
        <w:pStyle w:val="SingleTxt"/>
        <w:ind w:left="2218" w:hanging="951"/>
        <w:jc w:val="left"/>
        <w:rPr>
          <w:lang w:val="fr-FR"/>
        </w:rPr>
      </w:pPr>
      <w:r w:rsidRPr="000B573A">
        <w:rPr>
          <w:lang w:val="fr-FR"/>
        </w:rPr>
        <w:lastRenderedPageBreak/>
        <w:tab/>
      </w:r>
      <w:r w:rsidR="00254CD1" w:rsidRPr="000B573A">
        <w:rPr>
          <w:lang w:val="fr-FR"/>
        </w:rPr>
        <w:t>b)</w:t>
      </w:r>
      <w:r w:rsidR="00254CD1" w:rsidRPr="000B573A">
        <w:rPr>
          <w:lang w:val="fr-FR"/>
        </w:rPr>
        <w:tab/>
        <w:t>Définitions et sigles;</w:t>
      </w:r>
    </w:p>
    <w:p w:rsidR="00254CD1" w:rsidRPr="000B573A" w:rsidRDefault="00C02728" w:rsidP="00631CFA">
      <w:pPr>
        <w:pStyle w:val="SingleTxt"/>
        <w:ind w:left="2218" w:hanging="951"/>
        <w:jc w:val="left"/>
        <w:rPr>
          <w:lang w:val="fr-FR"/>
        </w:rPr>
      </w:pPr>
      <w:r w:rsidRPr="000B573A">
        <w:rPr>
          <w:lang w:val="fr-FR"/>
        </w:rPr>
        <w:tab/>
      </w:r>
      <w:r w:rsidR="00254CD1" w:rsidRPr="000B573A">
        <w:rPr>
          <w:lang w:val="fr-FR"/>
        </w:rPr>
        <w:t>c)</w:t>
      </w:r>
      <w:r w:rsidR="00254CD1" w:rsidRPr="000B573A">
        <w:rPr>
          <w:lang w:val="fr-FR"/>
        </w:rPr>
        <w:tab/>
        <w:t>Autres questions.</w:t>
      </w:r>
    </w:p>
    <w:p w:rsidR="00613C79" w:rsidRPr="000B573A" w:rsidRDefault="00613C79" w:rsidP="00631CFA">
      <w:pPr>
        <w:pStyle w:val="SingleTxt"/>
        <w:spacing w:after="0" w:line="120" w:lineRule="exact"/>
        <w:ind w:left="2218" w:hanging="951"/>
        <w:jc w:val="left"/>
        <w:rPr>
          <w:sz w:val="10"/>
          <w:lang w:val="fr-FR"/>
        </w:rPr>
      </w:pPr>
    </w:p>
    <w:p w:rsidR="00613C79" w:rsidRPr="000B573A" w:rsidRDefault="00613C79" w:rsidP="00631CFA">
      <w:pPr>
        <w:pStyle w:val="SingleTxt"/>
        <w:spacing w:after="0" w:line="120" w:lineRule="exact"/>
        <w:ind w:left="2218" w:hanging="951"/>
        <w:jc w:val="left"/>
        <w:rPr>
          <w:sz w:val="10"/>
          <w:lang w:val="fr-FR"/>
        </w:rPr>
      </w:pPr>
    </w:p>
    <w:p w:rsidR="00254CD1" w:rsidRPr="000B573A" w:rsidRDefault="00254CD1" w:rsidP="0025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II.</w:t>
      </w:r>
      <w:r w:rsidRPr="000B573A">
        <w:rPr>
          <w:lang w:val="fr-FR"/>
        </w:rPr>
        <w:tab/>
        <w:t>Annotations</w:t>
      </w:r>
    </w:p>
    <w:p w:rsidR="00613C79" w:rsidRPr="000B573A" w:rsidRDefault="00613C79" w:rsidP="00613C79">
      <w:pPr>
        <w:pStyle w:val="SingleTxt"/>
        <w:spacing w:after="0" w:line="120" w:lineRule="exact"/>
        <w:rPr>
          <w:sz w:val="10"/>
          <w:lang w:val="fr-FR"/>
        </w:rPr>
      </w:pPr>
    </w:p>
    <w:p w:rsidR="00613C79" w:rsidRPr="000B573A" w:rsidRDefault="00613C79" w:rsidP="00613C79">
      <w:pPr>
        <w:pStyle w:val="SingleTxt"/>
        <w:spacing w:after="0" w:line="120" w:lineRule="exact"/>
        <w:rPr>
          <w:sz w:val="10"/>
          <w:lang w:val="fr-FR"/>
        </w:rPr>
      </w:pPr>
    </w:p>
    <w:p w:rsidR="00254CD1" w:rsidRPr="000B573A" w:rsidRDefault="00254CD1" w:rsidP="0025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1.</w:t>
      </w:r>
      <w:r w:rsidRPr="000B573A">
        <w:rPr>
          <w:lang w:val="fr-FR"/>
        </w:rPr>
        <w:tab/>
        <w:t>Adoption de l’ordre du jour</w:t>
      </w:r>
    </w:p>
    <w:p w:rsidR="00613C79" w:rsidRPr="000B573A" w:rsidRDefault="00613C79" w:rsidP="00613C79">
      <w:pPr>
        <w:pStyle w:val="SingleTxt"/>
        <w:spacing w:after="0" w:line="120" w:lineRule="exact"/>
        <w:rPr>
          <w:sz w:val="10"/>
          <w:lang w:val="fr-FR"/>
        </w:rPr>
      </w:pPr>
    </w:p>
    <w:p w:rsidR="00613C79" w:rsidRPr="000B573A" w:rsidRDefault="00613C79" w:rsidP="00613C79">
      <w:pPr>
        <w:pStyle w:val="SingleTxt"/>
        <w:spacing w:after="0" w:line="120" w:lineRule="exact"/>
        <w:rPr>
          <w:sz w:val="10"/>
          <w:lang w:val="fr-FR"/>
        </w:rPr>
      </w:pPr>
    </w:p>
    <w:p w:rsidR="00254CD1" w:rsidRPr="000B573A" w:rsidRDefault="00613C79" w:rsidP="00254CD1">
      <w:pPr>
        <w:pStyle w:val="SingleTxt"/>
        <w:rPr>
          <w:lang w:val="fr-FR"/>
        </w:rPr>
      </w:pPr>
      <w:r w:rsidRPr="000B573A">
        <w:rPr>
          <w:lang w:val="fr-FR"/>
        </w:rPr>
        <w:tab/>
      </w:r>
      <w:r w:rsidR="00254CD1" w:rsidRPr="000B573A">
        <w:rPr>
          <w:lang w:val="fr-FR"/>
        </w:rPr>
        <w:t>Conformément à l’article 7 du chapitre III du Règlement intérieur (TRANS/WP.29/690 et Amend.1 et 2) du Forum mondial de l’harmonisation des Règlements concernant les véhicules (WP.29), le premier point inscrit à l’ordre du jour provisoire est l’adoption de l’ordre du jour.</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lang w:val="fr-FR"/>
        </w:rPr>
        <w:tab/>
      </w:r>
      <w:r w:rsidR="00254CD1" w:rsidRPr="00154A86">
        <w:rPr>
          <w:lang w:val="fr-FR"/>
        </w:rPr>
        <w:t>ECE/TRANS/WP.29/GRRF/2015/16</w:t>
      </w:r>
      <w:r w:rsidR="00254CD1" w:rsidRPr="000B573A">
        <w:rPr>
          <w:lang w:val="fr-FR"/>
        </w:rPr>
        <w:t>.</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2.</w:t>
      </w:r>
      <w:r w:rsidRPr="000B573A">
        <w:rPr>
          <w:lang w:val="fr-FR"/>
        </w:rPr>
        <w:tab/>
        <w:t xml:space="preserve">Systèmes de freinage automatique d’urgence (AEBS) </w:t>
      </w:r>
      <w:r w:rsidR="00C325BF" w:rsidRPr="000B573A">
        <w:rPr>
          <w:lang w:val="fr-FR"/>
        </w:rPr>
        <w:br/>
      </w:r>
      <w:r w:rsidRPr="000B573A">
        <w:rPr>
          <w:lang w:val="fr-FR"/>
        </w:rPr>
        <w:t>et systèmes d’alerte de franchissement de ligne (LDWS)</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Groupe de travail en matière de roulement et de freinage (GRRF) souhaitera sans doute examiner les propositions d’amendements aux Règlements n</w:t>
      </w:r>
      <w:r w:rsidR="00254CD1" w:rsidRPr="000B573A">
        <w:rPr>
          <w:vertAlign w:val="superscript"/>
          <w:lang w:val="fr-FR"/>
        </w:rPr>
        <w:t>os</w:t>
      </w:r>
      <w:r w:rsidR="00005645" w:rsidRPr="000B573A">
        <w:rPr>
          <w:lang w:val="fr-FR"/>
        </w:rPr>
        <w:t> </w:t>
      </w:r>
      <w:r w:rsidR="00254CD1" w:rsidRPr="000B573A">
        <w:rPr>
          <w:lang w:val="fr-FR"/>
        </w:rPr>
        <w:t>130 et 131 soumises par l’expert de l’Organisation internationale des constructeurs d’automobiles (OICA), qui appellent l’attention sur des questions techniques liées à la mise en place des systèmes AEBS ou LDWS sur certains véhicules.</w:t>
      </w:r>
    </w:p>
    <w:p w:rsidR="00254CD1" w:rsidRPr="000B573A" w:rsidRDefault="00C325BF" w:rsidP="00C325BF">
      <w:pPr>
        <w:pStyle w:val="SingleTxt"/>
        <w:ind w:left="2693" w:hanging="1426"/>
        <w:rPr>
          <w:lang w:val="fr-FR"/>
        </w:rPr>
      </w:pPr>
      <w:r w:rsidRPr="000B573A">
        <w:rPr>
          <w:i/>
          <w:lang w:val="fr-FR" w:bidi="fr-CH"/>
        </w:rPr>
        <w:t>Documents</w:t>
      </w:r>
      <w:r w:rsidRPr="000B573A">
        <w:rPr>
          <w:lang w:val="fr-FR"/>
        </w:rPr>
        <w:t> :</w:t>
      </w:r>
      <w:r w:rsidR="00254CD1" w:rsidRPr="000B573A">
        <w:rPr>
          <w:b/>
          <w:lang w:val="fr-FR"/>
        </w:rPr>
        <w:tab/>
      </w:r>
      <w:hyperlink r:id="rId16" w:history="1">
        <w:r w:rsidR="00254CD1" w:rsidRPr="000B573A">
          <w:rPr>
            <w:rStyle w:val="Hyperlink"/>
            <w:lang w:val="fr-FR"/>
          </w:rPr>
          <w:t>ECE/TRANS/WP.29/GRRF/2013/17</w:t>
        </w:r>
      </w:hyperlink>
      <w:r w:rsidRPr="000B573A">
        <w:rPr>
          <w:lang w:val="fr-FR"/>
        </w:rPr>
        <w:t>,</w:t>
      </w:r>
      <w:r w:rsidR="00254CD1" w:rsidRPr="000B573A">
        <w:rPr>
          <w:lang w:val="fr-FR"/>
        </w:rPr>
        <w:t xml:space="preserve"> </w:t>
      </w:r>
      <w:hyperlink r:id="rId17" w:history="1">
        <w:r w:rsidR="00254CD1" w:rsidRPr="000B573A">
          <w:rPr>
            <w:rStyle w:val="Hyperlink"/>
            <w:lang w:val="fr-FR"/>
          </w:rPr>
          <w:t>ECE/TRANS/WP.29/GRRF/2013/18</w:t>
        </w:r>
      </w:hyperlink>
      <w:r w:rsidR="00254CD1" w:rsidRPr="000B573A">
        <w:rPr>
          <w:lang w:val="fr-FR"/>
        </w:rPr>
        <w:t>.</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3.</w:t>
      </w:r>
      <w:r w:rsidRPr="000B573A">
        <w:rPr>
          <w:lang w:val="fr-FR"/>
        </w:rPr>
        <w:tab/>
        <w:t xml:space="preserve">Règlements </w:t>
      </w:r>
      <w:r w:rsidR="00005645" w:rsidRPr="000B573A">
        <w:rPr>
          <w:lang w:val="fr-FR"/>
        </w:rPr>
        <w:t>n</w:t>
      </w:r>
      <w:r w:rsidR="00005645" w:rsidRPr="000B573A">
        <w:rPr>
          <w:vertAlign w:val="superscript"/>
          <w:lang w:val="fr-FR"/>
        </w:rPr>
        <w:t>os</w:t>
      </w:r>
      <w:r w:rsidR="00005645" w:rsidRPr="000B573A">
        <w:rPr>
          <w:lang w:val="fr-FR"/>
        </w:rPr>
        <w:t> </w:t>
      </w:r>
      <w:r w:rsidRPr="000B573A">
        <w:rPr>
          <w:lang w:val="fr-FR"/>
        </w:rPr>
        <w:t>13 et 13-H (Freinage)</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Système de contrôle de stabilité (ESC)</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peut-être examiner des propositions relatives au système de contrôle de la stabilité des véhicules, s’il y en a.</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Ensembles modulaires de véhicules (MVC)</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que le groupe de travail informel des ensembles modulaires de véhicules lui présente un rapport d’activité, s’il y en a un.</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c)</w:t>
      </w:r>
      <w:r w:rsidRPr="000B573A">
        <w:rPr>
          <w:lang w:val="fr-FR"/>
        </w:rPr>
        <w:tab/>
        <w:t>Précisions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examiner une proposition présentée par les experts de l’Allemagne et des Pays-Bas, visant à supprimer une restriction relative à la conception et à autoriser de nouvelles technologies, qui autrement demeureraient interdites.</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lang w:val="fr-FR"/>
        </w:rPr>
        <w:tab/>
      </w:r>
      <w:r w:rsidR="00254CD1" w:rsidRPr="00154A86">
        <w:rPr>
          <w:lang w:val="fr-FR"/>
        </w:rPr>
        <w:t>ECE/TRANS/WP.29/GRRF/2015/19</w:t>
      </w:r>
      <w:r w:rsidR="00254CD1" w:rsidRPr="000B573A">
        <w:rPr>
          <w:lang w:val="fr-FR"/>
        </w:rPr>
        <w:t>.</w:t>
      </w:r>
    </w:p>
    <w:p w:rsidR="00254CD1" w:rsidRPr="000B573A" w:rsidRDefault="003814AF" w:rsidP="00254CD1">
      <w:pPr>
        <w:pStyle w:val="SingleTxt"/>
        <w:rPr>
          <w:spacing w:val="2"/>
          <w:lang w:val="fr-FR"/>
        </w:rPr>
      </w:pPr>
      <w:r w:rsidRPr="000B573A">
        <w:rPr>
          <w:spacing w:val="2"/>
          <w:lang w:val="fr-FR"/>
        </w:rPr>
        <w:tab/>
      </w:r>
      <w:r w:rsidR="00254CD1" w:rsidRPr="000B573A">
        <w:rPr>
          <w:spacing w:val="2"/>
          <w:lang w:val="fr-FR"/>
        </w:rPr>
        <w:t xml:space="preserve">Le GRRF souhaitera sans doute examiner une proposition présentée par l’expert de l’Allemagne, visant à ajouter au Règlement </w:t>
      </w:r>
      <w:r w:rsidR="00005645" w:rsidRPr="000B573A">
        <w:rPr>
          <w:spacing w:val="2"/>
          <w:lang w:val="fr-FR"/>
        </w:rPr>
        <w:t>n</w:t>
      </w:r>
      <w:r w:rsidR="00005645" w:rsidRPr="000B573A">
        <w:rPr>
          <w:spacing w:val="2"/>
          <w:vertAlign w:val="superscript"/>
          <w:lang w:val="fr-FR"/>
        </w:rPr>
        <w:t>o</w:t>
      </w:r>
      <w:r w:rsidR="00005645" w:rsidRPr="000B573A">
        <w:rPr>
          <w:spacing w:val="2"/>
          <w:lang w:val="fr-FR"/>
        </w:rPr>
        <w:t> </w:t>
      </w:r>
      <w:r w:rsidR="00254CD1" w:rsidRPr="000B573A">
        <w:rPr>
          <w:spacing w:val="2"/>
          <w:lang w:val="fr-FR"/>
        </w:rPr>
        <w:t>13 une nouvelle annexe 23 contenant des dispositions relatives aux remorques de la catégorie O</w:t>
      </w:r>
      <w:r w:rsidR="00254CD1" w:rsidRPr="000B573A">
        <w:rPr>
          <w:spacing w:val="2"/>
          <w:vertAlign w:val="subscript"/>
          <w:lang w:val="fr-FR"/>
        </w:rPr>
        <w:t>2</w:t>
      </w:r>
      <w:r w:rsidR="00254CD1" w:rsidRPr="000B573A">
        <w:rPr>
          <w:spacing w:val="2"/>
          <w:lang w:val="fr-FR"/>
        </w:rPr>
        <w:t xml:space="preserve"> dépourvues de liaisons pneumatiques et équipées d’un système de freinage de service à récupération d’énergie.</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b/>
          <w:lang w:val="fr-FR"/>
        </w:rPr>
        <w:tab/>
      </w:r>
      <w:r w:rsidR="00254CD1" w:rsidRPr="00154A86">
        <w:rPr>
          <w:lang w:val="fr-FR"/>
        </w:rPr>
        <w:t>ECE/TRANS/WP.29/GRRF/2015/20</w:t>
      </w:r>
      <w:r w:rsidR="00254CD1" w:rsidRPr="000B573A">
        <w:rPr>
          <w:lang w:val="fr-FR"/>
        </w:rPr>
        <w:t>.</w:t>
      </w:r>
    </w:p>
    <w:p w:rsidR="00254CD1" w:rsidRPr="000B573A" w:rsidRDefault="003814AF" w:rsidP="00254CD1">
      <w:pPr>
        <w:pStyle w:val="SingleTxt"/>
        <w:rPr>
          <w:lang w:val="fr-FR"/>
        </w:rPr>
      </w:pPr>
      <w:r w:rsidRPr="000B573A">
        <w:rPr>
          <w:lang w:val="fr-FR"/>
        </w:rPr>
        <w:lastRenderedPageBreak/>
        <w:tab/>
      </w:r>
      <w:r w:rsidR="00254CD1" w:rsidRPr="000B573A">
        <w:rPr>
          <w:lang w:val="fr-FR"/>
        </w:rPr>
        <w:t xml:space="preserve">Le GRRF a décidé de maintenir le document </w:t>
      </w:r>
      <w:r w:rsidR="00254CD1" w:rsidRPr="00154A86">
        <w:rPr>
          <w:lang w:val="fr-FR"/>
        </w:rPr>
        <w:t>ECE/TRANS/WP.29/GRRF/2013/13</w:t>
      </w:r>
      <w:r w:rsidR="00254CD1" w:rsidRPr="000B573A">
        <w:rPr>
          <w:lang w:val="fr-FR"/>
        </w:rPr>
        <w:t xml:space="preserve"> à son ordre du jour en attendant que le texte adopté soit soumis au WP.29.</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b/>
          <w:lang w:val="fr-FR"/>
        </w:rPr>
        <w:tab/>
      </w:r>
      <w:r w:rsidR="00254CD1" w:rsidRPr="000B573A">
        <w:rPr>
          <w:b/>
          <w:lang w:val="fr-FR"/>
        </w:rPr>
        <w:t>(</w:t>
      </w:r>
      <w:r w:rsidR="00254CD1" w:rsidRPr="00154A86">
        <w:rPr>
          <w:lang w:val="fr-FR"/>
        </w:rPr>
        <w:t>ECE/TRANS/WP.29/GRRF/2013/13</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d)</w:t>
      </w:r>
      <w:r w:rsidRPr="000B573A">
        <w:rPr>
          <w:lang w:val="fr-FR"/>
        </w:rPr>
        <w:tab/>
        <w:t xml:space="preserve">Symboles relatifs au freinage dans le 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 xml:space="preserve">121 (Identification </w:t>
      </w:r>
      <w:r w:rsidR="00005645" w:rsidRPr="000B573A">
        <w:rPr>
          <w:lang w:val="fr-FR"/>
        </w:rPr>
        <w:br/>
      </w:r>
      <w:r w:rsidRPr="000B573A">
        <w:rPr>
          <w:lang w:val="fr-FR"/>
        </w:rPr>
        <w:t>des commandes manuelles, des témoins et des indicateurs)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être informé des activités du Groupe de travail des dispositions générales de sécurité (GRSG) portant sur les symboles relatifs au freinage et les nouveaux concepts d’affichage des témoins, éventuellement.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e)</w:t>
      </w:r>
      <w:r w:rsidRPr="000B573A">
        <w:rPr>
          <w:lang w:val="fr-FR"/>
        </w:rPr>
        <w:tab/>
        <w:t>Questions diverses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peut-être aussi examiner d’autres propositions d’amendements aux Règlements n</w:t>
      </w:r>
      <w:r w:rsidR="00254CD1" w:rsidRPr="000B573A">
        <w:rPr>
          <w:vertAlign w:val="superscript"/>
          <w:lang w:val="fr-FR"/>
        </w:rPr>
        <w:t>os</w:t>
      </w:r>
      <w:r w:rsidR="00005645" w:rsidRPr="000B573A">
        <w:rPr>
          <w:lang w:val="fr-FR"/>
        </w:rPr>
        <w:t> </w:t>
      </w:r>
      <w:r w:rsidR="00254CD1" w:rsidRPr="000B573A">
        <w:rPr>
          <w:lang w:val="fr-FR"/>
        </w:rPr>
        <w:t>13 et 13-H, éventuellement.</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4.</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55 (Pièces mécaniques d’attelage)</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d’examiner une proposition actualisée présentée par le groupe de travail informel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55.</w:t>
      </w:r>
    </w:p>
    <w:p w:rsidR="00254CD1" w:rsidRPr="000B573A" w:rsidRDefault="00C325BF" w:rsidP="00C325BF">
      <w:pPr>
        <w:pStyle w:val="SingleTxt"/>
        <w:ind w:left="2693" w:hanging="1426"/>
        <w:rPr>
          <w:lang w:val="fr-FR"/>
        </w:rPr>
      </w:pPr>
      <w:r w:rsidRPr="000B573A">
        <w:rPr>
          <w:i/>
          <w:lang w:val="fr-FR"/>
        </w:rPr>
        <w:t>Documents</w:t>
      </w:r>
      <w:r w:rsidRPr="000B573A">
        <w:rPr>
          <w:lang w:val="fr-FR"/>
        </w:rPr>
        <w:t> :</w:t>
      </w:r>
      <w:r w:rsidR="00254CD1" w:rsidRPr="000B573A">
        <w:rPr>
          <w:b/>
          <w:lang w:val="fr-FR"/>
        </w:rPr>
        <w:tab/>
      </w:r>
      <w:r w:rsidR="00254CD1" w:rsidRPr="00154A86">
        <w:rPr>
          <w:lang w:val="fr-FR"/>
        </w:rPr>
        <w:t>ECE/TRANS/WP.29/GRRF/2015/34</w:t>
      </w:r>
      <w:r w:rsidRPr="000B573A">
        <w:rPr>
          <w:lang w:val="fr-FR"/>
        </w:rPr>
        <w:t>,</w:t>
      </w:r>
      <w:r w:rsidR="00254CD1" w:rsidRPr="000B573A">
        <w:rPr>
          <w:lang w:val="fr-FR"/>
        </w:rPr>
        <w:t xml:space="preserve"> </w:t>
      </w:r>
      <w:r w:rsidR="00254CD1" w:rsidRPr="00154A86">
        <w:rPr>
          <w:lang w:val="fr-FR"/>
        </w:rPr>
        <w:t>ECE/TRANS/WP.29/GRRF/2015/35</w:t>
      </w:r>
      <w:r w:rsidRPr="000B573A">
        <w:rPr>
          <w:lang w:val="fr-FR"/>
        </w:rPr>
        <w:t>,</w:t>
      </w:r>
      <w:r w:rsidR="00254CD1" w:rsidRPr="000B573A">
        <w:rPr>
          <w:lang w:val="fr-FR"/>
        </w:rPr>
        <w:t xml:space="preserve"> </w:t>
      </w:r>
      <w:r w:rsidR="00254CD1" w:rsidRPr="00154A86">
        <w:rPr>
          <w:lang w:val="fr-FR"/>
        </w:rPr>
        <w:t>ECE/TRANS/WP.29/GRRF/2015/36</w:t>
      </w:r>
      <w:r w:rsidR="00254CD1" w:rsidRPr="000B573A">
        <w:rPr>
          <w:lang w:val="fr-FR"/>
        </w:rPr>
        <w:t>.</w:t>
      </w:r>
    </w:p>
    <w:p w:rsidR="00C325BF" w:rsidRPr="000B573A" w:rsidRDefault="00C325BF" w:rsidP="00C325BF">
      <w:pPr>
        <w:pStyle w:val="SingleTxt"/>
        <w:spacing w:after="0" w:line="120" w:lineRule="exact"/>
        <w:ind w:left="2693" w:hanging="1426"/>
        <w:rPr>
          <w:sz w:val="10"/>
          <w:lang w:val="fr-FR"/>
        </w:rPr>
      </w:pPr>
    </w:p>
    <w:p w:rsidR="00C325BF" w:rsidRPr="000B573A" w:rsidRDefault="00C325BF" w:rsidP="00C325BF">
      <w:pPr>
        <w:pStyle w:val="SingleTxt"/>
        <w:spacing w:after="0" w:line="120" w:lineRule="exact"/>
        <w:ind w:left="2693" w:hanging="1426"/>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5.</w:t>
      </w:r>
      <w:r w:rsidRPr="000B573A">
        <w:rPr>
          <w:lang w:val="fr-FR"/>
        </w:rPr>
        <w:tab/>
        <w:t>Freinage des motocycles</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78</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d’examiner une proposition présentée par l’expert de l’Association internationale des constructeurs de motocycles (IMMA), visant à introduire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 xml:space="preserve">78 des prescriptions concernant la compatibilité électromagnétique, fondées sur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10.</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lang w:val="fr-FR"/>
        </w:rPr>
        <w:tab/>
      </w:r>
      <w:r w:rsidR="00254CD1" w:rsidRPr="00154A86">
        <w:rPr>
          <w:lang w:val="fr-FR"/>
        </w:rPr>
        <w:t>ECE/TRANS/WP.29/GRRF/2015/21</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Le GRRF a décidé d’examiner une proposition présentée par l’expert de la Commission européenne, qui vise à préciser, pour les véhicules à moteur équipés d’un système ABS, les prescriptions relatives à la désactivation ou à la configuration du système, notamment des exemptions pour certains véhicules tout-terrain.</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lang w:val="fr-FR"/>
        </w:rPr>
        <w:tab/>
      </w:r>
      <w:r w:rsidR="00254CD1" w:rsidRPr="00154A86">
        <w:rPr>
          <w:lang w:val="fr-FR"/>
        </w:rPr>
        <w:t>ECE/TRANS/WP.29/GRRF/2015/41</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Le GRRF a décidé d’examiner une proposition présentée par l’expert de la Commission européenne, visant à aligner le niveau de sécurité sur celui qui est actuellement en vigueur dans l’Union européenne en ce qui concerne les systèmes ABS des véhicules de la catégorie L autres que les véhicules à deux roues.</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lang w:val="fr-FR"/>
        </w:rPr>
        <w:tab/>
      </w:r>
      <w:r w:rsidR="00254CD1" w:rsidRPr="00154A86">
        <w:rPr>
          <w:lang w:val="fr-FR"/>
        </w:rPr>
        <w:t>ECE/TRANS/WP.29/GRRF/2015/42</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aussi examiner toute autre proposition d’amendements au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78.</w:t>
      </w:r>
    </w:p>
    <w:p w:rsidR="003814AF" w:rsidRPr="000B573A" w:rsidRDefault="003814AF" w:rsidP="003814AF">
      <w:pPr>
        <w:pStyle w:val="SingleTxt"/>
        <w:spacing w:after="0" w:line="120" w:lineRule="exact"/>
        <w:rPr>
          <w:sz w:val="10"/>
          <w:lang w:val="fr-FR"/>
        </w:rPr>
      </w:pPr>
    </w:p>
    <w:p w:rsidR="00254CD1" w:rsidRPr="000B573A" w:rsidRDefault="003814AF"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r>
      <w:r w:rsidR="00254CD1" w:rsidRPr="000B573A">
        <w:rPr>
          <w:lang w:val="fr-FR"/>
        </w:rPr>
        <w:t>b)</w:t>
      </w:r>
      <w:r w:rsidR="00254CD1" w:rsidRPr="000B573A">
        <w:rPr>
          <w:lang w:val="fr-FR"/>
        </w:rPr>
        <w:tab/>
        <w:t xml:space="preserve">Règlement technique mondial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d’examiner une proposition de la Commission européenne visant à préciser, pour les véhicules à moteur équipés d’un système ABS, les </w:t>
      </w:r>
      <w:r w:rsidR="00254CD1" w:rsidRPr="000B573A">
        <w:rPr>
          <w:lang w:val="fr-FR"/>
        </w:rPr>
        <w:lastRenderedPageBreak/>
        <w:t>prescriptions relatives à la désactivation ou à la configuration du système, notamment des exemptions pour certains véhicules tout-terrain.</w:t>
      </w:r>
    </w:p>
    <w:p w:rsidR="00254CD1" w:rsidRPr="000B573A" w:rsidRDefault="00C325BF" w:rsidP="00631CFA">
      <w:pPr>
        <w:pStyle w:val="SingleTxt"/>
        <w:ind w:left="2693" w:hanging="1426"/>
        <w:rPr>
          <w:lang w:val="fr-FR"/>
        </w:rPr>
      </w:pPr>
      <w:r w:rsidRPr="000B573A">
        <w:rPr>
          <w:i/>
          <w:lang w:val="fr-FR"/>
        </w:rPr>
        <w:t>Document</w:t>
      </w:r>
      <w:r w:rsidRPr="000B573A">
        <w:rPr>
          <w:lang w:val="fr-FR"/>
        </w:rPr>
        <w:t> :</w:t>
      </w:r>
      <w:r w:rsidRPr="000B573A">
        <w:rPr>
          <w:b/>
          <w:lang w:val="fr-FR"/>
        </w:rPr>
        <w:tab/>
      </w:r>
      <w:r w:rsidR="00254CD1" w:rsidRPr="00154A86">
        <w:rPr>
          <w:lang w:val="fr-FR"/>
        </w:rPr>
        <w:t>ECE/TRANS/WP.29/GRRF/2015/40</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des propositions d’amendements au Règlement technique mondial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 s’il y en a.</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6.</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90 (Garnitures de frein assemblées de rechange)</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 reprendre l’examen d’une proposition présentée par l’expert de l’Italie, concernant des prescriptions pour l’homologation des disques de frein de rechange pour les véhicules de la catégorie L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90.</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b/>
          <w:lang w:val="fr-FR"/>
        </w:rPr>
        <w:tab/>
      </w:r>
      <w:r w:rsidR="00254CD1" w:rsidRPr="00154A86">
        <w:rPr>
          <w:lang w:val="fr-FR"/>
        </w:rPr>
        <w:t>ECE/TRANS/WP.29/GRRF/2014/23/Rev.2</w:t>
      </w:r>
      <w:r w:rsidR="00254CD1" w:rsidRPr="000B573A">
        <w:rPr>
          <w:lang w:val="fr-FR"/>
        </w:rPr>
        <w:t>.</w:t>
      </w:r>
    </w:p>
    <w:p w:rsidR="00254CD1" w:rsidRPr="000B573A" w:rsidRDefault="003814AF" w:rsidP="00254CD1">
      <w:pPr>
        <w:pStyle w:val="SingleTxt"/>
        <w:rPr>
          <w:spacing w:val="2"/>
          <w:lang w:val="fr-FR"/>
        </w:rPr>
      </w:pPr>
      <w:r w:rsidRPr="000B573A">
        <w:rPr>
          <w:spacing w:val="2"/>
          <w:lang w:val="fr-FR"/>
        </w:rPr>
        <w:tab/>
      </w:r>
      <w:r w:rsidR="00254CD1" w:rsidRPr="000B573A">
        <w:rPr>
          <w:spacing w:val="2"/>
          <w:lang w:val="fr-FR"/>
        </w:rPr>
        <w:t xml:space="preserve">Le GRRF a décidé d’examiner une proposition présentée par l’expert de la CLEPA, visant à introduire des simplifications administratives dans le Règlement </w:t>
      </w:r>
      <w:r w:rsidR="00005645" w:rsidRPr="000B573A">
        <w:rPr>
          <w:spacing w:val="2"/>
          <w:lang w:val="fr-FR"/>
        </w:rPr>
        <w:t>n</w:t>
      </w:r>
      <w:r w:rsidR="00005645" w:rsidRPr="000B573A">
        <w:rPr>
          <w:spacing w:val="2"/>
          <w:vertAlign w:val="superscript"/>
          <w:lang w:val="fr-FR"/>
        </w:rPr>
        <w:t>o</w:t>
      </w:r>
      <w:r w:rsidR="00005645" w:rsidRPr="000B573A">
        <w:rPr>
          <w:spacing w:val="2"/>
          <w:lang w:val="fr-FR"/>
        </w:rPr>
        <w:t> </w:t>
      </w:r>
      <w:r w:rsidR="00254CD1" w:rsidRPr="000B573A">
        <w:rPr>
          <w:spacing w:val="2"/>
          <w:lang w:val="fr-FR"/>
        </w:rPr>
        <w:t>90.</w:t>
      </w:r>
    </w:p>
    <w:p w:rsidR="00254CD1" w:rsidRPr="000B573A" w:rsidRDefault="00C325BF" w:rsidP="00254CD1">
      <w:pPr>
        <w:pStyle w:val="SingleTxt"/>
        <w:rPr>
          <w:lang w:val="fr-FR"/>
        </w:rPr>
      </w:pPr>
      <w:r w:rsidRPr="000B573A">
        <w:rPr>
          <w:i/>
          <w:lang w:val="fr-FR"/>
        </w:rPr>
        <w:t>Document</w:t>
      </w:r>
      <w:r w:rsidRPr="000B573A">
        <w:rPr>
          <w:lang w:val="fr-FR"/>
        </w:rPr>
        <w:t> :</w:t>
      </w:r>
      <w:r w:rsidRPr="000B573A">
        <w:rPr>
          <w:b/>
          <w:lang w:val="fr-FR"/>
        </w:rPr>
        <w:tab/>
      </w:r>
      <w:r w:rsidR="00254CD1" w:rsidRPr="00154A86">
        <w:rPr>
          <w:lang w:val="fr-FR"/>
        </w:rPr>
        <w:t>ECE/TRANS/WP.29/GRRF/2015/22</w:t>
      </w:r>
      <w:r w:rsidR="00254CD1" w:rsidRPr="000B573A">
        <w:rPr>
          <w:lang w:val="fr-FR"/>
        </w:rPr>
        <w:t>.</w:t>
      </w:r>
    </w:p>
    <w:p w:rsidR="00005645" w:rsidRPr="000B573A" w:rsidRDefault="00005645" w:rsidP="00005645">
      <w:pPr>
        <w:pStyle w:val="SingleTxt"/>
        <w:spacing w:after="0" w:line="120" w:lineRule="exact"/>
        <w:rPr>
          <w:sz w:val="10"/>
          <w:lang w:val="fr-FR"/>
        </w:rPr>
      </w:pPr>
    </w:p>
    <w:p w:rsidR="00005645" w:rsidRPr="000B573A" w:rsidRDefault="00005645" w:rsidP="00005645">
      <w:pPr>
        <w:pStyle w:val="SingleTxt"/>
        <w:spacing w:after="0" w:line="120" w:lineRule="exact"/>
        <w:rPr>
          <w:b/>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7.</w:t>
      </w:r>
      <w:r w:rsidRPr="000B573A">
        <w:rPr>
          <w:lang w:val="fr-FR"/>
        </w:rPr>
        <w:tab/>
        <w:t>Pneumatiques</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 xml:space="preserve">Règlement technique mondial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16</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peut-être examiner des propositions d’amendements au RTM sur les pneumatiques, s’il y en a.</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0B573A">
        <w:rPr>
          <w:lang w:val="fr-FR"/>
        </w:rPr>
        <w:t xml:space="preserve">(document informel </w:t>
      </w:r>
      <w:r w:rsidR="00254CD1" w:rsidRPr="00154A86">
        <w:rPr>
          <w:lang w:val="fr-FR"/>
        </w:rPr>
        <w:t>GRRF-79-36</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30</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présentée par l’expert de l’Organisation technique européenne du pneumatique et de la jante (ETRTO), visant à modifier les prescriptions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30 relatives aux dimensions des pneumatiques.</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ECE/TRANS/WP.29/GRRF/2015/23</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l’expert de l’ETRTO, visant à modifier l’essai d’endurance à grande vitesse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30.</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ECE/TRANS/WP.29/GRRF/2015/24</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la France, visant à améliorer le texte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30.</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ECE/TRANS/WP.29/GRRF/2015/25</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c)</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54</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l’expert de l’ETRTO, visant à modifier les prescriptions relatives au marquage des pneumatiques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54.</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ECE/TRANS/WP.29/GRRF/2015/26</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sans doute examiner une proposition soumise par l’expert de l’ETRTO, visant à modifier les prescriptions relatives au marquage des </w:t>
      </w:r>
      <w:r w:rsidR="00254CD1" w:rsidRPr="000B573A">
        <w:rPr>
          <w:lang w:val="fr-FR"/>
        </w:rPr>
        <w:lastRenderedPageBreak/>
        <w:t xml:space="preserve">pneumatiques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 xml:space="preserve">54 et à apporter les modifications correspondantes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117 pour des raisons de cohérence.</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r w:rsidR="00254CD1" w:rsidRPr="00154A86">
        <w:rPr>
          <w:lang w:val="fr-FR"/>
        </w:rPr>
        <w:t>ECE/TRANS/WP.29/GRRF/2015/27</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sans doute examiner une proposition soumise par l’expert de l’ETRTO, visant à modifier les prescriptions relatives aux dimensions des pneumatiques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54.</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hyperlink r:id="rId18" w:history="1">
        <w:r w:rsidR="00254CD1" w:rsidRPr="00B930D3">
          <w:rPr>
            <w:rStyle w:val="Hyperlink"/>
            <w:lang w:val="fr-FR"/>
          </w:rPr>
          <w:t>ECE/TRANS/WP.29/GRRF/2015/2</w:t>
        </w:r>
      </w:hyperlink>
      <w:r w:rsidR="00254CD1" w:rsidRPr="000B573A">
        <w:rPr>
          <w:lang w:val="fr-FR"/>
        </w:rPr>
        <w:t>8.</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la France, visant à améliorer le texte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54.</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ECE/TRANS/WP.29/GRRF/2015/29</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Le GRRF souhaitera sans doute examiner une proposition soumise par l’expert de la République slovaque, visant à modifier le tableau actuel pour le programme d’essai d’endurance dans le Règlement.</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r w:rsidR="00254CD1" w:rsidRPr="00154A86">
        <w:rPr>
          <w:lang w:val="fr-FR"/>
        </w:rPr>
        <w:t>ECE/TRANS/WP.29/GRRF/2015/38</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d)</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75</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sans doute examiner une proposition présentée par l’expert de l’ETRTO, visant à modifier les prescriptions relatives aux dimensions des pneumatiques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75.</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ECE/TRANS/WP.29/GRRF/2015/30</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e)</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106</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l’expert de l’ETRTO, visant à modifier les annexes 5 et 7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 xml:space="preserve">106. Le GRRF souhaitera sans doute noter qu’une proposition d’amendement au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106 a été adoptée par le Groupe à sa session précédente et sera examinée à la session de novembre 2015 du WP.29.</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ECE/TRANS/WP.29/GRRF/2015/31</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f)</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109</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examiner une proposition soumise par l’expert de la République slovaque, visant à modifier le tableau actuel pour le programme d’essai d’endurance dans le Règlement.</w:t>
      </w:r>
    </w:p>
    <w:p w:rsidR="00254CD1" w:rsidRPr="000B573A" w:rsidRDefault="00254CD1" w:rsidP="00254CD1">
      <w:pPr>
        <w:pStyle w:val="SingleTxt"/>
        <w:rPr>
          <w:lang w:val="fr-FR"/>
        </w:rPr>
      </w:pPr>
      <w:r w:rsidRPr="00631CFA">
        <w:rPr>
          <w:i/>
          <w:lang w:val="fr-FR"/>
        </w:rPr>
        <w:t>Document</w:t>
      </w:r>
      <w:r w:rsidR="00C325BF" w:rsidRPr="000B573A">
        <w:rPr>
          <w:lang w:val="fr-FR"/>
        </w:rPr>
        <w:t> :</w:t>
      </w:r>
      <w:r w:rsidR="00005645" w:rsidRPr="000B573A">
        <w:rPr>
          <w:lang w:val="fr-FR"/>
        </w:rPr>
        <w:tab/>
      </w:r>
      <w:r w:rsidRPr="00154A86">
        <w:rPr>
          <w:lang w:val="fr-FR"/>
        </w:rPr>
        <w:t>ECE/TRANS/WP.29/GRRF/2015/39</w:t>
      </w:r>
      <w:r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g)</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117</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peut-être examiner une proposition soumise par l’expert de la France, visant à améliorer le texte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117.</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r w:rsidR="00254CD1" w:rsidRPr="00154A86">
        <w:rPr>
          <w:lang w:val="fr-FR"/>
        </w:rPr>
        <w:t>ECE/TRANS/WP.29/GRRF/2015/32</w:t>
      </w:r>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h)</w:t>
      </w:r>
      <w:r w:rsidRPr="000B573A">
        <w:rPr>
          <w:lang w:val="fr-FR"/>
        </w:rPr>
        <w:tab/>
        <w:t>Questions diverses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peut-être examiner d’autres propositions d’amendements aux Règlements sur les pneumatiques, s’il y en a.</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CA68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0B573A">
        <w:rPr>
          <w:lang w:val="fr-FR"/>
        </w:rPr>
        <w:lastRenderedPageBreak/>
        <w:tab/>
        <w:t>8.</w:t>
      </w:r>
      <w:r w:rsidRPr="000B573A">
        <w:rPr>
          <w:lang w:val="fr-FR"/>
        </w:rPr>
        <w:tab/>
        <w:t>Systèmes de transport intelligents (STI)</w:t>
      </w:r>
    </w:p>
    <w:p w:rsidR="003814AF" w:rsidRPr="000B573A" w:rsidRDefault="003814AF" w:rsidP="00CA68A3">
      <w:pPr>
        <w:pStyle w:val="SingleTxt"/>
        <w:keepNext/>
        <w:spacing w:after="0" w:line="120" w:lineRule="exact"/>
        <w:rPr>
          <w:sz w:val="10"/>
          <w:lang w:val="fr-FR"/>
        </w:rPr>
      </w:pPr>
    </w:p>
    <w:p w:rsidR="003814AF" w:rsidRPr="000B573A" w:rsidRDefault="003814AF" w:rsidP="00CA68A3">
      <w:pPr>
        <w:pStyle w:val="SingleTxt"/>
        <w:keepNext/>
        <w:spacing w:after="0" w:line="120" w:lineRule="exact"/>
        <w:rPr>
          <w:sz w:val="10"/>
          <w:lang w:val="fr-FR"/>
        </w:rPr>
      </w:pPr>
    </w:p>
    <w:p w:rsidR="00254CD1" w:rsidRPr="000B573A" w:rsidRDefault="00254CD1" w:rsidP="00CA68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Systèmes automatiques pour véhicules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être informé des activités relatives aux systèmes automatiques pour véhicules, s’il y en a.</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Systèmes de parcage télécommandé</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À sa soixante-dix-neuvième session, le GRRF a examiné une proposition présentée par les experts de l’Allemagne et du Japon, visant à introduire des modifications relatives aux systèmes de parcage télécommandé dans la Résolution d’ensemble sur la construction des véhicules (R.E.3). Il a conseillé aux auteurs de la proposition d’envisager d’élaborer un nouveau règlement sur ces systèmes, plutôt que de modifier la R.E.3, et a décidé de reprendre l’examen de la question à sa session de septembre 2015.</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c)</w:t>
      </w:r>
      <w:r w:rsidRPr="000B573A">
        <w:rPr>
          <w:lang w:val="fr-FR"/>
        </w:rPr>
        <w:tab/>
        <w:t>Autres questions relatives aux STI</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souhaitera sans doute être informé de la prochaine table ronde sur les systèmes de transport intelligents, organisée conjointement par la France et la CEE, qui doit se tenir à Bordeaux (France) le 7</w:t>
      </w:r>
      <w:r w:rsidR="00AC310E" w:rsidRPr="000B573A">
        <w:rPr>
          <w:lang w:val="fr-FR"/>
        </w:rPr>
        <w:t> </w:t>
      </w:r>
      <w:r w:rsidR="00254CD1" w:rsidRPr="000B573A">
        <w:rPr>
          <w:lang w:val="fr-FR"/>
        </w:rPr>
        <w:t>octobre 2015.</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9.</w:t>
      </w:r>
      <w:r w:rsidRPr="000B573A">
        <w:rPr>
          <w:lang w:val="fr-FR"/>
        </w:rPr>
        <w:tab/>
        <w:t>Équipement de direction</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79</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d’examiner une proposition actualisée de la CLEPA et de l’OICA visant à modifier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79 en ce qui concerne les prescriptions auxquelles il doit être satisfait lorsque les systèmes de freinage et de direction ont la même source d’énergie.</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b/>
          <w:lang w:val="fr-FR"/>
        </w:rPr>
        <w:tab/>
      </w:r>
      <w:r w:rsidR="00254CD1" w:rsidRPr="00154A86">
        <w:rPr>
          <w:lang w:val="fr-FR"/>
        </w:rPr>
        <w:t>ECE/TRANS/WP.29/GRRF/2015/37</w:t>
      </w:r>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a décidé d’examiner une proposition présentée par l’expert de la CLEPA, visant à supprimer une restriction relative à la conception dans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79. Le Groupe a prié le secrétariat de consulter le Groupe de travail de l’éclairage et de la signalisation lumineuse (GRE) sur la question des feux de détresse montés sur les remorques.</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hyperlink r:id="rId19" w:history="1">
        <w:r w:rsidR="00254CD1" w:rsidRPr="00B930D3">
          <w:rPr>
            <w:rStyle w:val="Hyperlink"/>
            <w:lang w:val="fr-FR"/>
          </w:rPr>
          <w:t>ECE/TRANS/WP.29/GRRF/2015/8</w:t>
        </w:r>
      </w:hyperlink>
      <w:r w:rsidR="00254CD1" w:rsidRPr="000B573A">
        <w:rPr>
          <w:lang w:val="fr-FR"/>
        </w:rPr>
        <w:t>.</w:t>
      </w:r>
    </w:p>
    <w:p w:rsidR="00254CD1" w:rsidRPr="000B573A" w:rsidRDefault="003814AF" w:rsidP="00254CD1">
      <w:pPr>
        <w:pStyle w:val="SingleTxt"/>
        <w:rPr>
          <w:lang w:val="fr-FR"/>
        </w:rPr>
      </w:pPr>
      <w:r w:rsidRPr="000B573A">
        <w:rPr>
          <w:lang w:val="fr-FR"/>
        </w:rPr>
        <w:tab/>
      </w:r>
      <w:r w:rsidR="00254CD1" w:rsidRPr="000B573A">
        <w:rPr>
          <w:lang w:val="fr-FR"/>
        </w:rPr>
        <w:t xml:space="preserve">Le GRRF souhaitera sans doute examiner une proposition approuvée par le Groupe de travail des dispositions générales de sécurité (GRSG), visant à aligner le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 xml:space="preserve">79 sur les nouvelles dispositions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46 concernant les systèmes de vision indirecte, qui viennent d’être adoptées.</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hyperlink r:id="rId20" w:history="1">
        <w:r w:rsidR="00254CD1" w:rsidRPr="00B930D3">
          <w:rPr>
            <w:rStyle w:val="Hyperlink"/>
            <w:lang w:val="fr-FR"/>
          </w:rPr>
          <w:t>ECE/TRANS/WP.29/GRSG/2015/2</w:t>
        </w:r>
      </w:hyperlink>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 xml:space="preserve">Systèmes d’aide au maintien dans la voie (LKAS) et systèmes d’aide </w:t>
      </w:r>
      <w:r w:rsidR="00005645" w:rsidRPr="000B573A">
        <w:rPr>
          <w:lang w:val="fr-FR"/>
        </w:rPr>
        <w:br/>
      </w:r>
      <w:r w:rsidRPr="000B573A">
        <w:rPr>
          <w:lang w:val="fr-FR"/>
        </w:rPr>
        <w:t>au parcage (PAS)</w:t>
      </w:r>
    </w:p>
    <w:p w:rsidR="003814AF" w:rsidRPr="000B573A" w:rsidRDefault="003814AF" w:rsidP="003814AF">
      <w:pPr>
        <w:pStyle w:val="SingleTxt"/>
        <w:spacing w:after="0" w:line="120" w:lineRule="exact"/>
        <w:rPr>
          <w:sz w:val="10"/>
          <w:lang w:val="fr-FR"/>
        </w:rPr>
      </w:pPr>
    </w:p>
    <w:p w:rsidR="00254CD1" w:rsidRPr="000B573A" w:rsidRDefault="003814AF" w:rsidP="00254CD1">
      <w:pPr>
        <w:pStyle w:val="SingleTxt"/>
        <w:rPr>
          <w:lang w:val="fr-FR"/>
        </w:rPr>
      </w:pPr>
      <w:r w:rsidRPr="000B573A">
        <w:rPr>
          <w:lang w:val="fr-FR"/>
        </w:rPr>
        <w:tab/>
      </w:r>
      <w:r w:rsidR="00254CD1" w:rsidRPr="000B573A">
        <w:rPr>
          <w:lang w:val="fr-FR"/>
        </w:rPr>
        <w:t>Le GRRF a décidé de reprendre l’examen d’une proposition présentée par les experts du petit groupe de rédaction LKAS.</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r w:rsidR="00254CD1" w:rsidRPr="000B573A">
        <w:rPr>
          <w:lang w:val="fr-FR"/>
        </w:rPr>
        <w:t>(</w:t>
      </w:r>
      <w:hyperlink r:id="rId21" w:history="1">
        <w:r w:rsidR="00254CD1" w:rsidRPr="00B930D3">
          <w:rPr>
            <w:rStyle w:val="Hyperlink"/>
            <w:lang w:val="fr-FR"/>
          </w:rPr>
          <w:t>ECE/TRANS/WP.29/GRRF/2015/2</w:t>
        </w:r>
      </w:hyperlink>
      <w:r w:rsidR="00254CD1" w:rsidRPr="000B573A">
        <w:rPr>
          <w:lang w:val="fr-FR"/>
        </w:rPr>
        <w:t>).</w:t>
      </w:r>
    </w:p>
    <w:p w:rsidR="003814AF" w:rsidRPr="000B573A" w:rsidRDefault="003814AF" w:rsidP="003814AF">
      <w:pPr>
        <w:pStyle w:val="SingleTxt"/>
        <w:spacing w:after="0" w:line="120" w:lineRule="exact"/>
        <w:rPr>
          <w:sz w:val="10"/>
          <w:lang w:val="fr-FR"/>
        </w:rPr>
      </w:pPr>
    </w:p>
    <w:p w:rsidR="00254CD1" w:rsidRPr="000B573A" w:rsidRDefault="00254CD1" w:rsidP="00CA68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lastRenderedPageBreak/>
        <w:tab/>
        <w:t>c)</w:t>
      </w:r>
      <w:r w:rsidRPr="000B573A">
        <w:rPr>
          <w:lang w:val="fr-FR"/>
        </w:rPr>
        <w:tab/>
        <w:t>Commande automatique de la direction (ACSF)</w:t>
      </w:r>
    </w:p>
    <w:p w:rsidR="003814AF" w:rsidRPr="000B573A" w:rsidRDefault="003814AF" w:rsidP="00CA68A3">
      <w:pPr>
        <w:pStyle w:val="SingleTxt"/>
        <w:keepNext/>
        <w:spacing w:after="0" w:line="120" w:lineRule="exact"/>
        <w:rPr>
          <w:sz w:val="10"/>
          <w:lang w:val="fr-FR"/>
        </w:rPr>
      </w:pPr>
    </w:p>
    <w:p w:rsidR="00254CD1" w:rsidRPr="000B573A" w:rsidRDefault="003814AF" w:rsidP="00CA68A3">
      <w:pPr>
        <w:pStyle w:val="SingleTxt"/>
        <w:keepNext/>
        <w:rPr>
          <w:lang w:val="fr-FR"/>
        </w:rPr>
      </w:pPr>
      <w:r w:rsidRPr="000B573A">
        <w:rPr>
          <w:lang w:val="fr-FR"/>
        </w:rPr>
        <w:tab/>
      </w:r>
      <w:r w:rsidR="00254CD1" w:rsidRPr="000B573A">
        <w:rPr>
          <w:lang w:val="fr-FR"/>
        </w:rPr>
        <w:t>Le GRRF a adopté dans son principe le mandat du groupe de travail informel de la commande automatique de la direction et a décidé de le réexaminer à la présente session.</w:t>
      </w:r>
    </w:p>
    <w:p w:rsidR="00254CD1" w:rsidRPr="000B573A" w:rsidRDefault="003814AF" w:rsidP="00254CD1">
      <w:pPr>
        <w:pStyle w:val="SingleTxt"/>
        <w:rPr>
          <w:lang w:val="fr-FR"/>
        </w:rPr>
      </w:pPr>
      <w:r w:rsidRPr="000B573A">
        <w:rPr>
          <w:lang w:val="fr-FR"/>
        </w:rPr>
        <w:tab/>
      </w:r>
      <w:r w:rsidR="00254CD1" w:rsidRPr="000B573A">
        <w:rPr>
          <w:lang w:val="fr-FR"/>
        </w:rPr>
        <w:t>Le GRRF souhaitera peut-être que le groupe de travail informel lui rende compte de ses activités.</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10.</w:t>
      </w:r>
      <w:r w:rsidRPr="000B573A">
        <w:rPr>
          <w:lang w:val="fr-FR"/>
        </w:rPr>
        <w:tab/>
        <w:t xml:space="preserve">Homologation de type internationale de l’ensemble </w:t>
      </w:r>
      <w:r w:rsidR="00005645" w:rsidRPr="000B573A">
        <w:rPr>
          <w:lang w:val="fr-FR"/>
        </w:rPr>
        <w:br/>
      </w:r>
      <w:r w:rsidRPr="000B573A">
        <w:rPr>
          <w:lang w:val="fr-FR"/>
        </w:rPr>
        <w:t>du véhicule (IWVTA)</w:t>
      </w:r>
    </w:p>
    <w:p w:rsidR="003814AF" w:rsidRPr="000B573A" w:rsidRDefault="003814AF" w:rsidP="003814AF">
      <w:pPr>
        <w:pStyle w:val="SingleTxt"/>
        <w:spacing w:after="0" w:line="120" w:lineRule="exact"/>
        <w:rPr>
          <w:sz w:val="10"/>
          <w:lang w:val="fr-FR"/>
        </w:rPr>
      </w:pPr>
    </w:p>
    <w:p w:rsidR="003814AF" w:rsidRPr="000B573A" w:rsidRDefault="003814AF" w:rsidP="003814AF">
      <w:pPr>
        <w:pStyle w:val="SingleTxt"/>
        <w:spacing w:after="0" w:line="120" w:lineRule="exact"/>
        <w:rPr>
          <w:sz w:val="10"/>
          <w:lang w:val="fr-FR"/>
        </w:rPr>
      </w:pPr>
    </w:p>
    <w:p w:rsidR="00254CD1" w:rsidRPr="000B573A" w:rsidRDefault="00254CD1" w:rsidP="003814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 xml:space="preserve">Rapport sur les activités du groupe de travail informel </w:t>
      </w:r>
      <w:r w:rsidR="00005645" w:rsidRPr="000B573A">
        <w:rPr>
          <w:lang w:val="fr-FR"/>
        </w:rPr>
        <w:br/>
      </w:r>
      <w:r w:rsidRPr="000B573A">
        <w:rPr>
          <w:lang w:val="fr-FR"/>
        </w:rPr>
        <w:t>et des sous-groupes IWVTA</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Le GRRF souhaitera peut-être examiner un rapport de situation présenté par son représentant pour l’IWVTA.</w:t>
      </w: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Règlement sur le montage des pneumatiques</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Le GRRF a convenu d’examiner une proposition actualisée présentée par les experts de l’OICA, contenant des dispositions relatives au montage des pneumatiques pour véhicules M</w:t>
      </w:r>
      <w:r w:rsidR="00254CD1" w:rsidRPr="000B573A">
        <w:rPr>
          <w:vertAlign w:val="subscript"/>
          <w:lang w:val="fr-FR"/>
        </w:rPr>
        <w:t>1</w:t>
      </w:r>
      <w:r w:rsidR="00254CD1" w:rsidRPr="000B573A">
        <w:rPr>
          <w:lang w:val="fr-FR"/>
        </w:rPr>
        <w:t xml:space="preserve"> dans le cadre de l’IWVTA.</w:t>
      </w:r>
    </w:p>
    <w:p w:rsidR="00254CD1" w:rsidRPr="000B573A" w:rsidRDefault="00C325BF" w:rsidP="00254CD1">
      <w:pPr>
        <w:pStyle w:val="SingleTxt"/>
        <w:rPr>
          <w:lang w:val="fr-FR"/>
        </w:rPr>
      </w:pPr>
      <w:r w:rsidRPr="000B573A">
        <w:rPr>
          <w:i/>
          <w:lang w:val="fr-FR"/>
        </w:rPr>
        <w:t>Document</w:t>
      </w:r>
      <w:r w:rsidRPr="000B573A">
        <w:rPr>
          <w:lang w:val="fr-FR"/>
        </w:rPr>
        <w:t> :</w:t>
      </w:r>
      <w:r w:rsidR="00005645" w:rsidRPr="000B573A">
        <w:rPr>
          <w:lang w:val="fr-FR"/>
        </w:rPr>
        <w:tab/>
      </w:r>
      <w:r w:rsidR="00254CD1" w:rsidRPr="000B573A">
        <w:rPr>
          <w:lang w:val="fr-FR"/>
        </w:rPr>
        <w:t>(</w:t>
      </w:r>
      <w:hyperlink r:id="rId22" w:history="1">
        <w:r w:rsidR="00254CD1" w:rsidRPr="00B930D3">
          <w:rPr>
            <w:rStyle w:val="Hyperlink"/>
            <w:lang w:val="fr-FR"/>
          </w:rPr>
          <w:t>ECE/TRANS/WP.29/GRRF/2014/13</w:t>
        </w:r>
      </w:hyperlink>
      <w:r w:rsidR="00254CD1" w:rsidRPr="000B573A">
        <w:rPr>
          <w:lang w:val="fr-FR"/>
        </w:rPr>
        <w:t>).</w:t>
      </w: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c)</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13-H</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 xml:space="preserve">Le GRRF a décidé d’examiner des propositions actualisées soumises par les experts de l’OICA pour deux nouveaux règlements sur les systèmes ESC et le système d’aide au freinage (BAS), ainsi qu’une proposition concernant les dispositions transitoires du Règlement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13-H, soumise par l’expert du Royaume-Uni de Grande-Bretagne et d’Irlande du Nord (Royaume-Uni).</w:t>
      </w:r>
    </w:p>
    <w:p w:rsidR="00254CD1" w:rsidRPr="000B573A" w:rsidRDefault="00C325BF" w:rsidP="00005645">
      <w:pPr>
        <w:pStyle w:val="SingleTxt"/>
        <w:ind w:left="2693" w:hanging="1426"/>
        <w:rPr>
          <w:lang w:val="fr-FR"/>
        </w:rPr>
      </w:pPr>
      <w:r w:rsidRPr="000B573A">
        <w:rPr>
          <w:i/>
          <w:lang w:val="fr-FR"/>
        </w:rPr>
        <w:t>Documents</w:t>
      </w:r>
      <w:r w:rsidRPr="000B573A">
        <w:rPr>
          <w:lang w:val="fr-FR"/>
        </w:rPr>
        <w:t> :</w:t>
      </w:r>
      <w:r w:rsidR="00254CD1" w:rsidRPr="000B573A">
        <w:rPr>
          <w:b/>
          <w:lang w:val="fr-FR"/>
        </w:rPr>
        <w:tab/>
      </w:r>
      <w:hyperlink r:id="rId23" w:history="1">
        <w:r w:rsidR="00254CD1" w:rsidRPr="00B930D3">
          <w:rPr>
            <w:rStyle w:val="Hyperlink"/>
            <w:lang w:val="fr-FR"/>
          </w:rPr>
          <w:t>ECE/TRANS/WP.29/GRRF/2014/10</w:t>
        </w:r>
      </w:hyperlink>
      <w:r w:rsidR="00005645" w:rsidRPr="000B573A">
        <w:rPr>
          <w:lang w:val="fr-FR"/>
        </w:rPr>
        <w:t>,</w:t>
      </w:r>
      <w:r w:rsidR="00254CD1" w:rsidRPr="000B573A">
        <w:rPr>
          <w:lang w:val="fr-FR"/>
        </w:rPr>
        <w:t xml:space="preserve"> </w:t>
      </w:r>
      <w:hyperlink r:id="rId24" w:history="1">
        <w:r w:rsidR="00254CD1" w:rsidRPr="00B930D3">
          <w:rPr>
            <w:rStyle w:val="Hyperlink"/>
            <w:lang w:val="fr-FR"/>
          </w:rPr>
          <w:t>ECE/TRANS/WP.29/GRRF/2014/11</w:t>
        </w:r>
      </w:hyperlink>
      <w:r w:rsidR="00005645" w:rsidRPr="000B573A">
        <w:rPr>
          <w:lang w:val="fr-FR"/>
        </w:rPr>
        <w:t xml:space="preserve">, </w:t>
      </w:r>
      <w:hyperlink r:id="rId25" w:history="1">
        <w:r w:rsidR="00254CD1" w:rsidRPr="00B930D3">
          <w:rPr>
            <w:rStyle w:val="Hyperlink"/>
            <w:lang w:val="fr-FR"/>
          </w:rPr>
          <w:t>ECE/TRANS/WP.29/GRRF/2014/12</w:t>
        </w:r>
      </w:hyperlink>
      <w:r w:rsidR="00005645" w:rsidRPr="000B573A">
        <w:rPr>
          <w:lang w:val="fr-FR"/>
        </w:rPr>
        <w:t xml:space="preserve">, </w:t>
      </w:r>
      <w:r w:rsidR="00254CD1" w:rsidRPr="00154A86">
        <w:rPr>
          <w:lang w:val="fr-FR"/>
        </w:rPr>
        <w:t>ECE/TRANS/WP.29/GRRF/2015/33</w:t>
      </w:r>
      <w:r w:rsidR="00254CD1" w:rsidRPr="000B573A">
        <w:rPr>
          <w:lang w:val="fr-FR"/>
        </w:rPr>
        <w:t>.</w:t>
      </w: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d)</w:t>
      </w:r>
      <w:r w:rsidRPr="000B573A">
        <w:rPr>
          <w:lang w:val="fr-FR"/>
        </w:rPr>
        <w:tab/>
        <w:t xml:space="preserve">Règlement </w:t>
      </w:r>
      <w:r w:rsidR="00005645" w:rsidRPr="000B573A">
        <w:rPr>
          <w:lang w:val="fr-FR"/>
        </w:rPr>
        <w:t>n</w:t>
      </w:r>
      <w:r w:rsidR="00005645" w:rsidRPr="000B573A">
        <w:rPr>
          <w:vertAlign w:val="superscript"/>
          <w:lang w:val="fr-FR"/>
        </w:rPr>
        <w:t>o</w:t>
      </w:r>
      <w:r w:rsidR="00005645" w:rsidRPr="000B573A">
        <w:rPr>
          <w:lang w:val="fr-FR"/>
        </w:rPr>
        <w:t> </w:t>
      </w:r>
      <w:r w:rsidRPr="000B573A">
        <w:rPr>
          <w:lang w:val="fr-FR"/>
        </w:rPr>
        <w:t xml:space="preserve">64 et système de surveillance de la pression </w:t>
      </w:r>
      <w:r w:rsidR="00005645" w:rsidRPr="000B573A">
        <w:rPr>
          <w:lang w:val="fr-FR"/>
        </w:rPr>
        <w:br/>
      </w:r>
      <w:r w:rsidRPr="000B573A">
        <w:rPr>
          <w:lang w:val="fr-FR"/>
        </w:rPr>
        <w:t>des pneumatiques (TPMS)</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 xml:space="preserve">Le GRRF a décidé de réexaminer la proposition d’élaboration d’un règlement ONU distinct portant spécifiquement sur le système de surveillance de la pression des pneumatiques (TPMS), à partir du Règlement ONU </w:t>
      </w:r>
      <w:r w:rsidR="00005645" w:rsidRPr="000B573A">
        <w:rPr>
          <w:lang w:val="fr-FR"/>
        </w:rPr>
        <w:t>n</w:t>
      </w:r>
      <w:r w:rsidR="00005645" w:rsidRPr="000B573A">
        <w:rPr>
          <w:vertAlign w:val="superscript"/>
          <w:lang w:val="fr-FR"/>
        </w:rPr>
        <w:t>o</w:t>
      </w:r>
      <w:r w:rsidR="00005645" w:rsidRPr="000B573A">
        <w:rPr>
          <w:lang w:val="fr-FR"/>
        </w:rPr>
        <w:t> </w:t>
      </w:r>
      <w:r w:rsidR="00254CD1" w:rsidRPr="000B573A">
        <w:rPr>
          <w:lang w:val="fr-FR"/>
        </w:rPr>
        <w:t>64 scindé en deux parties.</w:t>
      </w:r>
    </w:p>
    <w:p w:rsidR="00254CD1" w:rsidRPr="000B573A" w:rsidRDefault="00C325BF" w:rsidP="00005645">
      <w:pPr>
        <w:pStyle w:val="SingleTxt"/>
        <w:ind w:left="2693" w:hanging="1426"/>
        <w:rPr>
          <w:lang w:val="fr-FR"/>
        </w:rPr>
      </w:pPr>
      <w:r w:rsidRPr="000B573A">
        <w:rPr>
          <w:i/>
          <w:lang w:val="fr-FR"/>
        </w:rPr>
        <w:t>Documents</w:t>
      </w:r>
      <w:r w:rsidRPr="000B573A">
        <w:rPr>
          <w:lang w:val="fr-FR"/>
        </w:rPr>
        <w:t> :</w:t>
      </w:r>
      <w:r w:rsidR="00254CD1" w:rsidRPr="000B573A">
        <w:rPr>
          <w:b/>
          <w:lang w:val="fr-FR"/>
        </w:rPr>
        <w:tab/>
      </w:r>
      <w:hyperlink r:id="rId26" w:history="1">
        <w:r w:rsidR="00254CD1" w:rsidRPr="00B930D3">
          <w:rPr>
            <w:rStyle w:val="Hyperlink"/>
            <w:lang w:val="fr-FR"/>
          </w:rPr>
          <w:t>ECE/TRANS/WP.29/GRRF/2015/12</w:t>
        </w:r>
      </w:hyperlink>
      <w:r w:rsidR="00005645" w:rsidRPr="000B573A">
        <w:rPr>
          <w:lang w:val="fr-FR"/>
        </w:rPr>
        <w:t>,</w:t>
      </w:r>
      <w:r w:rsidR="00254CD1" w:rsidRPr="000B573A">
        <w:rPr>
          <w:lang w:val="fr-FR"/>
        </w:rPr>
        <w:t xml:space="preserve"> </w:t>
      </w:r>
      <w:hyperlink r:id="rId27" w:history="1">
        <w:r w:rsidR="00254CD1" w:rsidRPr="00B930D3">
          <w:rPr>
            <w:rStyle w:val="Hyperlink"/>
            <w:lang w:val="fr-FR"/>
          </w:rPr>
          <w:t>ECE/TRANS/WP.29/GRRF/2015/13</w:t>
        </w:r>
      </w:hyperlink>
      <w:r w:rsidR="00254CD1" w:rsidRPr="000B573A">
        <w:rPr>
          <w:lang w:val="fr-FR"/>
        </w:rPr>
        <w:t>.</w:t>
      </w: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 xml:space="preserve">e) </w:t>
      </w:r>
      <w:r w:rsidRPr="000B573A">
        <w:rPr>
          <w:lang w:val="fr-FR"/>
        </w:rPr>
        <w:tab/>
        <w:t>Questions diverses</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Le GRRF souhaitera peut-être examiner d’autres propositions relatives à l’IWVTA, s’il y a lieu.</w:t>
      </w:r>
    </w:p>
    <w:p w:rsidR="00C325BF" w:rsidRPr="000B573A" w:rsidRDefault="00C325BF" w:rsidP="00C325BF">
      <w:pPr>
        <w:pStyle w:val="SingleTxt"/>
        <w:spacing w:after="0" w:line="120" w:lineRule="exact"/>
        <w:rPr>
          <w:sz w:val="10"/>
          <w:lang w:val="fr-FR"/>
        </w:rPr>
      </w:pPr>
    </w:p>
    <w:p w:rsidR="00C325BF" w:rsidRPr="000B573A" w:rsidRDefault="00C325BF" w:rsidP="00C325BF">
      <w:pPr>
        <w:pStyle w:val="SingleTxt"/>
        <w:spacing w:after="0" w:line="120" w:lineRule="exact"/>
        <w:rPr>
          <w:sz w:val="10"/>
          <w:lang w:val="fr-FR"/>
        </w:rPr>
      </w:pPr>
    </w:p>
    <w:p w:rsidR="00254CD1" w:rsidRPr="000B573A" w:rsidRDefault="00254CD1" w:rsidP="00CA68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lastRenderedPageBreak/>
        <w:tab/>
        <w:t>11.</w:t>
      </w:r>
      <w:r w:rsidRPr="000B573A">
        <w:rPr>
          <w:lang w:val="fr-FR"/>
        </w:rPr>
        <w:tab/>
        <w:t xml:space="preserve">Échange de vues sur les innovations et les activités </w:t>
      </w:r>
      <w:r w:rsidR="00631CFA">
        <w:rPr>
          <w:lang w:val="fr-FR"/>
        </w:rPr>
        <w:br/>
      </w:r>
      <w:r w:rsidRPr="000B573A">
        <w:rPr>
          <w:lang w:val="fr-FR"/>
        </w:rPr>
        <w:t>nationales pertinentes</w:t>
      </w:r>
    </w:p>
    <w:p w:rsidR="00C325BF" w:rsidRPr="000B573A" w:rsidRDefault="00C325BF" w:rsidP="00CA68A3">
      <w:pPr>
        <w:pStyle w:val="SingleTxt"/>
        <w:keepNext/>
        <w:spacing w:after="0" w:line="120" w:lineRule="exact"/>
        <w:rPr>
          <w:sz w:val="10"/>
          <w:lang w:val="fr-FR"/>
        </w:rPr>
      </w:pPr>
    </w:p>
    <w:p w:rsidR="00C325BF" w:rsidRPr="000B573A" w:rsidRDefault="00C325BF" w:rsidP="00CA68A3">
      <w:pPr>
        <w:pStyle w:val="SingleTxt"/>
        <w:keepNext/>
        <w:spacing w:after="0" w:line="120" w:lineRule="exact"/>
        <w:rPr>
          <w:sz w:val="10"/>
          <w:lang w:val="fr-FR"/>
        </w:rPr>
      </w:pPr>
    </w:p>
    <w:p w:rsidR="00254CD1" w:rsidRPr="000B573A" w:rsidRDefault="00C325BF" w:rsidP="00CA68A3">
      <w:pPr>
        <w:pStyle w:val="SingleTxt"/>
        <w:keepNext/>
        <w:rPr>
          <w:lang w:val="fr-FR"/>
        </w:rPr>
      </w:pPr>
      <w:r w:rsidRPr="000B573A">
        <w:rPr>
          <w:lang w:val="fr-FR"/>
        </w:rPr>
        <w:tab/>
      </w:r>
      <w:r w:rsidR="00254CD1" w:rsidRPr="000B573A">
        <w:rPr>
          <w:lang w:val="fr-FR"/>
        </w:rPr>
        <w:t>Le GRRF a décidé de prendre connaissance d’exposés sur l’échange d’informations, s’ils sont disponibles.</w:t>
      </w:r>
    </w:p>
    <w:p w:rsidR="00C325BF" w:rsidRPr="000B573A" w:rsidRDefault="00C325BF" w:rsidP="00C325BF">
      <w:pPr>
        <w:pStyle w:val="SingleTxt"/>
        <w:spacing w:after="0" w:line="120" w:lineRule="exact"/>
        <w:rPr>
          <w:sz w:val="10"/>
          <w:lang w:val="fr-FR"/>
        </w:rPr>
      </w:pPr>
    </w:p>
    <w:p w:rsidR="00C325BF" w:rsidRPr="000B573A" w:rsidRDefault="00C325BF" w:rsidP="00C325B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12.</w:t>
      </w:r>
      <w:r w:rsidRPr="000B573A">
        <w:rPr>
          <w:lang w:val="fr-FR"/>
        </w:rPr>
        <w:tab/>
        <w:t>Élection du Bureau</w:t>
      </w:r>
    </w:p>
    <w:p w:rsidR="00C325BF" w:rsidRPr="000B573A" w:rsidRDefault="00C325BF" w:rsidP="00C325BF">
      <w:pPr>
        <w:pStyle w:val="SingleTxt"/>
        <w:spacing w:after="0" w:line="120" w:lineRule="exact"/>
        <w:rPr>
          <w:sz w:val="10"/>
          <w:lang w:val="fr-FR"/>
        </w:rPr>
      </w:pP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Conformément à l’article 37 du Règlement intérieur (</w:t>
      </w:r>
      <w:hyperlink r:id="rId28" w:history="1">
        <w:r w:rsidR="00254CD1" w:rsidRPr="00B930D3">
          <w:rPr>
            <w:rStyle w:val="Hyperlink"/>
            <w:lang w:val="fr-FR"/>
          </w:rPr>
          <w:t>TRANS/WP.29/690</w:t>
        </w:r>
      </w:hyperlink>
      <w:r w:rsidR="00254CD1" w:rsidRPr="000B573A">
        <w:rPr>
          <w:lang w:val="fr-FR"/>
        </w:rPr>
        <w:t xml:space="preserve"> tel qu’amendé), le GRRF élira son président pour les sessions de 2016.</w:t>
      </w:r>
    </w:p>
    <w:p w:rsidR="00C325BF" w:rsidRPr="000B573A" w:rsidRDefault="00C325BF" w:rsidP="00C325BF">
      <w:pPr>
        <w:pStyle w:val="SingleTxt"/>
        <w:spacing w:after="0" w:line="120" w:lineRule="exact"/>
        <w:rPr>
          <w:sz w:val="10"/>
          <w:lang w:val="fr-FR"/>
        </w:rPr>
      </w:pPr>
    </w:p>
    <w:p w:rsidR="00C325BF" w:rsidRPr="000B573A" w:rsidRDefault="00C325BF" w:rsidP="00C325BF">
      <w:pPr>
        <w:pStyle w:val="SingleTxt"/>
        <w:spacing w:after="0" w:line="120" w:lineRule="exact"/>
        <w:rPr>
          <w:sz w:val="10"/>
          <w:lang w:val="fr-FR"/>
        </w:rPr>
      </w:pPr>
    </w:p>
    <w:p w:rsidR="00254CD1" w:rsidRPr="000B573A" w:rsidRDefault="00254CD1" w:rsidP="00613C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13.</w:t>
      </w:r>
      <w:r w:rsidRPr="000B573A">
        <w:rPr>
          <w:lang w:val="fr-FR"/>
        </w:rPr>
        <w:tab/>
        <w:t>Questions diverses</w:t>
      </w:r>
    </w:p>
    <w:p w:rsidR="00C325BF" w:rsidRPr="000B573A" w:rsidRDefault="00C325BF" w:rsidP="00C325BF">
      <w:pPr>
        <w:pStyle w:val="SingleTxt"/>
        <w:spacing w:after="0" w:line="120" w:lineRule="exact"/>
        <w:rPr>
          <w:sz w:val="10"/>
          <w:lang w:val="fr-FR"/>
        </w:rPr>
      </w:pP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a)</w:t>
      </w:r>
      <w:r w:rsidRPr="000B573A">
        <w:rPr>
          <w:lang w:val="fr-FR"/>
        </w:rPr>
        <w:tab/>
        <w:t>Faits marquants des sessions de mars et juin 2015 du WP.29</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Le GRRF souhaitera peut-être entendre un bref rapport oral du secrétariat sur les principaux éléments à retenir des sessions de mars et juin 2015 du WP.29 en ce qui concerne les questions intéressant le Groupe.</w:t>
      </w:r>
    </w:p>
    <w:p w:rsidR="00C325BF" w:rsidRPr="000B573A" w:rsidRDefault="00C325BF" w:rsidP="00C325BF">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b)</w:t>
      </w:r>
      <w:r w:rsidRPr="000B573A">
        <w:rPr>
          <w:lang w:val="fr-FR"/>
        </w:rPr>
        <w:tab/>
        <w:t>Définitions et sigles</w:t>
      </w:r>
    </w:p>
    <w:p w:rsidR="00C325BF" w:rsidRPr="000B573A" w:rsidRDefault="00C325BF" w:rsidP="00C325BF">
      <w:pPr>
        <w:pStyle w:val="SingleTxt"/>
        <w:spacing w:after="0" w:line="120" w:lineRule="exact"/>
        <w:rPr>
          <w:sz w:val="10"/>
          <w:lang w:val="fr-FR"/>
        </w:rPr>
      </w:pPr>
    </w:p>
    <w:p w:rsidR="00254CD1" w:rsidRPr="000B573A" w:rsidRDefault="00C325BF" w:rsidP="00254CD1">
      <w:pPr>
        <w:pStyle w:val="SingleTxt"/>
        <w:rPr>
          <w:lang w:val="fr-FR"/>
        </w:rPr>
      </w:pPr>
      <w:r w:rsidRPr="000B573A">
        <w:rPr>
          <w:lang w:val="fr-FR"/>
        </w:rPr>
        <w:tab/>
      </w:r>
      <w:r w:rsidR="00254CD1" w:rsidRPr="000B573A">
        <w:rPr>
          <w:lang w:val="fr-FR"/>
        </w:rPr>
        <w:t>Le GRRF a décidé que deux documents informels reprenant les définitions et sigles des Règlements ONU sous sa responsabilité seraient maintenus à son ordre du jour en tant que références.</w:t>
      </w:r>
    </w:p>
    <w:p w:rsidR="00254CD1" w:rsidRPr="000B573A" w:rsidRDefault="00C325BF" w:rsidP="00254CD1">
      <w:pPr>
        <w:pStyle w:val="SingleTxt"/>
        <w:rPr>
          <w:lang w:val="fr-FR"/>
        </w:rPr>
      </w:pPr>
      <w:r w:rsidRPr="000B573A">
        <w:rPr>
          <w:i/>
          <w:lang w:val="fr-FR"/>
        </w:rPr>
        <w:t>Documents</w:t>
      </w:r>
      <w:r w:rsidRPr="000B573A">
        <w:rPr>
          <w:lang w:val="fr-FR"/>
        </w:rPr>
        <w:t> :</w:t>
      </w:r>
      <w:r w:rsidR="00005645" w:rsidRPr="000B573A">
        <w:rPr>
          <w:lang w:val="fr-FR"/>
        </w:rPr>
        <w:tab/>
      </w:r>
      <w:r w:rsidR="00254CD1" w:rsidRPr="000B573A">
        <w:rPr>
          <w:lang w:val="fr-FR"/>
        </w:rPr>
        <w:t xml:space="preserve">(documents informels </w:t>
      </w:r>
      <w:r w:rsidR="00254CD1" w:rsidRPr="00154A86">
        <w:rPr>
          <w:lang w:val="fr-FR"/>
        </w:rPr>
        <w:t>GRRF-76-03</w:t>
      </w:r>
      <w:r w:rsidR="00254CD1" w:rsidRPr="000B573A">
        <w:rPr>
          <w:lang w:val="fr-FR"/>
        </w:rPr>
        <w:t xml:space="preserve"> et </w:t>
      </w:r>
      <w:r w:rsidR="00254CD1" w:rsidRPr="00154A86">
        <w:rPr>
          <w:lang w:val="fr-FR"/>
        </w:rPr>
        <w:t>GRRF-78-04</w:t>
      </w:r>
      <w:r w:rsidR="00254CD1" w:rsidRPr="000B573A">
        <w:rPr>
          <w:lang w:val="fr-FR"/>
        </w:rPr>
        <w:t>).</w:t>
      </w:r>
    </w:p>
    <w:p w:rsidR="00254CD1" w:rsidRPr="000B573A" w:rsidRDefault="00C325BF" w:rsidP="00254CD1">
      <w:pPr>
        <w:pStyle w:val="SingleTxt"/>
        <w:rPr>
          <w:lang w:val="fr-FR"/>
        </w:rPr>
      </w:pPr>
      <w:r w:rsidRPr="000B573A">
        <w:rPr>
          <w:lang w:val="fr-FR"/>
        </w:rPr>
        <w:tab/>
      </w:r>
      <w:r w:rsidR="00254CD1" w:rsidRPr="000B573A">
        <w:rPr>
          <w:lang w:val="fr-FR"/>
        </w:rPr>
        <w:t>Le GRRF souhaitera sans doute être informé par le Secrétaire de l’existence sur le site Web de la CEE d’une nouvelle section consacrée aux sigles et aux abréviations.</w:t>
      </w:r>
    </w:p>
    <w:p w:rsidR="00005645" w:rsidRPr="000B573A" w:rsidRDefault="00005645" w:rsidP="00005645">
      <w:pPr>
        <w:pStyle w:val="SingleTxt"/>
        <w:spacing w:after="0" w:line="120" w:lineRule="exact"/>
        <w:rPr>
          <w:sz w:val="10"/>
          <w:lang w:val="fr-FR"/>
        </w:rPr>
      </w:pPr>
    </w:p>
    <w:p w:rsidR="00254CD1" w:rsidRPr="000B573A" w:rsidRDefault="00254CD1" w:rsidP="00C32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573A">
        <w:rPr>
          <w:lang w:val="fr-FR"/>
        </w:rPr>
        <w:tab/>
        <w:t>c)</w:t>
      </w:r>
      <w:r w:rsidRPr="000B573A">
        <w:rPr>
          <w:lang w:val="fr-FR"/>
        </w:rPr>
        <w:tab/>
        <w:t>Autres questions</w:t>
      </w:r>
    </w:p>
    <w:p w:rsidR="00C325BF" w:rsidRPr="000B573A" w:rsidRDefault="00C325BF" w:rsidP="00C325BF">
      <w:pPr>
        <w:pStyle w:val="SingleTxt"/>
        <w:spacing w:after="0" w:line="120" w:lineRule="exact"/>
        <w:rPr>
          <w:sz w:val="10"/>
          <w:lang w:val="fr-FR"/>
        </w:rPr>
      </w:pPr>
    </w:p>
    <w:p w:rsidR="00A676C5" w:rsidRPr="000B573A" w:rsidRDefault="00C325BF" w:rsidP="00254CD1">
      <w:pPr>
        <w:pStyle w:val="SingleTxt"/>
        <w:rPr>
          <w:lang w:val="fr-FR"/>
        </w:rPr>
      </w:pPr>
      <w:r w:rsidRPr="000B573A">
        <w:rPr>
          <w:lang w:val="fr-FR"/>
        </w:rPr>
        <w:tab/>
      </w:r>
      <w:r w:rsidR="00254CD1" w:rsidRPr="000B573A">
        <w:rPr>
          <w:lang w:val="fr-FR"/>
        </w:rPr>
        <w:t>Le GRRF souhaitera peut-être examiner d</w:t>
      </w:r>
      <w:r w:rsidR="00254CD1" w:rsidRPr="000B573A">
        <w:rPr>
          <w:b/>
          <w:lang w:val="fr-FR"/>
        </w:rPr>
        <w:t>’</w:t>
      </w:r>
      <w:r w:rsidR="00254CD1" w:rsidRPr="000B573A">
        <w:rPr>
          <w:lang w:val="fr-FR"/>
        </w:rPr>
        <w:t>autres propositions, s</w:t>
      </w:r>
      <w:r w:rsidR="00254CD1" w:rsidRPr="000B573A">
        <w:rPr>
          <w:b/>
          <w:lang w:val="fr-FR"/>
        </w:rPr>
        <w:t>’</w:t>
      </w:r>
      <w:r w:rsidR="00254CD1" w:rsidRPr="000B573A">
        <w:rPr>
          <w:lang w:val="fr-FR"/>
        </w:rPr>
        <w:t>il y en a.</w:t>
      </w:r>
    </w:p>
    <w:p w:rsidR="00C325BF" w:rsidRPr="000B573A" w:rsidRDefault="00C325BF" w:rsidP="00C325BF">
      <w:pPr>
        <w:pStyle w:val="SingleTxt"/>
        <w:spacing w:after="0" w:line="240" w:lineRule="auto"/>
        <w:rPr>
          <w:lang w:val="fr-FR"/>
        </w:rPr>
      </w:pPr>
      <w:r w:rsidRPr="000B573A">
        <w:rPr>
          <w:noProof/>
          <w:w w:val="100"/>
          <w:lang w:val="en-GB" w:eastAsia="en-GB"/>
        </w:rPr>
        <mc:AlternateContent>
          <mc:Choice Requires="wps">
            <w:drawing>
              <wp:anchor distT="0" distB="0" distL="114300" distR="114300" simplePos="0" relativeHeight="251659264" behindDoc="0" locked="0" layoutInCell="1" allowOverlap="1" wp14:anchorId="23E781F8" wp14:editId="0371DB65">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325BF" w:rsidRPr="000B573A" w:rsidSect="00A676C5">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09:38:00Z" w:initials="Start">
    <w:p w:rsidR="003814AF" w:rsidRDefault="003814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NO&gt;&gt;N1513280F&lt;&lt;ODS JOB NO&gt;&gt;</w:t>
      </w:r>
    </w:p>
    <w:p w:rsidR="003814AF" w:rsidRDefault="003814AF">
      <w:pPr>
        <w:pStyle w:val="CommentText"/>
      </w:pPr>
      <w:r>
        <w:t>&lt;&lt;ODS DOC SYMBOL1&gt;&gt;ECE/TRANS/WP.29/GRRF/2015/16&lt;&lt;ODS DOC SYMBOL1&gt;&gt;</w:t>
      </w:r>
    </w:p>
    <w:p w:rsidR="003814AF" w:rsidRDefault="003814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AF" w:rsidRDefault="003814AF" w:rsidP="00F3330B">
      <w:pPr>
        <w:spacing w:line="240" w:lineRule="auto"/>
      </w:pPr>
      <w:r>
        <w:separator/>
      </w:r>
    </w:p>
  </w:endnote>
  <w:endnote w:type="continuationSeparator" w:id="0">
    <w:p w:rsidR="003814AF" w:rsidRDefault="003814A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14AF" w:rsidTr="00A676C5">
      <w:trPr>
        <w:jc w:val="center"/>
      </w:trPr>
      <w:tc>
        <w:tcPr>
          <w:tcW w:w="5126" w:type="dxa"/>
          <w:shd w:val="clear" w:color="auto" w:fill="auto"/>
        </w:tcPr>
        <w:p w:rsidR="003814AF" w:rsidRPr="00A676C5" w:rsidRDefault="003814AF" w:rsidP="00A676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6B35">
            <w:rPr>
              <w:b w:val="0"/>
              <w:w w:val="103"/>
              <w:sz w:val="14"/>
            </w:rPr>
            <w:t>GE. 15-10379</w:t>
          </w:r>
          <w:r>
            <w:rPr>
              <w:b w:val="0"/>
              <w:w w:val="103"/>
              <w:sz w:val="14"/>
            </w:rPr>
            <w:fldChar w:fldCharType="end"/>
          </w:r>
        </w:p>
      </w:tc>
      <w:tc>
        <w:tcPr>
          <w:tcW w:w="5127" w:type="dxa"/>
          <w:shd w:val="clear" w:color="auto" w:fill="auto"/>
        </w:tcPr>
        <w:p w:rsidR="003814AF" w:rsidRPr="00A676C5" w:rsidRDefault="003814AF" w:rsidP="00A676C5">
          <w:pPr>
            <w:pStyle w:val="Footer"/>
            <w:rPr>
              <w:w w:val="103"/>
            </w:rPr>
          </w:pPr>
          <w:r>
            <w:rPr>
              <w:w w:val="103"/>
            </w:rPr>
            <w:fldChar w:fldCharType="begin"/>
          </w:r>
          <w:r>
            <w:rPr>
              <w:w w:val="103"/>
            </w:rPr>
            <w:instrText xml:space="preserve"> PAGE  \* Arabic  \* MERGEFORMAT </w:instrText>
          </w:r>
          <w:r>
            <w:rPr>
              <w:w w:val="103"/>
            </w:rPr>
            <w:fldChar w:fldCharType="separate"/>
          </w:r>
          <w:r w:rsidR="008422A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22A7">
            <w:rPr>
              <w:noProof/>
              <w:w w:val="103"/>
            </w:rPr>
            <w:t>9</w:t>
          </w:r>
          <w:r>
            <w:rPr>
              <w:w w:val="103"/>
            </w:rPr>
            <w:fldChar w:fldCharType="end"/>
          </w:r>
        </w:p>
      </w:tc>
    </w:tr>
  </w:tbl>
  <w:p w:rsidR="003814AF" w:rsidRPr="00A676C5" w:rsidRDefault="003814AF" w:rsidP="00A67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14AF" w:rsidTr="00A676C5">
      <w:trPr>
        <w:jc w:val="center"/>
      </w:trPr>
      <w:tc>
        <w:tcPr>
          <w:tcW w:w="5126" w:type="dxa"/>
          <w:shd w:val="clear" w:color="auto" w:fill="auto"/>
        </w:tcPr>
        <w:p w:rsidR="003814AF" w:rsidRPr="00A676C5" w:rsidRDefault="003814AF" w:rsidP="00A676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22A7">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22A7">
            <w:rPr>
              <w:noProof/>
              <w:w w:val="103"/>
            </w:rPr>
            <w:t>9</w:t>
          </w:r>
          <w:r>
            <w:rPr>
              <w:w w:val="103"/>
            </w:rPr>
            <w:fldChar w:fldCharType="end"/>
          </w:r>
        </w:p>
      </w:tc>
      <w:tc>
        <w:tcPr>
          <w:tcW w:w="5127" w:type="dxa"/>
          <w:shd w:val="clear" w:color="auto" w:fill="auto"/>
        </w:tcPr>
        <w:p w:rsidR="003814AF" w:rsidRPr="00A676C5" w:rsidRDefault="003814AF" w:rsidP="00A676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6B35">
            <w:rPr>
              <w:b w:val="0"/>
              <w:w w:val="103"/>
              <w:sz w:val="14"/>
            </w:rPr>
            <w:t>GE. 15-10379</w:t>
          </w:r>
          <w:r>
            <w:rPr>
              <w:b w:val="0"/>
              <w:w w:val="103"/>
              <w:sz w:val="14"/>
            </w:rPr>
            <w:fldChar w:fldCharType="end"/>
          </w:r>
        </w:p>
      </w:tc>
    </w:tr>
  </w:tbl>
  <w:p w:rsidR="003814AF" w:rsidRPr="00A676C5" w:rsidRDefault="003814AF" w:rsidP="00A67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F" w:rsidRDefault="003814AF">
    <w:pPr>
      <w:pStyle w:val="Footer"/>
    </w:pPr>
    <w:r>
      <w:rPr>
        <w:noProof/>
        <w:lang w:val="en-GB" w:eastAsia="en-GB"/>
      </w:rPr>
      <w:drawing>
        <wp:anchor distT="0" distB="0" distL="114300" distR="114300" simplePos="0" relativeHeight="251658240" behindDoc="0" locked="0" layoutInCell="1" allowOverlap="1" wp14:anchorId="4ECCE587" wp14:editId="258E4FB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814AF" w:rsidTr="00A676C5">
      <w:tc>
        <w:tcPr>
          <w:tcW w:w="3859" w:type="dxa"/>
        </w:tcPr>
        <w:p w:rsidR="003814AF" w:rsidRDefault="003814AF" w:rsidP="00A676C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66B35">
            <w:rPr>
              <w:b w:val="0"/>
              <w:sz w:val="20"/>
            </w:rPr>
            <w:t>GE. 15-10379 (F)</w:t>
          </w:r>
          <w:r>
            <w:rPr>
              <w:b w:val="0"/>
              <w:sz w:val="20"/>
            </w:rPr>
            <w:fldChar w:fldCharType="end"/>
          </w:r>
          <w:r>
            <w:rPr>
              <w:b w:val="0"/>
              <w:sz w:val="20"/>
            </w:rPr>
            <w:t xml:space="preserve">    010715    010715</w:t>
          </w:r>
        </w:p>
        <w:p w:rsidR="003814AF" w:rsidRPr="00A676C5" w:rsidRDefault="003814AF" w:rsidP="00A676C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66B35">
            <w:rPr>
              <w:rFonts w:ascii="Barcode 3 of 9 by request" w:hAnsi="Barcode 3 of 9 by request"/>
              <w:b w:val="0"/>
              <w:spacing w:val="0"/>
              <w:w w:val="100"/>
              <w:sz w:val="24"/>
            </w:rPr>
            <w:t>*1510379*</w:t>
          </w:r>
          <w:r>
            <w:rPr>
              <w:rFonts w:ascii="Barcode 3 of 9 by request" w:hAnsi="Barcode 3 of 9 by request"/>
              <w:b w:val="0"/>
              <w:spacing w:val="0"/>
              <w:w w:val="100"/>
              <w:sz w:val="24"/>
            </w:rPr>
            <w:fldChar w:fldCharType="end"/>
          </w:r>
        </w:p>
      </w:tc>
      <w:tc>
        <w:tcPr>
          <w:tcW w:w="5127" w:type="dxa"/>
        </w:tcPr>
        <w:p w:rsidR="003814AF" w:rsidRDefault="003814AF" w:rsidP="00A676C5">
          <w:pPr>
            <w:pStyle w:val="Footer"/>
            <w:spacing w:line="240" w:lineRule="atLeast"/>
            <w:jc w:val="right"/>
            <w:rPr>
              <w:b w:val="0"/>
              <w:sz w:val="20"/>
            </w:rPr>
          </w:pPr>
          <w:r>
            <w:rPr>
              <w:b w:val="0"/>
              <w:noProof/>
              <w:sz w:val="20"/>
              <w:lang w:val="en-GB" w:eastAsia="en-GB"/>
            </w:rPr>
            <w:drawing>
              <wp:inline distT="0" distB="0" distL="0" distR="0" wp14:anchorId="5F944FD5" wp14:editId="57C774F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814AF" w:rsidRPr="00A676C5" w:rsidRDefault="003814AF" w:rsidP="00A676C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AF" w:rsidRPr="00C02728" w:rsidRDefault="003814AF" w:rsidP="00C02728">
      <w:pPr>
        <w:pStyle w:val="Footer"/>
        <w:spacing w:after="80"/>
        <w:ind w:left="792"/>
        <w:rPr>
          <w:sz w:val="16"/>
        </w:rPr>
      </w:pPr>
      <w:r w:rsidRPr="00C02728">
        <w:rPr>
          <w:sz w:val="16"/>
        </w:rPr>
        <w:t>__________________</w:t>
      </w:r>
    </w:p>
  </w:footnote>
  <w:footnote w:type="continuationSeparator" w:id="0">
    <w:p w:rsidR="003814AF" w:rsidRPr="00C02728" w:rsidRDefault="003814AF" w:rsidP="00C02728">
      <w:pPr>
        <w:pStyle w:val="Footer"/>
        <w:spacing w:after="80"/>
        <w:ind w:left="792"/>
        <w:rPr>
          <w:sz w:val="16"/>
        </w:rPr>
      </w:pPr>
      <w:r w:rsidRPr="00C02728">
        <w:rPr>
          <w:sz w:val="16"/>
        </w:rPr>
        <w:t>__________________</w:t>
      </w:r>
    </w:p>
  </w:footnote>
  <w:footnote w:id="1">
    <w:p w:rsidR="003814AF" w:rsidRPr="000B573A" w:rsidRDefault="003814AF" w:rsidP="00C02728">
      <w:pPr>
        <w:pStyle w:val="FootnoteText"/>
        <w:tabs>
          <w:tab w:val="right" w:pos="1195"/>
          <w:tab w:val="left" w:pos="1267"/>
          <w:tab w:val="left" w:pos="1742"/>
          <w:tab w:val="left" w:pos="2218"/>
          <w:tab w:val="left" w:pos="2693"/>
        </w:tabs>
        <w:ind w:left="1267" w:right="1260" w:hanging="432"/>
        <w:rPr>
          <w:lang w:val="fr-FR"/>
        </w:rPr>
      </w:pPr>
      <w:r w:rsidRPr="000B573A">
        <w:rPr>
          <w:lang w:val="fr-FR"/>
        </w:rPr>
        <w:tab/>
      </w:r>
      <w:r w:rsidRPr="007921EB">
        <w:rPr>
          <w:rStyle w:val="FootnoteReference"/>
          <w:lang w:val="fr-FR"/>
        </w:rPr>
        <w:footnoteRef/>
      </w:r>
      <w:r w:rsidRPr="007921EB">
        <w:rPr>
          <w:lang w:val="fr-FR"/>
        </w:rPr>
        <w:tab/>
      </w:r>
      <w:r w:rsidRPr="000B573A">
        <w:rPr>
          <w:lang w:val="fr-FR"/>
        </w:rPr>
        <w:t>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de la CEE (www.unece.org/trans/main/wp29/wp29wgs/wp29grrf/grrfage.html). À titre exceptionnel, ils peuvent également être obtenus par courrier électronique (grrf@unece.org) ou par télécopie (+41 22 917 00 39). Durant la session, les documents officiels peuvent être obtenus auprès de la Section de la distribution des documents de l’ONUG (bureau C.337 au 3</w:t>
      </w:r>
      <w:r w:rsidRPr="000B573A">
        <w:rPr>
          <w:vertAlign w:val="superscript"/>
          <w:lang w:val="fr-FR"/>
        </w:rPr>
        <w:t>e</w:t>
      </w:r>
      <w:r w:rsidRPr="000B573A">
        <w:rPr>
          <w:lang w:val="fr-FR"/>
        </w:rPr>
        <w:t xml:space="preserve"> étage du Palais des Nations). Pour les versions traduites de ces documents officiels, les représentants ont accès au système de diffusion électronique des documents (ODS), ouvert au public à l’adresse suivante</w:t>
      </w:r>
      <w:r w:rsidR="00C325BF" w:rsidRPr="000B573A">
        <w:rPr>
          <w:lang w:val="fr-FR"/>
        </w:rPr>
        <w:t> :</w:t>
      </w:r>
      <w:r w:rsidRPr="000B573A">
        <w:rPr>
          <w:lang w:val="fr-FR"/>
        </w:rPr>
        <w:t xml:space="preserve"> documents.un.org/.</w:t>
      </w:r>
    </w:p>
  </w:footnote>
  <w:footnote w:id="2">
    <w:p w:rsidR="003814AF" w:rsidRPr="000B573A" w:rsidRDefault="003814AF" w:rsidP="00C02728">
      <w:pPr>
        <w:pStyle w:val="FootnoteText"/>
        <w:tabs>
          <w:tab w:val="right" w:pos="1195"/>
          <w:tab w:val="left" w:pos="1267"/>
          <w:tab w:val="left" w:pos="1742"/>
          <w:tab w:val="left" w:pos="2218"/>
          <w:tab w:val="left" w:pos="2693"/>
        </w:tabs>
        <w:ind w:left="1267" w:right="1260" w:hanging="432"/>
        <w:rPr>
          <w:sz w:val="20"/>
          <w:lang w:val="fr-FR"/>
        </w:rPr>
      </w:pPr>
      <w:r w:rsidRPr="000B573A">
        <w:rPr>
          <w:lang w:val="fr-FR"/>
        </w:rPr>
        <w:tab/>
      </w:r>
      <w:r w:rsidRPr="000B573A">
        <w:rPr>
          <w:rStyle w:val="FootnoteReference"/>
          <w:lang w:val="fr-FR"/>
        </w:rPr>
        <w:footnoteRef/>
      </w:r>
      <w:r w:rsidRPr="000B573A">
        <w:rPr>
          <w:lang w:val="fr-FR"/>
        </w:rPr>
        <w:tab/>
        <w:t>Les représentants sont priés de remplir le formulaire d’inscription disponible sur le site Web de la CEE (https://www2.unece.org/uncdb/app/ext/meeting-registration?id=csDhXs). À leur arrivée au Palais des Nations, ils doivent retirer un badge à la Section de la sécurité et de la sûreté, située au Portail de Pregny (14, avenue de la Paix). En cas de difficulté, ils sont invités à contacter le secrétariat par téléphone (poste 74323). Un plan du Palais des Nations et d’autres renseignements utiles sont disponibles à l’adresse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3814AF" w:rsidTr="00A676C5">
      <w:trPr>
        <w:trHeight w:hRule="exact" w:val="864"/>
        <w:jc w:val="center"/>
      </w:trPr>
      <w:tc>
        <w:tcPr>
          <w:tcW w:w="4882" w:type="dxa"/>
          <w:shd w:val="clear" w:color="auto" w:fill="auto"/>
          <w:vAlign w:val="bottom"/>
        </w:tcPr>
        <w:p w:rsidR="003814AF" w:rsidRPr="00A676C5" w:rsidRDefault="003814AF" w:rsidP="00A676C5">
          <w:pPr>
            <w:pStyle w:val="Header"/>
            <w:spacing w:after="80"/>
            <w:rPr>
              <w:b/>
            </w:rPr>
          </w:pPr>
          <w:r>
            <w:rPr>
              <w:b/>
            </w:rPr>
            <w:fldChar w:fldCharType="begin"/>
          </w:r>
          <w:r>
            <w:rPr>
              <w:b/>
            </w:rPr>
            <w:instrText xml:space="preserve"> DOCVARIABLE "sss1" \* MERGEFORMAT </w:instrText>
          </w:r>
          <w:r>
            <w:rPr>
              <w:b/>
            </w:rPr>
            <w:fldChar w:fldCharType="separate"/>
          </w:r>
          <w:r w:rsidR="00766B35">
            <w:rPr>
              <w:b/>
            </w:rPr>
            <w:t>ECE/TRANS/WP.29/GRRF/2015/16</w:t>
          </w:r>
          <w:r>
            <w:rPr>
              <w:b/>
            </w:rPr>
            <w:fldChar w:fldCharType="end"/>
          </w:r>
        </w:p>
      </w:tc>
      <w:tc>
        <w:tcPr>
          <w:tcW w:w="5127" w:type="dxa"/>
          <w:shd w:val="clear" w:color="auto" w:fill="auto"/>
          <w:vAlign w:val="bottom"/>
        </w:tcPr>
        <w:p w:rsidR="003814AF" w:rsidRDefault="003814AF" w:rsidP="00A676C5">
          <w:pPr>
            <w:pStyle w:val="Header"/>
          </w:pPr>
        </w:p>
      </w:tc>
    </w:tr>
  </w:tbl>
  <w:p w:rsidR="003814AF" w:rsidRPr="00A676C5" w:rsidRDefault="003814AF" w:rsidP="00A67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3814AF" w:rsidTr="00A676C5">
      <w:trPr>
        <w:trHeight w:hRule="exact" w:val="864"/>
        <w:jc w:val="center"/>
      </w:trPr>
      <w:tc>
        <w:tcPr>
          <w:tcW w:w="4882" w:type="dxa"/>
          <w:shd w:val="clear" w:color="auto" w:fill="auto"/>
          <w:vAlign w:val="bottom"/>
        </w:tcPr>
        <w:p w:rsidR="003814AF" w:rsidRDefault="003814AF" w:rsidP="00A676C5">
          <w:pPr>
            <w:pStyle w:val="Header"/>
          </w:pPr>
        </w:p>
      </w:tc>
      <w:tc>
        <w:tcPr>
          <w:tcW w:w="5127" w:type="dxa"/>
          <w:shd w:val="clear" w:color="auto" w:fill="auto"/>
          <w:vAlign w:val="bottom"/>
        </w:tcPr>
        <w:p w:rsidR="003814AF" w:rsidRPr="00A676C5" w:rsidRDefault="003814AF" w:rsidP="00A676C5">
          <w:pPr>
            <w:pStyle w:val="Header"/>
            <w:spacing w:after="80"/>
            <w:jc w:val="right"/>
            <w:rPr>
              <w:b/>
            </w:rPr>
          </w:pPr>
          <w:r>
            <w:rPr>
              <w:b/>
            </w:rPr>
            <w:fldChar w:fldCharType="begin"/>
          </w:r>
          <w:r>
            <w:rPr>
              <w:b/>
            </w:rPr>
            <w:instrText xml:space="preserve"> DOCVARIABLE "sss1" \* MERGEFORMAT </w:instrText>
          </w:r>
          <w:r>
            <w:rPr>
              <w:b/>
            </w:rPr>
            <w:fldChar w:fldCharType="separate"/>
          </w:r>
          <w:r w:rsidR="00766B35">
            <w:rPr>
              <w:b/>
            </w:rPr>
            <w:t>ECE/TRANS/WP.29/GRRF/2015/16</w:t>
          </w:r>
          <w:r>
            <w:rPr>
              <w:b/>
            </w:rPr>
            <w:fldChar w:fldCharType="end"/>
          </w:r>
        </w:p>
      </w:tc>
    </w:tr>
  </w:tbl>
  <w:p w:rsidR="003814AF" w:rsidRPr="00A676C5" w:rsidRDefault="003814AF" w:rsidP="00A67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814AF" w:rsidTr="00A676C5">
      <w:trPr>
        <w:trHeight w:hRule="exact" w:val="864"/>
      </w:trPr>
      <w:tc>
        <w:tcPr>
          <w:tcW w:w="1267" w:type="dxa"/>
          <w:tcBorders>
            <w:bottom w:val="single" w:sz="4" w:space="0" w:color="auto"/>
          </w:tcBorders>
          <w:shd w:val="clear" w:color="auto" w:fill="auto"/>
          <w:vAlign w:val="bottom"/>
        </w:tcPr>
        <w:p w:rsidR="003814AF" w:rsidRDefault="003814AF" w:rsidP="00A676C5">
          <w:pPr>
            <w:pStyle w:val="Header"/>
            <w:spacing w:after="120"/>
          </w:pPr>
        </w:p>
      </w:tc>
      <w:tc>
        <w:tcPr>
          <w:tcW w:w="2059" w:type="dxa"/>
          <w:tcBorders>
            <w:bottom w:val="single" w:sz="4" w:space="0" w:color="auto"/>
          </w:tcBorders>
          <w:shd w:val="clear" w:color="auto" w:fill="auto"/>
          <w:vAlign w:val="bottom"/>
        </w:tcPr>
        <w:p w:rsidR="003814AF" w:rsidRPr="00A676C5" w:rsidRDefault="003814AF" w:rsidP="00A676C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814AF" w:rsidRDefault="003814AF" w:rsidP="00A676C5">
          <w:pPr>
            <w:pStyle w:val="Header"/>
            <w:spacing w:after="120"/>
          </w:pPr>
        </w:p>
      </w:tc>
      <w:tc>
        <w:tcPr>
          <w:tcW w:w="6653" w:type="dxa"/>
          <w:gridSpan w:val="4"/>
          <w:tcBorders>
            <w:bottom w:val="single" w:sz="4" w:space="0" w:color="auto"/>
          </w:tcBorders>
          <w:shd w:val="clear" w:color="auto" w:fill="auto"/>
          <w:vAlign w:val="bottom"/>
        </w:tcPr>
        <w:p w:rsidR="003814AF" w:rsidRPr="00A676C5" w:rsidRDefault="003814AF" w:rsidP="00A676C5">
          <w:pPr>
            <w:spacing w:after="80" w:line="240" w:lineRule="auto"/>
            <w:jc w:val="right"/>
            <w:rPr>
              <w:position w:val="-4"/>
            </w:rPr>
          </w:pPr>
          <w:r>
            <w:rPr>
              <w:position w:val="-4"/>
              <w:sz w:val="40"/>
            </w:rPr>
            <w:t>ECE</w:t>
          </w:r>
          <w:r>
            <w:rPr>
              <w:position w:val="-4"/>
            </w:rPr>
            <w:t>/TRANS/WP.29/GRRF/2015/16</w:t>
          </w:r>
        </w:p>
      </w:tc>
    </w:tr>
    <w:tr w:rsidR="003814AF" w:rsidRPr="008422A7" w:rsidTr="00A676C5">
      <w:trPr>
        <w:gridAfter w:val="1"/>
        <w:wAfter w:w="18" w:type="dxa"/>
        <w:trHeight w:hRule="exact" w:val="2880"/>
      </w:trPr>
      <w:tc>
        <w:tcPr>
          <w:tcW w:w="1267" w:type="dxa"/>
          <w:tcBorders>
            <w:top w:val="single" w:sz="4" w:space="0" w:color="auto"/>
            <w:bottom w:val="single" w:sz="12" w:space="0" w:color="auto"/>
          </w:tcBorders>
          <w:shd w:val="clear" w:color="auto" w:fill="auto"/>
        </w:tcPr>
        <w:p w:rsidR="003814AF" w:rsidRPr="00A676C5" w:rsidRDefault="003814AF" w:rsidP="00A676C5">
          <w:pPr>
            <w:pStyle w:val="Header"/>
            <w:spacing w:before="120" w:line="240" w:lineRule="auto"/>
            <w:ind w:left="-72"/>
            <w:jc w:val="center"/>
          </w:pPr>
          <w:r>
            <w:t xml:space="preserve">  </w:t>
          </w:r>
          <w:r>
            <w:rPr>
              <w:noProof/>
              <w:lang w:val="en-GB" w:eastAsia="en-GB"/>
            </w:rPr>
            <w:drawing>
              <wp:inline distT="0" distB="0" distL="0" distR="0" wp14:anchorId="3049E507" wp14:editId="1DE3FF7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14AF" w:rsidRPr="00A676C5" w:rsidRDefault="003814AF" w:rsidP="00A676C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814AF" w:rsidRPr="00A676C5" w:rsidRDefault="003814AF" w:rsidP="00A676C5">
          <w:pPr>
            <w:pStyle w:val="Header"/>
            <w:spacing w:before="109"/>
          </w:pPr>
        </w:p>
      </w:tc>
      <w:tc>
        <w:tcPr>
          <w:tcW w:w="3280" w:type="dxa"/>
          <w:tcBorders>
            <w:top w:val="single" w:sz="4" w:space="0" w:color="auto"/>
            <w:bottom w:val="single" w:sz="12" w:space="0" w:color="auto"/>
          </w:tcBorders>
          <w:shd w:val="clear" w:color="auto" w:fill="auto"/>
        </w:tcPr>
        <w:p w:rsidR="003814AF" w:rsidRPr="008422A7" w:rsidRDefault="003814AF" w:rsidP="00A676C5">
          <w:pPr>
            <w:pStyle w:val="Distribution"/>
            <w:rPr>
              <w:color w:val="000000"/>
              <w:lang w:val="fr-CH"/>
            </w:rPr>
          </w:pPr>
          <w:r w:rsidRPr="008422A7">
            <w:rPr>
              <w:color w:val="000000"/>
              <w:lang w:val="fr-CH"/>
            </w:rPr>
            <w:t>Distr. générale</w:t>
          </w:r>
        </w:p>
        <w:p w:rsidR="003814AF" w:rsidRPr="008422A7" w:rsidRDefault="003814AF" w:rsidP="00A676C5">
          <w:pPr>
            <w:pStyle w:val="Publication"/>
            <w:rPr>
              <w:color w:val="000000"/>
              <w:lang w:val="fr-CH"/>
            </w:rPr>
          </w:pPr>
          <w:r w:rsidRPr="008422A7">
            <w:rPr>
              <w:color w:val="000000"/>
              <w:lang w:val="fr-CH"/>
            </w:rPr>
            <w:t>24 juin 2015</w:t>
          </w:r>
        </w:p>
        <w:p w:rsidR="003814AF" w:rsidRPr="008422A7" w:rsidRDefault="003814AF" w:rsidP="00A676C5">
          <w:pPr>
            <w:rPr>
              <w:lang w:val="fr-CH"/>
            </w:rPr>
          </w:pPr>
          <w:r w:rsidRPr="008422A7">
            <w:rPr>
              <w:lang w:val="fr-CH"/>
            </w:rPr>
            <w:t>Français</w:t>
          </w:r>
        </w:p>
        <w:p w:rsidR="003814AF" w:rsidRPr="008422A7" w:rsidRDefault="003814AF" w:rsidP="00A676C5">
          <w:pPr>
            <w:pStyle w:val="Original"/>
            <w:rPr>
              <w:color w:val="000000"/>
              <w:lang w:val="fr-CH"/>
            </w:rPr>
          </w:pPr>
          <w:r w:rsidRPr="008422A7">
            <w:rPr>
              <w:color w:val="000000"/>
              <w:lang w:val="fr-CH"/>
            </w:rPr>
            <w:t>Original : anglais</w:t>
          </w:r>
        </w:p>
      </w:tc>
    </w:tr>
  </w:tbl>
  <w:p w:rsidR="003814AF" w:rsidRPr="008422A7" w:rsidRDefault="003814AF" w:rsidP="00A676C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2048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379*"/>
    <w:docVar w:name="CreationDt" w:val="7/1/2015 9:38: AM"/>
    <w:docVar w:name="DocCategory" w:val="Doc"/>
    <w:docVar w:name="DocType" w:val="Final"/>
    <w:docVar w:name="DutyStation" w:val="Geneva"/>
    <w:docVar w:name="FooterJN" w:val="GE. 15-10379"/>
    <w:docVar w:name="jobn" w:val="GE. 15-10379 (F)"/>
    <w:docVar w:name="jobnDT" w:val="GE. 15-10379 (F)   010715"/>
    <w:docVar w:name="jobnDTDT" w:val="GE. 15-10379 (F)   010715   010715"/>
    <w:docVar w:name="JobNo" w:val="GE. 1510379F"/>
    <w:docVar w:name="JobNo2" w:val="GE. 1513280F"/>
    <w:docVar w:name="LocalDrive" w:val="0"/>
    <w:docVar w:name="OandT" w:val="Beysard"/>
    <w:docVar w:name="PaperSize" w:val="A4"/>
    <w:docVar w:name="sss1" w:val="ECE/TRANS/WP.29/GRRF/2015/16"/>
    <w:docVar w:name="sss2" w:val="-"/>
    <w:docVar w:name="Symbol1" w:val="ECE/TRANS/WP.29/GRRF/2015/16"/>
    <w:docVar w:name="Symbol2" w:val="-"/>
  </w:docVars>
  <w:rsids>
    <w:rsidRoot w:val="0044752F"/>
    <w:rsid w:val="000015B8"/>
    <w:rsid w:val="000046A5"/>
    <w:rsid w:val="000055FB"/>
    <w:rsid w:val="00005645"/>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73A"/>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4A86"/>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4CD1"/>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24F7"/>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14A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36A8"/>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4752F"/>
    <w:rsid w:val="00450D24"/>
    <w:rsid w:val="00452DA5"/>
    <w:rsid w:val="00453DAB"/>
    <w:rsid w:val="004548AC"/>
    <w:rsid w:val="00455176"/>
    <w:rsid w:val="00455E42"/>
    <w:rsid w:val="004562BC"/>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E8B"/>
    <w:rsid w:val="00520271"/>
    <w:rsid w:val="00520B7B"/>
    <w:rsid w:val="0052227A"/>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3C79"/>
    <w:rsid w:val="00617EBE"/>
    <w:rsid w:val="0062117B"/>
    <w:rsid w:val="00622055"/>
    <w:rsid w:val="00624E1A"/>
    <w:rsid w:val="00631CFA"/>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8D2"/>
    <w:rsid w:val="006A0B3D"/>
    <w:rsid w:val="006A2F71"/>
    <w:rsid w:val="006A5910"/>
    <w:rsid w:val="006B1ABC"/>
    <w:rsid w:val="006B64BE"/>
    <w:rsid w:val="006C1A92"/>
    <w:rsid w:val="006C3BDD"/>
    <w:rsid w:val="006C449D"/>
    <w:rsid w:val="006D0C9B"/>
    <w:rsid w:val="006D1115"/>
    <w:rsid w:val="006D1B76"/>
    <w:rsid w:val="006D2F24"/>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6B35"/>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1EB"/>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EC0"/>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2A7"/>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3CC"/>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4EC3"/>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676C5"/>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10E"/>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0D3"/>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2728"/>
    <w:rsid w:val="00C03721"/>
    <w:rsid w:val="00C05291"/>
    <w:rsid w:val="00C06025"/>
    <w:rsid w:val="00C115C1"/>
    <w:rsid w:val="00C118DD"/>
    <w:rsid w:val="00C13C81"/>
    <w:rsid w:val="00C14A5C"/>
    <w:rsid w:val="00C14B0A"/>
    <w:rsid w:val="00C23EFE"/>
    <w:rsid w:val="00C26CD3"/>
    <w:rsid w:val="00C3047B"/>
    <w:rsid w:val="00C30749"/>
    <w:rsid w:val="00C3163F"/>
    <w:rsid w:val="00C325BF"/>
    <w:rsid w:val="00C35E4D"/>
    <w:rsid w:val="00C436F7"/>
    <w:rsid w:val="00C45692"/>
    <w:rsid w:val="00C46175"/>
    <w:rsid w:val="00C47E57"/>
    <w:rsid w:val="00C55B02"/>
    <w:rsid w:val="00C56142"/>
    <w:rsid w:val="00C56B3A"/>
    <w:rsid w:val="00C56EFE"/>
    <w:rsid w:val="00C57846"/>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68A3"/>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189B"/>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1D5F"/>
    <w:rsid w:val="00F64004"/>
    <w:rsid w:val="00F642D3"/>
    <w:rsid w:val="00F6557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5D32"/>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676C5"/>
    <w:rPr>
      <w:sz w:val="16"/>
      <w:szCs w:val="16"/>
    </w:rPr>
  </w:style>
  <w:style w:type="paragraph" w:styleId="CommentText">
    <w:name w:val="annotation text"/>
    <w:basedOn w:val="Normal"/>
    <w:link w:val="CommentTextChar"/>
    <w:uiPriority w:val="99"/>
    <w:semiHidden/>
    <w:unhideWhenUsed/>
    <w:rsid w:val="00A676C5"/>
    <w:pPr>
      <w:spacing w:line="240" w:lineRule="auto"/>
    </w:pPr>
    <w:rPr>
      <w:szCs w:val="20"/>
    </w:rPr>
  </w:style>
  <w:style w:type="character" w:customStyle="1" w:styleId="CommentTextChar">
    <w:name w:val="Comment Text Char"/>
    <w:basedOn w:val="DefaultParagraphFont"/>
    <w:link w:val="CommentText"/>
    <w:uiPriority w:val="99"/>
    <w:semiHidden/>
    <w:rsid w:val="00A676C5"/>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676C5"/>
    <w:rPr>
      <w:b/>
      <w:bCs/>
    </w:rPr>
  </w:style>
  <w:style w:type="character" w:customStyle="1" w:styleId="CommentSubjectChar">
    <w:name w:val="Comment Subject Char"/>
    <w:basedOn w:val="CommentTextChar"/>
    <w:link w:val="CommentSubject"/>
    <w:uiPriority w:val="99"/>
    <w:semiHidden/>
    <w:rsid w:val="00A676C5"/>
    <w:rPr>
      <w:rFonts w:ascii="Times New Roman" w:hAnsi="Times New Roman"/>
      <w:b/>
      <w:bCs/>
      <w:spacing w:val="4"/>
      <w:w w:val="103"/>
      <w:kern w:val="14"/>
    </w:rPr>
  </w:style>
  <w:style w:type="character" w:styleId="Hyperlink">
    <w:name w:val="Hyperlink"/>
    <w:basedOn w:val="DefaultParagraphFont"/>
    <w:uiPriority w:val="99"/>
    <w:unhideWhenUsed/>
    <w:rsid w:val="00CA68A3"/>
    <w:rPr>
      <w:color w:val="0000FF" w:themeColor="hyperlink"/>
      <w:u w:val="none"/>
    </w:rPr>
  </w:style>
  <w:style w:type="character" w:styleId="FollowedHyperlink">
    <w:name w:val="FollowedHyperlink"/>
    <w:basedOn w:val="DefaultParagraphFont"/>
    <w:uiPriority w:val="99"/>
    <w:semiHidden/>
    <w:unhideWhenUsed/>
    <w:rsid w:val="00CA68A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676C5"/>
    <w:rPr>
      <w:sz w:val="16"/>
      <w:szCs w:val="16"/>
    </w:rPr>
  </w:style>
  <w:style w:type="paragraph" w:styleId="CommentText">
    <w:name w:val="annotation text"/>
    <w:basedOn w:val="Normal"/>
    <w:link w:val="CommentTextChar"/>
    <w:uiPriority w:val="99"/>
    <w:semiHidden/>
    <w:unhideWhenUsed/>
    <w:rsid w:val="00A676C5"/>
    <w:pPr>
      <w:spacing w:line="240" w:lineRule="auto"/>
    </w:pPr>
    <w:rPr>
      <w:szCs w:val="20"/>
    </w:rPr>
  </w:style>
  <w:style w:type="character" w:customStyle="1" w:styleId="CommentTextChar">
    <w:name w:val="Comment Text Char"/>
    <w:basedOn w:val="DefaultParagraphFont"/>
    <w:link w:val="CommentText"/>
    <w:uiPriority w:val="99"/>
    <w:semiHidden/>
    <w:rsid w:val="00A676C5"/>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676C5"/>
    <w:rPr>
      <w:b/>
      <w:bCs/>
    </w:rPr>
  </w:style>
  <w:style w:type="character" w:customStyle="1" w:styleId="CommentSubjectChar">
    <w:name w:val="Comment Subject Char"/>
    <w:basedOn w:val="CommentTextChar"/>
    <w:link w:val="CommentSubject"/>
    <w:uiPriority w:val="99"/>
    <w:semiHidden/>
    <w:rsid w:val="00A676C5"/>
    <w:rPr>
      <w:rFonts w:ascii="Times New Roman" w:hAnsi="Times New Roman"/>
      <w:b/>
      <w:bCs/>
      <w:spacing w:val="4"/>
      <w:w w:val="103"/>
      <w:kern w:val="14"/>
    </w:rPr>
  </w:style>
  <w:style w:type="character" w:styleId="Hyperlink">
    <w:name w:val="Hyperlink"/>
    <w:basedOn w:val="DefaultParagraphFont"/>
    <w:uiPriority w:val="99"/>
    <w:unhideWhenUsed/>
    <w:rsid w:val="00CA68A3"/>
    <w:rPr>
      <w:color w:val="0000FF" w:themeColor="hyperlink"/>
      <w:u w:val="none"/>
    </w:rPr>
  </w:style>
  <w:style w:type="character" w:styleId="FollowedHyperlink">
    <w:name w:val="FollowedHyperlink"/>
    <w:basedOn w:val="DefaultParagraphFont"/>
    <w:uiPriority w:val="99"/>
    <w:semiHidden/>
    <w:unhideWhenUsed/>
    <w:rsid w:val="00CA68A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ECE/TRANS/WP.29/GRRF/2015/2" TargetMode="External"/><Relationship Id="rId26" Type="http://schemas.openxmlformats.org/officeDocument/2006/relationships/hyperlink" Target="http://undocs.org/fr/ECE/TRANS/WP.29/GRRF/2015/12" TargetMode="External"/><Relationship Id="rId3" Type="http://schemas.openxmlformats.org/officeDocument/2006/relationships/styles" Target="styles.xml"/><Relationship Id="rId21" Type="http://schemas.openxmlformats.org/officeDocument/2006/relationships/hyperlink" Target="http://undocs.org/fr/ECE/TRANS/WP.29/GRRF/2015/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TRANS/WP.29/GRRF/2013/18" TargetMode="External"/><Relationship Id="rId25" Type="http://schemas.openxmlformats.org/officeDocument/2006/relationships/hyperlink" Target="http://undocs.org/fr/ECE/TRANS/WP.29/GRRF/2014/12" TargetMode="External"/><Relationship Id="rId2" Type="http://schemas.openxmlformats.org/officeDocument/2006/relationships/numbering" Target="numbering.xml"/><Relationship Id="rId16" Type="http://schemas.openxmlformats.org/officeDocument/2006/relationships/hyperlink" Target="http://undocs.org/fr/ECE/TRANS/WP.29/GRRF/2013/17" TargetMode="External"/><Relationship Id="rId20" Type="http://schemas.openxmlformats.org/officeDocument/2006/relationships/hyperlink" Target="http://undocs.org/fr/ECE/TRANS/WP.29/GRSG/201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ECE/TRANS/WP.29/GRRF/2014/1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ECE/TRANS/WP.29/GRRF/2014/10" TargetMode="External"/><Relationship Id="rId28" Type="http://schemas.openxmlformats.org/officeDocument/2006/relationships/hyperlink" Target="http://undocs.org/fr/TRANS/WP.29/690" TargetMode="External"/><Relationship Id="rId10" Type="http://schemas.openxmlformats.org/officeDocument/2006/relationships/header" Target="header2.xml"/><Relationship Id="rId19" Type="http://schemas.openxmlformats.org/officeDocument/2006/relationships/hyperlink" Target="http://undocs.org/fr/ECE/TRANS/WP.29/GRRF/2015/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ECE/TRANS/WP.29/GRRF/2014/13" TargetMode="External"/><Relationship Id="rId27" Type="http://schemas.openxmlformats.org/officeDocument/2006/relationships/hyperlink" Target="http://undocs.org/fr/ECE/TRANS/WP.29/GRRF/2015/13"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B34D-4EDB-4240-9A51-A58A7A6F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Benedicte Boudol</cp:lastModifiedBy>
  <cp:revision>2</cp:revision>
  <cp:lastPrinted>2015-07-01T12:58:00Z</cp:lastPrinted>
  <dcterms:created xsi:type="dcterms:W3CDTF">2015-07-09T08:27:00Z</dcterms:created>
  <dcterms:modified xsi:type="dcterms:W3CDTF">2015-07-09T08:27:00Z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1510379F</vt:lpwstr>
  </property>
  <property fmtid="{D5CDD505-2E9C-101B-9397-08002B2CF9AE}" pid="3" name="ODSRefJobNo">
    <vt:lpwstr>1513280F</vt:lpwstr>
  </property>
  <property fmtid="{D5CDD505-2E9C-101B-9397-08002B2CF9AE}" pid="4" name="Symbol1">
    <vt:lpwstr>ECE/TRANS/WP.29/GRRF/2015/16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juin 2015</vt:lpwstr>
  </property>
  <property fmtid="{D5CDD505-2E9C-101B-9397-08002B2CF9AE}" pid="9" name="Original">
    <vt:lpwstr>anglais</vt:lpwstr>
  </property>
  <property fmtid="{D5CDD505-2E9C-101B-9397-08002B2CF9AE}" pid="10" name="Release Date">
    <vt:lpwstr>010715</vt:lpwstr>
  </property>
  <property fmtid="{D5CDD505-2E9C-101B-9397-08002B2CF9AE}" pid="11" name="Comment">
    <vt:lpwstr/>
  </property>
  <property fmtid="{D5CDD505-2E9C-101B-9397-08002B2CF9AE}" pid="12" name="DraftPages">
    <vt:lpwstr> </vt:lpwstr>
  </property>
  <property fmtid="{D5CDD505-2E9C-101B-9397-08002B2CF9AE}" pid="13" name="Operator">
    <vt:lpwstr>Beysard</vt:lpwstr>
  </property>
</Properties>
</file>