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584BCA">
            <w:bookmarkStart w:id="0" w:name="_GoBack"/>
            <w:bookmarkEnd w:id="0"/>
          </w:p>
        </w:tc>
        <w:tc>
          <w:tcPr>
            <w:tcW w:w="2268" w:type="dxa"/>
            <w:tcBorders>
              <w:bottom w:val="single" w:sz="4" w:space="0" w:color="auto"/>
            </w:tcBorders>
            <w:vAlign w:val="bottom"/>
          </w:tcPr>
          <w:p w:rsidR="00F35BAF" w:rsidRPr="00DB58B5" w:rsidRDefault="00F35BAF" w:rsidP="003F4D9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84BCA" w:rsidP="00584BCA">
            <w:pPr>
              <w:jc w:val="right"/>
            </w:pPr>
            <w:r w:rsidRPr="00584BCA">
              <w:rPr>
                <w:sz w:val="40"/>
              </w:rPr>
              <w:t>ECE</w:t>
            </w:r>
            <w:r>
              <w:t>/TRANS/WP.29/GRPE/70</w:t>
            </w:r>
          </w:p>
        </w:tc>
      </w:tr>
      <w:tr w:rsidR="00F35BAF" w:rsidRPr="00DB58B5" w:rsidTr="003F4D9D">
        <w:trPr>
          <w:trHeight w:hRule="exact" w:val="2835"/>
        </w:trPr>
        <w:tc>
          <w:tcPr>
            <w:tcW w:w="1276" w:type="dxa"/>
            <w:tcBorders>
              <w:top w:val="single" w:sz="4" w:space="0" w:color="auto"/>
              <w:bottom w:val="single" w:sz="12" w:space="0" w:color="auto"/>
            </w:tcBorders>
          </w:tcPr>
          <w:p w:rsidR="00F35BAF" w:rsidRPr="00DB58B5" w:rsidRDefault="00F35BAF" w:rsidP="003F4D9D">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3F4D9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84BCA" w:rsidP="003F4D9D">
            <w:pPr>
              <w:spacing w:before="240"/>
            </w:pPr>
            <w:r>
              <w:t>Distr. générale</w:t>
            </w:r>
          </w:p>
          <w:p w:rsidR="00584BCA" w:rsidRDefault="00584BCA" w:rsidP="00584BCA">
            <w:pPr>
              <w:spacing w:line="240" w:lineRule="exact"/>
            </w:pPr>
            <w:r>
              <w:t>30 mars 2015</w:t>
            </w:r>
          </w:p>
          <w:p w:rsidR="00584BCA" w:rsidRDefault="00584BCA" w:rsidP="00584BCA">
            <w:pPr>
              <w:spacing w:line="240" w:lineRule="exact"/>
            </w:pPr>
            <w:r>
              <w:t>Français</w:t>
            </w:r>
          </w:p>
          <w:p w:rsidR="00584BCA" w:rsidRPr="00DB58B5" w:rsidRDefault="00584BCA" w:rsidP="00584BCA">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w:t>
      </w:r>
      <w:r w:rsidR="001844C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2418A3" w:rsidRDefault="002418A3" w:rsidP="00AF0CB5">
      <w:pPr>
        <w:spacing w:before="120"/>
        <w:rPr>
          <w:b/>
          <w:sz w:val="24"/>
          <w:szCs w:val="24"/>
        </w:rPr>
      </w:pPr>
      <w:r w:rsidRPr="00685843">
        <w:rPr>
          <w:b/>
          <w:sz w:val="24"/>
          <w:szCs w:val="24"/>
        </w:rPr>
        <w:t>Forum mondial de l</w:t>
      </w:r>
      <w:r w:rsidR="001844C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418A3" w:rsidRDefault="002418A3" w:rsidP="00257168">
      <w:pPr>
        <w:spacing w:before="120" w:after="120" w:line="240" w:lineRule="exact"/>
        <w:rPr>
          <w:b/>
        </w:rPr>
      </w:pPr>
      <w:r>
        <w:rPr>
          <w:b/>
        </w:rPr>
        <w:t>Groupe de travail de la pollution et de l</w:t>
      </w:r>
      <w:r w:rsidR="001844C7">
        <w:rPr>
          <w:b/>
        </w:rPr>
        <w:t>’</w:t>
      </w:r>
      <w:r>
        <w:rPr>
          <w:b/>
        </w:rPr>
        <w:t>énergie</w:t>
      </w:r>
    </w:p>
    <w:p w:rsidR="002418A3" w:rsidRDefault="00584BCA" w:rsidP="00257168">
      <w:pPr>
        <w:spacing w:before="120" w:line="240" w:lineRule="exact"/>
        <w:rPr>
          <w:b/>
        </w:rPr>
      </w:pPr>
      <w:r>
        <w:rPr>
          <w:b/>
        </w:rPr>
        <w:t>Soixante-dixième</w:t>
      </w:r>
      <w:r w:rsidR="002418A3">
        <w:rPr>
          <w:b/>
        </w:rPr>
        <w:t xml:space="preserve"> session</w:t>
      </w:r>
    </w:p>
    <w:p w:rsidR="002418A3" w:rsidRDefault="00584BCA" w:rsidP="00257168">
      <w:pPr>
        <w:spacing w:line="240" w:lineRule="exact"/>
      </w:pPr>
      <w:r>
        <w:t>Genève, 13-16 janvier 2015</w:t>
      </w:r>
    </w:p>
    <w:p w:rsidR="00F9573C" w:rsidRDefault="00584BCA" w:rsidP="00584BCA">
      <w:pPr>
        <w:pStyle w:val="HChG"/>
      </w:pPr>
      <w:r>
        <w:tab/>
      </w:r>
      <w:r>
        <w:tab/>
      </w:r>
      <w:r w:rsidRPr="001825DB">
        <w:t>Rapport du Groupe de travail de la pollution et de l</w:t>
      </w:r>
      <w:r w:rsidR="001844C7">
        <w:t>’</w:t>
      </w:r>
      <w:r w:rsidRPr="001825DB">
        <w:t>énergie (GRPE) sur sa soixante-dixième session</w:t>
      </w:r>
    </w:p>
    <w:p w:rsidR="00584BCA" w:rsidRPr="00584BCA" w:rsidRDefault="00584BCA" w:rsidP="00584BCA">
      <w:pPr>
        <w:spacing w:after="120"/>
        <w:rPr>
          <w:sz w:val="28"/>
        </w:rPr>
      </w:pPr>
      <w:r w:rsidRPr="00584BCA">
        <w:rPr>
          <w:sz w:val="28"/>
        </w:rPr>
        <w:t>Table des matières</w:t>
      </w:r>
    </w:p>
    <w:p w:rsidR="00584BCA" w:rsidRPr="00584BCA" w:rsidRDefault="00584BCA" w:rsidP="00584BCA">
      <w:pPr>
        <w:tabs>
          <w:tab w:val="right" w:pos="8929"/>
          <w:tab w:val="right" w:pos="9638"/>
        </w:tabs>
        <w:spacing w:after="120"/>
        <w:ind w:left="283"/>
        <w:rPr>
          <w:i/>
          <w:sz w:val="18"/>
        </w:rPr>
      </w:pPr>
      <w:r w:rsidRPr="00584BCA">
        <w:rPr>
          <w:i/>
          <w:sz w:val="18"/>
        </w:rPr>
        <w:tab/>
        <w:t>Paragraphes</w:t>
      </w:r>
      <w:r w:rsidRPr="00584BCA">
        <w:rPr>
          <w:i/>
          <w:sz w:val="18"/>
        </w:rPr>
        <w:tab/>
        <w:t>Page</w:t>
      </w:r>
    </w:p>
    <w:p w:rsidR="00584BCA" w:rsidRDefault="00584BCA" w:rsidP="00584BCA">
      <w:pPr>
        <w:tabs>
          <w:tab w:val="right" w:pos="850"/>
          <w:tab w:val="right" w:leader="dot" w:pos="7654"/>
          <w:tab w:val="right" w:pos="8929"/>
          <w:tab w:val="right" w:pos="9638"/>
        </w:tabs>
        <w:spacing w:after="120"/>
        <w:ind w:left="1134" w:hanging="1134"/>
      </w:pPr>
      <w:r>
        <w:tab/>
        <w:t>I.</w:t>
      </w:r>
      <w:r>
        <w:tab/>
      </w:r>
      <w:r w:rsidR="00610DC7">
        <w:t>Participation et déclarations liminaires</w:t>
      </w:r>
      <w:r>
        <w:tab/>
      </w:r>
      <w:r>
        <w:tab/>
      </w:r>
      <w:r w:rsidR="00610DC7">
        <w:t>1−2</w:t>
      </w:r>
      <w:r>
        <w:tab/>
      </w:r>
      <w:r w:rsidR="00DE181B">
        <w:t>4</w:t>
      </w:r>
    </w:p>
    <w:p w:rsidR="00D241DC" w:rsidRDefault="00610DC7" w:rsidP="00584BCA">
      <w:pPr>
        <w:tabs>
          <w:tab w:val="right" w:pos="850"/>
          <w:tab w:val="right" w:leader="dot" w:pos="7654"/>
          <w:tab w:val="right" w:pos="8929"/>
          <w:tab w:val="right" w:pos="9638"/>
        </w:tabs>
        <w:spacing w:after="120"/>
        <w:ind w:left="1134" w:hanging="1134"/>
      </w:pPr>
      <w:r>
        <w:tab/>
        <w:t>II.</w:t>
      </w:r>
      <w:r>
        <w:tab/>
        <w:t>Adoption de l</w:t>
      </w:r>
      <w:r w:rsidR="001844C7">
        <w:t>’</w:t>
      </w:r>
      <w:r>
        <w:t>ordre du jour (point 1 de l</w:t>
      </w:r>
      <w:r w:rsidR="001844C7">
        <w:t>’</w:t>
      </w:r>
      <w:r>
        <w:t>ordre du jour)</w:t>
      </w:r>
      <w:r w:rsidR="00DE181B">
        <w:tab/>
      </w:r>
      <w:r w:rsidR="00DE181B">
        <w:tab/>
        <w:t>3−5</w:t>
      </w:r>
      <w:r w:rsidR="00DE181B">
        <w:tab/>
        <w:t>4</w:t>
      </w:r>
    </w:p>
    <w:p w:rsidR="00610DC7" w:rsidRDefault="00610DC7" w:rsidP="00584BCA">
      <w:pPr>
        <w:tabs>
          <w:tab w:val="right" w:pos="850"/>
          <w:tab w:val="right" w:leader="dot" w:pos="7654"/>
          <w:tab w:val="right" w:pos="8929"/>
          <w:tab w:val="right" w:pos="9638"/>
        </w:tabs>
        <w:spacing w:after="120"/>
        <w:ind w:left="1134" w:hanging="1134"/>
      </w:pPr>
      <w:r>
        <w:tab/>
        <w:t>III.</w:t>
      </w:r>
      <w:r>
        <w:tab/>
        <w:t xml:space="preserve">Rapport de la dernière session du Forum mondial </w:t>
      </w:r>
      <w:r w:rsidRPr="00584BCA">
        <w:rPr>
          <w:spacing w:val="2"/>
        </w:rPr>
        <w:t>de l</w:t>
      </w:r>
      <w:r w:rsidR="001844C7">
        <w:rPr>
          <w:spacing w:val="2"/>
        </w:rPr>
        <w:t>’</w:t>
      </w:r>
      <w:r w:rsidRPr="00584BCA">
        <w:rPr>
          <w:spacing w:val="2"/>
        </w:rPr>
        <w:t>harmonisation</w:t>
      </w:r>
      <w:r>
        <w:rPr>
          <w:spacing w:val="2"/>
        </w:rPr>
        <w:br/>
      </w:r>
      <w:r w:rsidRPr="00584BCA">
        <w:rPr>
          <w:spacing w:val="2"/>
        </w:rPr>
        <w:t>des Règlements concernant</w:t>
      </w:r>
      <w:r>
        <w:t xml:space="preserve"> les véhicules (WP.29) (point 2 de l</w:t>
      </w:r>
      <w:r w:rsidR="001844C7">
        <w:t>’</w:t>
      </w:r>
      <w:r>
        <w:t>ordre du jour)</w:t>
      </w:r>
      <w:r w:rsidR="00DE181B">
        <w:tab/>
      </w:r>
      <w:r w:rsidR="00DE181B">
        <w:tab/>
        <w:t>6</w:t>
      </w:r>
      <w:r w:rsidR="00DE181B">
        <w:tab/>
        <w:t>5</w:t>
      </w:r>
    </w:p>
    <w:p w:rsidR="00610DC7" w:rsidRDefault="00610DC7" w:rsidP="00584BCA">
      <w:pPr>
        <w:tabs>
          <w:tab w:val="right" w:pos="850"/>
          <w:tab w:val="right" w:leader="dot" w:pos="7654"/>
          <w:tab w:val="right" w:pos="8929"/>
          <w:tab w:val="right" w:pos="9638"/>
        </w:tabs>
        <w:spacing w:after="120"/>
        <w:ind w:left="1134" w:hanging="1134"/>
      </w:pPr>
      <w:r>
        <w:tab/>
        <w:t>IV.</w:t>
      </w:r>
      <w:r>
        <w:tab/>
        <w:t>Véhicules légers (point 3 de l</w:t>
      </w:r>
      <w:r w:rsidR="001844C7">
        <w:t>’</w:t>
      </w:r>
      <w:r>
        <w:t>ordre du jour)</w:t>
      </w:r>
      <w:r>
        <w:tab/>
      </w:r>
      <w:r>
        <w:tab/>
        <w:t>7−20</w:t>
      </w:r>
      <w:r>
        <w:tab/>
      </w:r>
      <w:r w:rsidR="00DE181B">
        <w:t>5</w:t>
      </w:r>
    </w:p>
    <w:p w:rsidR="00610DC7" w:rsidRDefault="00610DC7" w:rsidP="00610DC7">
      <w:pPr>
        <w:tabs>
          <w:tab w:val="right" w:leader="dot" w:pos="7654"/>
          <w:tab w:val="right" w:pos="8929"/>
          <w:tab w:val="right" w:pos="9638"/>
        </w:tabs>
        <w:spacing w:after="120"/>
        <w:ind w:left="1559" w:hanging="425"/>
      </w:pPr>
      <w:r>
        <w:t>A.</w:t>
      </w:r>
      <w:r>
        <w:tab/>
      </w:r>
      <w:r w:rsidRPr="00584BCA">
        <w:rPr>
          <w:spacing w:val="-4"/>
        </w:rPr>
        <w:t>Règlements n</w:t>
      </w:r>
      <w:r w:rsidRPr="00584BCA">
        <w:rPr>
          <w:spacing w:val="-4"/>
          <w:vertAlign w:val="superscript"/>
        </w:rPr>
        <w:t>os</w:t>
      </w:r>
      <w:r w:rsidRPr="00584BCA">
        <w:rPr>
          <w:spacing w:val="-4"/>
        </w:rPr>
        <w:t> 68 (Mesure de la vitesse maximale, y compris des véhicules</w:t>
      </w:r>
      <w:r>
        <w:rPr>
          <w:spacing w:val="-4"/>
        </w:rPr>
        <w:br/>
      </w:r>
      <w:r>
        <w:t>électriques purs), 83 (Émissions des véhicules des catégories M1 et N1),</w:t>
      </w:r>
      <w:r>
        <w:br/>
        <w:t>101 (Émissions de CO2/consommation de carburant) et 103 (Dispositifs</w:t>
      </w:r>
      <w:r>
        <w:br/>
        <w:t>antipollution de remplacement)</w:t>
      </w:r>
      <w:r>
        <w:tab/>
      </w:r>
      <w:r>
        <w:tab/>
        <w:t>7−14</w:t>
      </w:r>
      <w:r>
        <w:tab/>
      </w:r>
      <w:r w:rsidR="00DE181B">
        <w:t>5</w:t>
      </w:r>
    </w:p>
    <w:p w:rsidR="00610DC7" w:rsidRDefault="00610DC7" w:rsidP="00610DC7">
      <w:pPr>
        <w:tabs>
          <w:tab w:val="right" w:leader="dot" w:pos="7654"/>
          <w:tab w:val="right" w:pos="8929"/>
          <w:tab w:val="right" w:pos="9638"/>
        </w:tabs>
        <w:spacing w:after="120"/>
        <w:ind w:left="1559" w:hanging="425"/>
      </w:pPr>
      <w:r>
        <w:t>B.</w:t>
      </w:r>
      <w:r>
        <w:tab/>
        <w:t>Règlement technique mondial n</w:t>
      </w:r>
      <w:r w:rsidRPr="00610DC7">
        <w:t>o</w:t>
      </w:r>
      <w:r>
        <w:t> 15 sur la procédure d</w:t>
      </w:r>
      <w:r w:rsidR="001844C7">
        <w:t>’</w:t>
      </w:r>
      <w:r>
        <w:t>essai mondiale</w:t>
      </w:r>
      <w:r>
        <w:br/>
        <w:t>harmonisée pour les voitures particulières et les véhicules utilitaires</w:t>
      </w:r>
      <w:r>
        <w:br/>
        <w:t>légers (WLTP)</w:t>
      </w:r>
      <w:r>
        <w:tab/>
      </w:r>
      <w:r>
        <w:tab/>
        <w:t>15−20</w:t>
      </w:r>
      <w:r>
        <w:tab/>
      </w:r>
      <w:r w:rsidR="00DE181B">
        <w:t>6</w:t>
      </w:r>
    </w:p>
    <w:p w:rsidR="00610DC7" w:rsidRDefault="00610DC7" w:rsidP="00610DC7">
      <w:pPr>
        <w:tabs>
          <w:tab w:val="right" w:pos="850"/>
          <w:tab w:val="right" w:leader="dot" w:pos="7654"/>
          <w:tab w:val="right" w:pos="8929"/>
          <w:tab w:val="right" w:pos="9638"/>
        </w:tabs>
        <w:spacing w:after="120"/>
        <w:ind w:left="1134" w:hanging="1134"/>
      </w:pPr>
      <w:r>
        <w:tab/>
        <w:t>V.</w:t>
      </w:r>
      <w:r>
        <w:tab/>
        <w:t>Véhicules utilitaires lourds (point 4 de l</w:t>
      </w:r>
      <w:r w:rsidR="001844C7">
        <w:t>’</w:t>
      </w:r>
      <w:r>
        <w:t>ordre du jour)</w:t>
      </w:r>
      <w:r>
        <w:tab/>
      </w:r>
      <w:r>
        <w:tab/>
        <w:t>21−2</w:t>
      </w:r>
      <w:r w:rsidR="00DE181B">
        <w:t>3</w:t>
      </w:r>
      <w:r w:rsidR="00DE181B">
        <w:tab/>
        <w:t>7</w:t>
      </w:r>
    </w:p>
    <w:p w:rsidR="00610DC7" w:rsidRDefault="00610DC7" w:rsidP="00610DC7">
      <w:pPr>
        <w:tabs>
          <w:tab w:val="right" w:leader="dot" w:pos="7654"/>
          <w:tab w:val="right" w:pos="8929"/>
          <w:tab w:val="right" w:pos="9638"/>
        </w:tabs>
        <w:spacing w:after="120"/>
        <w:ind w:left="1559" w:hanging="425"/>
      </w:pPr>
      <w:r>
        <w:t>A.</w:t>
      </w:r>
      <w:r>
        <w:tab/>
        <w:t>Règlements n</w:t>
      </w:r>
      <w:r w:rsidRPr="00100141">
        <w:rPr>
          <w:vertAlign w:val="superscript"/>
        </w:rPr>
        <w:t>o</w:t>
      </w:r>
      <w:r>
        <w:rPr>
          <w:vertAlign w:val="superscript"/>
        </w:rPr>
        <w:t>s</w:t>
      </w:r>
      <w:r>
        <w:t> 49 (Émissions des moteurs à allumage par compression</w:t>
      </w:r>
      <w:r>
        <w:br/>
        <w:t>et des moteurs à allumage commandé (GPL et GNC)) et 132 (Dispositifs</w:t>
      </w:r>
      <w:r>
        <w:br/>
        <w:t>antipollution non montés d</w:t>
      </w:r>
      <w:r w:rsidR="001844C7">
        <w:t>’</w:t>
      </w:r>
      <w:r>
        <w:t>origine (REC))</w:t>
      </w:r>
      <w:r>
        <w:tab/>
      </w:r>
      <w:r>
        <w:tab/>
        <w:t>2</w:t>
      </w:r>
      <w:r w:rsidR="00DE181B">
        <w:t>1</w:t>
      </w:r>
      <w:r w:rsidR="00DE181B">
        <w:tab/>
        <w:t>7</w:t>
      </w:r>
    </w:p>
    <w:p w:rsidR="00610DC7" w:rsidRDefault="00610DC7" w:rsidP="00A24653">
      <w:pPr>
        <w:keepNext/>
        <w:keepLines/>
        <w:tabs>
          <w:tab w:val="right" w:leader="dot" w:pos="7654"/>
          <w:tab w:val="right" w:pos="8929"/>
          <w:tab w:val="right" w:pos="9638"/>
        </w:tabs>
        <w:spacing w:after="120"/>
        <w:ind w:left="1559" w:hanging="425"/>
      </w:pPr>
      <w:r>
        <w:lastRenderedPageBreak/>
        <w:t>B.</w:t>
      </w:r>
      <w:r>
        <w:tab/>
      </w:r>
      <w:r w:rsidRPr="00263BEC">
        <w:rPr>
          <w:spacing w:val="-4"/>
        </w:rPr>
        <w:t>RTM n</w:t>
      </w:r>
      <w:r w:rsidRPr="00263BEC">
        <w:rPr>
          <w:spacing w:val="-4"/>
          <w:vertAlign w:val="superscript"/>
        </w:rPr>
        <w:t>os</w:t>
      </w:r>
      <w:r w:rsidRPr="00263BEC">
        <w:rPr>
          <w:spacing w:val="-4"/>
        </w:rPr>
        <w:t> 4 (Procédure mondiale harmonisée d</w:t>
      </w:r>
      <w:r w:rsidR="001844C7">
        <w:rPr>
          <w:spacing w:val="-4"/>
        </w:rPr>
        <w:t>’</w:t>
      </w:r>
      <w:r w:rsidRPr="00263BEC">
        <w:rPr>
          <w:spacing w:val="-4"/>
        </w:rPr>
        <w:t>homologation des véhicules</w:t>
      </w:r>
      <w:r>
        <w:br/>
        <w:t>utilitaires lourds (WHDC)), 5 (Prescriptions mondiales harmonisées</w:t>
      </w:r>
      <w:r>
        <w:br/>
        <w:t>concernant les systèmes d</w:t>
      </w:r>
      <w:r w:rsidR="001844C7">
        <w:t>’</w:t>
      </w:r>
      <w:r>
        <w:t>autodiagnostic sur les véhicules utilitaires</w:t>
      </w:r>
      <w:r>
        <w:br/>
        <w:t>lourds (WWH-OBD)) et 10 (Émissions hors cycle (OCE))</w:t>
      </w:r>
      <w:r>
        <w:tab/>
      </w:r>
      <w:r>
        <w:tab/>
      </w:r>
      <w:r w:rsidR="00DE181B">
        <w:t>22−23</w:t>
      </w:r>
      <w:r w:rsidR="00DE181B">
        <w:tab/>
        <w:t>7</w:t>
      </w:r>
    </w:p>
    <w:p w:rsidR="00610DC7" w:rsidRDefault="00610DC7" w:rsidP="00610DC7">
      <w:pPr>
        <w:tabs>
          <w:tab w:val="right" w:pos="850"/>
          <w:tab w:val="right" w:leader="dot" w:pos="7654"/>
          <w:tab w:val="right" w:pos="8929"/>
          <w:tab w:val="right" w:pos="9638"/>
        </w:tabs>
        <w:spacing w:after="120"/>
        <w:ind w:left="1134" w:hanging="1134"/>
      </w:pPr>
      <w:r>
        <w:tab/>
        <w:t>VI.</w:t>
      </w:r>
      <w:r>
        <w:tab/>
        <w:t>Règlements n</w:t>
      </w:r>
      <w:r w:rsidRPr="00610DC7">
        <w:t>os</w:t>
      </w:r>
      <w:r>
        <w:t> 85 (Mesure de la puissance nette), 115 (Systèmes de</w:t>
      </w:r>
      <w:r>
        <w:br/>
        <w:t>conversion au GPL et GNC) et 133 (Aptitude au recyclage des véhicules</w:t>
      </w:r>
      <w:r>
        <w:br/>
        <w:t>automobiles) (point 5 de l</w:t>
      </w:r>
      <w:r w:rsidR="001844C7">
        <w:t>’</w:t>
      </w:r>
      <w:r>
        <w:t>ordre du jour)</w:t>
      </w:r>
      <w:r>
        <w:tab/>
      </w:r>
      <w:r>
        <w:tab/>
        <w:t>24−26</w:t>
      </w:r>
      <w:r>
        <w:tab/>
      </w:r>
      <w:r w:rsidR="00DE181B">
        <w:t>8</w:t>
      </w:r>
    </w:p>
    <w:p w:rsidR="00610DC7" w:rsidRDefault="00610DC7" w:rsidP="00610DC7">
      <w:pPr>
        <w:tabs>
          <w:tab w:val="right" w:pos="850"/>
          <w:tab w:val="right" w:leader="dot" w:pos="7654"/>
          <w:tab w:val="right" w:pos="8929"/>
          <w:tab w:val="right" w:pos="9638"/>
        </w:tabs>
        <w:spacing w:after="120"/>
        <w:ind w:left="1134" w:hanging="1134"/>
      </w:pPr>
      <w:r>
        <w:tab/>
        <w:t>VII.</w:t>
      </w:r>
      <w:r>
        <w:tab/>
        <w:t>Tracteurs agricoles et forestiers et engins mobiles non routiers</w:t>
      </w:r>
      <w:r>
        <w:br/>
        <w:t>(point 6 de l</w:t>
      </w:r>
      <w:r w:rsidR="001844C7">
        <w:t>’</w:t>
      </w:r>
      <w:r>
        <w:t>ordre du jour)</w:t>
      </w:r>
      <w:r>
        <w:tab/>
      </w:r>
      <w:r>
        <w:tab/>
        <w:t>27−29</w:t>
      </w:r>
      <w:r>
        <w:tab/>
      </w:r>
      <w:r w:rsidR="00DE181B">
        <w:t>8</w:t>
      </w:r>
    </w:p>
    <w:p w:rsidR="00610DC7" w:rsidRDefault="00610DC7" w:rsidP="00610DC7">
      <w:pPr>
        <w:tabs>
          <w:tab w:val="right" w:leader="dot" w:pos="7654"/>
          <w:tab w:val="right" w:pos="8929"/>
          <w:tab w:val="right" w:pos="9638"/>
        </w:tabs>
        <w:spacing w:after="120"/>
        <w:ind w:left="1559" w:hanging="425"/>
      </w:pPr>
      <w:r>
        <w:t>A.</w:t>
      </w:r>
      <w:r>
        <w:tab/>
        <w:t>Règlements n</w:t>
      </w:r>
      <w:r w:rsidRPr="00610DC7">
        <w:t>os</w:t>
      </w:r>
      <w:r>
        <w:t> 96 (Émissions des moteurs diesel (tracteurs agricoles))</w:t>
      </w:r>
      <w:r>
        <w:br/>
        <w:t>et 120 (Puissance nette des tracteurs et engins mobiles non routiers)</w:t>
      </w:r>
      <w:r>
        <w:tab/>
      </w:r>
      <w:r>
        <w:tab/>
        <w:t>28</w:t>
      </w:r>
      <w:r>
        <w:tab/>
      </w:r>
      <w:r w:rsidR="00DE181B">
        <w:t>8</w:t>
      </w:r>
    </w:p>
    <w:p w:rsidR="00610DC7" w:rsidRDefault="00610DC7" w:rsidP="00610DC7">
      <w:pPr>
        <w:tabs>
          <w:tab w:val="right" w:leader="dot" w:pos="7654"/>
          <w:tab w:val="right" w:pos="8929"/>
          <w:tab w:val="right" w:pos="9638"/>
        </w:tabs>
        <w:spacing w:after="120"/>
        <w:ind w:left="1559" w:hanging="425"/>
      </w:pPr>
      <w:r>
        <w:t>B.</w:t>
      </w:r>
      <w:r>
        <w:tab/>
        <w:t>RTM n</w:t>
      </w:r>
      <w:r w:rsidRPr="00610DC7">
        <w:t>o</w:t>
      </w:r>
      <w:r>
        <w:t> 11 (Moteurs d</w:t>
      </w:r>
      <w:r w:rsidR="001844C7">
        <w:t>’</w:t>
      </w:r>
      <w:r>
        <w:t>engins mobiles non routiers)</w:t>
      </w:r>
      <w:r>
        <w:tab/>
      </w:r>
      <w:r>
        <w:tab/>
      </w:r>
      <w:r w:rsidR="00DE181B">
        <w:t>29</w:t>
      </w:r>
      <w:r w:rsidR="00DE181B">
        <w:tab/>
        <w:t>8</w:t>
      </w:r>
    </w:p>
    <w:p w:rsidR="00B77A94" w:rsidRDefault="00B77A94" w:rsidP="00B77A94">
      <w:pPr>
        <w:tabs>
          <w:tab w:val="right" w:pos="850"/>
          <w:tab w:val="right" w:leader="dot" w:pos="7654"/>
          <w:tab w:val="right" w:pos="8929"/>
          <w:tab w:val="right" w:pos="9638"/>
        </w:tabs>
        <w:spacing w:after="120"/>
        <w:ind w:left="1134" w:hanging="1134"/>
      </w:pPr>
      <w:r>
        <w:tab/>
        <w:t>VIII.</w:t>
      </w:r>
      <w:r>
        <w:tab/>
        <w:t>Programme de mesure des particules (PMP) (point 7 de l</w:t>
      </w:r>
      <w:r w:rsidR="001844C7">
        <w:t>’</w:t>
      </w:r>
      <w:r>
        <w:t>ordre du jour)</w:t>
      </w:r>
      <w:r>
        <w:tab/>
      </w:r>
      <w:r>
        <w:tab/>
      </w:r>
      <w:r w:rsidR="00DE181B">
        <w:t>30−31</w:t>
      </w:r>
      <w:r w:rsidR="00DE181B">
        <w:tab/>
        <w:t>9</w:t>
      </w:r>
    </w:p>
    <w:p w:rsidR="00B77A94" w:rsidRDefault="00B77A94" w:rsidP="00B77A94">
      <w:pPr>
        <w:tabs>
          <w:tab w:val="right" w:pos="850"/>
          <w:tab w:val="right" w:leader="dot" w:pos="7654"/>
          <w:tab w:val="right" w:pos="8929"/>
          <w:tab w:val="right" w:pos="9638"/>
        </w:tabs>
        <w:spacing w:after="120"/>
        <w:ind w:left="1134" w:hanging="1134"/>
      </w:pPr>
      <w:r>
        <w:tab/>
        <w:t>IX.</w:t>
      </w:r>
      <w:r>
        <w:tab/>
        <w:t>Véhicules fonctionnant au gaz (GFV) (point 8 de l</w:t>
      </w:r>
      <w:r w:rsidR="001844C7">
        <w:t>’</w:t>
      </w:r>
      <w:r>
        <w:t>ordre du jour)</w:t>
      </w:r>
      <w:r>
        <w:tab/>
      </w:r>
      <w:r>
        <w:tab/>
      </w:r>
      <w:r w:rsidR="00DE181B">
        <w:t>32−35</w:t>
      </w:r>
      <w:r w:rsidR="00DE181B">
        <w:tab/>
        <w:t>9</w:t>
      </w:r>
    </w:p>
    <w:p w:rsidR="00B77A94" w:rsidRDefault="00B77A94" w:rsidP="00B77A94">
      <w:pPr>
        <w:tabs>
          <w:tab w:val="right" w:pos="850"/>
          <w:tab w:val="right" w:leader="dot" w:pos="7654"/>
          <w:tab w:val="right" w:pos="8929"/>
          <w:tab w:val="right" w:pos="9638"/>
        </w:tabs>
        <w:spacing w:after="120"/>
        <w:ind w:left="1134" w:hanging="1134"/>
      </w:pPr>
      <w:r>
        <w:tab/>
        <w:t>X.</w:t>
      </w:r>
      <w:r>
        <w:tab/>
        <w:t>Motocycles et cyclomoteurs (point 9 de l</w:t>
      </w:r>
      <w:r w:rsidR="001844C7">
        <w:t>’</w:t>
      </w:r>
      <w:r>
        <w:t>ordre du jour)</w:t>
      </w:r>
      <w:r>
        <w:tab/>
      </w:r>
      <w:r>
        <w:tab/>
      </w:r>
      <w:r w:rsidR="00DE181B">
        <w:t>36−39</w:t>
      </w:r>
      <w:r w:rsidR="00DE181B">
        <w:tab/>
        <w:t>9</w:t>
      </w:r>
    </w:p>
    <w:p w:rsidR="00B77A94" w:rsidRDefault="00B77A94" w:rsidP="00B77A94">
      <w:pPr>
        <w:tabs>
          <w:tab w:val="right" w:leader="dot" w:pos="7654"/>
          <w:tab w:val="right" w:pos="8929"/>
          <w:tab w:val="right" w:pos="9638"/>
        </w:tabs>
        <w:spacing w:after="120"/>
        <w:ind w:left="1559" w:hanging="425"/>
      </w:pPr>
      <w:r>
        <w:t>A.</w:t>
      </w:r>
      <w:r>
        <w:tab/>
        <w:t>Prescriptions concernant les performances environnementales</w:t>
      </w:r>
      <w:r>
        <w:br/>
        <w:t>et la propulsion (EPPR) des véhicules de la catégorie L</w:t>
      </w:r>
      <w:r>
        <w:tab/>
      </w:r>
      <w:r>
        <w:tab/>
      </w:r>
      <w:r w:rsidR="00DE181B">
        <w:t>36−37</w:t>
      </w:r>
      <w:r w:rsidR="00DE181B">
        <w:tab/>
        <w:t>9</w:t>
      </w:r>
    </w:p>
    <w:p w:rsidR="00B77A94" w:rsidRDefault="00B77A94" w:rsidP="00B77A94">
      <w:pPr>
        <w:tabs>
          <w:tab w:val="right" w:leader="dot" w:pos="7654"/>
          <w:tab w:val="right" w:pos="8929"/>
          <w:tab w:val="right" w:pos="9638"/>
        </w:tabs>
        <w:spacing w:after="120"/>
        <w:ind w:left="1559" w:hanging="425"/>
      </w:pPr>
      <w:r>
        <w:t>B.</w:t>
      </w:r>
      <w:r>
        <w:tab/>
        <w:t>Règlements n</w:t>
      </w:r>
      <w:r w:rsidRPr="00B77A94">
        <w:t>os</w:t>
      </w:r>
      <w:r>
        <w:t> 40 (Émissions de gaz polluants des motocycles)</w:t>
      </w:r>
      <w:r>
        <w:br/>
        <w:t>et 47 (Émissions de gaz polluants des cyclomoteurs)</w:t>
      </w:r>
      <w:r>
        <w:tab/>
      </w:r>
      <w:r>
        <w:tab/>
      </w:r>
      <w:r w:rsidR="00DE181B">
        <w:t>38</w:t>
      </w:r>
      <w:r w:rsidR="00DE181B">
        <w:tab/>
        <w:t>10</w:t>
      </w:r>
    </w:p>
    <w:p w:rsidR="00B77A94" w:rsidRDefault="00B77A94" w:rsidP="00B77A94">
      <w:pPr>
        <w:tabs>
          <w:tab w:val="right" w:leader="dot" w:pos="7654"/>
          <w:tab w:val="right" w:pos="8929"/>
          <w:tab w:val="right" w:pos="9638"/>
        </w:tabs>
        <w:spacing w:after="120"/>
        <w:ind w:left="1559" w:hanging="425"/>
      </w:pPr>
      <w:r>
        <w:t>C.</w:t>
      </w:r>
      <w:r>
        <w:tab/>
        <w:t>Règlement technique mondial n</w:t>
      </w:r>
      <w:r w:rsidRPr="00B77A94">
        <w:t>o</w:t>
      </w:r>
      <w:r>
        <w:t> 2 (Cycle d</w:t>
      </w:r>
      <w:r w:rsidR="001844C7">
        <w:t>’</w:t>
      </w:r>
      <w:r>
        <w:t>essai mondial harmonisé</w:t>
      </w:r>
      <w:r>
        <w:br/>
        <w:t>des mesures des émissions des motocycles (WMTC))</w:t>
      </w:r>
      <w:r>
        <w:tab/>
      </w:r>
      <w:r>
        <w:tab/>
      </w:r>
      <w:r w:rsidR="00DE181B">
        <w:t>39</w:t>
      </w:r>
      <w:r w:rsidR="00DE181B">
        <w:tab/>
        <w:t>10</w:t>
      </w:r>
    </w:p>
    <w:p w:rsidR="00B77A94" w:rsidRDefault="00B77A94" w:rsidP="00B77A94">
      <w:pPr>
        <w:tabs>
          <w:tab w:val="right" w:pos="850"/>
          <w:tab w:val="right" w:leader="dot" w:pos="7654"/>
          <w:tab w:val="right" w:pos="8929"/>
          <w:tab w:val="right" w:pos="9638"/>
        </w:tabs>
        <w:spacing w:after="120"/>
        <w:ind w:left="1134" w:hanging="1134"/>
      </w:pPr>
      <w:r>
        <w:tab/>
        <w:t>XI.</w:t>
      </w:r>
      <w:r>
        <w:tab/>
        <w:t>Véhicules électriques et environnement (point 10 de l</w:t>
      </w:r>
      <w:r w:rsidR="001844C7">
        <w:t>’</w:t>
      </w:r>
      <w:r>
        <w:t>ordre du jour)</w:t>
      </w:r>
      <w:r>
        <w:tab/>
      </w:r>
      <w:r>
        <w:tab/>
      </w:r>
      <w:r w:rsidR="00DE181B">
        <w:t>40−41</w:t>
      </w:r>
      <w:r w:rsidR="00DE181B">
        <w:tab/>
        <w:t>10</w:t>
      </w:r>
    </w:p>
    <w:p w:rsidR="00B77A94" w:rsidRDefault="00B77A94" w:rsidP="00B77A94">
      <w:pPr>
        <w:tabs>
          <w:tab w:val="right" w:pos="850"/>
          <w:tab w:val="right" w:leader="dot" w:pos="7654"/>
          <w:tab w:val="right" w:pos="8929"/>
          <w:tab w:val="right" w:pos="9638"/>
        </w:tabs>
        <w:spacing w:after="120"/>
        <w:ind w:left="1134" w:hanging="1134"/>
      </w:pPr>
      <w:r>
        <w:tab/>
        <w:t>XII.</w:t>
      </w:r>
      <w:r>
        <w:tab/>
        <w:t>Définitions des systèmes de propulsion des véhicules (VPSD)</w:t>
      </w:r>
      <w:r>
        <w:br/>
        <w:t>(point 11 de l</w:t>
      </w:r>
      <w:r w:rsidR="001844C7">
        <w:t>’</w:t>
      </w:r>
      <w:r>
        <w:t>ordre du jour)</w:t>
      </w:r>
      <w:r>
        <w:tab/>
      </w:r>
      <w:r>
        <w:tab/>
      </w:r>
      <w:r w:rsidR="00DE181B">
        <w:t>42−45</w:t>
      </w:r>
      <w:r w:rsidR="00DE181B">
        <w:tab/>
        <w:t>10</w:t>
      </w:r>
    </w:p>
    <w:p w:rsidR="00B77A94" w:rsidRDefault="00B77A94" w:rsidP="00B77A94">
      <w:pPr>
        <w:tabs>
          <w:tab w:val="right" w:pos="850"/>
          <w:tab w:val="right" w:leader="dot" w:pos="7654"/>
          <w:tab w:val="right" w:pos="8929"/>
          <w:tab w:val="right" w:pos="9638"/>
        </w:tabs>
        <w:spacing w:after="120"/>
        <w:ind w:left="1134" w:hanging="1134"/>
      </w:pPr>
      <w:r>
        <w:tab/>
        <w:t>XIII.</w:t>
      </w:r>
      <w:r>
        <w:tab/>
        <w:t>Qualité des carburants (point 12 de l</w:t>
      </w:r>
      <w:r w:rsidR="001844C7">
        <w:t>’</w:t>
      </w:r>
      <w:r>
        <w:t>ordre du jour)</w:t>
      </w:r>
      <w:r>
        <w:tab/>
      </w:r>
      <w:r>
        <w:tab/>
        <w:t>46</w:t>
      </w:r>
      <w:r>
        <w:tab/>
      </w:r>
      <w:r w:rsidR="00DE181B">
        <w:t>11</w:t>
      </w:r>
    </w:p>
    <w:p w:rsidR="00B77A94" w:rsidRDefault="00B77A94" w:rsidP="00B77A94">
      <w:pPr>
        <w:tabs>
          <w:tab w:val="right" w:pos="850"/>
          <w:tab w:val="right" w:leader="dot" w:pos="7654"/>
          <w:tab w:val="right" w:pos="8929"/>
          <w:tab w:val="right" w:pos="9638"/>
        </w:tabs>
        <w:spacing w:after="120"/>
        <w:ind w:left="1134" w:hanging="1134"/>
      </w:pPr>
      <w:r>
        <w:tab/>
        <w:t>XIV.</w:t>
      </w:r>
      <w:r>
        <w:tab/>
        <w:t>Homologation de type internationale de l</w:t>
      </w:r>
      <w:r w:rsidR="001844C7">
        <w:t>’</w:t>
      </w:r>
      <w:r>
        <w:t>ensemble du véhicule (IWVTA)</w:t>
      </w:r>
      <w:r>
        <w:br/>
        <w:t>(point 13 de l</w:t>
      </w:r>
      <w:r w:rsidR="001844C7">
        <w:t>’</w:t>
      </w:r>
      <w:r>
        <w:t>ordre du jour)</w:t>
      </w:r>
      <w:r>
        <w:tab/>
      </w:r>
      <w:r>
        <w:tab/>
        <w:t>47</w:t>
      </w:r>
      <w:r>
        <w:tab/>
        <w:t>1</w:t>
      </w:r>
      <w:r w:rsidR="00DE181B">
        <w:t>1</w:t>
      </w:r>
    </w:p>
    <w:p w:rsidR="00B77A94" w:rsidRDefault="00B77A94" w:rsidP="00B77A94">
      <w:pPr>
        <w:tabs>
          <w:tab w:val="right" w:pos="850"/>
          <w:tab w:val="right" w:leader="dot" w:pos="7654"/>
          <w:tab w:val="right" w:pos="8929"/>
          <w:tab w:val="right" w:pos="9638"/>
        </w:tabs>
        <w:spacing w:after="120"/>
        <w:ind w:left="1134" w:hanging="1134"/>
      </w:pPr>
      <w:r>
        <w:tab/>
        <w:t>XV.</w:t>
      </w:r>
      <w:r>
        <w:tab/>
        <w:t>Qualité de l</w:t>
      </w:r>
      <w:r w:rsidR="001844C7">
        <w:t>’</w:t>
      </w:r>
      <w:r>
        <w:t>air à l</w:t>
      </w:r>
      <w:r w:rsidR="001844C7">
        <w:t>’</w:t>
      </w:r>
      <w:r>
        <w:t>intérieur des véhicules (VIAQ)</w:t>
      </w:r>
      <w:r>
        <w:br/>
        <w:t>(point 14 de l</w:t>
      </w:r>
      <w:r w:rsidR="001844C7">
        <w:t>’</w:t>
      </w:r>
      <w:r>
        <w:t>ordre du jour)</w:t>
      </w:r>
      <w:r>
        <w:tab/>
      </w:r>
      <w:r>
        <w:tab/>
        <w:t>48</w:t>
      </w:r>
      <w:r>
        <w:tab/>
        <w:t>11</w:t>
      </w:r>
    </w:p>
    <w:p w:rsidR="00B77A94" w:rsidRDefault="00B77A94" w:rsidP="00B77A94">
      <w:pPr>
        <w:tabs>
          <w:tab w:val="right" w:pos="850"/>
          <w:tab w:val="right" w:leader="dot" w:pos="7654"/>
          <w:tab w:val="right" w:pos="8929"/>
          <w:tab w:val="right" w:pos="9638"/>
        </w:tabs>
        <w:spacing w:after="120"/>
        <w:ind w:left="1134" w:hanging="1134"/>
      </w:pPr>
      <w:r>
        <w:tab/>
        <w:t>XVI.</w:t>
      </w:r>
      <w:r>
        <w:tab/>
        <w:t>Accord de 1997 (Contrôles techniques périodiques): Règle n</w:t>
      </w:r>
      <w:r w:rsidRPr="00B77A94">
        <w:t>o</w:t>
      </w:r>
      <w:r>
        <w:t xml:space="preserve"> 1 (Protection </w:t>
      </w:r>
      <w:r>
        <w:br/>
        <w:t>de l</w:t>
      </w:r>
      <w:r w:rsidR="001844C7">
        <w:t>’</w:t>
      </w:r>
      <w:r>
        <w:t>environnement) (point 15 de l</w:t>
      </w:r>
      <w:r w:rsidR="001844C7">
        <w:t>’</w:t>
      </w:r>
      <w:r>
        <w:t>ordre du jour)</w:t>
      </w:r>
      <w:r>
        <w:tab/>
      </w:r>
      <w:r>
        <w:tab/>
        <w:t>49</w:t>
      </w:r>
      <w:r w:rsidR="00A53125">
        <w:tab/>
        <w:t>11</w:t>
      </w:r>
    </w:p>
    <w:p w:rsidR="00B77A94" w:rsidRDefault="00B77A94" w:rsidP="00B77A94">
      <w:pPr>
        <w:tabs>
          <w:tab w:val="right" w:pos="850"/>
          <w:tab w:val="right" w:leader="dot" w:pos="7654"/>
          <w:tab w:val="right" w:pos="8929"/>
          <w:tab w:val="right" w:pos="9638"/>
        </w:tabs>
        <w:spacing w:after="120"/>
        <w:ind w:left="1134" w:hanging="1134"/>
      </w:pPr>
      <w:r>
        <w:tab/>
        <w:t>XVII.</w:t>
      </w:r>
      <w:r>
        <w:tab/>
        <w:t>Échange de renseignements sur les prescriptions concernant les émissions</w:t>
      </w:r>
      <w:r w:rsidR="00A53125">
        <w:br/>
      </w:r>
      <w:r>
        <w:t>(point 16 de l</w:t>
      </w:r>
      <w:r w:rsidR="001844C7">
        <w:t>’</w:t>
      </w:r>
      <w:r>
        <w:t>ordre du jour)</w:t>
      </w:r>
      <w:r w:rsidR="00A53125">
        <w:tab/>
      </w:r>
      <w:r w:rsidR="00A53125">
        <w:tab/>
      </w:r>
      <w:r w:rsidR="00DE181B">
        <w:t>50</w:t>
      </w:r>
      <w:r w:rsidR="00DE181B">
        <w:tab/>
        <w:t>12</w:t>
      </w:r>
    </w:p>
    <w:p w:rsidR="00B77A94" w:rsidRDefault="00B77A94" w:rsidP="00B77A94">
      <w:pPr>
        <w:tabs>
          <w:tab w:val="right" w:pos="850"/>
          <w:tab w:val="right" w:leader="dot" w:pos="7654"/>
          <w:tab w:val="right" w:pos="8929"/>
          <w:tab w:val="right" w:pos="9638"/>
        </w:tabs>
        <w:spacing w:after="120"/>
        <w:ind w:left="1134" w:hanging="1134"/>
      </w:pPr>
      <w:r>
        <w:tab/>
        <w:t>XVIII.</w:t>
      </w:r>
      <w:r>
        <w:tab/>
        <w:t>Questions diverses (point 17 de l</w:t>
      </w:r>
      <w:r w:rsidR="001844C7">
        <w:t>’</w:t>
      </w:r>
      <w:r>
        <w:t>ordre du jour)</w:t>
      </w:r>
      <w:r w:rsidR="00A53125">
        <w:tab/>
      </w:r>
      <w:r w:rsidR="00A53125">
        <w:tab/>
      </w:r>
      <w:r w:rsidR="00DE181B">
        <w:t>51−52</w:t>
      </w:r>
      <w:r w:rsidR="00DE181B">
        <w:tab/>
        <w:t>12</w:t>
      </w:r>
    </w:p>
    <w:p w:rsidR="00B77A94" w:rsidRDefault="00B77A94" w:rsidP="00B77A94">
      <w:pPr>
        <w:tabs>
          <w:tab w:val="right" w:leader="dot" w:pos="7654"/>
          <w:tab w:val="right" w:pos="8929"/>
          <w:tab w:val="right" w:pos="9638"/>
        </w:tabs>
        <w:spacing w:after="120"/>
        <w:ind w:left="1559" w:hanging="425"/>
      </w:pPr>
      <w:r>
        <w:t>A.</w:t>
      </w:r>
      <w:r w:rsidR="00A53125">
        <w:tab/>
      </w:r>
      <w:r>
        <w:t>Référence aux normes</w:t>
      </w:r>
      <w:r w:rsidR="00A53125">
        <w:tab/>
      </w:r>
      <w:r w:rsidR="00A53125">
        <w:tab/>
        <w:t>51</w:t>
      </w:r>
      <w:r w:rsidR="00DE181B">
        <w:tab/>
        <w:t>12</w:t>
      </w:r>
    </w:p>
    <w:p w:rsidR="00B77A94" w:rsidRDefault="00B77A94" w:rsidP="00B77A94">
      <w:pPr>
        <w:tabs>
          <w:tab w:val="right" w:leader="dot" w:pos="7654"/>
          <w:tab w:val="right" w:pos="8929"/>
          <w:tab w:val="right" w:pos="9638"/>
        </w:tabs>
        <w:spacing w:after="120"/>
        <w:ind w:left="1559" w:hanging="425"/>
      </w:pPr>
      <w:r>
        <w:t>B.</w:t>
      </w:r>
      <w:r>
        <w:tab/>
        <w:t>Hommages à des membres du GRPE</w:t>
      </w:r>
      <w:r w:rsidR="00A53125">
        <w:tab/>
      </w:r>
      <w:r w:rsidR="00A53125">
        <w:tab/>
        <w:t>52</w:t>
      </w:r>
      <w:r w:rsidR="00A53125">
        <w:tab/>
      </w:r>
      <w:r w:rsidR="00DE181B">
        <w:t>12</w:t>
      </w:r>
    </w:p>
    <w:p w:rsidR="00B77A94" w:rsidRDefault="00B77A94" w:rsidP="00B77A94">
      <w:pPr>
        <w:tabs>
          <w:tab w:val="right" w:pos="850"/>
          <w:tab w:val="right" w:leader="dot" w:pos="7654"/>
          <w:tab w:val="right" w:pos="8929"/>
          <w:tab w:val="right" w:pos="9638"/>
        </w:tabs>
        <w:spacing w:after="120"/>
        <w:ind w:left="1134" w:hanging="1134"/>
      </w:pPr>
      <w:r>
        <w:tab/>
        <w:t>XIX.</w:t>
      </w:r>
      <w:r>
        <w:tab/>
        <w:t>Ordre du jour provisoire de la prochaine session</w:t>
      </w:r>
      <w:r w:rsidR="00A53125">
        <w:tab/>
      </w:r>
      <w:r w:rsidR="00A53125">
        <w:tab/>
        <w:t>53−56</w:t>
      </w:r>
      <w:r w:rsidR="00A53125">
        <w:tab/>
      </w:r>
      <w:r w:rsidR="00DE181B">
        <w:t>12</w:t>
      </w:r>
      <w:r w:rsidR="00A53125">
        <w:tab/>
      </w:r>
    </w:p>
    <w:p w:rsidR="00B77A94" w:rsidRDefault="00B77A94" w:rsidP="00B77A94">
      <w:pPr>
        <w:tabs>
          <w:tab w:val="right" w:leader="dot" w:pos="7654"/>
          <w:tab w:val="right" w:pos="8929"/>
          <w:tab w:val="right" w:pos="9638"/>
        </w:tabs>
        <w:spacing w:after="120"/>
        <w:ind w:left="1559" w:hanging="425"/>
      </w:pPr>
      <w:r>
        <w:t>A.</w:t>
      </w:r>
      <w:r>
        <w:tab/>
        <w:t>Prochaine session du GRPE</w:t>
      </w:r>
      <w:r w:rsidR="00A53125">
        <w:tab/>
      </w:r>
      <w:r w:rsidR="00A53125">
        <w:tab/>
        <w:t>53</w:t>
      </w:r>
      <w:r w:rsidR="00A53125">
        <w:tab/>
      </w:r>
      <w:r w:rsidR="00DE181B">
        <w:t>12</w:t>
      </w:r>
    </w:p>
    <w:p w:rsidR="00B77A94" w:rsidRDefault="00B77A94" w:rsidP="00B77A94">
      <w:pPr>
        <w:tabs>
          <w:tab w:val="right" w:leader="dot" w:pos="7654"/>
          <w:tab w:val="right" w:pos="8929"/>
          <w:tab w:val="right" w:pos="9638"/>
        </w:tabs>
        <w:spacing w:after="120"/>
        <w:ind w:left="1559" w:hanging="425"/>
      </w:pPr>
      <w:r>
        <w:t>B.</w:t>
      </w:r>
      <w:r>
        <w:tab/>
      </w:r>
      <w:r w:rsidRPr="00A53125">
        <w:rPr>
          <w:spacing w:val="-2"/>
        </w:rPr>
        <w:t>Ordre du jour provisoire de la prochaine session du GRPE</w:t>
      </w:r>
      <w:r w:rsidR="00A53125" w:rsidRPr="00A53125">
        <w:rPr>
          <w:spacing w:val="-2"/>
        </w:rPr>
        <w:t xml:space="preserve"> </w:t>
      </w:r>
      <w:r w:rsidRPr="00A53125">
        <w:rPr>
          <w:spacing w:val="-2"/>
        </w:rPr>
        <w:t>proprement</w:t>
      </w:r>
      <w:r>
        <w:t xml:space="preserve"> dite</w:t>
      </w:r>
      <w:r w:rsidR="00A53125">
        <w:tab/>
      </w:r>
      <w:r w:rsidR="00A53125">
        <w:tab/>
        <w:t>54</w:t>
      </w:r>
      <w:r w:rsidR="00A53125">
        <w:tab/>
      </w:r>
      <w:r w:rsidR="00DE181B">
        <w:t>12</w:t>
      </w:r>
    </w:p>
    <w:p w:rsidR="00584BCA" w:rsidRDefault="00A53125" w:rsidP="00584BCA">
      <w:pPr>
        <w:tabs>
          <w:tab w:val="right" w:leader="dot" w:pos="7654"/>
          <w:tab w:val="right" w:pos="8929"/>
          <w:tab w:val="right" w:pos="9638"/>
        </w:tabs>
        <w:spacing w:after="120"/>
        <w:ind w:left="1559" w:hanging="425"/>
      </w:pPr>
      <w:r>
        <w:t>C</w:t>
      </w:r>
      <w:r w:rsidR="00584BCA">
        <w:t>.</w:t>
      </w:r>
      <w:r w:rsidR="00584BCA">
        <w:tab/>
      </w:r>
      <w:r>
        <w:t>Réunions informelles tenues pendant la prochaine session du GRPE</w:t>
      </w:r>
      <w:r w:rsidR="00584BCA">
        <w:tab/>
      </w:r>
      <w:r w:rsidR="00584BCA">
        <w:tab/>
      </w:r>
      <w:r>
        <w:t>55−56</w:t>
      </w:r>
      <w:r w:rsidR="00584BCA">
        <w:tab/>
      </w:r>
      <w:r w:rsidR="00DE181B">
        <w:t>14</w:t>
      </w:r>
    </w:p>
    <w:p w:rsidR="00584BCA" w:rsidRPr="00584BCA" w:rsidRDefault="00584BCA" w:rsidP="00A24653">
      <w:pPr>
        <w:keepNext/>
        <w:tabs>
          <w:tab w:val="right" w:pos="850"/>
        </w:tabs>
        <w:spacing w:after="120"/>
      </w:pPr>
      <w:r>
        <w:lastRenderedPageBreak/>
        <w:tab/>
        <w:t>Annexes</w:t>
      </w:r>
    </w:p>
    <w:p w:rsidR="00584BCA" w:rsidRDefault="00584BCA" w:rsidP="00584BCA">
      <w:pPr>
        <w:tabs>
          <w:tab w:val="right" w:pos="850"/>
          <w:tab w:val="right" w:leader="dot" w:pos="8929"/>
          <w:tab w:val="right" w:pos="9638"/>
        </w:tabs>
        <w:spacing w:after="120"/>
        <w:ind w:left="1134" w:hanging="1134"/>
      </w:pPr>
      <w:r>
        <w:tab/>
        <w:t>I.</w:t>
      </w:r>
      <w:r>
        <w:tab/>
      </w:r>
      <w:r w:rsidR="00A53125" w:rsidRPr="001825DB">
        <w:t>Liste des documents informels distribués sans cote officielle</w:t>
      </w:r>
      <w:r>
        <w:tab/>
      </w:r>
      <w:r>
        <w:tab/>
      </w:r>
      <w:r w:rsidR="00DE181B">
        <w:t>15</w:t>
      </w:r>
    </w:p>
    <w:p w:rsidR="00A53125" w:rsidRDefault="00A53125" w:rsidP="00584BCA">
      <w:pPr>
        <w:tabs>
          <w:tab w:val="right" w:pos="850"/>
          <w:tab w:val="right" w:leader="dot" w:pos="8929"/>
          <w:tab w:val="right" w:pos="9638"/>
        </w:tabs>
        <w:spacing w:after="120"/>
        <w:ind w:left="1134" w:hanging="1134"/>
      </w:pPr>
      <w:r>
        <w:tab/>
        <w:t>II.</w:t>
      </w:r>
      <w:r>
        <w:tab/>
      </w:r>
      <w:r w:rsidRPr="001825DB">
        <w:rPr>
          <w:szCs w:val="24"/>
        </w:rPr>
        <w:t>Informal meetings held in conjunction with the GRPE session</w:t>
      </w:r>
      <w:r>
        <w:tab/>
      </w:r>
      <w:r>
        <w:tab/>
      </w:r>
      <w:r w:rsidR="00DE181B">
        <w:t>17</w:t>
      </w:r>
    </w:p>
    <w:p w:rsidR="00A53125" w:rsidRDefault="00A53125" w:rsidP="00584BCA">
      <w:pPr>
        <w:tabs>
          <w:tab w:val="right" w:pos="850"/>
          <w:tab w:val="right" w:leader="dot" w:pos="8929"/>
          <w:tab w:val="right" w:pos="9638"/>
        </w:tabs>
        <w:spacing w:after="120"/>
        <w:ind w:left="1134" w:hanging="1134"/>
      </w:pPr>
      <w:r>
        <w:tab/>
        <w:t>III.</w:t>
      </w:r>
      <w:r>
        <w:tab/>
      </w:r>
      <w:r w:rsidRPr="001825DB">
        <w:rPr>
          <w:szCs w:val="24"/>
        </w:rPr>
        <w:t>List of GRPE informal working groups, task forces and subgroups</w:t>
      </w:r>
      <w:r>
        <w:tab/>
      </w:r>
      <w:r>
        <w:tab/>
      </w:r>
      <w:r w:rsidR="00DE181B">
        <w:t>18</w:t>
      </w:r>
    </w:p>
    <w:p w:rsidR="00A53125" w:rsidRDefault="00A53125" w:rsidP="00584BCA">
      <w:pPr>
        <w:tabs>
          <w:tab w:val="right" w:pos="850"/>
          <w:tab w:val="right" w:leader="dot" w:pos="8929"/>
          <w:tab w:val="right" w:pos="9638"/>
        </w:tabs>
        <w:spacing w:after="120"/>
        <w:ind w:left="1134" w:hanging="1134"/>
      </w:pPr>
      <w:r>
        <w:tab/>
        <w:t>IV.</w:t>
      </w:r>
      <w:r>
        <w:tab/>
      </w:r>
      <w:r w:rsidRPr="003F4D9D">
        <w:t xml:space="preserve">Amendements au Règlement </w:t>
      </w:r>
      <w:r>
        <w:t>n</w:t>
      </w:r>
      <w:r w:rsidRPr="003F4D9D">
        <w:rPr>
          <w:vertAlign w:val="superscript"/>
        </w:rPr>
        <w:t>o</w:t>
      </w:r>
      <w:r>
        <w:t> </w:t>
      </w:r>
      <w:r w:rsidRPr="003F4D9D">
        <w:t>83</w:t>
      </w:r>
      <w:r>
        <w:tab/>
      </w:r>
      <w:r>
        <w:tab/>
      </w:r>
      <w:r w:rsidR="006A6A09">
        <w:t>19</w:t>
      </w:r>
    </w:p>
    <w:p w:rsidR="00A53125" w:rsidRDefault="00A53125" w:rsidP="00584BCA">
      <w:pPr>
        <w:tabs>
          <w:tab w:val="right" w:pos="850"/>
          <w:tab w:val="right" w:leader="dot" w:pos="8929"/>
          <w:tab w:val="right" w:pos="9638"/>
        </w:tabs>
        <w:spacing w:after="120"/>
        <w:ind w:left="1134" w:hanging="1134"/>
      </w:pPr>
      <w:r>
        <w:tab/>
        <w:t>V.</w:t>
      </w:r>
      <w:r>
        <w:tab/>
      </w:r>
      <w:r w:rsidRPr="004209CF">
        <w:t>Amendements au document ECE/TRANS/WP.29/GRPE/2015/3</w:t>
      </w:r>
      <w:r>
        <w:tab/>
      </w:r>
      <w:r>
        <w:tab/>
      </w:r>
      <w:r w:rsidR="00DE181B">
        <w:t>2</w:t>
      </w:r>
      <w:r w:rsidR="006A6A09">
        <w:t>0</w:t>
      </w:r>
    </w:p>
    <w:p w:rsidR="00A53125" w:rsidRDefault="00A53125" w:rsidP="00584BCA">
      <w:pPr>
        <w:tabs>
          <w:tab w:val="right" w:pos="850"/>
          <w:tab w:val="right" w:leader="dot" w:pos="8929"/>
          <w:tab w:val="right" w:pos="9638"/>
        </w:tabs>
        <w:spacing w:after="120"/>
        <w:ind w:left="1134" w:hanging="1134"/>
      </w:pPr>
      <w:r>
        <w:tab/>
        <w:t>VI.</w:t>
      </w:r>
      <w:r>
        <w:tab/>
        <w:t>Mandat et règlement intérieur du Groupe de travail informel de la qualité de l</w:t>
      </w:r>
      <w:r w:rsidR="001844C7">
        <w:t>’</w:t>
      </w:r>
      <w:r>
        <w:t>air à l</w:t>
      </w:r>
      <w:r w:rsidR="001844C7">
        <w:t>’</w:t>
      </w:r>
      <w:r>
        <w:t>intérieur des véhicules (VIAQ)</w:t>
      </w:r>
      <w:r>
        <w:tab/>
      </w:r>
      <w:r>
        <w:tab/>
      </w:r>
      <w:r w:rsidR="00DE181B">
        <w:t>25</w:t>
      </w:r>
    </w:p>
    <w:p w:rsidR="00A53125" w:rsidRDefault="00A53125" w:rsidP="00584BCA">
      <w:pPr>
        <w:tabs>
          <w:tab w:val="right" w:pos="850"/>
          <w:tab w:val="right" w:leader="dot" w:pos="8929"/>
          <w:tab w:val="right" w:pos="9638"/>
        </w:tabs>
        <w:spacing w:after="120"/>
        <w:ind w:left="1134" w:hanging="1134"/>
      </w:pPr>
      <w:r>
        <w:tab/>
        <w:t>VII.</w:t>
      </w:r>
      <w:r>
        <w:tab/>
      </w:r>
      <w:r w:rsidRPr="001825DB">
        <w:t>Amendements au document ECE/TRANS/WP.29/GRPE/2015/</w:t>
      </w:r>
      <w:r>
        <w:t>2</w:t>
      </w:r>
      <w:r>
        <w:tab/>
      </w:r>
      <w:r>
        <w:tab/>
      </w:r>
      <w:r w:rsidR="001844C7">
        <w:t>29</w:t>
      </w:r>
    </w:p>
    <w:p w:rsidR="00584BCA" w:rsidRDefault="00584BCA" w:rsidP="00584BCA">
      <w:pPr>
        <w:pStyle w:val="HChG"/>
      </w:pPr>
      <w:r>
        <w:br w:type="page"/>
      </w:r>
      <w:r>
        <w:lastRenderedPageBreak/>
        <w:tab/>
        <w:t>I.</w:t>
      </w:r>
      <w:r>
        <w:tab/>
        <w:t>Participation et déclarations liminaires</w:t>
      </w:r>
    </w:p>
    <w:p w:rsidR="00584BCA" w:rsidRDefault="00584BCA" w:rsidP="00584BCA">
      <w:pPr>
        <w:pStyle w:val="ParNoG"/>
      </w:pPr>
      <w:r>
        <w:t>Le Groupe de travail de la pollution et de l</w:t>
      </w:r>
      <w:r w:rsidR="001844C7">
        <w:t>’</w:t>
      </w:r>
      <w:r>
        <w:t>énergie (GRPE) a tenu sa soixante</w:t>
      </w:r>
      <w:r w:rsidR="001E4A3C">
        <w:noBreakHyphen/>
      </w:r>
      <w:r>
        <w:t>dixième session du 13 au 16 janvier 2015, avec M. C. Albus (Allemagne) comme Président et M</w:t>
      </w:r>
      <w:r w:rsidRPr="00D91DA2">
        <w:rPr>
          <w:vertAlign w:val="superscript"/>
        </w:rPr>
        <w:t>me</w:t>
      </w:r>
      <w:r>
        <w:t> R. Urdhwareshe (Inde) comme Vice-Présidente. Des experts des pays ci</w:t>
      </w:r>
      <w:r>
        <w:noBreakHyphen/>
        <w:t>après ont participé aux travaux, conformément à l</w:t>
      </w:r>
      <w:r w:rsidR="001844C7">
        <w:t>’</w:t>
      </w:r>
      <w:r>
        <w:t>alinéa</w:t>
      </w:r>
      <w:r w:rsidR="001E4A3C">
        <w:t> </w:t>
      </w:r>
      <w:r w:rsidRPr="001E4A3C">
        <w:rPr>
          <w:i/>
        </w:rPr>
        <w:t>a</w:t>
      </w:r>
      <w:r>
        <w:t xml:space="preserve"> de l</w:t>
      </w:r>
      <w:r w:rsidR="001844C7">
        <w:t>’</w:t>
      </w:r>
      <w:r>
        <w:t>article 1 du Règlement intérieur du Forum mondial de l</w:t>
      </w:r>
      <w:r w:rsidR="001844C7">
        <w:t>’</w:t>
      </w:r>
      <w:r>
        <w:t>harmonisation des règlements concernant les véhicules (WP.29) (TRANS/WP.29/690, tel qu</w:t>
      </w:r>
      <w:r w:rsidR="001844C7">
        <w:t>’</w:t>
      </w:r>
      <w:r>
        <w:t>il avait été modifié): Afrique du Sud, Allemagne, Belgique, Canada, Chine, Espagne, Fédération de Russie, France, États-Unis d</w:t>
      </w:r>
      <w:r w:rsidR="001844C7">
        <w:t>’</w:t>
      </w:r>
      <w:r>
        <w:t>Amérique, Hongrie, Inde, Italie, Japon, Pays-Bas, Pologne, République de Corée (Corée), République tchèque, Royaume-Uni de Grande-Bretagne et d</w:t>
      </w:r>
      <w:r w:rsidR="001844C7">
        <w:t>’</w:t>
      </w:r>
      <w:r>
        <w:t>Irlande du Nord, Suède et Suisse. Des experts de la Commission européenne étaient également présents. Des experts des organisations non gouvernementales ci-après ont participé à la session: Association for Emissions Control by Catalyst (AECC); Association des fabricants européens de moteurs à combustion interne (EUROMOT); Association européenne des fournisseurs de l</w:t>
      </w:r>
      <w:r w:rsidR="001844C7">
        <w:t>’</w:t>
      </w:r>
      <w:r>
        <w:t>automobile (CLEPA/MEMA/ JAPIA); European Garage Equipment Association (EGEA); Association européenne des gaz de pétrole liquéfiés (AEGPL); Fédération européenne pour le transport et l</w:t>
      </w:r>
      <w:r w:rsidR="001844C7">
        <w:t>’</w:t>
      </w:r>
      <w:r>
        <w:t>environnement (T et E); Association internationale des constructeurs de motocycles (IMMA); Organisation internationale des constructeurs de véhicules automobiles (OICA) et Association internationale des véhicules fonctionnant au gaz naturel (IANGV/NGV Global).</w:t>
      </w:r>
    </w:p>
    <w:p w:rsidR="00584BCA" w:rsidRDefault="00584BCA" w:rsidP="00584BCA">
      <w:pPr>
        <w:pStyle w:val="ParNoG"/>
      </w:pPr>
      <w:r>
        <w:t>La Directrice de la Division des transports de la CEE, M</w:t>
      </w:r>
      <w:r w:rsidRPr="00D91DA2">
        <w:rPr>
          <w:vertAlign w:val="superscript"/>
        </w:rPr>
        <w:t>me</w:t>
      </w:r>
      <w:r>
        <w:t> E. Molnar, a présenté aux membres des délégations le Directeur de la Section des règlements concernant les véhicules et des innovations dans le domaine du transport, M. W. Nissler. Elle a exposé sa conception stratégique des transports en général et a indiqué que, dans le cadre des négociations pour l</w:t>
      </w:r>
      <w:r w:rsidR="001844C7">
        <w:t>’</w:t>
      </w:r>
      <w:r>
        <w:t>après</w:t>
      </w:r>
      <w:r>
        <w:noBreakHyphen/>
        <w:t>2015, ce secteur n</w:t>
      </w:r>
      <w:r w:rsidR="001844C7">
        <w:t>’</w:t>
      </w:r>
      <w:r>
        <w:t>était pas traité séparément mais était intégré à plusieurs objectifs. M</w:t>
      </w:r>
      <w:r w:rsidRPr="00D91DA2">
        <w:rPr>
          <w:vertAlign w:val="superscript"/>
        </w:rPr>
        <w:t>me</w:t>
      </w:r>
      <w:r>
        <w:t> Molnar a annoncé que la prochaine réunion du Comité des transports intérieurs devait se tenir du 24 au 26 février 2015 et a invité les représentants à y participer. Elle a conclu sa déclaration par un compte-rendu de la dernière publication de la CEE sur le développement durable.</w:t>
      </w:r>
    </w:p>
    <w:p w:rsidR="00584BCA" w:rsidRDefault="00584BCA" w:rsidP="00584BCA">
      <w:pPr>
        <w:pStyle w:val="HChG"/>
      </w:pPr>
      <w:r>
        <w:tab/>
        <w:t>II.</w:t>
      </w:r>
      <w:r>
        <w:tab/>
        <w:t>Adoption de l</w:t>
      </w:r>
      <w:r w:rsidR="001844C7">
        <w:t>’</w:t>
      </w:r>
      <w:r>
        <w:t>ordre du jour (point 1 de l</w:t>
      </w:r>
      <w:r w:rsidR="001844C7">
        <w:t>’</w:t>
      </w:r>
      <w:r>
        <w:t>ordre du jour)</w:t>
      </w:r>
    </w:p>
    <w:p w:rsidR="00584BCA" w:rsidRDefault="00584BCA" w:rsidP="00584BCA">
      <w:pPr>
        <w:pStyle w:val="SingleTxtG"/>
        <w:ind w:left="2552" w:hanging="1418"/>
        <w:jc w:val="left"/>
      </w:pPr>
      <w:r w:rsidRPr="00584BCA">
        <w:rPr>
          <w:i/>
        </w:rPr>
        <w:t>Documents</w:t>
      </w:r>
      <w:r>
        <w:t>:</w:t>
      </w:r>
      <w:r>
        <w:tab/>
        <w:t>ECE/TRANS/WP.29/GRPE/2015/1 et Add.1</w:t>
      </w:r>
      <w:r>
        <w:br/>
      </w:r>
      <w:r w:rsidR="009D67C2">
        <w:t>d</w:t>
      </w:r>
      <w:r>
        <w:t>ocuments informels GRPE-70-01-Rev.1,</w:t>
      </w:r>
      <w:r>
        <w:br/>
        <w:t>GRPE-70-08-Rev.2 et GRPE-70-10.</w:t>
      </w:r>
    </w:p>
    <w:p w:rsidR="00584BCA" w:rsidRDefault="00584BCA" w:rsidP="00584BCA">
      <w:pPr>
        <w:pStyle w:val="ParNoG"/>
      </w:pPr>
      <w:r>
        <w:t>Le GRPE a adopté l</w:t>
      </w:r>
      <w:r w:rsidR="001844C7">
        <w:t>’</w:t>
      </w:r>
      <w:r>
        <w:t xml:space="preserve">ordre du jour établi pour sa soixante-dixième session (ECE/TRANS/WP.29/GRPE/2015/1 et Add.1), tel que mis à jour et </w:t>
      </w:r>
      <w:r w:rsidR="001E4A3C">
        <w:t>développé dans le document GRPE</w:t>
      </w:r>
      <w:r w:rsidR="001E4A3C">
        <w:noBreakHyphen/>
      </w:r>
      <w:r>
        <w:t>70-08-Rev.2, comprenant les documents informels soumis pour la session. Le GRPE a pris note du document GRPE-70-01-Rev.1, relatif à l</w:t>
      </w:r>
      <w:r w:rsidR="001844C7">
        <w:t>’</w:t>
      </w:r>
      <w:r>
        <w:t>organisation des réunions du groupe de travail informel du GRPE au cours de la semaine.</w:t>
      </w:r>
    </w:p>
    <w:p w:rsidR="00584BCA" w:rsidRDefault="00584BCA" w:rsidP="00584BCA">
      <w:pPr>
        <w:pStyle w:val="ParNoG"/>
      </w:pPr>
      <w:r>
        <w:t>La liste des documents informels distribués pendant la session du GRPE figure à l</w:t>
      </w:r>
      <w:r w:rsidR="001844C7">
        <w:t>’</w:t>
      </w:r>
      <w:r>
        <w:t>annexe I. L</w:t>
      </w:r>
      <w:r w:rsidR="001844C7">
        <w:t>’</w:t>
      </w:r>
      <w:r>
        <w:t>annexe II présente la liste des réunions informelles tenues pendant cette session. L</w:t>
      </w:r>
      <w:r w:rsidR="001844C7">
        <w:t>’</w:t>
      </w:r>
      <w:r>
        <w:t>annexe III énumère les groupes de travail informels, les équipes spéciales et les sous-groupes du GRPE, et donne des informations sur leurs présidents, leurs secrétaires et la fin de leurs mandats.</w:t>
      </w:r>
    </w:p>
    <w:p w:rsidR="00584BCA" w:rsidRDefault="00584BCA" w:rsidP="00584BCA">
      <w:pPr>
        <w:pStyle w:val="ParNoG"/>
      </w:pPr>
      <w:r>
        <w:t xml:space="preserve">Présentant le document GRPE-70-10, le secrétariat a annoncé que la prochaine </w:t>
      </w:r>
      <w:r w:rsidRPr="00584BCA">
        <w:t>session</w:t>
      </w:r>
      <w:r>
        <w:t xml:space="preserve"> ordinaire du GRPE aurait lieu du 9 au 12 juin 2015 et a rappelé que la date limite de soumission des documents de travail officiels était le 6 mars 2015. Ces dates pourront être </w:t>
      </w:r>
      <w:r>
        <w:lastRenderedPageBreak/>
        <w:t>reconfirmées par le secrétariat. Les présidents et les secrétaires de groupes de travail informels ont été invités à se mettre en rapport avec celui-ci afin de définir le calendrier des réunions des groupes de travail informels pour la session de juin 2015 du GRPE.</w:t>
      </w:r>
    </w:p>
    <w:p w:rsidR="00584BCA" w:rsidRDefault="00584BCA" w:rsidP="00584BCA">
      <w:pPr>
        <w:pStyle w:val="HChG"/>
      </w:pPr>
      <w:r>
        <w:tab/>
        <w:t>III.</w:t>
      </w:r>
      <w:r>
        <w:tab/>
        <w:t xml:space="preserve">Rapport de la dernière session du Forum mondial </w:t>
      </w:r>
      <w:r w:rsidRPr="00584BCA">
        <w:rPr>
          <w:spacing w:val="2"/>
        </w:rPr>
        <w:t>de l</w:t>
      </w:r>
      <w:r w:rsidR="001844C7">
        <w:rPr>
          <w:spacing w:val="2"/>
        </w:rPr>
        <w:t>’</w:t>
      </w:r>
      <w:r w:rsidRPr="00584BCA">
        <w:rPr>
          <w:spacing w:val="2"/>
        </w:rPr>
        <w:t>harmonisation des Règlements concernant</w:t>
      </w:r>
      <w:r>
        <w:t xml:space="preserve"> les véhicules (WP.29) (point 2 de l</w:t>
      </w:r>
      <w:r w:rsidR="001844C7">
        <w:t>’</w:t>
      </w:r>
      <w:r>
        <w:t>ordre du jour)</w:t>
      </w:r>
    </w:p>
    <w:p w:rsidR="00584BCA" w:rsidRDefault="00584BCA" w:rsidP="00584BCA">
      <w:pPr>
        <w:pStyle w:val="SingleTxtG"/>
        <w:ind w:left="2552" w:hanging="1418"/>
        <w:jc w:val="left"/>
      </w:pPr>
      <w:r w:rsidRPr="00584BCA">
        <w:rPr>
          <w:i/>
        </w:rPr>
        <w:t>Documents</w:t>
      </w:r>
      <w:r>
        <w:t>:</w:t>
      </w:r>
      <w:r>
        <w:tab/>
        <w:t>ECE/TRANS/WP.29/1110, ECE/TRANS/WP.29/1112</w:t>
      </w:r>
      <w:r>
        <w:br/>
        <w:t>document informel GRPE-70-11.</w:t>
      </w:r>
    </w:p>
    <w:p w:rsidR="00584BCA" w:rsidRDefault="00584BCA" w:rsidP="00584BCA">
      <w:pPr>
        <w:pStyle w:val="ParNoG"/>
      </w:pPr>
      <w:r>
        <w:t>Présentant le document GRPE-70-11, le secrétariat a rendu compte des points concernant le GRPE examinés lors des 163</w:t>
      </w:r>
      <w:r w:rsidRPr="001E4A3C">
        <w:rPr>
          <w:vertAlign w:val="superscript"/>
        </w:rPr>
        <w:t>e</w:t>
      </w:r>
      <w:r w:rsidR="001E4A3C">
        <w:t xml:space="preserve"> </w:t>
      </w:r>
      <w:r>
        <w:t>et 164</w:t>
      </w:r>
      <w:r w:rsidRPr="001E4A3C">
        <w:rPr>
          <w:vertAlign w:val="superscript"/>
        </w:rPr>
        <w:t>e</w:t>
      </w:r>
      <w:r w:rsidR="001E4A3C">
        <w:t> </w:t>
      </w:r>
      <w:r>
        <w:t>sessions du Forum mondial. De plus amples informations figurent dans les documents ECE/TRANS/WP.29/1110 et ECE/TRANS/WP.29/1112.</w:t>
      </w:r>
    </w:p>
    <w:p w:rsidR="00584BCA" w:rsidRDefault="00584BCA" w:rsidP="00584BCA">
      <w:pPr>
        <w:pStyle w:val="HChG"/>
      </w:pPr>
      <w:r>
        <w:tab/>
        <w:t>IV.</w:t>
      </w:r>
      <w:r>
        <w:tab/>
        <w:t>Véhicules légers (point 3 de l</w:t>
      </w:r>
      <w:r w:rsidR="001844C7">
        <w:t>’</w:t>
      </w:r>
      <w:r>
        <w:t>ordre du jour)</w:t>
      </w:r>
    </w:p>
    <w:p w:rsidR="00584BCA" w:rsidRDefault="00584BCA" w:rsidP="00584BCA">
      <w:pPr>
        <w:pStyle w:val="H1G"/>
      </w:pPr>
      <w:r>
        <w:tab/>
        <w:t>A.</w:t>
      </w:r>
      <w:r>
        <w:tab/>
      </w:r>
      <w:r w:rsidRPr="00584BCA">
        <w:rPr>
          <w:spacing w:val="-4"/>
        </w:rPr>
        <w:t>Règlements n</w:t>
      </w:r>
      <w:r w:rsidRPr="00584BCA">
        <w:rPr>
          <w:spacing w:val="-4"/>
          <w:vertAlign w:val="superscript"/>
        </w:rPr>
        <w:t>os</w:t>
      </w:r>
      <w:r w:rsidRPr="00584BCA">
        <w:rPr>
          <w:spacing w:val="-4"/>
        </w:rPr>
        <w:t> 68 (Mesure de la vitesse maximale, y compris des véhicules</w:t>
      </w:r>
      <w:r>
        <w:t xml:space="preserve"> électriques purs), 83 (Émissions des véhicules des catégories M</w:t>
      </w:r>
      <w:r w:rsidRPr="001E4A3C">
        <w:rPr>
          <w:vertAlign w:val="subscript"/>
        </w:rPr>
        <w:t>1</w:t>
      </w:r>
      <w:r>
        <w:t xml:space="preserve"> et N</w:t>
      </w:r>
      <w:r w:rsidRPr="001E4A3C">
        <w:rPr>
          <w:vertAlign w:val="subscript"/>
        </w:rPr>
        <w:t>1</w:t>
      </w:r>
      <w:r>
        <w:t>), 101 (Émissions de CO</w:t>
      </w:r>
      <w:r w:rsidRPr="001E4A3C">
        <w:rPr>
          <w:vertAlign w:val="subscript"/>
        </w:rPr>
        <w:t>2</w:t>
      </w:r>
      <w:r>
        <w:t>/consommation de carburant) et 103 (Dispositifs antipollution de remplacement)</w:t>
      </w:r>
    </w:p>
    <w:p w:rsidR="00584BCA" w:rsidRDefault="00584BCA" w:rsidP="00584BCA">
      <w:pPr>
        <w:pStyle w:val="SingleTxtG"/>
        <w:ind w:left="2552" w:hanging="1418"/>
        <w:jc w:val="left"/>
      </w:pPr>
      <w:r w:rsidRPr="00100141">
        <w:rPr>
          <w:i/>
        </w:rPr>
        <w:t>Documents</w:t>
      </w:r>
      <w:r>
        <w:t>:</w:t>
      </w:r>
      <w:r>
        <w:tab/>
        <w:t>ECE/TRANS/WP.29/GRPE/2015/2</w:t>
      </w:r>
      <w:r>
        <w:br/>
        <w:t>ECE/TRANS/WP.29/GRPE/2015/4</w:t>
      </w:r>
      <w:r>
        <w:br/>
        <w:t>ECE/TRANS/WP.29/GRPE/2015/5</w:t>
      </w:r>
      <w:r>
        <w:br/>
        <w:t>ECE/TRANS/WP.29/GRPE/2015/6</w:t>
      </w:r>
      <w:r>
        <w:br/>
        <w:t>ECE/TRANS/WP.29/GRPE/2015/7</w:t>
      </w:r>
      <w:r>
        <w:br/>
        <w:t>ECE/TRANS/WP.29/GRPE/2015/8</w:t>
      </w:r>
      <w:r>
        <w:br/>
        <w:t>documents informels GRPE-70-04, GRPE-70-05, GRPE-70-14</w:t>
      </w:r>
      <w:r w:rsidR="00100141">
        <w:br/>
      </w:r>
      <w:r>
        <w:t>et GRPE 70-16-Rev.1.</w:t>
      </w:r>
    </w:p>
    <w:p w:rsidR="00584BCA" w:rsidRDefault="00584BCA" w:rsidP="00100141">
      <w:pPr>
        <w:pStyle w:val="ParNoG"/>
      </w:pPr>
      <w:r>
        <w:t>L</w:t>
      </w:r>
      <w:r w:rsidR="001844C7">
        <w:t>’</w:t>
      </w:r>
      <w:r>
        <w:t>expert de la Commission européenne a présenté le document ECE/TRANS/</w:t>
      </w:r>
      <w:r w:rsidR="00100141">
        <w:t xml:space="preserve"> </w:t>
      </w:r>
      <w:r>
        <w:t>WP.29/GRPE/2015/2 contenant une proposition visant à préciser le texte actuel des dispositions transitoires du Règlement n</w:t>
      </w:r>
      <w:r w:rsidRPr="00100141">
        <w:rPr>
          <w:vertAlign w:val="superscript"/>
        </w:rPr>
        <w:t>o</w:t>
      </w:r>
      <w:r w:rsidR="00100141">
        <w:t> </w:t>
      </w:r>
      <w:r>
        <w:t>83. L</w:t>
      </w:r>
      <w:r w:rsidR="001844C7">
        <w:t>’</w:t>
      </w:r>
      <w:r>
        <w:t>expert de l</w:t>
      </w:r>
      <w:r w:rsidR="001844C7">
        <w:t>’</w:t>
      </w:r>
      <w:r>
        <w:t>OICA a présenté une autre proposition (GRPE-70-16-Rev.1). Le GRPE a adopté le document ECE/TRANS/WP.29/</w:t>
      </w:r>
      <w:r w:rsidR="00100141">
        <w:t xml:space="preserve"> </w:t>
      </w:r>
      <w:r>
        <w:t>GRPE/2015/2.</w:t>
      </w:r>
    </w:p>
    <w:p w:rsidR="00584BCA" w:rsidRDefault="00584BCA" w:rsidP="00100141">
      <w:pPr>
        <w:pStyle w:val="ParNoG"/>
      </w:pPr>
      <w:r>
        <w:t>Le GRPE a adopté la proposition figurant dans le document GRPE</w:t>
      </w:r>
      <w:r w:rsidR="001E4A3C">
        <w:noBreakHyphen/>
      </w:r>
      <w:r>
        <w:t>70</w:t>
      </w:r>
      <w:r w:rsidR="001E4A3C">
        <w:noBreakHyphen/>
        <w:t>16</w:t>
      </w:r>
      <w:r w:rsidR="001E4A3C">
        <w:noBreakHyphen/>
      </w:r>
      <w:r>
        <w:t xml:space="preserve">Rev.1 et </w:t>
      </w:r>
      <w:r w:rsidRPr="00100141">
        <w:t>modifiant</w:t>
      </w:r>
      <w:r>
        <w:t xml:space="preserve"> le document ECE/TRANS/WP.29/GRPE/2015/2, avec une réserve d</w:t>
      </w:r>
      <w:r w:rsidR="001844C7">
        <w:t>’</w:t>
      </w:r>
      <w:r>
        <w:t>examen.</w:t>
      </w:r>
    </w:p>
    <w:p w:rsidR="00584BCA" w:rsidRDefault="00584BCA" w:rsidP="00100141">
      <w:pPr>
        <w:pStyle w:val="ParNoG"/>
      </w:pPr>
      <w:r>
        <w:t>L</w:t>
      </w:r>
      <w:r w:rsidR="001844C7">
        <w:t>’</w:t>
      </w:r>
      <w:r>
        <w:t>expert de l</w:t>
      </w:r>
      <w:r w:rsidR="001844C7">
        <w:t>’</w:t>
      </w:r>
      <w:r>
        <w:t xml:space="preserve">OICA a présenté (GRPE-70-14) les propositions contenues dans les </w:t>
      </w:r>
      <w:r w:rsidRPr="00100141">
        <w:t>documents ECE/TRANS/WP.29/GRPE/2015/4 et ECE/TRANS/WP.29/GRPE/2015/5 modifiant</w:t>
      </w:r>
      <w:r w:rsidRPr="00100141">
        <w:rPr>
          <w:spacing w:val="-2"/>
        </w:rPr>
        <w:t xml:space="preserve"> </w:t>
      </w:r>
      <w:r>
        <w:t>les prescriptions applicables aux systèmes d</w:t>
      </w:r>
      <w:r w:rsidR="001844C7">
        <w:t>’</w:t>
      </w:r>
      <w:r>
        <w:t>autodiagnostic (OBD) du Règlement n</w:t>
      </w:r>
      <w:r w:rsidRPr="00100141">
        <w:rPr>
          <w:vertAlign w:val="superscript"/>
        </w:rPr>
        <w:t>o</w:t>
      </w:r>
      <w:r w:rsidR="00100141">
        <w:t> </w:t>
      </w:r>
      <w:r>
        <w:t>83. Il a également présenté les documents GRPE-70-04 et GRPE-70-05 qui apportent des modifications de forme aux deux propositions. Le GRPE a adopté ces propositions telles que modifiées par l</w:t>
      </w:r>
      <w:r w:rsidR="001844C7">
        <w:t>’</w:t>
      </w:r>
      <w:r>
        <w:t>annexe</w:t>
      </w:r>
      <w:r w:rsidR="00100141">
        <w:t> </w:t>
      </w:r>
      <w:r>
        <w:t>IV du présent rapport.</w:t>
      </w:r>
    </w:p>
    <w:p w:rsidR="00584BCA" w:rsidRDefault="00584BCA" w:rsidP="00100141">
      <w:pPr>
        <w:pStyle w:val="ParNoG"/>
      </w:pPr>
      <w:r>
        <w:t>Le GRPE a examiné une proposition de l</w:t>
      </w:r>
      <w:r w:rsidR="001844C7">
        <w:t>’</w:t>
      </w:r>
      <w:r>
        <w:t>expert de l</w:t>
      </w:r>
      <w:r w:rsidR="001844C7">
        <w:t>’</w:t>
      </w:r>
      <w:r>
        <w:t>OICA visant à ajouter des carburants de référence dans la série</w:t>
      </w:r>
      <w:r w:rsidR="00100141">
        <w:t> </w:t>
      </w:r>
      <w:r>
        <w:t>06 d</w:t>
      </w:r>
      <w:r w:rsidR="001844C7">
        <w:t>’</w:t>
      </w:r>
      <w:r>
        <w:t xml:space="preserve">amendements au Règlement </w:t>
      </w:r>
      <w:r w:rsidR="00100141">
        <w:t>n</w:t>
      </w:r>
      <w:r w:rsidR="00100141" w:rsidRPr="00100141">
        <w:rPr>
          <w:vertAlign w:val="superscript"/>
        </w:rPr>
        <w:t>o</w:t>
      </w:r>
      <w:r w:rsidR="00100141">
        <w:t> </w:t>
      </w:r>
      <w:r>
        <w:t>83. Le GRPE a</w:t>
      </w:r>
      <w:r w:rsidR="00100141">
        <w:t> </w:t>
      </w:r>
      <w:r>
        <w:t>adopté le document ECE/TRANS/WP.29/GRPE/2015/6.</w:t>
      </w:r>
    </w:p>
    <w:p w:rsidR="00584BCA" w:rsidRDefault="00584BCA" w:rsidP="00100141">
      <w:pPr>
        <w:pStyle w:val="ParNoG"/>
      </w:pPr>
      <w:r>
        <w:lastRenderedPageBreak/>
        <w:t>L</w:t>
      </w:r>
      <w:r w:rsidR="001844C7">
        <w:t>’</w:t>
      </w:r>
      <w:r>
        <w:t>expert des Pays-Bas a présenté le document ECE/TRANS/WP.29/GRPE/2015/8 qui propose la suppression de la définition des «véhicules conçus pour satisfaire des besoins sociaux spécifiques». Le GRPE a adopté cette proposition.</w:t>
      </w:r>
    </w:p>
    <w:p w:rsidR="00584BCA" w:rsidRDefault="00584BCA" w:rsidP="00100141">
      <w:pPr>
        <w:pStyle w:val="ParNoG"/>
      </w:pPr>
      <w:r>
        <w:t>Le GRPE a demandé au secrétariat de soumettre le document ECE/TRANS/WP.29/</w:t>
      </w:r>
      <w:r w:rsidR="00100141">
        <w:t xml:space="preserve"> </w:t>
      </w:r>
      <w:r>
        <w:t>GRPE/2015/4 tel que modifié par l</w:t>
      </w:r>
      <w:r w:rsidR="001844C7">
        <w:t>’</w:t>
      </w:r>
      <w:r>
        <w:t>annexe IV du présent rapport, ainsi que le document ECE/TRANS/WP.29/GRPE/2015/6, au WP.29 et à l</w:t>
      </w:r>
      <w:r w:rsidR="001844C7">
        <w:t>’</w:t>
      </w:r>
      <w:r>
        <w:t>AC.1 aux fins de leur examen et de mise aux voix à leur session de juin 2015, en tant que projet de complément</w:t>
      </w:r>
      <w:r w:rsidR="00100141">
        <w:t> </w:t>
      </w:r>
      <w:r>
        <w:t>5 à la série</w:t>
      </w:r>
      <w:r w:rsidR="00100141">
        <w:t> </w:t>
      </w:r>
      <w:r>
        <w:t>06 d</w:t>
      </w:r>
      <w:r w:rsidR="001844C7">
        <w:t>’</w:t>
      </w:r>
      <w:r>
        <w:t xml:space="preserve">amendements au Règlement </w:t>
      </w:r>
      <w:r w:rsidR="00100141">
        <w:t>n</w:t>
      </w:r>
      <w:r w:rsidR="00100141" w:rsidRPr="00100141">
        <w:rPr>
          <w:vertAlign w:val="superscript"/>
        </w:rPr>
        <w:t>o</w:t>
      </w:r>
      <w:r w:rsidR="00100141">
        <w:t> </w:t>
      </w:r>
      <w:r>
        <w:t>83.</w:t>
      </w:r>
    </w:p>
    <w:p w:rsidR="00584BCA" w:rsidRDefault="00584BCA" w:rsidP="00100141">
      <w:pPr>
        <w:pStyle w:val="ParNoG"/>
      </w:pPr>
      <w:r>
        <w:t>Le GRPE a demandé au secrétariat de soumettre le document ECE/TRANS/</w:t>
      </w:r>
      <w:r w:rsidR="00100141">
        <w:t xml:space="preserve"> </w:t>
      </w:r>
      <w:r>
        <w:t>WP.29/GRPE/2015/2 tel que modifié par l</w:t>
      </w:r>
      <w:r w:rsidR="001844C7">
        <w:t>’</w:t>
      </w:r>
      <w:r>
        <w:t>annexe</w:t>
      </w:r>
      <w:r w:rsidR="00100141">
        <w:t> </w:t>
      </w:r>
      <w:r>
        <w:t>VII, le document ECE/TRANS/WP.29/</w:t>
      </w:r>
      <w:r w:rsidR="00100141">
        <w:t xml:space="preserve"> </w:t>
      </w:r>
      <w:r>
        <w:t>GRPE/2015/5 tel que modifié par l</w:t>
      </w:r>
      <w:r w:rsidR="001844C7">
        <w:t>’</w:t>
      </w:r>
      <w:r>
        <w:t>annexe</w:t>
      </w:r>
      <w:r w:rsidR="00100141">
        <w:t> </w:t>
      </w:r>
      <w:r>
        <w:t>IV du présent rapport et le document ECE/TRANS/WP.29/GRPE/2015/8 au WP.29 et à l</w:t>
      </w:r>
      <w:r w:rsidR="001844C7">
        <w:t>’</w:t>
      </w:r>
      <w:r>
        <w:t>AC.1, aux fins de leur examen à leur session de juin 2015, en tant que projet de complément</w:t>
      </w:r>
      <w:r w:rsidR="00100141">
        <w:t> </w:t>
      </w:r>
      <w:r>
        <w:t>1 à la série</w:t>
      </w:r>
      <w:r w:rsidR="00100141">
        <w:t> </w:t>
      </w:r>
      <w:r>
        <w:t>07 d</w:t>
      </w:r>
      <w:r w:rsidR="001844C7">
        <w:t>’</w:t>
      </w:r>
      <w:r>
        <w:t>amendements au</w:t>
      </w:r>
      <w:r w:rsidR="00100141">
        <w:t> </w:t>
      </w:r>
      <w:r>
        <w:t xml:space="preserve">Règlement </w:t>
      </w:r>
      <w:r w:rsidR="00100141">
        <w:t>n</w:t>
      </w:r>
      <w:r w:rsidR="00100141" w:rsidRPr="00100141">
        <w:rPr>
          <w:vertAlign w:val="superscript"/>
        </w:rPr>
        <w:t>o</w:t>
      </w:r>
      <w:r w:rsidR="00100141">
        <w:t> </w:t>
      </w:r>
      <w:r>
        <w:t>83.</w:t>
      </w:r>
    </w:p>
    <w:p w:rsidR="00584BCA" w:rsidRDefault="00584BCA" w:rsidP="00100141">
      <w:pPr>
        <w:pStyle w:val="ParNoG"/>
      </w:pPr>
      <w:r>
        <w:t>Le GRPE a examiné une proposition de l</w:t>
      </w:r>
      <w:r w:rsidR="001844C7">
        <w:t>’</w:t>
      </w:r>
      <w:r>
        <w:t>OICA visant à introduire dans les prescriptions du complément</w:t>
      </w:r>
      <w:r w:rsidR="00100141">
        <w:t> </w:t>
      </w:r>
      <w:r>
        <w:t>4 à la série</w:t>
      </w:r>
      <w:r w:rsidR="00100141">
        <w:t> </w:t>
      </w:r>
      <w:r>
        <w:t>01 d</w:t>
      </w:r>
      <w:r w:rsidR="001844C7">
        <w:t>’</w:t>
      </w:r>
      <w:r>
        <w:t xml:space="preserve">amendements au Règlement </w:t>
      </w:r>
      <w:r w:rsidR="00100141">
        <w:t>n</w:t>
      </w:r>
      <w:r w:rsidR="00100141" w:rsidRPr="00100141">
        <w:rPr>
          <w:vertAlign w:val="superscript"/>
        </w:rPr>
        <w:t>o</w:t>
      </w:r>
      <w:r w:rsidR="00100141">
        <w:t> </w:t>
      </w:r>
      <w:r>
        <w:t>101 des dispositions transitoires, afin d</w:t>
      </w:r>
      <w:r w:rsidR="001844C7">
        <w:t>’</w:t>
      </w:r>
      <w:r>
        <w:t xml:space="preserve">assurer leur cohérence avec celles du Règlement </w:t>
      </w:r>
      <w:r w:rsidR="00100141">
        <w:t>n</w:t>
      </w:r>
      <w:r w:rsidR="00100141" w:rsidRPr="00100141">
        <w:rPr>
          <w:vertAlign w:val="superscript"/>
        </w:rPr>
        <w:t>o</w:t>
      </w:r>
      <w:r w:rsidR="00100141">
        <w:t> </w:t>
      </w:r>
      <w:r>
        <w:t>83. Le GRPE a adopté cette proposition faisant l</w:t>
      </w:r>
      <w:r w:rsidR="001844C7">
        <w:t>’</w:t>
      </w:r>
      <w:r>
        <w:t>objet du document ECE/TRANS/WP.29/GRPE/</w:t>
      </w:r>
      <w:r w:rsidR="00100141">
        <w:t xml:space="preserve"> </w:t>
      </w:r>
      <w:r>
        <w:t>2015/7 et a demandé au secrétariat de la soumettre au WP.29 et à l</w:t>
      </w:r>
      <w:r w:rsidR="001844C7">
        <w:t>’</w:t>
      </w:r>
      <w:r>
        <w:t>AC.1, aux fins de leur examen et mise aux voix à leur session de juin 2015, en tant que projet de complément</w:t>
      </w:r>
      <w:r w:rsidR="00100141">
        <w:t> </w:t>
      </w:r>
      <w:r>
        <w:t>5 à</w:t>
      </w:r>
      <w:r w:rsidR="00100141">
        <w:t> </w:t>
      </w:r>
      <w:r>
        <w:t>la série</w:t>
      </w:r>
      <w:r w:rsidR="00100141">
        <w:t> </w:t>
      </w:r>
      <w:r>
        <w:t>01 d</w:t>
      </w:r>
      <w:r w:rsidR="001844C7">
        <w:t>’</w:t>
      </w:r>
      <w:r>
        <w:t xml:space="preserve">amendements au Règlement </w:t>
      </w:r>
      <w:r w:rsidR="00100141">
        <w:t>n</w:t>
      </w:r>
      <w:r w:rsidR="00100141" w:rsidRPr="00100141">
        <w:rPr>
          <w:vertAlign w:val="superscript"/>
        </w:rPr>
        <w:t>o</w:t>
      </w:r>
      <w:r w:rsidR="00100141">
        <w:t> </w:t>
      </w:r>
      <w:r>
        <w:t>101.</w:t>
      </w:r>
    </w:p>
    <w:p w:rsidR="00584BCA" w:rsidRDefault="00584BCA" w:rsidP="00100141">
      <w:pPr>
        <w:pStyle w:val="H1G"/>
      </w:pPr>
      <w:r>
        <w:tab/>
        <w:t>B.</w:t>
      </w:r>
      <w:r>
        <w:tab/>
        <w:t>Règlement technique mondial n</w:t>
      </w:r>
      <w:r w:rsidRPr="00100141">
        <w:rPr>
          <w:vertAlign w:val="superscript"/>
        </w:rPr>
        <w:t>o</w:t>
      </w:r>
      <w:r w:rsidR="00100141">
        <w:t> </w:t>
      </w:r>
      <w:r>
        <w:t>15 sur la procédure d</w:t>
      </w:r>
      <w:r w:rsidR="001844C7">
        <w:t>’</w:t>
      </w:r>
      <w:r>
        <w:t>essai mondiale harmonisée pour les voitures particulières et les véhicules utilitaires légers (WLTP)</w:t>
      </w:r>
    </w:p>
    <w:p w:rsidR="00584BCA" w:rsidRDefault="00584BCA" w:rsidP="00584BCA">
      <w:pPr>
        <w:pStyle w:val="SingleTxtG"/>
        <w:ind w:left="2552" w:hanging="1418"/>
        <w:jc w:val="left"/>
      </w:pPr>
      <w:r w:rsidRPr="00100141">
        <w:rPr>
          <w:i/>
        </w:rPr>
        <w:t>Documents</w:t>
      </w:r>
      <w:r>
        <w:t>:</w:t>
      </w:r>
      <w:r>
        <w:tab/>
      </w:r>
      <w:r w:rsidR="00100141">
        <w:t>D</w:t>
      </w:r>
      <w:r>
        <w:t>ocuments informels GRPE</w:t>
      </w:r>
      <w:r w:rsidR="00100141">
        <w:t>-70-13, GRPE-70-20, GRPE-70-26,</w:t>
      </w:r>
      <w:r w:rsidR="00100141">
        <w:br/>
      </w:r>
      <w:r>
        <w:t>GRPE-70-27, GRPE-70-28, GRPE-70-29 et GRPE-70-30.</w:t>
      </w:r>
    </w:p>
    <w:p w:rsidR="00584BCA" w:rsidRDefault="00584BCA" w:rsidP="00100141">
      <w:pPr>
        <w:pStyle w:val="ParNoG"/>
      </w:pPr>
      <w:r>
        <w:t xml:space="preserve">Dans le document GRPE-70-20, le </w:t>
      </w:r>
      <w:r w:rsidR="009D67C2">
        <w:t>P</w:t>
      </w:r>
      <w:r>
        <w:t>résident du groupe de travail informel du WLTP a fait état des progrès réalisés au cours de la phase</w:t>
      </w:r>
      <w:r w:rsidR="00100141">
        <w:t> </w:t>
      </w:r>
      <w:r>
        <w:t>1B de l</w:t>
      </w:r>
      <w:r w:rsidR="001844C7">
        <w:t>’</w:t>
      </w:r>
      <w:r>
        <w:t xml:space="preserve">élaboration du Règlement technique mondial (RTM) </w:t>
      </w:r>
      <w:r w:rsidR="00100141">
        <w:t>n</w:t>
      </w:r>
      <w:r w:rsidR="00100141" w:rsidRPr="00100141">
        <w:rPr>
          <w:vertAlign w:val="superscript"/>
        </w:rPr>
        <w:t>o</w:t>
      </w:r>
      <w:r w:rsidR="00100141">
        <w:t> </w:t>
      </w:r>
      <w:r>
        <w:t>15. Il a présenté un rapport sur l</w:t>
      </w:r>
      <w:r w:rsidR="001844C7">
        <w:t>’</w:t>
      </w:r>
      <w:r>
        <w:t>état d</w:t>
      </w:r>
      <w:r w:rsidR="001844C7">
        <w:t>’</w:t>
      </w:r>
      <w:r>
        <w:t>avancement des questions que le groupe doit encore traiter. Il a rappelé que les délais étaient courts mais qu</w:t>
      </w:r>
      <w:r w:rsidR="001844C7">
        <w:t>’</w:t>
      </w:r>
      <w:r>
        <w:t>il espérait que les travaux seraient terminés d</w:t>
      </w:r>
      <w:r w:rsidR="001844C7">
        <w:t>’</w:t>
      </w:r>
      <w:r>
        <w:t xml:space="preserve">ici </w:t>
      </w:r>
      <w:r w:rsidR="009D67C2">
        <w:t xml:space="preserve">à </w:t>
      </w:r>
      <w:r>
        <w:t>octobre 2015.</w:t>
      </w:r>
    </w:p>
    <w:p w:rsidR="00584BCA" w:rsidRDefault="00584BCA" w:rsidP="00100141">
      <w:pPr>
        <w:pStyle w:val="ParNoG"/>
      </w:pPr>
      <w:r w:rsidRPr="00100141">
        <w:rPr>
          <w:spacing w:val="-2"/>
        </w:rPr>
        <w:t>L</w:t>
      </w:r>
      <w:r w:rsidR="001844C7">
        <w:rPr>
          <w:spacing w:val="-2"/>
        </w:rPr>
        <w:t>’</w:t>
      </w:r>
      <w:r w:rsidRPr="00100141">
        <w:rPr>
          <w:spacing w:val="-2"/>
        </w:rPr>
        <w:t xml:space="preserve">expert de la Commission européenne a présenté le document </w:t>
      </w:r>
      <w:r w:rsidRPr="00100141">
        <w:t>informel</w:t>
      </w:r>
      <w:r w:rsidRPr="00100141">
        <w:rPr>
          <w:spacing w:val="-2"/>
        </w:rPr>
        <w:t xml:space="preserve"> GRPE</w:t>
      </w:r>
      <w:r w:rsidR="00100141" w:rsidRPr="00100141">
        <w:rPr>
          <w:spacing w:val="-2"/>
        </w:rPr>
        <w:noBreakHyphen/>
      </w:r>
      <w:r w:rsidRPr="00100141">
        <w:rPr>
          <w:spacing w:val="-2"/>
        </w:rPr>
        <w:t>70</w:t>
      </w:r>
      <w:r w:rsidR="00100141" w:rsidRPr="00100141">
        <w:rPr>
          <w:spacing w:val="-2"/>
        </w:rPr>
        <w:noBreakHyphen/>
      </w:r>
      <w:r w:rsidRPr="00100141">
        <w:rPr>
          <w:spacing w:val="-2"/>
        </w:rPr>
        <w:t>13</w:t>
      </w:r>
      <w:r>
        <w:t xml:space="preserve"> faisant état des progrès réalisés dans la transposition du RTM </w:t>
      </w:r>
      <w:r w:rsidR="00100141">
        <w:t>n</w:t>
      </w:r>
      <w:r w:rsidR="00100141" w:rsidRPr="00100141">
        <w:rPr>
          <w:vertAlign w:val="superscript"/>
        </w:rPr>
        <w:t>o</w:t>
      </w:r>
      <w:r w:rsidR="00100141">
        <w:t> </w:t>
      </w:r>
      <w:r>
        <w:t>15 dans un Règlement européen ainsi que dans un nouveau Règlement qui sera annexé à l</w:t>
      </w:r>
      <w:r w:rsidR="001844C7">
        <w:t>’</w:t>
      </w:r>
      <w:r>
        <w:t>Accord de 1958. Il a présenté un plan d</w:t>
      </w:r>
      <w:r w:rsidR="001844C7">
        <w:t>’</w:t>
      </w:r>
      <w:r>
        <w:t>action à l</w:t>
      </w:r>
      <w:r w:rsidR="001844C7">
        <w:t>’</w:t>
      </w:r>
      <w:r>
        <w:t>horizon janvier 2016 en vue de la remise de ces règlements au</w:t>
      </w:r>
      <w:r w:rsidR="00100141">
        <w:t> </w:t>
      </w:r>
      <w:r>
        <w:t>GRPE.</w:t>
      </w:r>
    </w:p>
    <w:p w:rsidR="00584BCA" w:rsidRDefault="00584BCA" w:rsidP="00100141">
      <w:pPr>
        <w:pStyle w:val="ParNoG"/>
      </w:pPr>
      <w:r>
        <w:t xml:space="preserve">Le GRPE est convenu que le RTM </w:t>
      </w:r>
      <w:r w:rsidR="00100141">
        <w:t>n</w:t>
      </w:r>
      <w:r w:rsidR="00100141" w:rsidRPr="00100141">
        <w:rPr>
          <w:vertAlign w:val="superscript"/>
        </w:rPr>
        <w:t>o</w:t>
      </w:r>
      <w:r w:rsidR="00100141">
        <w:t> </w:t>
      </w:r>
      <w:r>
        <w:t xml:space="preserve">15 devait être transposé dans un nouveau règlement et que certaines des dispositions transitoires correspondantes devaient figurer dans les Règlements </w:t>
      </w:r>
      <w:r w:rsidR="00100141">
        <w:t>n</w:t>
      </w:r>
      <w:r w:rsidR="00100141" w:rsidRPr="00100141">
        <w:rPr>
          <w:vertAlign w:val="superscript"/>
        </w:rPr>
        <w:t>o</w:t>
      </w:r>
      <w:r w:rsidR="00100141">
        <w:rPr>
          <w:vertAlign w:val="superscript"/>
        </w:rPr>
        <w:t>s</w:t>
      </w:r>
      <w:r w:rsidR="00100141">
        <w:t> </w:t>
      </w:r>
      <w:r>
        <w:t>83 et 101. L</w:t>
      </w:r>
      <w:r w:rsidR="001844C7">
        <w:t>’</w:t>
      </w:r>
      <w:r>
        <w:t>expert de la Commission européenne a estimé qu</w:t>
      </w:r>
      <w:r w:rsidR="001844C7">
        <w:t>’</w:t>
      </w:r>
      <w:r>
        <w:t xml:space="preserve">un nouveau règlement reprenant le RTM </w:t>
      </w:r>
      <w:r w:rsidR="00100141">
        <w:t>n</w:t>
      </w:r>
      <w:r w:rsidR="00100141" w:rsidRPr="00100141">
        <w:rPr>
          <w:vertAlign w:val="superscript"/>
        </w:rPr>
        <w:t>o</w:t>
      </w:r>
      <w:r w:rsidR="00100141">
        <w:t> </w:t>
      </w:r>
      <w:r>
        <w:t>15 devrait être harmonisé avec le Règlement européen correspondant. L</w:t>
      </w:r>
      <w:r w:rsidR="001844C7">
        <w:t>’</w:t>
      </w:r>
      <w:r>
        <w:t>expert du Japon a insisté sur le fait que la transposition du RTM devrait tenir compte des résultats des discussions qui ont eu lieu lors de l</w:t>
      </w:r>
      <w:r w:rsidR="001844C7">
        <w:t>’</w:t>
      </w:r>
      <w:r>
        <w:t xml:space="preserve">élaboration du RTM </w:t>
      </w:r>
      <w:r w:rsidR="00100141">
        <w:t>n</w:t>
      </w:r>
      <w:r w:rsidR="00100141" w:rsidRPr="00100141">
        <w:rPr>
          <w:vertAlign w:val="superscript"/>
        </w:rPr>
        <w:t>o</w:t>
      </w:r>
      <w:r w:rsidR="00100141">
        <w:t> </w:t>
      </w:r>
      <w:r>
        <w:t>15. Le GRPE est convenu de reprendre l</w:t>
      </w:r>
      <w:r w:rsidR="001844C7">
        <w:t>’</w:t>
      </w:r>
      <w:r>
        <w:t>examen de cette question à sa session de</w:t>
      </w:r>
      <w:r w:rsidR="00100141">
        <w:t> </w:t>
      </w:r>
      <w:r>
        <w:t>juin 2015.</w:t>
      </w:r>
    </w:p>
    <w:p w:rsidR="00584BCA" w:rsidRDefault="00584BCA" w:rsidP="00100141">
      <w:pPr>
        <w:pStyle w:val="ParNoG"/>
      </w:pPr>
      <w:r w:rsidRPr="00100141">
        <w:t>L</w:t>
      </w:r>
      <w:r w:rsidR="001844C7">
        <w:t>’</w:t>
      </w:r>
      <w:r w:rsidRPr="00100141">
        <w:t>expert</w:t>
      </w:r>
      <w:r>
        <w:t xml:space="preserve"> du Japon a présenté, en tant que coparrain de la phase</w:t>
      </w:r>
      <w:r w:rsidR="00100141">
        <w:t> </w:t>
      </w:r>
      <w:r>
        <w:t>2 de l</w:t>
      </w:r>
      <w:r w:rsidR="001844C7">
        <w:t>’</w:t>
      </w:r>
      <w:r>
        <w:t xml:space="preserve">élaboration du RTM </w:t>
      </w:r>
      <w:r w:rsidR="00100141">
        <w:t>n</w:t>
      </w:r>
      <w:r w:rsidR="00100141" w:rsidRPr="00100141">
        <w:rPr>
          <w:vertAlign w:val="superscript"/>
        </w:rPr>
        <w:t>o</w:t>
      </w:r>
      <w:r w:rsidR="00100141">
        <w:t> </w:t>
      </w:r>
      <w:r>
        <w:t>15, le document intitulé «Note de démarrage sur la phase</w:t>
      </w:r>
      <w:r w:rsidR="00100141">
        <w:t> </w:t>
      </w:r>
      <w:r>
        <w:t>2 de la WLTP» (GRPE</w:t>
      </w:r>
      <w:r w:rsidR="00617B25">
        <w:noBreakHyphen/>
      </w:r>
      <w:r w:rsidRPr="00617B25">
        <w:t>70-26) ainsi que le questionnaire y relatif (GRPE-70-27) déjà présenté lors</w:t>
      </w:r>
      <w:r>
        <w:t xml:space="preserve"> de </w:t>
      </w:r>
      <w:r>
        <w:lastRenderedPageBreak/>
        <w:t>la</w:t>
      </w:r>
      <w:r w:rsidR="00617B25">
        <w:t> </w:t>
      </w:r>
      <w:r>
        <w:t>huitième session du groupe de travail de la WLTP. Il a signalé que la prise de position provisoire de son pays était présentée à titre d</w:t>
      </w:r>
      <w:r w:rsidR="001844C7">
        <w:t>’</w:t>
      </w:r>
      <w:r>
        <w:t xml:space="preserve">exemple dans le document GRPE-70-30. Le GRPE a invité tous les experts à renvoyer le questionnaire rempli. Le </w:t>
      </w:r>
      <w:r w:rsidR="009D67C2">
        <w:t>P</w:t>
      </w:r>
      <w:r>
        <w:t>résident du GRPE a rappelé que l</w:t>
      </w:r>
      <w:r w:rsidR="001844C7">
        <w:t>’</w:t>
      </w:r>
      <w:r>
        <w:t>objet du document GRPE-70-28 était de communiquer la position de l</w:t>
      </w:r>
      <w:r w:rsidR="001844C7">
        <w:t>’</w:t>
      </w:r>
      <w:r>
        <w:t>Union européenne concernant les futurs travaux sur les véhicules électriques menés sous l</w:t>
      </w:r>
      <w:r w:rsidR="001844C7">
        <w:t>’</w:t>
      </w:r>
      <w:r>
        <w:t>égide du groupe de travail informel WLTP.</w:t>
      </w:r>
    </w:p>
    <w:p w:rsidR="00584BCA" w:rsidRDefault="00584BCA" w:rsidP="00100141">
      <w:pPr>
        <w:pStyle w:val="ParNoG"/>
      </w:pPr>
      <w:r>
        <w:t>L</w:t>
      </w:r>
      <w:r w:rsidR="001844C7">
        <w:t>’</w:t>
      </w:r>
      <w:r>
        <w:t>expert du Japon a présenté le projet de prise de position de son pays sur les climatiseurs mobiles (GRPE-70-29). L</w:t>
      </w:r>
      <w:r w:rsidR="001844C7">
        <w:t>’</w:t>
      </w:r>
      <w:r>
        <w:t>expert de la Commission européenne (CE) a présenté la position de l</w:t>
      </w:r>
      <w:r w:rsidR="001844C7">
        <w:t>’</w:t>
      </w:r>
      <w:r>
        <w:t>Union Européenne (UE) sur la question. Le GRPE est convenu que ce sujet serait considéré comme une question en suspens à examiner dans le cadre des travaux sur la phase</w:t>
      </w:r>
      <w:r w:rsidR="00100141">
        <w:t> </w:t>
      </w:r>
      <w:r>
        <w:t xml:space="preserve">2 du RTM </w:t>
      </w:r>
      <w:r w:rsidR="00100141">
        <w:t>n</w:t>
      </w:r>
      <w:r w:rsidR="00100141" w:rsidRPr="00100141">
        <w:rPr>
          <w:vertAlign w:val="superscript"/>
        </w:rPr>
        <w:t>o</w:t>
      </w:r>
      <w:r w:rsidR="00100141">
        <w:t> </w:t>
      </w:r>
      <w:r>
        <w:t>15.</w:t>
      </w:r>
    </w:p>
    <w:p w:rsidR="00584BCA" w:rsidRDefault="00584BCA" w:rsidP="00100141">
      <w:pPr>
        <w:pStyle w:val="ParNoG"/>
      </w:pPr>
      <w:r>
        <w:t>Le GRPE a pris acte des progrès réalisés par le groupe et a noté la demande faite par celui-ci de pouvoir disposer d</w:t>
      </w:r>
      <w:r w:rsidR="001844C7">
        <w:t>’</w:t>
      </w:r>
      <w:r>
        <w:t>une salle de réunion pendant une journée lors de la semaine de session du GRPE en juin 2015.</w:t>
      </w:r>
    </w:p>
    <w:p w:rsidR="00584BCA" w:rsidRDefault="00584BCA" w:rsidP="00100141">
      <w:pPr>
        <w:pStyle w:val="HChG"/>
      </w:pPr>
      <w:r>
        <w:tab/>
        <w:t>V.</w:t>
      </w:r>
      <w:r>
        <w:tab/>
        <w:t>Véhicules utilitaires lourds (point 4 de l</w:t>
      </w:r>
      <w:r w:rsidR="001844C7">
        <w:t>’</w:t>
      </w:r>
      <w:r>
        <w:t>ordre du jour)</w:t>
      </w:r>
    </w:p>
    <w:p w:rsidR="00584BCA" w:rsidRDefault="00584BCA" w:rsidP="00100141">
      <w:pPr>
        <w:pStyle w:val="H1G"/>
      </w:pPr>
      <w:r>
        <w:tab/>
        <w:t>A.</w:t>
      </w:r>
      <w:r>
        <w:tab/>
        <w:t>Règlements n</w:t>
      </w:r>
      <w:r w:rsidRPr="00100141">
        <w:rPr>
          <w:vertAlign w:val="superscript"/>
        </w:rPr>
        <w:t>o</w:t>
      </w:r>
      <w:r w:rsidR="00100141">
        <w:rPr>
          <w:vertAlign w:val="superscript"/>
        </w:rPr>
        <w:t>s</w:t>
      </w:r>
      <w:r w:rsidR="00100141">
        <w:t> </w:t>
      </w:r>
      <w:r>
        <w:t>49 (Émissions des moteurs à allumage par compression et des moteurs à allumage commandé (GPL et GNC)) et 132 (Dispositifs antipollution non montés d</w:t>
      </w:r>
      <w:r w:rsidR="001844C7">
        <w:t>’</w:t>
      </w:r>
      <w:r>
        <w:t>origine (REC))</w:t>
      </w:r>
    </w:p>
    <w:p w:rsidR="00584BCA" w:rsidRDefault="00584BCA" w:rsidP="00584BCA">
      <w:pPr>
        <w:pStyle w:val="SingleTxtG"/>
        <w:ind w:left="2552" w:hanging="1418"/>
        <w:jc w:val="left"/>
      </w:pPr>
      <w:r w:rsidRPr="00100141">
        <w:rPr>
          <w:i/>
        </w:rPr>
        <w:t>Documents</w:t>
      </w:r>
      <w:r>
        <w:t>:</w:t>
      </w:r>
      <w:r>
        <w:tab/>
        <w:t>ECE/TRANS/WP.29/GRPE/2015/3</w:t>
      </w:r>
      <w:r w:rsidR="00100141">
        <w:br/>
      </w:r>
      <w:r w:rsidR="009D67C2">
        <w:t>d</w:t>
      </w:r>
      <w:r>
        <w:t>ocuments informels GRPE-70-06-Rev.1, GRPE-70-07-Rev.1,</w:t>
      </w:r>
      <w:r w:rsidR="00100141">
        <w:br/>
      </w:r>
      <w:r>
        <w:t>GRPE 70-24.</w:t>
      </w:r>
    </w:p>
    <w:p w:rsidR="00584BCA" w:rsidRDefault="00584BCA" w:rsidP="00100141">
      <w:pPr>
        <w:pStyle w:val="ParNoG"/>
      </w:pPr>
      <w:r>
        <w:t>L</w:t>
      </w:r>
      <w:r w:rsidR="001844C7">
        <w:t>’</w:t>
      </w:r>
      <w:r>
        <w:t>expert de l</w:t>
      </w:r>
      <w:r w:rsidR="001844C7">
        <w:t>’</w:t>
      </w:r>
      <w:r>
        <w:t>OICA a présenté (GRPE-70-24) la proposition figurant dans le document publié sous la cote ECE/TRANS/WP.29/GRPE/2015/3 visant à adapter le texte du règlement aux technologies actuelles et à transposer les dernières décisions de l</w:t>
      </w:r>
      <w:r w:rsidR="001844C7">
        <w:t>’</w:t>
      </w:r>
      <w:r>
        <w:t>Union européenne (UE) concernant les valeurs limites pour les systèmes d</w:t>
      </w:r>
      <w:r w:rsidR="001844C7">
        <w:t>’</w:t>
      </w:r>
      <w:r>
        <w:t>autodiagnostic (OBD). Il a également suggéré des corrections mineures. Le GRPE a accepté la proposition corrigée et a introduit des modifications (GRPE-70-06-Rev.1). La proposition consolidée a été communiquée par l</w:t>
      </w:r>
      <w:r w:rsidR="001844C7">
        <w:t>’</w:t>
      </w:r>
      <w:r>
        <w:t>expert de l</w:t>
      </w:r>
      <w:r w:rsidR="001844C7">
        <w:t>’</w:t>
      </w:r>
      <w:r>
        <w:t>OICA (GRPE-70-07-Rev.1). Le GRPE a adopté le document ECE/TRANS/WP.29/GRPE/2015/3 tel que modifié par l</w:t>
      </w:r>
      <w:r w:rsidR="001844C7">
        <w:t>’</w:t>
      </w:r>
      <w:r>
        <w:t>annexe V du présent rapport et a demandé au secrétariat de le soumettre au WP.29 et à l</w:t>
      </w:r>
      <w:r w:rsidR="001844C7">
        <w:t>’</w:t>
      </w:r>
      <w:r>
        <w:t>AC.1 pour examen et mise aux voix à leur session de juin 2015 en tant que projet de complément</w:t>
      </w:r>
      <w:r w:rsidR="00100141">
        <w:t> </w:t>
      </w:r>
      <w:r>
        <w:t>3 à la série</w:t>
      </w:r>
      <w:r w:rsidR="00100141">
        <w:t> </w:t>
      </w:r>
      <w:r>
        <w:t>06 d</w:t>
      </w:r>
      <w:r w:rsidR="001844C7">
        <w:t>’</w:t>
      </w:r>
      <w:r>
        <w:t xml:space="preserve">amendements au Règlement </w:t>
      </w:r>
      <w:r w:rsidR="00100141">
        <w:t>n</w:t>
      </w:r>
      <w:r w:rsidR="00100141" w:rsidRPr="00100141">
        <w:rPr>
          <w:vertAlign w:val="superscript"/>
        </w:rPr>
        <w:t>o</w:t>
      </w:r>
      <w:r w:rsidR="00100141">
        <w:t> </w:t>
      </w:r>
      <w:r>
        <w:t>49.</w:t>
      </w:r>
    </w:p>
    <w:p w:rsidR="00584BCA" w:rsidRDefault="00584BCA" w:rsidP="00100141">
      <w:pPr>
        <w:pStyle w:val="H1G"/>
      </w:pPr>
      <w:r>
        <w:tab/>
        <w:t>B.</w:t>
      </w:r>
      <w:r>
        <w:tab/>
      </w:r>
      <w:r w:rsidRPr="00263BEC">
        <w:rPr>
          <w:spacing w:val="-4"/>
        </w:rPr>
        <w:t>RTM n</w:t>
      </w:r>
      <w:r w:rsidRPr="00263BEC">
        <w:rPr>
          <w:spacing w:val="-4"/>
          <w:vertAlign w:val="superscript"/>
        </w:rPr>
        <w:t>o</w:t>
      </w:r>
      <w:r w:rsidR="00263BEC" w:rsidRPr="00263BEC">
        <w:rPr>
          <w:spacing w:val="-4"/>
          <w:vertAlign w:val="superscript"/>
        </w:rPr>
        <w:t>s</w:t>
      </w:r>
      <w:r w:rsidR="00263BEC" w:rsidRPr="00263BEC">
        <w:rPr>
          <w:spacing w:val="-4"/>
        </w:rPr>
        <w:t> </w:t>
      </w:r>
      <w:r w:rsidRPr="00263BEC">
        <w:rPr>
          <w:spacing w:val="-4"/>
        </w:rPr>
        <w:t>4 (Procédure mondiale harmonisée d</w:t>
      </w:r>
      <w:r w:rsidR="001844C7">
        <w:rPr>
          <w:spacing w:val="-4"/>
        </w:rPr>
        <w:t>’</w:t>
      </w:r>
      <w:r w:rsidRPr="00263BEC">
        <w:rPr>
          <w:spacing w:val="-4"/>
        </w:rPr>
        <w:t>homologation des véhicules</w:t>
      </w:r>
      <w:r>
        <w:t xml:space="preserve"> utilitaires lourds (WHDC)), 5 (Prescriptions mondiales harmonisées concernant les systèmes d</w:t>
      </w:r>
      <w:r w:rsidR="001844C7">
        <w:t>’</w:t>
      </w:r>
      <w:r>
        <w:t>autodiagnostic sur les véhicules utilitaires lourds (WWH-OBD)) et 10 (Émissions hors cycle (OCE))</w:t>
      </w:r>
    </w:p>
    <w:p w:rsidR="00584BCA" w:rsidRDefault="00584BCA" w:rsidP="00584BCA">
      <w:pPr>
        <w:pStyle w:val="SingleTxtG"/>
        <w:ind w:left="2552" w:hanging="1418"/>
        <w:jc w:val="left"/>
      </w:pPr>
      <w:r w:rsidRPr="00263BEC">
        <w:rPr>
          <w:i/>
        </w:rPr>
        <w:t>Documents</w:t>
      </w:r>
      <w:r>
        <w:t>:</w:t>
      </w:r>
      <w:r>
        <w:tab/>
        <w:t>ECE/TRANS/WP.29/2014/84</w:t>
      </w:r>
      <w:r w:rsidR="00263BEC">
        <w:br/>
      </w:r>
      <w:r>
        <w:t>ECE/TRANS/WP.29/2014/85</w:t>
      </w:r>
      <w:r w:rsidR="00263BEC">
        <w:br/>
      </w:r>
      <w:r>
        <w:t>document informel GRPE-70-15.</w:t>
      </w:r>
    </w:p>
    <w:p w:rsidR="00584BCA" w:rsidRDefault="00584BCA" w:rsidP="00263BEC">
      <w:pPr>
        <w:pStyle w:val="ParNoG"/>
      </w:pPr>
      <w:r>
        <w:t xml:space="preserve">Le </w:t>
      </w:r>
      <w:r w:rsidR="009D67C2">
        <w:t>P</w:t>
      </w:r>
      <w:r>
        <w:t>résident du GRPE a rappelé que le WP.29 avait pris la décision de reporter à sa</w:t>
      </w:r>
      <w:r w:rsidR="00263BEC">
        <w:t> </w:t>
      </w:r>
      <w:r>
        <w:t>session de mars 2015 le vote du Comité exécutif de l</w:t>
      </w:r>
      <w:r w:rsidR="001844C7">
        <w:t>’</w:t>
      </w:r>
      <w:r>
        <w:t>Accord mondial de 1998 (AC.3) sur les documents ECE/TRANS/WP.29/2014/84 et ECE/TRANS/WP.29/2014/85.</w:t>
      </w:r>
    </w:p>
    <w:p w:rsidR="00584BCA" w:rsidRDefault="00584BCA" w:rsidP="00263BEC">
      <w:pPr>
        <w:pStyle w:val="ParNoG"/>
      </w:pPr>
      <w:r>
        <w:lastRenderedPageBreak/>
        <w:t>L</w:t>
      </w:r>
      <w:r w:rsidR="001844C7">
        <w:t>’</w:t>
      </w:r>
      <w:r>
        <w:t>expert des États-Unis a présenté le document informel GRPE-70-15 exposant les activités menées dans son pays portant sur une étude de corrélation comparant les résultats obtenus en application de l</w:t>
      </w:r>
      <w:r w:rsidR="001844C7">
        <w:t>’</w:t>
      </w:r>
      <w:r>
        <w:t>annexe 9 et les résultats obtenus en application de l</w:t>
      </w:r>
      <w:r w:rsidR="001844C7">
        <w:t>’</w:t>
      </w:r>
      <w:r>
        <w:t>annexe 10 (document ECE/TRANS/WP.29/2014/84). Il a proposé de communiquer les résultats de cette étude au GRPE en juin 2015. Le GRPE a accueilli favorablement cette offre et est convenu d</w:t>
      </w:r>
      <w:r w:rsidR="001844C7">
        <w:t>’</w:t>
      </w:r>
      <w:r>
        <w:t>échanger davantage d</w:t>
      </w:r>
      <w:r w:rsidR="001844C7">
        <w:t>’</w:t>
      </w:r>
      <w:r>
        <w:t>informations sur les émissions des véhicules utilitaires lourds équipés d</w:t>
      </w:r>
      <w:r w:rsidR="001844C7">
        <w:t>’</w:t>
      </w:r>
      <w:r>
        <w:t>une chaîne de traction hybride et sur l</w:t>
      </w:r>
      <w:r w:rsidR="001844C7">
        <w:t>’</w:t>
      </w:r>
      <w:r>
        <w:t xml:space="preserve">évaluation de leurs </w:t>
      </w:r>
      <w:r w:rsidR="00263BEC">
        <w:t>performances environnementales.</w:t>
      </w:r>
    </w:p>
    <w:p w:rsidR="00584BCA" w:rsidRDefault="00584BCA" w:rsidP="00263BEC">
      <w:pPr>
        <w:pStyle w:val="HChG"/>
      </w:pPr>
      <w:r>
        <w:tab/>
        <w:t>VI.</w:t>
      </w:r>
      <w:r>
        <w:tab/>
        <w:t>Règlements n</w:t>
      </w:r>
      <w:r w:rsidRPr="00263BEC">
        <w:rPr>
          <w:vertAlign w:val="superscript"/>
        </w:rPr>
        <w:t>o</w:t>
      </w:r>
      <w:r w:rsidR="00263BEC">
        <w:rPr>
          <w:vertAlign w:val="superscript"/>
        </w:rPr>
        <w:t>s</w:t>
      </w:r>
      <w:r w:rsidR="00263BEC">
        <w:t> </w:t>
      </w:r>
      <w:r>
        <w:t>85 (Mesure de la puissance nette), 115</w:t>
      </w:r>
      <w:r w:rsidR="009D67C2">
        <w:t> </w:t>
      </w:r>
      <w:r>
        <w:t>(Systèmes de conversion au GPL et GNC)</w:t>
      </w:r>
      <w:r w:rsidR="00263BEC">
        <w:t xml:space="preserve"> </w:t>
      </w:r>
      <w:r>
        <w:t>et 133</w:t>
      </w:r>
      <w:r w:rsidR="009D67C2">
        <w:t xml:space="preserve"> </w:t>
      </w:r>
      <w:r>
        <w:t>(Aptitude</w:t>
      </w:r>
      <w:r w:rsidR="00263BEC">
        <w:t> </w:t>
      </w:r>
      <w:r>
        <w:t>au recyclage des véhicules automobiles)</w:t>
      </w:r>
      <w:r w:rsidR="00263BEC">
        <w:br/>
      </w:r>
      <w:r>
        <w:t>(point</w:t>
      </w:r>
      <w:r w:rsidR="00263BEC">
        <w:t> </w:t>
      </w:r>
      <w:r>
        <w:t>5 de l</w:t>
      </w:r>
      <w:r w:rsidR="001844C7">
        <w:t>’</w:t>
      </w:r>
      <w:r>
        <w:t>ordre du jour)</w:t>
      </w:r>
    </w:p>
    <w:p w:rsidR="00584BCA" w:rsidRDefault="00584BCA" w:rsidP="00584BCA">
      <w:pPr>
        <w:pStyle w:val="SingleTxtG"/>
        <w:ind w:left="2552" w:hanging="1418"/>
        <w:jc w:val="left"/>
      </w:pPr>
      <w:r w:rsidRPr="00263BEC">
        <w:rPr>
          <w:i/>
        </w:rPr>
        <w:t>Documents</w:t>
      </w:r>
      <w:r>
        <w:t>:</w:t>
      </w:r>
      <w:r>
        <w:tab/>
      </w:r>
      <w:r w:rsidR="009D67C2">
        <w:t>D</w:t>
      </w:r>
      <w:r>
        <w:t>ocuments informels GRPE-70-02 et GRPE-70-03.</w:t>
      </w:r>
    </w:p>
    <w:p w:rsidR="00584BCA" w:rsidRDefault="00584BCA" w:rsidP="00263BEC">
      <w:pPr>
        <w:pStyle w:val="ParNoG"/>
      </w:pPr>
      <w:r>
        <w:t>L</w:t>
      </w:r>
      <w:r w:rsidR="001844C7">
        <w:t>’</w:t>
      </w:r>
      <w:r>
        <w:t xml:space="preserve">expert a présenté le document informel GRPE-70-02, qui propose des modifications au Règlement </w:t>
      </w:r>
      <w:r w:rsidR="00263BEC">
        <w:t>n</w:t>
      </w:r>
      <w:r w:rsidR="00263BEC" w:rsidRPr="00100141">
        <w:rPr>
          <w:vertAlign w:val="superscript"/>
        </w:rPr>
        <w:t>o</w:t>
      </w:r>
      <w:r w:rsidR="00263BEC">
        <w:t> </w:t>
      </w:r>
      <w:r>
        <w:t>85 afin d</w:t>
      </w:r>
      <w:r w:rsidR="001844C7">
        <w:t>’</w:t>
      </w:r>
      <w:r>
        <w:t>éviter une double correction de la puissance mesurée du moteur pour les moteurs suralimentés ou à turbocompresseur équipés d</w:t>
      </w:r>
      <w:r w:rsidR="001844C7">
        <w:t>’</w:t>
      </w:r>
      <w:r>
        <w:t>un système permettant de compenser les conditions ambiantes (température et altitude). Il a ajouté que cette proposition s</w:t>
      </w:r>
      <w:r w:rsidR="001844C7">
        <w:t>’</w:t>
      </w:r>
      <w:r>
        <w:t>appuyait sur la modification correspondante de l</w:t>
      </w:r>
      <w:r w:rsidR="001844C7">
        <w:t>’</w:t>
      </w:r>
      <w:r>
        <w:t>annexe</w:t>
      </w:r>
      <w:r w:rsidR="00263BEC">
        <w:t> </w:t>
      </w:r>
      <w:r>
        <w:t xml:space="preserve">XX ajoutée au Règlement (UE) </w:t>
      </w:r>
      <w:r w:rsidR="00263BEC">
        <w:t>n</w:t>
      </w:r>
      <w:r w:rsidR="00263BEC" w:rsidRPr="00100141">
        <w:rPr>
          <w:vertAlign w:val="superscript"/>
        </w:rPr>
        <w:t>o</w:t>
      </w:r>
      <w:r w:rsidR="00263BEC">
        <w:t> </w:t>
      </w:r>
      <w:r>
        <w:t>136/2014.</w:t>
      </w:r>
    </w:p>
    <w:p w:rsidR="00584BCA" w:rsidRDefault="00584BCA" w:rsidP="00263BEC">
      <w:pPr>
        <w:pStyle w:val="ParNoG"/>
      </w:pPr>
      <w:r>
        <w:t xml:space="preserve">Le secrétariat a présenté le document GRPE-70-03, qui propose des modifications mineures au Règlement </w:t>
      </w:r>
      <w:r w:rsidR="00263BEC">
        <w:t>n</w:t>
      </w:r>
      <w:r w:rsidR="00263BEC" w:rsidRPr="00100141">
        <w:rPr>
          <w:vertAlign w:val="superscript"/>
        </w:rPr>
        <w:t>o</w:t>
      </w:r>
      <w:r w:rsidR="00263BEC">
        <w:t> </w:t>
      </w:r>
      <w:r>
        <w:t>85.</w:t>
      </w:r>
    </w:p>
    <w:p w:rsidR="00584BCA" w:rsidRDefault="00584BCA" w:rsidP="00263BEC">
      <w:pPr>
        <w:pStyle w:val="ParNoG"/>
      </w:pPr>
      <w:r>
        <w:t>Le GRPE a accepté les deux propositions et a demandé au secrétariat de les réunir en</w:t>
      </w:r>
      <w:r w:rsidR="00263BEC">
        <w:t> </w:t>
      </w:r>
      <w:r>
        <w:t>un seul document portant une cote officielle et de les diffuser lors de sa session de juin</w:t>
      </w:r>
      <w:r w:rsidR="00263BEC">
        <w:t> </w:t>
      </w:r>
      <w:r>
        <w:t>2015.</w:t>
      </w:r>
    </w:p>
    <w:p w:rsidR="00584BCA" w:rsidRDefault="00584BCA" w:rsidP="00263BEC">
      <w:pPr>
        <w:pStyle w:val="HChG"/>
      </w:pPr>
      <w:r>
        <w:tab/>
        <w:t>VII.</w:t>
      </w:r>
      <w:r>
        <w:tab/>
        <w:t>Tracteurs agricoles et forestiers et engins mobiles non</w:t>
      </w:r>
      <w:r w:rsidR="00263BEC">
        <w:t> </w:t>
      </w:r>
      <w:r>
        <w:t>routiers (point</w:t>
      </w:r>
      <w:r w:rsidR="00263BEC">
        <w:t> </w:t>
      </w:r>
      <w:r>
        <w:t>6 de l</w:t>
      </w:r>
      <w:r w:rsidR="001844C7">
        <w:t>’</w:t>
      </w:r>
      <w:r>
        <w:t>ordre du jour)</w:t>
      </w:r>
    </w:p>
    <w:p w:rsidR="00584BCA" w:rsidRDefault="00584BCA" w:rsidP="00584BCA">
      <w:pPr>
        <w:pStyle w:val="SingleTxtG"/>
        <w:ind w:left="2552" w:hanging="1418"/>
        <w:jc w:val="left"/>
      </w:pPr>
      <w:r w:rsidRPr="00263BEC">
        <w:rPr>
          <w:i/>
        </w:rPr>
        <w:t>Document</w:t>
      </w:r>
      <w:r>
        <w:t>:</w:t>
      </w:r>
      <w:r>
        <w:tab/>
        <w:t>ECE/TRANS/WP.29/2015/35.</w:t>
      </w:r>
    </w:p>
    <w:p w:rsidR="00584BCA" w:rsidRDefault="00584BCA" w:rsidP="00263BEC">
      <w:pPr>
        <w:pStyle w:val="ParNoG"/>
      </w:pPr>
      <w:r>
        <w:t>Le secrétariat a exposé l</w:t>
      </w:r>
      <w:r w:rsidR="001844C7">
        <w:t>’</w:t>
      </w:r>
      <w:r>
        <w:t>objectif du document ECE/TRANS/WP.29/2015/35 proposé par le Groupe de travail de l</w:t>
      </w:r>
      <w:r w:rsidR="001844C7">
        <w:t>’</w:t>
      </w:r>
      <w:r>
        <w:t>éclairage et de la signalisation lumineuse (GRE), qui introduit trois catégories supplémentaires de véhicules dans la Résolution d</w:t>
      </w:r>
      <w:r w:rsidR="001844C7">
        <w:t>’</w:t>
      </w:r>
      <w:r>
        <w:t>ensemble sur la construction des véhicules (R.E.3) et a indiqué que cette proposition était soumise au WP.29 aux fins de son examen et de sa mise aux voix en mars 2015.</w:t>
      </w:r>
    </w:p>
    <w:p w:rsidR="00584BCA" w:rsidRDefault="00584BCA" w:rsidP="00263BEC">
      <w:pPr>
        <w:pStyle w:val="H1G"/>
      </w:pPr>
      <w:r>
        <w:tab/>
        <w:t>A.</w:t>
      </w:r>
      <w:r>
        <w:tab/>
        <w:t>Règlements n</w:t>
      </w:r>
      <w:r w:rsidR="00263BEC">
        <w:rPr>
          <w:vertAlign w:val="superscript"/>
        </w:rPr>
        <w:t>os</w:t>
      </w:r>
      <w:r w:rsidR="00263BEC">
        <w:t> </w:t>
      </w:r>
      <w:r>
        <w:t>96 (Émissions des moteurs diesel (tracteurs agricoles))</w:t>
      </w:r>
      <w:r w:rsidR="00263BEC">
        <w:t xml:space="preserve"> </w:t>
      </w:r>
      <w:r>
        <w:t>et</w:t>
      </w:r>
      <w:r w:rsidR="00263BEC">
        <w:t> </w:t>
      </w:r>
      <w:r>
        <w:t>120 (Puissance nette des tracteurs et engins mobiles non routiers)</w:t>
      </w:r>
    </w:p>
    <w:p w:rsidR="00584BCA" w:rsidRDefault="00584BCA" w:rsidP="00263BEC">
      <w:pPr>
        <w:pStyle w:val="ParNoG"/>
      </w:pPr>
      <w:r>
        <w:t>Aucune proposition de modification du Règlement n</w:t>
      </w:r>
      <w:r w:rsidRPr="009D67C2">
        <w:rPr>
          <w:vertAlign w:val="superscript"/>
        </w:rPr>
        <w:t>o</w:t>
      </w:r>
      <w:r w:rsidR="009D67C2">
        <w:t> </w:t>
      </w:r>
      <w:r>
        <w:t>96 n</w:t>
      </w:r>
      <w:r w:rsidR="001844C7">
        <w:t>’</w:t>
      </w:r>
      <w:r>
        <w:t>a été présentée.</w:t>
      </w:r>
    </w:p>
    <w:p w:rsidR="00584BCA" w:rsidRDefault="00584BCA" w:rsidP="00263BEC">
      <w:pPr>
        <w:pStyle w:val="H1G"/>
      </w:pPr>
      <w:r>
        <w:tab/>
        <w:t>B.</w:t>
      </w:r>
      <w:r>
        <w:tab/>
        <w:t>RTM n</w:t>
      </w:r>
      <w:r w:rsidRPr="00263BEC">
        <w:rPr>
          <w:vertAlign w:val="superscript"/>
        </w:rPr>
        <w:t>o</w:t>
      </w:r>
      <w:r w:rsidR="00263BEC">
        <w:t> </w:t>
      </w:r>
      <w:r>
        <w:t>11 (Moteurs d</w:t>
      </w:r>
      <w:r w:rsidR="001844C7">
        <w:t>’</w:t>
      </w:r>
      <w:r>
        <w:t>engins mobiles non routiers)</w:t>
      </w:r>
    </w:p>
    <w:p w:rsidR="00584BCA" w:rsidRDefault="00584BCA" w:rsidP="00263BEC">
      <w:pPr>
        <w:pStyle w:val="ParNoG"/>
      </w:pPr>
      <w:r>
        <w:t xml:space="preserve">Aucune proposition de modification du RTM </w:t>
      </w:r>
      <w:r w:rsidR="00263BEC">
        <w:t>n</w:t>
      </w:r>
      <w:r w:rsidR="00263BEC" w:rsidRPr="00100141">
        <w:rPr>
          <w:vertAlign w:val="superscript"/>
        </w:rPr>
        <w:t>o</w:t>
      </w:r>
      <w:r w:rsidR="00263BEC">
        <w:t> </w:t>
      </w:r>
      <w:r>
        <w:t>11 n</w:t>
      </w:r>
      <w:r w:rsidR="001844C7">
        <w:t>’</w:t>
      </w:r>
      <w:r>
        <w:t>a été présentée.</w:t>
      </w:r>
    </w:p>
    <w:p w:rsidR="00584BCA" w:rsidRDefault="00584BCA" w:rsidP="00263BEC">
      <w:pPr>
        <w:pStyle w:val="HChG"/>
      </w:pPr>
      <w:r>
        <w:lastRenderedPageBreak/>
        <w:tab/>
        <w:t>VIII.</w:t>
      </w:r>
      <w:r>
        <w:tab/>
        <w:t>Programme de mesure des particules (PMP)</w:t>
      </w:r>
      <w:r w:rsidR="00263BEC">
        <w:br/>
      </w:r>
      <w:r>
        <w:t>(point</w:t>
      </w:r>
      <w:r w:rsidR="00263BEC">
        <w:t> </w:t>
      </w:r>
      <w:r>
        <w:t>7 de l</w:t>
      </w:r>
      <w:r w:rsidR="001844C7">
        <w:t>’</w:t>
      </w:r>
      <w:r>
        <w:t>ordre du jour)</w:t>
      </w:r>
    </w:p>
    <w:p w:rsidR="00584BCA" w:rsidRDefault="00584BCA" w:rsidP="00584BCA">
      <w:pPr>
        <w:pStyle w:val="SingleTxtG"/>
        <w:ind w:left="2552" w:hanging="1418"/>
        <w:jc w:val="left"/>
      </w:pPr>
      <w:r w:rsidRPr="00263BEC">
        <w:rPr>
          <w:i/>
        </w:rPr>
        <w:t>Document</w:t>
      </w:r>
      <w:r>
        <w:t>:</w:t>
      </w:r>
      <w:r>
        <w:tab/>
      </w:r>
      <w:r w:rsidR="009D67C2">
        <w:t>D</w:t>
      </w:r>
      <w:r>
        <w:t>ocument informel GRPE-70-17.</w:t>
      </w:r>
    </w:p>
    <w:p w:rsidR="00584BCA" w:rsidRDefault="00584BCA" w:rsidP="00263BEC">
      <w:pPr>
        <w:pStyle w:val="ParNoG"/>
      </w:pPr>
      <w:r>
        <w:t xml:space="preserve">Le </w:t>
      </w:r>
      <w:r w:rsidR="00263BEC">
        <w:t>P</w:t>
      </w:r>
      <w:r>
        <w:t>résident du groupe de travail informel du Programme des mesure des particules (PMP) a présenté un rapport de situation (GRPE-70-17) sur les activités du groupe. Il a exposé les quatre points examinés, relatifs aux émissions de particules ne provenant pas des gaz d</w:t>
      </w:r>
      <w:r w:rsidR="001844C7">
        <w:t>’</w:t>
      </w:r>
      <w:r>
        <w:t>échappement. Il a également présenté les travaux actuels du groupe, relatifs aux émissions de particules provenant de gaz d</w:t>
      </w:r>
      <w:r w:rsidR="001844C7">
        <w:t>’</w:t>
      </w:r>
      <w:r>
        <w:t>échappement pour les engins mobiles non routiers, à la mesure du nombre de particules lors de la régénération et à la mesure des particules dont la taille se situe entre 10 et 23</w:t>
      </w:r>
      <w:r w:rsidR="00263BEC">
        <w:t> </w:t>
      </w:r>
      <w:r>
        <w:t>nanomètres.</w:t>
      </w:r>
    </w:p>
    <w:p w:rsidR="00584BCA" w:rsidRDefault="00584BCA" w:rsidP="00263BEC">
      <w:pPr>
        <w:pStyle w:val="ParNoG"/>
      </w:pPr>
      <w:r>
        <w:t>Le GRPE a pris actes des progrès réalisés par le groupe et a noté que celui-ci n</w:t>
      </w:r>
      <w:r w:rsidR="001844C7">
        <w:t>’</w:t>
      </w:r>
      <w:r>
        <w:t>organiserait aucune réunion au cours de la semaine de session du GRPE en juin 2015.</w:t>
      </w:r>
    </w:p>
    <w:p w:rsidR="00584BCA" w:rsidRDefault="00584BCA" w:rsidP="00263BEC">
      <w:pPr>
        <w:pStyle w:val="HChG"/>
      </w:pPr>
      <w:r>
        <w:tab/>
        <w:t>IX.</w:t>
      </w:r>
      <w:r>
        <w:tab/>
        <w:t>Véhicules fonctionnant au gaz (GFV) (point</w:t>
      </w:r>
      <w:r w:rsidR="00263BEC">
        <w:t> </w:t>
      </w:r>
      <w:r>
        <w:t>8 de l</w:t>
      </w:r>
      <w:r w:rsidR="001844C7">
        <w:t>’</w:t>
      </w:r>
      <w:r>
        <w:t>ordre du</w:t>
      </w:r>
      <w:r w:rsidR="00263BEC">
        <w:t> </w:t>
      </w:r>
      <w:r>
        <w:t>jour)</w:t>
      </w:r>
    </w:p>
    <w:p w:rsidR="00584BCA" w:rsidRDefault="00584BCA" w:rsidP="00584BCA">
      <w:pPr>
        <w:pStyle w:val="SingleTxtG"/>
        <w:ind w:left="2552" w:hanging="1418"/>
        <w:jc w:val="left"/>
      </w:pPr>
      <w:r w:rsidRPr="00263BEC">
        <w:rPr>
          <w:i/>
        </w:rPr>
        <w:t>Document</w:t>
      </w:r>
      <w:r>
        <w:t>:</w:t>
      </w:r>
      <w:r>
        <w:tab/>
        <w:t>Document informel GRPE-70-22.</w:t>
      </w:r>
    </w:p>
    <w:p w:rsidR="00584BCA" w:rsidRDefault="00584BCA" w:rsidP="00263BEC">
      <w:pPr>
        <w:pStyle w:val="ParNoG"/>
      </w:pPr>
      <w:r>
        <w:t xml:space="preserve">Le </w:t>
      </w:r>
      <w:r w:rsidR="009D67C2">
        <w:t>P</w:t>
      </w:r>
      <w:r>
        <w:t>résident du groupe de travail informel des véhicules fonctionnant au gaz a présenté un rapport de situation (GRPE-70-22) sur les activités menées par le groupe et notamment par son équipe spéciale, qui élabore un nouveau règlement pour l</w:t>
      </w:r>
      <w:r w:rsidR="001844C7">
        <w:t>’</w:t>
      </w:r>
      <w:r>
        <w:t>adaptation des</w:t>
      </w:r>
      <w:r w:rsidR="00263BEC">
        <w:t> </w:t>
      </w:r>
      <w:r w:rsidR="009D67C2">
        <w:t>véhicules utilitaires lourds bi</w:t>
      </w:r>
      <w:r>
        <w:t>carburant.</w:t>
      </w:r>
    </w:p>
    <w:p w:rsidR="00584BCA" w:rsidRDefault="00584BCA" w:rsidP="00263BEC">
      <w:pPr>
        <w:pStyle w:val="ParNoG"/>
      </w:pPr>
      <w:r>
        <w:t>Il a indiqué que le groupe proposerait des définitions qui pourraient s</w:t>
      </w:r>
      <w:r w:rsidR="001844C7">
        <w:t>’</w:t>
      </w:r>
      <w:r>
        <w:t>ajouter à celles du groupe de travail informel des définitions des systèmes de propulsion des véhicules (VPSD).</w:t>
      </w:r>
    </w:p>
    <w:p w:rsidR="00584BCA" w:rsidRDefault="00584BCA" w:rsidP="00263BEC">
      <w:pPr>
        <w:pStyle w:val="ParNoG"/>
      </w:pPr>
      <w:r>
        <w:t xml:space="preserve">Le </w:t>
      </w:r>
      <w:r w:rsidR="009D67C2">
        <w:t>P</w:t>
      </w:r>
      <w:r>
        <w:t>résident a ajouté que le groupe examinait des interactions possibles avec le groupe d</w:t>
      </w:r>
      <w:r w:rsidR="001844C7">
        <w:t>’</w:t>
      </w:r>
      <w:r>
        <w:t>experts du gaz de la CEE et son équipe spéciale</w:t>
      </w:r>
      <w:r w:rsidR="00263BEC">
        <w:t> </w:t>
      </w:r>
      <w:r>
        <w:t>D, qui traite de la levée des obstacles à l</w:t>
      </w:r>
      <w:r w:rsidR="001844C7">
        <w:t>’</w:t>
      </w:r>
      <w:r>
        <w:t>utilisation du gaz naturel comme carburant.</w:t>
      </w:r>
    </w:p>
    <w:p w:rsidR="00584BCA" w:rsidRDefault="00584BCA" w:rsidP="00263BEC">
      <w:pPr>
        <w:pStyle w:val="ParNoG"/>
      </w:pPr>
      <w:r>
        <w:t>Le GRPE a pris acte des progrès réalisés par le groupe et a noté sa demande visant à disposer d</w:t>
      </w:r>
      <w:r w:rsidR="001844C7">
        <w:t>’</w:t>
      </w:r>
      <w:r>
        <w:t>une salle de réunion lors de la semaine du GRPE en juin 2015.</w:t>
      </w:r>
    </w:p>
    <w:p w:rsidR="00584BCA" w:rsidRDefault="00584BCA" w:rsidP="00B30198">
      <w:pPr>
        <w:pStyle w:val="HChG"/>
      </w:pPr>
      <w:r>
        <w:tab/>
        <w:t>X.</w:t>
      </w:r>
      <w:r>
        <w:tab/>
        <w:t>Motocycles et cyclomoteurs (point 9 de l</w:t>
      </w:r>
      <w:r w:rsidR="001844C7">
        <w:t>’</w:t>
      </w:r>
      <w:r>
        <w:t>ordre du jour)</w:t>
      </w:r>
    </w:p>
    <w:p w:rsidR="00584BCA" w:rsidRDefault="00584BCA" w:rsidP="00B30198">
      <w:pPr>
        <w:pStyle w:val="H1G"/>
      </w:pPr>
      <w:r>
        <w:tab/>
        <w:t>A.</w:t>
      </w:r>
      <w:r>
        <w:tab/>
        <w:t>Prescriptions concernant les performances environnementales</w:t>
      </w:r>
      <w:r w:rsidR="00B30198">
        <w:br/>
      </w:r>
      <w:r>
        <w:t>et la propulsion (EPPR) des véhicules de la catégorie L</w:t>
      </w:r>
    </w:p>
    <w:p w:rsidR="00584BCA" w:rsidRDefault="00584BCA" w:rsidP="00584BCA">
      <w:pPr>
        <w:pStyle w:val="SingleTxtG"/>
        <w:ind w:left="2552" w:hanging="1418"/>
        <w:jc w:val="left"/>
      </w:pPr>
      <w:r w:rsidRPr="00B30198">
        <w:rPr>
          <w:i/>
        </w:rPr>
        <w:t>Document</w:t>
      </w:r>
      <w:r>
        <w:t>:</w:t>
      </w:r>
      <w:r>
        <w:tab/>
        <w:t>Document informel GRPE-70-25.</w:t>
      </w:r>
    </w:p>
    <w:p w:rsidR="00584BCA" w:rsidRDefault="00584BCA" w:rsidP="00B30198">
      <w:pPr>
        <w:pStyle w:val="ParNoG"/>
      </w:pPr>
      <w:r>
        <w:t xml:space="preserve">Présentant le document GRPE-70-25, le </w:t>
      </w:r>
      <w:r w:rsidR="009D67C2">
        <w:t>P</w:t>
      </w:r>
      <w:r>
        <w:t>résident du groupe de travail informel de l</w:t>
      </w:r>
      <w:r w:rsidR="001844C7">
        <w:t>’</w:t>
      </w:r>
      <w:r>
        <w:t>EPPR a communiqué au GRPE des informations sur les dernières réunions. Il a annoncé que de grandes avancées avaient été faites s</w:t>
      </w:r>
      <w:r w:rsidR="001844C7">
        <w:t>’</w:t>
      </w:r>
      <w:r>
        <w:t>agissant des points ayant une priorité élevée (à</w:t>
      </w:r>
      <w:r w:rsidR="00B30198">
        <w:t> </w:t>
      </w:r>
      <w:r>
        <w:t>savoir les essais du type</w:t>
      </w:r>
      <w:r w:rsidR="00B30198">
        <w:t> </w:t>
      </w:r>
      <w:r>
        <w:t>I et du type</w:t>
      </w:r>
      <w:r w:rsidR="00B30198">
        <w:t> </w:t>
      </w:r>
      <w:r>
        <w:t>IV ainsi que les prescriptions concernant l</w:t>
      </w:r>
      <w:r w:rsidR="001844C7">
        <w:t>’</w:t>
      </w:r>
      <w:r>
        <w:t>OBD pour les deux roues motorisés) et que le groupe espérait soumettre un projet de proposition en vue d</w:t>
      </w:r>
      <w:r w:rsidR="001844C7">
        <w:t>’</w:t>
      </w:r>
      <w:r>
        <w:t>un RTM en juin 2015. Il a ajouté que le groupe aurait besoin que son mandat soit prolongé de deux ans afin d</w:t>
      </w:r>
      <w:r w:rsidR="001844C7">
        <w:t>’</w:t>
      </w:r>
      <w:r>
        <w:t xml:space="preserve">achever ses travaux sur les points ayant un niveau de priorité faible. Le </w:t>
      </w:r>
      <w:r w:rsidR="009D67C2">
        <w:t>P</w:t>
      </w:r>
      <w:r>
        <w:t>résident a indiqué que le groupe examinait la possibilité d</w:t>
      </w:r>
      <w:r w:rsidR="001844C7">
        <w:t>’</w:t>
      </w:r>
      <w:r>
        <w:t>introduire les questions relatives à l</w:t>
      </w:r>
      <w:r w:rsidR="001844C7">
        <w:t>’</w:t>
      </w:r>
      <w:r>
        <w:t>ODB dans le RTM n</w:t>
      </w:r>
      <w:r w:rsidRPr="009D67C2">
        <w:rPr>
          <w:vertAlign w:val="superscript"/>
        </w:rPr>
        <w:t>o</w:t>
      </w:r>
      <w:r w:rsidR="009D67C2">
        <w:t> </w:t>
      </w:r>
      <w:r>
        <w:t>5 (OBD) ou dans un nouveau RTM. L</w:t>
      </w:r>
      <w:r w:rsidR="001844C7">
        <w:t>’</w:t>
      </w:r>
      <w:r>
        <w:t>expert du Japon a expliqué que le RTM n</w:t>
      </w:r>
      <w:r w:rsidRPr="009D67C2">
        <w:rPr>
          <w:vertAlign w:val="superscript"/>
        </w:rPr>
        <w:t>o</w:t>
      </w:r>
      <w:r w:rsidR="009D67C2">
        <w:t> </w:t>
      </w:r>
      <w:r>
        <w:t>5 était conçu de manière à pouvoir s</w:t>
      </w:r>
      <w:r w:rsidR="001844C7">
        <w:t>’</w:t>
      </w:r>
      <w:r>
        <w:t xml:space="preserve">appliquer </w:t>
      </w:r>
      <w:r>
        <w:lastRenderedPageBreak/>
        <w:t>à</w:t>
      </w:r>
      <w:r w:rsidR="00B30198">
        <w:t> </w:t>
      </w:r>
      <w:r>
        <w:t>d</w:t>
      </w:r>
      <w:r w:rsidR="001844C7">
        <w:t>’</w:t>
      </w:r>
      <w:r>
        <w:t>autres catégories que les émissions mais pas à d</w:t>
      </w:r>
      <w:r w:rsidR="001844C7">
        <w:t>’</w:t>
      </w:r>
      <w:r>
        <w:t xml:space="preserve">autres catégories de véhicules que les véhicules utilitaires lourds. Le GRPE a estimé que la structure du RTM </w:t>
      </w:r>
      <w:r w:rsidR="00B30198">
        <w:t>n</w:t>
      </w:r>
      <w:r w:rsidR="00B30198" w:rsidRPr="00100141">
        <w:rPr>
          <w:vertAlign w:val="superscript"/>
        </w:rPr>
        <w:t>o</w:t>
      </w:r>
      <w:r w:rsidR="00B30198">
        <w:t> </w:t>
      </w:r>
      <w:r>
        <w:t>5 n</w:t>
      </w:r>
      <w:r w:rsidR="001844C7">
        <w:t>’</w:t>
      </w:r>
      <w:r>
        <w:t>était pas adaptée à l</w:t>
      </w:r>
      <w:r w:rsidR="001844C7">
        <w:t>’</w:t>
      </w:r>
      <w:r>
        <w:t>entreprise proposée et qu</w:t>
      </w:r>
      <w:r w:rsidR="001844C7">
        <w:t>’</w:t>
      </w:r>
      <w:r>
        <w:t>un nouveau RTM devait être élaboré.</w:t>
      </w:r>
    </w:p>
    <w:p w:rsidR="00584BCA" w:rsidRDefault="00584BCA" w:rsidP="00B30198">
      <w:pPr>
        <w:pStyle w:val="ParNoG"/>
      </w:pPr>
      <w:r>
        <w:t>Le GRPE a pris acte des progrès réalisés par le groupe et a noté sa demande visant à</w:t>
      </w:r>
      <w:r w:rsidR="00B30198">
        <w:t> </w:t>
      </w:r>
      <w:r>
        <w:t>disposer d</w:t>
      </w:r>
      <w:r w:rsidR="001844C7">
        <w:t>’</w:t>
      </w:r>
      <w:r>
        <w:t>une salle de réunion lors de la semaine de session du GRPE en juin 2015.</w:t>
      </w:r>
    </w:p>
    <w:p w:rsidR="00584BCA" w:rsidRDefault="00584BCA" w:rsidP="00B30198">
      <w:pPr>
        <w:pStyle w:val="H1G"/>
      </w:pPr>
      <w:r>
        <w:tab/>
        <w:t>B.</w:t>
      </w:r>
      <w:r>
        <w:tab/>
        <w:t>Règlements n</w:t>
      </w:r>
      <w:r w:rsidRPr="00B30198">
        <w:rPr>
          <w:vertAlign w:val="superscript"/>
        </w:rPr>
        <w:t>o</w:t>
      </w:r>
      <w:r w:rsidR="00B30198">
        <w:rPr>
          <w:vertAlign w:val="superscript"/>
        </w:rPr>
        <w:t>s</w:t>
      </w:r>
      <w:r w:rsidR="00B30198">
        <w:t> </w:t>
      </w:r>
      <w:r>
        <w:t>40 (Émissions de gaz polluants des motocycles) et</w:t>
      </w:r>
      <w:r w:rsidR="00B30198">
        <w:t> </w:t>
      </w:r>
      <w:r>
        <w:t>47</w:t>
      </w:r>
      <w:r w:rsidR="00B30198">
        <w:t> </w:t>
      </w:r>
      <w:r>
        <w:t>(Émissions de gaz polluants des cyclomoteurs)</w:t>
      </w:r>
    </w:p>
    <w:p w:rsidR="00584BCA" w:rsidRDefault="00584BCA" w:rsidP="00B30198">
      <w:pPr>
        <w:pStyle w:val="ParNoG"/>
      </w:pPr>
      <w:r>
        <w:t>Le GRPE n</w:t>
      </w:r>
      <w:r w:rsidR="001844C7">
        <w:t>’</w:t>
      </w:r>
      <w:r>
        <w:t xml:space="preserve">a reçu aucune nouvelle proposition de modification des Règlements </w:t>
      </w:r>
      <w:r w:rsidR="00B30198">
        <w:t>n</w:t>
      </w:r>
      <w:r w:rsidR="00B30198" w:rsidRPr="00100141">
        <w:rPr>
          <w:vertAlign w:val="superscript"/>
        </w:rPr>
        <w:t>o</w:t>
      </w:r>
      <w:r w:rsidR="00B30198">
        <w:rPr>
          <w:vertAlign w:val="superscript"/>
        </w:rPr>
        <w:t>s</w:t>
      </w:r>
      <w:r w:rsidR="00B30198">
        <w:t> </w:t>
      </w:r>
      <w:r>
        <w:t>40 et 47.</w:t>
      </w:r>
    </w:p>
    <w:p w:rsidR="00584BCA" w:rsidRDefault="00584BCA" w:rsidP="00B30198">
      <w:pPr>
        <w:pStyle w:val="H1G"/>
      </w:pPr>
      <w:r>
        <w:tab/>
        <w:t>C.</w:t>
      </w:r>
      <w:r>
        <w:tab/>
        <w:t>Règlement technique mondial n</w:t>
      </w:r>
      <w:r w:rsidRPr="00B30198">
        <w:rPr>
          <w:vertAlign w:val="superscript"/>
        </w:rPr>
        <w:t>o</w:t>
      </w:r>
      <w:r w:rsidR="00B30198">
        <w:t> </w:t>
      </w:r>
      <w:r>
        <w:t>2 (Cycle d</w:t>
      </w:r>
      <w:r w:rsidR="001844C7">
        <w:t>’</w:t>
      </w:r>
      <w:r>
        <w:t>essai mondial harmonisé des mesures des émissions des motocycles (WMTC))</w:t>
      </w:r>
    </w:p>
    <w:p w:rsidR="00584BCA" w:rsidRDefault="00584BCA" w:rsidP="00584BCA">
      <w:pPr>
        <w:pStyle w:val="SingleTxtG"/>
        <w:ind w:left="2552" w:hanging="1418"/>
        <w:jc w:val="left"/>
      </w:pPr>
      <w:r w:rsidRPr="00B30198">
        <w:rPr>
          <w:i/>
        </w:rPr>
        <w:t>Documents</w:t>
      </w:r>
      <w:r>
        <w:t>:</w:t>
      </w:r>
      <w:r>
        <w:tab/>
        <w:t>Documents informels GRPE-69-02 et GRPE-70-12.</w:t>
      </w:r>
    </w:p>
    <w:p w:rsidR="00584BCA" w:rsidRDefault="00584BCA" w:rsidP="00B30198">
      <w:pPr>
        <w:pStyle w:val="ParNoG"/>
      </w:pPr>
      <w:r>
        <w:t>L</w:t>
      </w:r>
      <w:r w:rsidR="001844C7">
        <w:t>’</w:t>
      </w:r>
      <w:r>
        <w:t>expert des Pays-Bas a présenté le document informel GRPE-70-12 qui propose une solution à la situation, décrite dans le document GRPE-69-02, concernant l</w:t>
      </w:r>
      <w:r w:rsidR="001844C7">
        <w:t>’</w:t>
      </w:r>
      <w:r>
        <w:t>utilisation des carburants de référence</w:t>
      </w:r>
      <w:r w:rsidR="00B30198">
        <w:t> </w:t>
      </w:r>
      <w:r>
        <w:t>E5 utilisés dans le système d</w:t>
      </w:r>
      <w:r w:rsidR="001844C7">
        <w:t>’</w:t>
      </w:r>
      <w:r>
        <w:t>homologation de type de l</w:t>
      </w:r>
      <w:r w:rsidR="001844C7">
        <w:t>’</w:t>
      </w:r>
      <w:r>
        <w:t>Union européenne. Le GRPE a approuvé le document GRPE-70-12 et est convenu qu</w:t>
      </w:r>
      <w:r w:rsidR="001844C7">
        <w:t>’</w:t>
      </w:r>
      <w:r>
        <w:t>à ce stade, aucune mesure supplémentaire n</w:t>
      </w:r>
      <w:r w:rsidR="001844C7">
        <w:t>’</w:t>
      </w:r>
      <w:r>
        <w:t>était nécessaire concernant ce point.</w:t>
      </w:r>
    </w:p>
    <w:p w:rsidR="00584BCA" w:rsidRDefault="00584BCA" w:rsidP="00B30198">
      <w:pPr>
        <w:pStyle w:val="HChG"/>
      </w:pPr>
      <w:r>
        <w:tab/>
        <w:t>XI.</w:t>
      </w:r>
      <w:r>
        <w:tab/>
        <w:t>Véhicules électriques et environnement (point</w:t>
      </w:r>
      <w:r w:rsidR="00B30198">
        <w:t> </w:t>
      </w:r>
      <w:r>
        <w:t>10 de l</w:t>
      </w:r>
      <w:r w:rsidR="001844C7">
        <w:t>’</w:t>
      </w:r>
      <w:r>
        <w:t>ordre du jour)</w:t>
      </w:r>
    </w:p>
    <w:p w:rsidR="00584BCA" w:rsidRDefault="00584BCA" w:rsidP="00584BCA">
      <w:pPr>
        <w:pStyle w:val="SingleTxtG"/>
        <w:ind w:left="2552" w:hanging="1418"/>
        <w:jc w:val="left"/>
      </w:pPr>
      <w:r w:rsidRPr="00B30198">
        <w:rPr>
          <w:i/>
        </w:rPr>
        <w:t>Document</w:t>
      </w:r>
      <w:r>
        <w:t>:</w:t>
      </w:r>
      <w:r>
        <w:tab/>
        <w:t>Document informel GRPE-70-23.</w:t>
      </w:r>
    </w:p>
    <w:p w:rsidR="00584BCA" w:rsidRDefault="00584BCA" w:rsidP="00B30198">
      <w:pPr>
        <w:pStyle w:val="ParNoG"/>
      </w:pPr>
      <w:r>
        <w:t xml:space="preserve">Le </w:t>
      </w:r>
      <w:r w:rsidR="00B30198">
        <w:t>P</w:t>
      </w:r>
      <w:r>
        <w:t>résident du groupe de travail informel des véhicules électriques et l</w:t>
      </w:r>
      <w:r w:rsidR="001844C7">
        <w:t>’</w:t>
      </w:r>
      <w:r>
        <w:t>environnement a présenté le document informel GRPE-70-23, qui fournit des informations sur les décisions prises par le WP.29 en mars 2014 sur les activités du groupe informel et fait état des travaux menés dans chacun des domaines thématiques du nouveau mandat relatif aux véhicules électriques et à l</w:t>
      </w:r>
      <w:r w:rsidR="001844C7">
        <w:t>’</w:t>
      </w:r>
      <w:r>
        <w:t>environnement (partie A). La Chine dirigera les travaux sur le point relatif à la méthode de déclaration de la consommation d</w:t>
      </w:r>
      <w:r w:rsidR="001844C7">
        <w:t>’</w:t>
      </w:r>
      <w:r>
        <w:t>énergie. Les États-Unis et le Canada prendront la direction des travaux relatifs à l</w:t>
      </w:r>
      <w:r w:rsidR="001844C7">
        <w:t>’</w:t>
      </w:r>
      <w:r>
        <w:t>efficacité et à la durabilité des batteries et l</w:t>
      </w:r>
      <w:r w:rsidR="001844C7">
        <w:t>’</w:t>
      </w:r>
      <w:r>
        <w:t>Allemagne et la Corée dirigeront les travaux sur la détermination de la puissance des véhicules électriques. Le groupe s</w:t>
      </w:r>
      <w:r w:rsidR="001844C7">
        <w:t>’</w:t>
      </w:r>
      <w:r>
        <w:t>est fixé pour objectif d</w:t>
      </w:r>
      <w:r w:rsidR="001844C7">
        <w:t>’</w:t>
      </w:r>
      <w:r>
        <w:t>achever cette phase des travaux à l</w:t>
      </w:r>
      <w:r w:rsidR="001844C7">
        <w:t>’</w:t>
      </w:r>
      <w:r>
        <w:t>automne 2015.</w:t>
      </w:r>
    </w:p>
    <w:p w:rsidR="00584BCA" w:rsidRDefault="00584BCA" w:rsidP="00B30198">
      <w:pPr>
        <w:pStyle w:val="ParNoG"/>
      </w:pPr>
      <w:r>
        <w:t>Le GRPE a pris acte des progrès réalisés par le groupe et a noté sa demande de</w:t>
      </w:r>
      <w:r w:rsidR="00FE176F">
        <w:t> </w:t>
      </w:r>
      <w:r>
        <w:t>pouvoir disposer d</w:t>
      </w:r>
      <w:r w:rsidR="001844C7">
        <w:t>’</w:t>
      </w:r>
      <w:r>
        <w:t>une salle de réunion lors de la semaine de session du GRPE en</w:t>
      </w:r>
      <w:r w:rsidR="00FE176F">
        <w:t> </w:t>
      </w:r>
      <w:r>
        <w:t>juin</w:t>
      </w:r>
      <w:r w:rsidR="00FE176F">
        <w:t> </w:t>
      </w:r>
      <w:r>
        <w:t>2015.</w:t>
      </w:r>
    </w:p>
    <w:p w:rsidR="00584BCA" w:rsidRDefault="00584BCA" w:rsidP="00B30198">
      <w:pPr>
        <w:pStyle w:val="HChG"/>
      </w:pPr>
      <w:r>
        <w:tab/>
        <w:t>XII.</w:t>
      </w:r>
      <w:r>
        <w:tab/>
        <w:t>Définitions des systèmes de propulsion des véhicules (VPSD) (point</w:t>
      </w:r>
      <w:r w:rsidR="00B30198">
        <w:t> </w:t>
      </w:r>
      <w:r>
        <w:t>11 de l</w:t>
      </w:r>
      <w:r w:rsidR="001844C7">
        <w:t>’</w:t>
      </w:r>
      <w:r>
        <w:t>ordre du jour)</w:t>
      </w:r>
    </w:p>
    <w:p w:rsidR="00584BCA" w:rsidRDefault="00584BCA" w:rsidP="00584BCA">
      <w:pPr>
        <w:pStyle w:val="SingleTxtG"/>
        <w:ind w:left="2552" w:hanging="1418"/>
        <w:jc w:val="left"/>
      </w:pPr>
      <w:r w:rsidRPr="00B30198">
        <w:rPr>
          <w:i/>
        </w:rPr>
        <w:t>Documents</w:t>
      </w:r>
      <w:r>
        <w:t>:</w:t>
      </w:r>
      <w:r>
        <w:tab/>
        <w:t>Documents informels GRPE-70-18 et GRPE-70-21.</w:t>
      </w:r>
    </w:p>
    <w:p w:rsidR="00584BCA" w:rsidRDefault="00584BCA" w:rsidP="00B30198">
      <w:pPr>
        <w:pStyle w:val="ParNoG"/>
      </w:pPr>
      <w:r>
        <w:t xml:space="preserve">Le </w:t>
      </w:r>
      <w:r w:rsidR="00FE176F">
        <w:t>P</w:t>
      </w:r>
      <w:r>
        <w:t xml:space="preserve">résident du groupe de travail informel des VPSD a informé le GRPE des </w:t>
      </w:r>
      <w:r w:rsidRPr="00FE176F">
        <w:rPr>
          <w:spacing w:val="-2"/>
        </w:rPr>
        <w:t>résultats de la cinquième session du groupe. Il a présenté le document</w:t>
      </w:r>
      <w:r>
        <w:t xml:space="preserve"> informel GRPE-70-21, qui propose une n</w:t>
      </w:r>
      <w:r w:rsidR="00FE176F">
        <w:t>ouvelle résolution mutuelle (R.</w:t>
      </w:r>
      <w:r>
        <w:t xml:space="preserve">M.2) contenant un chapitre explicatif et </w:t>
      </w:r>
      <w:r>
        <w:lastRenderedPageBreak/>
        <w:t>un</w:t>
      </w:r>
      <w:r w:rsidR="00FE176F">
        <w:t> </w:t>
      </w:r>
      <w:r>
        <w:t>chapitre exposant des définitions des systèmes de propulsion des véhicules. La</w:t>
      </w:r>
      <w:r w:rsidR="00B30198">
        <w:t> </w:t>
      </w:r>
      <w:r>
        <w:t>proposition a suscité plusieurs commentaires. Le GRPE a demandé au secrétariat de</w:t>
      </w:r>
      <w:r w:rsidR="00B30198">
        <w:t> </w:t>
      </w:r>
      <w:r>
        <w:t>diffuser le document GRPE-70-21 sous une cote officielle à sa session de juin 2015.</w:t>
      </w:r>
    </w:p>
    <w:p w:rsidR="00584BCA" w:rsidRDefault="00584BCA" w:rsidP="00B30198">
      <w:pPr>
        <w:pStyle w:val="ParNoG"/>
      </w:pPr>
      <w:r>
        <w:t xml:space="preserve">Le </w:t>
      </w:r>
      <w:r w:rsidR="00FE176F">
        <w:t>P</w:t>
      </w:r>
      <w:r>
        <w:t>résident du groupe de travail informel des véhicules fonctionnant au gaz a proposé d</w:t>
      </w:r>
      <w:r w:rsidR="001844C7">
        <w:t>’</w:t>
      </w:r>
      <w:r>
        <w:t>insérer dans les résultats des travaux du VPSD les définitions des véhicules bicarburant qui seront élaborées par son groupe.</w:t>
      </w:r>
    </w:p>
    <w:p w:rsidR="00584BCA" w:rsidRDefault="00584BCA" w:rsidP="00B30198">
      <w:pPr>
        <w:pStyle w:val="ParNoG"/>
      </w:pPr>
      <w:r>
        <w:t>Le GRPE est convenu de reporter l</w:t>
      </w:r>
      <w:r w:rsidR="001844C7">
        <w:t>’</w:t>
      </w:r>
      <w:r>
        <w:t>examen du document GRPE-70-18.</w:t>
      </w:r>
    </w:p>
    <w:p w:rsidR="00584BCA" w:rsidRDefault="00584BCA" w:rsidP="00B30198">
      <w:pPr>
        <w:pStyle w:val="ParNoG"/>
      </w:pPr>
      <w:r>
        <w:t>Le GRPE a pris acte des progrès réalisés par le groupe et a noté qu</w:t>
      </w:r>
      <w:r w:rsidR="001844C7">
        <w:t>’</w:t>
      </w:r>
      <w:r>
        <w:t>il n</w:t>
      </w:r>
      <w:r w:rsidR="001844C7">
        <w:t>’</w:t>
      </w:r>
      <w:r>
        <w:t>organiserait aucune réunion lors de la semaine de session du GRPE en juin 2015.</w:t>
      </w:r>
    </w:p>
    <w:p w:rsidR="00584BCA" w:rsidRDefault="00584BCA" w:rsidP="00B30198">
      <w:pPr>
        <w:pStyle w:val="HChG"/>
      </w:pPr>
      <w:r>
        <w:tab/>
        <w:t>XIII.</w:t>
      </w:r>
      <w:r>
        <w:tab/>
        <w:t>Qualité des carburants (point</w:t>
      </w:r>
      <w:r w:rsidR="00B30198">
        <w:t> </w:t>
      </w:r>
      <w:r>
        <w:t>12 de l</w:t>
      </w:r>
      <w:r w:rsidR="001844C7">
        <w:t>’</w:t>
      </w:r>
      <w:r>
        <w:t>ordre du jour)</w:t>
      </w:r>
    </w:p>
    <w:p w:rsidR="00584BCA" w:rsidRDefault="00584BCA" w:rsidP="00584BCA">
      <w:pPr>
        <w:pStyle w:val="SingleTxtG"/>
        <w:ind w:left="2552" w:hanging="1418"/>
        <w:jc w:val="left"/>
      </w:pPr>
      <w:r w:rsidRPr="00B30198">
        <w:rPr>
          <w:i/>
        </w:rPr>
        <w:t>Document</w:t>
      </w:r>
      <w:r>
        <w:t>:</w:t>
      </w:r>
      <w:r>
        <w:tab/>
        <w:t>ECE/TRANS/WP.29/GRPE/2015/9.</w:t>
      </w:r>
    </w:p>
    <w:p w:rsidR="00584BCA" w:rsidRDefault="00584BCA" w:rsidP="00B30198">
      <w:pPr>
        <w:pStyle w:val="ParNoG"/>
      </w:pPr>
      <w:r>
        <w:t>Le GRPE est convenu d</w:t>
      </w:r>
      <w:r w:rsidR="001844C7">
        <w:t>’</w:t>
      </w:r>
      <w:r>
        <w:t>examiner le document ECE/TRANS/WP.29/GRPE/2015/9 à sa session de juin 2015.</w:t>
      </w:r>
    </w:p>
    <w:p w:rsidR="00584BCA" w:rsidRDefault="00584BCA" w:rsidP="005C4B30">
      <w:pPr>
        <w:pStyle w:val="HChG"/>
      </w:pPr>
      <w:r>
        <w:tab/>
        <w:t>XIV.</w:t>
      </w:r>
      <w:r>
        <w:tab/>
        <w:t>Homologation de type internationale de l</w:t>
      </w:r>
      <w:r w:rsidR="001844C7">
        <w:t>’</w:t>
      </w:r>
      <w:r>
        <w:t>ensemble du</w:t>
      </w:r>
      <w:r w:rsidR="005C4B30">
        <w:t> </w:t>
      </w:r>
      <w:r>
        <w:t>véhicule (IWVTA) (point 13 de l</w:t>
      </w:r>
      <w:r w:rsidR="001844C7">
        <w:t>’</w:t>
      </w:r>
      <w:r>
        <w:t>ordre du jour)</w:t>
      </w:r>
    </w:p>
    <w:p w:rsidR="00584BCA" w:rsidRDefault="00584BCA" w:rsidP="005C4B30">
      <w:pPr>
        <w:pStyle w:val="ParNoG"/>
      </w:pPr>
      <w:r>
        <w:t xml:space="preserve">Le </w:t>
      </w:r>
      <w:r w:rsidR="00FE176F">
        <w:t>P</w:t>
      </w:r>
      <w:r>
        <w:t>résident du GRPE a évoqué les progrès réalisés par le groupe de travail informel de l</w:t>
      </w:r>
      <w:r w:rsidR="001844C7">
        <w:t>’</w:t>
      </w:r>
      <w:r>
        <w:t>homologation de type internationale de l</w:t>
      </w:r>
      <w:r w:rsidR="001844C7">
        <w:t>’</w:t>
      </w:r>
      <w:r>
        <w:t>ensemble du véhicule et par ses sous-groupes sur la révision</w:t>
      </w:r>
      <w:r w:rsidR="005C4B30">
        <w:t> </w:t>
      </w:r>
      <w:r>
        <w:t>3 de l</w:t>
      </w:r>
      <w:r w:rsidR="001844C7">
        <w:t>’</w:t>
      </w:r>
      <w:r>
        <w:t>Accord de 1958 et du Règlement n</w:t>
      </w:r>
      <w:r w:rsidRPr="005C4B30">
        <w:rPr>
          <w:vertAlign w:val="superscript"/>
        </w:rPr>
        <w:t>o</w:t>
      </w:r>
      <w:r w:rsidR="005C4B30">
        <w:t> </w:t>
      </w:r>
      <w:r>
        <w:t xml:space="preserve">0. Il a ajouté que dans ce cadre, le GRPE était confronté à la difficulté de transposer le RTM </w:t>
      </w:r>
      <w:r w:rsidR="005C4B30">
        <w:t>n</w:t>
      </w:r>
      <w:r w:rsidR="005C4B30" w:rsidRPr="005C4B30">
        <w:rPr>
          <w:vertAlign w:val="superscript"/>
        </w:rPr>
        <w:t>o</w:t>
      </w:r>
      <w:r w:rsidR="005C4B30">
        <w:t> </w:t>
      </w:r>
      <w:r>
        <w:t>15 dans un règlement prenant en compte les contraintes liées à l</w:t>
      </w:r>
      <w:r w:rsidR="001844C7">
        <w:t>’</w:t>
      </w:r>
      <w:r>
        <w:t xml:space="preserve">homologation IWVTA et au projet de Règlement </w:t>
      </w:r>
      <w:r w:rsidR="005C4B30">
        <w:t>n</w:t>
      </w:r>
      <w:r w:rsidR="005C4B30" w:rsidRPr="005C4B30">
        <w:rPr>
          <w:vertAlign w:val="superscript"/>
        </w:rPr>
        <w:t>o</w:t>
      </w:r>
      <w:r w:rsidR="005C4B30">
        <w:t> </w:t>
      </w:r>
      <w:r>
        <w:t>0.</w:t>
      </w:r>
    </w:p>
    <w:p w:rsidR="00584BCA" w:rsidRDefault="00584BCA" w:rsidP="005C4B30">
      <w:pPr>
        <w:pStyle w:val="HChG"/>
      </w:pPr>
      <w:r>
        <w:tab/>
        <w:t>XV.</w:t>
      </w:r>
      <w:r>
        <w:tab/>
        <w:t>Qualité de l</w:t>
      </w:r>
      <w:r w:rsidR="001844C7">
        <w:t>’</w:t>
      </w:r>
      <w:r>
        <w:t>air à l</w:t>
      </w:r>
      <w:r w:rsidR="001844C7">
        <w:t>’</w:t>
      </w:r>
      <w:r w:rsidR="005C4B30">
        <w:t>intérieur des véhicules (VIAQ)</w:t>
      </w:r>
      <w:r w:rsidR="005C4B30">
        <w:br/>
      </w:r>
      <w:r>
        <w:t>(point</w:t>
      </w:r>
      <w:r w:rsidR="005C4B30">
        <w:t> </w:t>
      </w:r>
      <w:r>
        <w:t>14</w:t>
      </w:r>
      <w:r w:rsidR="005C4B30">
        <w:t xml:space="preserve"> </w:t>
      </w:r>
      <w:r>
        <w:t>de l</w:t>
      </w:r>
      <w:r w:rsidR="001844C7">
        <w:t>’</w:t>
      </w:r>
      <w:r>
        <w:t>ordre du jour)</w:t>
      </w:r>
    </w:p>
    <w:p w:rsidR="00584BCA" w:rsidRDefault="00584BCA" w:rsidP="00584BCA">
      <w:pPr>
        <w:pStyle w:val="SingleTxtG"/>
        <w:ind w:left="2552" w:hanging="1418"/>
        <w:jc w:val="left"/>
      </w:pPr>
      <w:r w:rsidRPr="005C4B30">
        <w:rPr>
          <w:i/>
        </w:rPr>
        <w:t>Documents</w:t>
      </w:r>
      <w:r>
        <w:t>:</w:t>
      </w:r>
      <w:r>
        <w:tab/>
        <w:t>Documents informels GRPE-70-09 et GRPE-70-19.</w:t>
      </w:r>
    </w:p>
    <w:p w:rsidR="00584BCA" w:rsidRDefault="00584BCA" w:rsidP="005C4B30">
      <w:pPr>
        <w:pStyle w:val="ParNoG"/>
      </w:pPr>
      <w:r>
        <w:t>L</w:t>
      </w:r>
      <w:r w:rsidR="001844C7">
        <w:t>’</w:t>
      </w:r>
      <w:r>
        <w:t>expert de la Corée a présenté le document GRPE-70-09 contenant le projet de mandat du groupe de travail informel de la qualité de l</w:t>
      </w:r>
      <w:r w:rsidR="001844C7">
        <w:t>’</w:t>
      </w:r>
      <w:r>
        <w:t>air à l</w:t>
      </w:r>
      <w:r w:rsidR="001844C7">
        <w:t>’</w:t>
      </w:r>
      <w:r>
        <w:t>intérieur des véhicules, que le WP.29 avait déjà approuvé en principe à sa session de novembre 2014. L</w:t>
      </w:r>
      <w:r w:rsidR="001844C7">
        <w:t>’</w:t>
      </w:r>
      <w:r>
        <w:t>expert de l</w:t>
      </w:r>
      <w:r w:rsidR="001844C7">
        <w:t>’</w:t>
      </w:r>
      <w:r>
        <w:t>OICA a présenté le document GRPE-70-19 qui propose, entre autres modifications, de modifier l</w:t>
      </w:r>
      <w:r w:rsidR="001844C7">
        <w:t>’</w:t>
      </w:r>
      <w:r>
        <w:t>intitulé de ce point, qui deviendrait Vehicle Interior Air Quality (VIAQ) (Qualité de l</w:t>
      </w:r>
      <w:r w:rsidR="001844C7">
        <w:t>’</w:t>
      </w:r>
      <w:r>
        <w:t>air de l</w:t>
      </w:r>
      <w:r w:rsidR="001844C7">
        <w:t>’</w:t>
      </w:r>
      <w:r>
        <w:t>habitacle des véhicules). Le GRPE a adopté les propositions concernant le mandat du groupe de travail de la qualité de l</w:t>
      </w:r>
      <w:r w:rsidR="001844C7">
        <w:t>’</w:t>
      </w:r>
      <w:r>
        <w:t>air à l</w:t>
      </w:r>
      <w:r w:rsidR="001844C7">
        <w:t>’</w:t>
      </w:r>
      <w:r>
        <w:t>intérieur des véhicules présentées dans l</w:t>
      </w:r>
      <w:r w:rsidR="001844C7">
        <w:t>’</w:t>
      </w:r>
      <w:r>
        <w:t>annexe</w:t>
      </w:r>
      <w:r w:rsidR="005C4B30">
        <w:t> </w:t>
      </w:r>
      <w:r>
        <w:t>VI du présent rapport. Le GRPE a noté que la Corée occuperait la présidence du</w:t>
      </w:r>
      <w:r w:rsidR="005C4B30">
        <w:t> </w:t>
      </w:r>
      <w:r>
        <w:t>groupe et que l</w:t>
      </w:r>
      <w:r w:rsidR="001844C7">
        <w:t>’</w:t>
      </w:r>
      <w:r>
        <w:t>OICA aurait la responsabilité du secrétariat.</w:t>
      </w:r>
    </w:p>
    <w:p w:rsidR="00584BCA" w:rsidRDefault="00584BCA" w:rsidP="005C4B30">
      <w:pPr>
        <w:pStyle w:val="HChG"/>
      </w:pPr>
      <w:r>
        <w:tab/>
        <w:t>XVI.</w:t>
      </w:r>
      <w:r>
        <w:tab/>
        <w:t>Accord de 1997 (Contrôles techniques périodiques):</w:t>
      </w:r>
      <w:r w:rsidR="005C4B30">
        <w:br/>
      </w:r>
      <w:r>
        <w:t>Règle n</w:t>
      </w:r>
      <w:r w:rsidRPr="005C4B30">
        <w:rPr>
          <w:vertAlign w:val="superscript"/>
        </w:rPr>
        <w:t>o</w:t>
      </w:r>
      <w:r w:rsidR="005C4B30">
        <w:t> </w:t>
      </w:r>
      <w:r>
        <w:t>1 (Protection de l</w:t>
      </w:r>
      <w:r w:rsidR="001844C7">
        <w:t>’</w:t>
      </w:r>
      <w:r>
        <w:t>environnement)</w:t>
      </w:r>
      <w:r w:rsidR="005C4B30">
        <w:br/>
      </w:r>
      <w:r>
        <w:t>(point 15 de l</w:t>
      </w:r>
      <w:r w:rsidR="001844C7">
        <w:t>’</w:t>
      </w:r>
      <w:r>
        <w:t>ordre du jour)</w:t>
      </w:r>
    </w:p>
    <w:p w:rsidR="00584BCA" w:rsidRDefault="00584BCA" w:rsidP="005C4B30">
      <w:pPr>
        <w:pStyle w:val="ParNoG"/>
      </w:pPr>
      <w:r>
        <w:t>Le GRPE n</w:t>
      </w:r>
      <w:r w:rsidR="001844C7">
        <w:t>’</w:t>
      </w:r>
      <w:r>
        <w:t>a pas reçu de nouvelle proposition d</w:t>
      </w:r>
      <w:r w:rsidR="001844C7">
        <w:t>’</w:t>
      </w:r>
      <w:r>
        <w:t xml:space="preserve">amendements à la Règle </w:t>
      </w:r>
      <w:r w:rsidR="005C4B30">
        <w:t>n</w:t>
      </w:r>
      <w:r w:rsidR="005C4B30" w:rsidRPr="005C4B30">
        <w:rPr>
          <w:vertAlign w:val="superscript"/>
        </w:rPr>
        <w:t>o</w:t>
      </w:r>
      <w:r w:rsidR="005C4B30">
        <w:t> </w:t>
      </w:r>
      <w:r>
        <w:t>1.</w:t>
      </w:r>
    </w:p>
    <w:p w:rsidR="00584BCA" w:rsidRDefault="00584BCA" w:rsidP="005C4B30">
      <w:pPr>
        <w:pStyle w:val="HChG"/>
      </w:pPr>
      <w:r>
        <w:lastRenderedPageBreak/>
        <w:tab/>
        <w:t>XVII.</w:t>
      </w:r>
      <w:r>
        <w:tab/>
        <w:t>Échange de renseignements sur les prescriptions</w:t>
      </w:r>
      <w:r w:rsidR="005C4B30">
        <w:t xml:space="preserve"> </w:t>
      </w:r>
      <w:r>
        <w:t>concernant les émissions (point</w:t>
      </w:r>
      <w:r w:rsidR="005C4B30">
        <w:t> </w:t>
      </w:r>
      <w:r>
        <w:t>16 de l</w:t>
      </w:r>
      <w:r w:rsidR="001844C7">
        <w:t>’</w:t>
      </w:r>
      <w:r>
        <w:t>ordre du jour)</w:t>
      </w:r>
    </w:p>
    <w:p w:rsidR="00584BCA" w:rsidRDefault="00584BCA" w:rsidP="005C4B30">
      <w:pPr>
        <w:pStyle w:val="ParNoG"/>
      </w:pPr>
      <w:r>
        <w:t>Le GRPE n</w:t>
      </w:r>
      <w:r w:rsidR="001844C7">
        <w:t>’</w:t>
      </w:r>
      <w:r>
        <w:t>a reçu aucune information relative à ce point.</w:t>
      </w:r>
    </w:p>
    <w:p w:rsidR="00584BCA" w:rsidRDefault="00584BCA" w:rsidP="005C4B30">
      <w:pPr>
        <w:pStyle w:val="HChG"/>
      </w:pPr>
      <w:r>
        <w:tab/>
        <w:t>XVIII.</w:t>
      </w:r>
      <w:r>
        <w:tab/>
        <w:t>Questions diverses (point</w:t>
      </w:r>
      <w:r w:rsidR="005C4B30">
        <w:t> </w:t>
      </w:r>
      <w:r>
        <w:t>17 de l</w:t>
      </w:r>
      <w:r w:rsidR="001844C7">
        <w:t>’</w:t>
      </w:r>
      <w:r>
        <w:t>ordre du jour)</w:t>
      </w:r>
    </w:p>
    <w:p w:rsidR="00584BCA" w:rsidRDefault="00584BCA" w:rsidP="005C4B30">
      <w:pPr>
        <w:pStyle w:val="H1G"/>
      </w:pPr>
      <w:r>
        <w:tab/>
        <w:t>A.</w:t>
      </w:r>
      <w:r>
        <w:tab/>
        <w:t>Référence aux normes</w:t>
      </w:r>
    </w:p>
    <w:p w:rsidR="00584BCA" w:rsidRDefault="00584BCA" w:rsidP="00584BCA">
      <w:pPr>
        <w:pStyle w:val="SingleTxtG"/>
        <w:ind w:left="2552" w:hanging="1418"/>
        <w:jc w:val="left"/>
      </w:pPr>
      <w:r w:rsidRPr="005C4B30">
        <w:rPr>
          <w:i/>
        </w:rPr>
        <w:t>Document</w:t>
      </w:r>
      <w:r>
        <w:t>:</w:t>
      </w:r>
      <w:r>
        <w:tab/>
        <w:t>Document informel WP.29-164-26.</w:t>
      </w:r>
    </w:p>
    <w:p w:rsidR="00584BCA" w:rsidRDefault="00584BCA" w:rsidP="005C4B30">
      <w:pPr>
        <w:pStyle w:val="ParNoG"/>
      </w:pPr>
      <w:r>
        <w:t>À la demande du représentant de l</w:t>
      </w:r>
      <w:r w:rsidR="001844C7">
        <w:t>’</w:t>
      </w:r>
      <w:r>
        <w:t>Allemagne adressée à la 164</w:t>
      </w:r>
      <w:r w:rsidRPr="005C4B30">
        <w:rPr>
          <w:vertAlign w:val="superscript"/>
        </w:rPr>
        <w:t>e</w:t>
      </w:r>
      <w:r w:rsidR="005C4B30">
        <w:t> </w:t>
      </w:r>
      <w:r>
        <w:t>session du WP.29, le secrétariat a présenté le document WP.29-164-26 contenant une liste de bonnes pratiques sur la référence aux normes dans les Règlements administrés par le WP.29.</w:t>
      </w:r>
    </w:p>
    <w:p w:rsidR="00584BCA" w:rsidRDefault="00584BCA" w:rsidP="005C4B30">
      <w:pPr>
        <w:pStyle w:val="H1G"/>
      </w:pPr>
      <w:r>
        <w:tab/>
        <w:t>B.</w:t>
      </w:r>
      <w:r>
        <w:tab/>
        <w:t>Hommages à des membres du GRPE</w:t>
      </w:r>
    </w:p>
    <w:p w:rsidR="00584BCA" w:rsidRDefault="00584BCA" w:rsidP="005C4B30">
      <w:pPr>
        <w:pStyle w:val="ParNoG"/>
      </w:pPr>
      <w:r>
        <w:t xml:space="preserve">Au nom du GRPE, son président a rendu hommage à </w:t>
      </w:r>
      <w:r w:rsidR="00FE176F">
        <w:t>M</w:t>
      </w:r>
      <w:r w:rsidR="00FE176F" w:rsidRPr="00D91DA2">
        <w:rPr>
          <w:vertAlign w:val="superscript"/>
        </w:rPr>
        <w:t>me</w:t>
      </w:r>
      <w:r w:rsidR="00FE176F">
        <w:t> </w:t>
      </w:r>
      <w:r>
        <w:t>B.</w:t>
      </w:r>
      <w:r w:rsidR="00FE176F">
        <w:t> </w:t>
      </w:r>
      <w:r>
        <w:t>Lopez (France), M.</w:t>
      </w:r>
      <w:r w:rsidR="005C4B30">
        <w:t> </w:t>
      </w:r>
      <w:r>
        <w:t>J.</w:t>
      </w:r>
      <w:r w:rsidR="005C4B30">
        <w:noBreakHyphen/>
        <w:t>F. </w:t>
      </w:r>
      <w:r>
        <w:t>Renaudin (OICA) et M.</w:t>
      </w:r>
      <w:r w:rsidR="005C4B30">
        <w:t> </w:t>
      </w:r>
      <w:r>
        <w:t>H.</w:t>
      </w:r>
      <w:r w:rsidR="005C4B30">
        <w:t> </w:t>
      </w:r>
      <w:r>
        <w:t>Dekker (TNO), qui n</w:t>
      </w:r>
      <w:r w:rsidR="001844C7">
        <w:t>’</w:t>
      </w:r>
      <w:r>
        <w:t>assisteront plus aux sessions du GRPE et les a remerciés de leur importante contribution aux activités du Groupe de travail.</w:t>
      </w:r>
    </w:p>
    <w:p w:rsidR="00584BCA" w:rsidRDefault="00584BCA" w:rsidP="005C4B30">
      <w:pPr>
        <w:pStyle w:val="HChG"/>
      </w:pPr>
      <w:r>
        <w:tab/>
        <w:t>XIX.</w:t>
      </w:r>
      <w:r>
        <w:tab/>
        <w:t>Ordre du jour provisoire de la prochaine session</w:t>
      </w:r>
    </w:p>
    <w:p w:rsidR="00584BCA" w:rsidRDefault="00584BCA" w:rsidP="005C4B30">
      <w:pPr>
        <w:pStyle w:val="H1G"/>
      </w:pPr>
      <w:r>
        <w:tab/>
        <w:t>A.</w:t>
      </w:r>
      <w:r>
        <w:tab/>
        <w:t>Prochaine session du GRPE</w:t>
      </w:r>
    </w:p>
    <w:p w:rsidR="00584BCA" w:rsidRDefault="00584BCA" w:rsidP="005C4B30">
      <w:pPr>
        <w:pStyle w:val="ParNoG"/>
      </w:pPr>
      <w:r>
        <w:t>La prochaine session du GRPE, qui comprend également les sessions de ses groupes de travail informels, doit se tenir au Palais des Nations à Genève, du lundi 8</w:t>
      </w:r>
      <w:r w:rsidR="005C4B30">
        <w:t> </w:t>
      </w:r>
      <w:r>
        <w:t>juin 2015 à 9</w:t>
      </w:r>
      <w:r w:rsidR="005C4B30">
        <w:t> </w:t>
      </w:r>
      <w:r>
        <w:t>h</w:t>
      </w:r>
      <w:r w:rsidR="005C4B30">
        <w:t> </w:t>
      </w:r>
      <w:r>
        <w:t>30 au vendredi 12</w:t>
      </w:r>
      <w:r w:rsidR="005C4B30">
        <w:t> </w:t>
      </w:r>
      <w:r>
        <w:t>juin 2015 à 17</w:t>
      </w:r>
      <w:r w:rsidR="005C4B30">
        <w:t> </w:t>
      </w:r>
      <w:r>
        <w:t>h</w:t>
      </w:r>
      <w:r w:rsidR="005C4B30">
        <w:t> </w:t>
      </w:r>
      <w:r>
        <w:t>30, sous réserve de confirmation par le secrétariat (voir GRPE</w:t>
      </w:r>
      <w:r w:rsidR="005C4B30">
        <w:noBreakHyphen/>
      </w:r>
      <w:r>
        <w:t>71</w:t>
      </w:r>
      <w:r w:rsidR="005C4B30">
        <w:noBreakHyphen/>
      </w:r>
      <w:r>
        <w:t>01 à paraître prochainement). L</w:t>
      </w:r>
      <w:r w:rsidR="001844C7">
        <w:t>’</w:t>
      </w:r>
      <w:r>
        <w:t>interprétation sera assurée du 9</w:t>
      </w:r>
      <w:r w:rsidR="005C4B30">
        <w:t> </w:t>
      </w:r>
      <w:r>
        <w:t>juin à</w:t>
      </w:r>
      <w:r w:rsidR="005C4B30">
        <w:t> </w:t>
      </w:r>
      <w:r>
        <w:t>14</w:t>
      </w:r>
      <w:r w:rsidR="005C4B30">
        <w:t> </w:t>
      </w:r>
      <w:r>
        <w:t>h</w:t>
      </w:r>
      <w:r w:rsidR="005C4B30">
        <w:t> </w:t>
      </w:r>
      <w:r>
        <w:t>30 au 12</w:t>
      </w:r>
      <w:r w:rsidR="005C4B30">
        <w:t> </w:t>
      </w:r>
      <w:r>
        <w:t xml:space="preserve">juin </w:t>
      </w:r>
      <w:r w:rsidR="00FE176F">
        <w:t xml:space="preserve">2015 </w:t>
      </w:r>
      <w:r>
        <w:t>à 12</w:t>
      </w:r>
      <w:r w:rsidR="005C4B30">
        <w:t> </w:t>
      </w:r>
      <w:r>
        <w:t>h</w:t>
      </w:r>
      <w:r w:rsidR="005C4B30">
        <w:t> </w:t>
      </w:r>
      <w:r>
        <w:t>30.</w:t>
      </w:r>
    </w:p>
    <w:p w:rsidR="00584BCA" w:rsidRDefault="00584BCA" w:rsidP="005C4B30">
      <w:pPr>
        <w:pStyle w:val="H1G"/>
      </w:pPr>
      <w:r>
        <w:tab/>
        <w:t>B.</w:t>
      </w:r>
      <w:r>
        <w:tab/>
        <w:t>Ordre du jour provisoire de la prochaine session du GRPE</w:t>
      </w:r>
      <w:r w:rsidR="005C4B30">
        <w:br/>
      </w:r>
      <w:r>
        <w:t>proprement dite</w:t>
      </w:r>
    </w:p>
    <w:p w:rsidR="00584BCA" w:rsidRDefault="00584BCA" w:rsidP="005C4B30">
      <w:pPr>
        <w:pStyle w:val="ParNoG"/>
      </w:pPr>
      <w:r>
        <w:t>Le GRPE est convenu de l</w:t>
      </w:r>
      <w:r w:rsidR="001844C7">
        <w:t>’</w:t>
      </w:r>
      <w:r>
        <w:t>ordre du jour provisoire suivant pour sa prochaine session:</w:t>
      </w:r>
    </w:p>
    <w:p w:rsidR="00584BCA" w:rsidRDefault="00584BCA" w:rsidP="005C4B30">
      <w:pPr>
        <w:pStyle w:val="SingleTxtG"/>
        <w:ind w:left="1701" w:hanging="567"/>
      </w:pPr>
      <w:r>
        <w:t>1.</w:t>
      </w:r>
      <w:r>
        <w:tab/>
        <w:t>Adoption de l</w:t>
      </w:r>
      <w:r w:rsidR="001844C7">
        <w:t>’</w:t>
      </w:r>
      <w:r>
        <w:t>ordre du jour.</w:t>
      </w:r>
    </w:p>
    <w:p w:rsidR="00584BCA" w:rsidRDefault="00584BCA" w:rsidP="005C4B30">
      <w:pPr>
        <w:pStyle w:val="SingleTxtG"/>
        <w:ind w:left="1701" w:hanging="567"/>
      </w:pPr>
      <w:r>
        <w:t>2.</w:t>
      </w:r>
      <w:r>
        <w:tab/>
        <w:t>Rapport de la dernière session du Forum mondial de l</w:t>
      </w:r>
      <w:r w:rsidR="001844C7">
        <w:t>’</w:t>
      </w:r>
      <w:r>
        <w:t>harmonisation des Règlements concernant les véhicules (WP.29).</w:t>
      </w:r>
    </w:p>
    <w:p w:rsidR="00584BCA" w:rsidRDefault="00584BCA" w:rsidP="005C4B30">
      <w:pPr>
        <w:pStyle w:val="SingleTxtG"/>
        <w:ind w:left="1701" w:hanging="567"/>
      </w:pPr>
      <w:r>
        <w:t>3.</w:t>
      </w:r>
      <w:r>
        <w:tab/>
        <w:t>Véhicules légers:</w:t>
      </w:r>
    </w:p>
    <w:p w:rsidR="00584BCA" w:rsidRDefault="00584BCA" w:rsidP="005C4B30">
      <w:pPr>
        <w:pStyle w:val="SingleTxtG"/>
        <w:ind w:left="2268" w:hanging="567"/>
      </w:pPr>
      <w:r>
        <w:t>a)</w:t>
      </w:r>
      <w:r>
        <w:tab/>
        <w:t xml:space="preserve">Règlements </w:t>
      </w:r>
      <w:r w:rsidR="005C4B30">
        <w:t>n</w:t>
      </w:r>
      <w:r w:rsidR="005C4B30" w:rsidRPr="005C4B30">
        <w:rPr>
          <w:vertAlign w:val="superscript"/>
        </w:rPr>
        <w:t>o</w:t>
      </w:r>
      <w:r w:rsidR="005C4B30">
        <w:rPr>
          <w:vertAlign w:val="superscript"/>
        </w:rPr>
        <w:t>s</w:t>
      </w:r>
      <w:r w:rsidR="005C4B30">
        <w:t> </w:t>
      </w:r>
      <w:r>
        <w:t>68 (Mesures de la vitesse maximale, y compris des véhicules électriques purs), 83 (Émissions des véhicules des catégories M</w:t>
      </w:r>
      <w:r w:rsidRPr="00FE176F">
        <w:rPr>
          <w:vertAlign w:val="subscript"/>
        </w:rPr>
        <w:t>1</w:t>
      </w:r>
      <w:r>
        <w:t xml:space="preserve"> et N</w:t>
      </w:r>
      <w:r w:rsidRPr="00FE176F">
        <w:rPr>
          <w:vertAlign w:val="subscript"/>
        </w:rPr>
        <w:t>1</w:t>
      </w:r>
      <w:r>
        <w:t>), 101</w:t>
      </w:r>
      <w:r w:rsidR="005C4B30">
        <w:t> </w:t>
      </w:r>
      <w:r>
        <w:t>(Émissions de CO</w:t>
      </w:r>
      <w:r w:rsidRPr="005C4B30">
        <w:rPr>
          <w:vertAlign w:val="subscript"/>
        </w:rPr>
        <w:t>2</w:t>
      </w:r>
      <w:r>
        <w:t>/consommation de carburant) et 103 (Dispositifs antipollution de remplacement);</w:t>
      </w:r>
    </w:p>
    <w:p w:rsidR="00584BCA" w:rsidRDefault="00584BCA" w:rsidP="005C4B30">
      <w:pPr>
        <w:pStyle w:val="SingleTxtG"/>
        <w:ind w:left="2268" w:hanging="567"/>
      </w:pPr>
      <w:r>
        <w:lastRenderedPageBreak/>
        <w:t>b)</w:t>
      </w:r>
      <w:r>
        <w:tab/>
        <w:t xml:space="preserve">Règlement technique mondial </w:t>
      </w:r>
      <w:r w:rsidR="005C4B30">
        <w:t>n</w:t>
      </w:r>
      <w:r w:rsidR="005C4B30" w:rsidRPr="005C4B30">
        <w:rPr>
          <w:vertAlign w:val="superscript"/>
        </w:rPr>
        <w:t>o</w:t>
      </w:r>
      <w:r w:rsidR="005C4B30">
        <w:t> </w:t>
      </w:r>
      <w:r>
        <w:t>15 sur la procédure d</w:t>
      </w:r>
      <w:r w:rsidR="001844C7">
        <w:t>’</w:t>
      </w:r>
      <w:r>
        <w:t>essai mondiale harmonisée pour les voitures particulières et véhicules utilitaires légers (WLTP).</w:t>
      </w:r>
    </w:p>
    <w:p w:rsidR="00584BCA" w:rsidRDefault="00584BCA" w:rsidP="00584BCA">
      <w:pPr>
        <w:pStyle w:val="SingleTxtG"/>
      </w:pPr>
      <w:r>
        <w:t>4.</w:t>
      </w:r>
      <w:r>
        <w:tab/>
        <w:t>Véhicules utilitaires lourds:</w:t>
      </w:r>
    </w:p>
    <w:p w:rsidR="00584BCA" w:rsidRDefault="00584BCA" w:rsidP="005C4B30">
      <w:pPr>
        <w:pStyle w:val="SingleTxtG"/>
        <w:ind w:left="2268" w:hanging="567"/>
      </w:pPr>
      <w:r>
        <w:t>a)</w:t>
      </w:r>
      <w:r>
        <w:tab/>
        <w:t xml:space="preserve">Règlements </w:t>
      </w:r>
      <w:r w:rsidR="005C4B30">
        <w:t>n</w:t>
      </w:r>
      <w:r w:rsidR="005C4B30" w:rsidRPr="005C4B30">
        <w:rPr>
          <w:vertAlign w:val="superscript"/>
        </w:rPr>
        <w:t>o</w:t>
      </w:r>
      <w:r w:rsidR="005C4B30">
        <w:rPr>
          <w:vertAlign w:val="superscript"/>
        </w:rPr>
        <w:t>s</w:t>
      </w:r>
      <w:r w:rsidR="005C4B30">
        <w:t> </w:t>
      </w:r>
      <w:r>
        <w:t>49 (Émissions des moteurs à allumage par compression et des</w:t>
      </w:r>
      <w:r w:rsidR="005C4B30">
        <w:t> </w:t>
      </w:r>
      <w:r>
        <w:t>moteurs à allumage commandé (GNC et GPL)) et 132 (Dispositifs antipollution non montés d</w:t>
      </w:r>
      <w:r w:rsidR="001844C7">
        <w:t>’</w:t>
      </w:r>
      <w:r>
        <w:t>origine);</w:t>
      </w:r>
    </w:p>
    <w:p w:rsidR="00584BCA" w:rsidRDefault="00584BCA" w:rsidP="005C4B30">
      <w:pPr>
        <w:pStyle w:val="SingleTxtG"/>
        <w:ind w:left="2268" w:hanging="567"/>
      </w:pPr>
      <w:r>
        <w:t>b)</w:t>
      </w:r>
      <w:r>
        <w:tab/>
        <w:t xml:space="preserve">Règlements techniques mondiaux </w:t>
      </w:r>
      <w:r w:rsidR="005C4B30">
        <w:t>n</w:t>
      </w:r>
      <w:r w:rsidR="005C4B30" w:rsidRPr="005C4B30">
        <w:rPr>
          <w:vertAlign w:val="superscript"/>
        </w:rPr>
        <w:t>o</w:t>
      </w:r>
      <w:r w:rsidR="005C4B30">
        <w:rPr>
          <w:vertAlign w:val="superscript"/>
        </w:rPr>
        <w:t>s</w:t>
      </w:r>
      <w:r w:rsidR="005C4B30">
        <w:t> </w:t>
      </w:r>
      <w:r>
        <w:t>4 (Cycle d</w:t>
      </w:r>
      <w:r w:rsidR="001844C7">
        <w:t>’</w:t>
      </w:r>
      <w:r>
        <w:t>essai mondial harmonisé pour les véhicules utilitaires lourds (VHDC)), 5 (Prescriptions mondiales harmonisées applicables aux systèmes d</w:t>
      </w:r>
      <w:r w:rsidR="001844C7">
        <w:t>’</w:t>
      </w:r>
      <w:r>
        <w:t>autodiagnostic sur les vé</w:t>
      </w:r>
      <w:r w:rsidR="00FE176F">
        <w:t>hicules utilitaires lourds (WWH-</w:t>
      </w:r>
      <w:r>
        <w:t>OPD)) et 10 (Émissions hors cycle).</w:t>
      </w:r>
    </w:p>
    <w:p w:rsidR="00584BCA" w:rsidRDefault="00584BCA" w:rsidP="005C4B30">
      <w:pPr>
        <w:pStyle w:val="SingleTxtG"/>
        <w:ind w:left="1701" w:hanging="567"/>
      </w:pPr>
      <w:r>
        <w:t>5.</w:t>
      </w:r>
      <w:r>
        <w:tab/>
        <w:t xml:space="preserve">Règlements </w:t>
      </w:r>
      <w:r w:rsidR="00ED1487">
        <w:t>n</w:t>
      </w:r>
      <w:r w:rsidR="00ED1487" w:rsidRPr="005C4B30">
        <w:rPr>
          <w:vertAlign w:val="superscript"/>
        </w:rPr>
        <w:t>o</w:t>
      </w:r>
      <w:r w:rsidR="00ED1487">
        <w:rPr>
          <w:vertAlign w:val="superscript"/>
        </w:rPr>
        <w:t>s</w:t>
      </w:r>
      <w:r w:rsidR="00ED1487">
        <w:t> </w:t>
      </w:r>
      <w:r>
        <w:t>85 (Mesure de la puissance nette), 115 (Systèmes de conversion au</w:t>
      </w:r>
      <w:r w:rsidR="00ED1487">
        <w:t> </w:t>
      </w:r>
      <w:r>
        <w:t>GPL et GNC) et 133 (Aptitude au recyclage des véhicules automobiles).</w:t>
      </w:r>
    </w:p>
    <w:p w:rsidR="00584BCA" w:rsidRDefault="00584BCA" w:rsidP="005C4B30">
      <w:pPr>
        <w:pStyle w:val="SingleTxtG"/>
        <w:ind w:left="1701" w:hanging="567"/>
      </w:pPr>
      <w:r>
        <w:t>6.</w:t>
      </w:r>
      <w:r>
        <w:tab/>
        <w:t>Tracteurs agricoles et forestiers et engins mobiles non routiers:</w:t>
      </w:r>
    </w:p>
    <w:p w:rsidR="00584BCA" w:rsidRDefault="00584BCA" w:rsidP="005C4B30">
      <w:pPr>
        <w:pStyle w:val="SingleTxtG"/>
        <w:ind w:left="2268" w:hanging="567"/>
      </w:pPr>
      <w:r>
        <w:t>a)</w:t>
      </w:r>
      <w:r>
        <w:tab/>
        <w:t xml:space="preserve">Règlements </w:t>
      </w:r>
      <w:r w:rsidR="00ED1487">
        <w:t>n</w:t>
      </w:r>
      <w:r w:rsidR="00ED1487" w:rsidRPr="005C4B30">
        <w:rPr>
          <w:vertAlign w:val="superscript"/>
        </w:rPr>
        <w:t>o</w:t>
      </w:r>
      <w:r w:rsidR="00ED1487">
        <w:rPr>
          <w:vertAlign w:val="superscript"/>
        </w:rPr>
        <w:t>s</w:t>
      </w:r>
      <w:r w:rsidR="00ED1487">
        <w:t> </w:t>
      </w:r>
      <w:r>
        <w:t>96 (Émissions des moteurs diesel (tracteurs agricoles)) et</w:t>
      </w:r>
      <w:r w:rsidR="00ED1487">
        <w:t> </w:t>
      </w:r>
      <w:r>
        <w:t>120</w:t>
      </w:r>
      <w:r w:rsidR="00ED1487">
        <w:t> </w:t>
      </w:r>
      <w:r>
        <w:t>(Puissance nette des tracteurs et des engins mobiles non routiers);</w:t>
      </w:r>
    </w:p>
    <w:p w:rsidR="00584BCA" w:rsidRDefault="00584BCA" w:rsidP="005C4B30">
      <w:pPr>
        <w:pStyle w:val="SingleTxtG"/>
        <w:ind w:left="2268" w:hanging="567"/>
      </w:pPr>
      <w:r>
        <w:t>b)</w:t>
      </w:r>
      <w:r>
        <w:tab/>
        <w:t xml:space="preserve">Règlement technique mondial </w:t>
      </w:r>
      <w:r w:rsidR="00ED1487">
        <w:t>n</w:t>
      </w:r>
      <w:r w:rsidR="00ED1487" w:rsidRPr="005C4B30">
        <w:rPr>
          <w:vertAlign w:val="superscript"/>
        </w:rPr>
        <w:t>o</w:t>
      </w:r>
      <w:r w:rsidR="00ED1487">
        <w:t> </w:t>
      </w:r>
      <w:r>
        <w:t>11 (Engins mobiles non routiers).</w:t>
      </w:r>
    </w:p>
    <w:p w:rsidR="00584BCA" w:rsidRDefault="00584BCA" w:rsidP="00584BCA">
      <w:pPr>
        <w:pStyle w:val="SingleTxtG"/>
      </w:pPr>
      <w:r>
        <w:t>7.</w:t>
      </w:r>
      <w:r>
        <w:tab/>
        <w:t>Programme de mesure des particules (PMP).</w:t>
      </w:r>
    </w:p>
    <w:p w:rsidR="00584BCA" w:rsidRDefault="00584BCA" w:rsidP="00584BCA">
      <w:pPr>
        <w:pStyle w:val="SingleTxtG"/>
      </w:pPr>
      <w:r>
        <w:t>8.</w:t>
      </w:r>
      <w:r>
        <w:tab/>
        <w:t>Véhicules fonctionnant au gaz (GFV).</w:t>
      </w:r>
    </w:p>
    <w:p w:rsidR="00584BCA" w:rsidRDefault="00584BCA" w:rsidP="00584BCA">
      <w:pPr>
        <w:pStyle w:val="SingleTxtG"/>
      </w:pPr>
      <w:r>
        <w:t>9.</w:t>
      </w:r>
      <w:r>
        <w:tab/>
        <w:t>Motocycles et cyclomoteurs:</w:t>
      </w:r>
    </w:p>
    <w:p w:rsidR="00584BCA" w:rsidRDefault="00584BCA" w:rsidP="005C4B30">
      <w:pPr>
        <w:pStyle w:val="SingleTxtG"/>
        <w:ind w:left="2268" w:hanging="567"/>
      </w:pPr>
      <w:r>
        <w:t>a)</w:t>
      </w:r>
      <w:r>
        <w:tab/>
      </w:r>
      <w:r w:rsidRPr="00ED1487">
        <w:rPr>
          <w:spacing w:val="-2"/>
        </w:rPr>
        <w:t>Prescriptions concernant les performances environnementales et la propulsion</w:t>
      </w:r>
      <w:r>
        <w:t xml:space="preserve"> des véhicules de la catégorie</w:t>
      </w:r>
      <w:r w:rsidR="00ED1487">
        <w:t> </w:t>
      </w:r>
      <w:r>
        <w:t>L (EPPR);</w:t>
      </w:r>
    </w:p>
    <w:p w:rsidR="00584BCA" w:rsidRDefault="00584BCA" w:rsidP="005C4B30">
      <w:pPr>
        <w:pStyle w:val="SingleTxtG"/>
        <w:ind w:left="2268" w:hanging="567"/>
      </w:pPr>
      <w:r>
        <w:t>b)</w:t>
      </w:r>
      <w:r>
        <w:tab/>
        <w:t xml:space="preserve">Règlements </w:t>
      </w:r>
      <w:r w:rsidR="00ED1487">
        <w:t>n</w:t>
      </w:r>
      <w:r w:rsidR="00ED1487" w:rsidRPr="005C4B30">
        <w:rPr>
          <w:vertAlign w:val="superscript"/>
        </w:rPr>
        <w:t>o</w:t>
      </w:r>
      <w:r w:rsidR="00ED1487">
        <w:rPr>
          <w:vertAlign w:val="superscript"/>
        </w:rPr>
        <w:t>s</w:t>
      </w:r>
      <w:r w:rsidR="00ED1487">
        <w:t> </w:t>
      </w:r>
      <w:r>
        <w:t>40 (Émissions de gaz polluants des motocycles) et 47</w:t>
      </w:r>
      <w:r w:rsidR="00ED1487">
        <w:t> </w:t>
      </w:r>
      <w:r>
        <w:t>(Émissions de gaz polluants des cyclomoteurs);</w:t>
      </w:r>
    </w:p>
    <w:p w:rsidR="00584BCA" w:rsidRDefault="00584BCA" w:rsidP="005C4B30">
      <w:pPr>
        <w:pStyle w:val="SingleTxtG"/>
        <w:ind w:left="2268" w:hanging="567"/>
      </w:pPr>
      <w:r>
        <w:t>c)</w:t>
      </w:r>
      <w:r>
        <w:tab/>
        <w:t xml:space="preserve">Règlement technique mondial </w:t>
      </w:r>
      <w:r w:rsidR="00ED1487">
        <w:t>n</w:t>
      </w:r>
      <w:r w:rsidR="00ED1487" w:rsidRPr="005C4B30">
        <w:rPr>
          <w:vertAlign w:val="superscript"/>
        </w:rPr>
        <w:t>o</w:t>
      </w:r>
      <w:r w:rsidR="00ED1487">
        <w:t> </w:t>
      </w:r>
      <w:r>
        <w:t>2 (Cycle d</w:t>
      </w:r>
      <w:r w:rsidR="001844C7">
        <w:t>’</w:t>
      </w:r>
      <w:r>
        <w:t>essai mondial harmonisé de</w:t>
      </w:r>
      <w:r w:rsidR="00ED1487">
        <w:t> </w:t>
      </w:r>
      <w:r>
        <w:t>mesure de émissions des motocycles (WMTC)).</w:t>
      </w:r>
    </w:p>
    <w:p w:rsidR="00584BCA" w:rsidRDefault="00584BCA" w:rsidP="00ED1487">
      <w:pPr>
        <w:pStyle w:val="SingleTxtG"/>
        <w:ind w:left="1701" w:hanging="567"/>
      </w:pPr>
      <w:r>
        <w:t>10.</w:t>
      </w:r>
      <w:r>
        <w:tab/>
        <w:t>Véhicules électriques et environnement (EVE).</w:t>
      </w:r>
    </w:p>
    <w:p w:rsidR="00584BCA" w:rsidRDefault="00584BCA" w:rsidP="00ED1487">
      <w:pPr>
        <w:pStyle w:val="SingleTxtG"/>
        <w:ind w:left="1701" w:hanging="567"/>
      </w:pPr>
      <w:r>
        <w:t>11.</w:t>
      </w:r>
      <w:r>
        <w:tab/>
        <w:t>Définitions des systèmes de propulsion des véhicules (VPSD).</w:t>
      </w:r>
    </w:p>
    <w:p w:rsidR="00584BCA" w:rsidRDefault="00584BCA" w:rsidP="00ED1487">
      <w:pPr>
        <w:pStyle w:val="SingleTxtG"/>
        <w:ind w:left="1701" w:hanging="567"/>
      </w:pPr>
      <w:r>
        <w:t>12.</w:t>
      </w:r>
      <w:r>
        <w:tab/>
        <w:t>Qualité des carburants.</w:t>
      </w:r>
    </w:p>
    <w:p w:rsidR="00584BCA" w:rsidRDefault="00584BCA" w:rsidP="00ED1487">
      <w:pPr>
        <w:pStyle w:val="SingleTxtG"/>
        <w:ind w:left="1701" w:hanging="567"/>
      </w:pPr>
      <w:r>
        <w:t>13.</w:t>
      </w:r>
      <w:r>
        <w:tab/>
        <w:t>Système international d</w:t>
      </w:r>
      <w:r w:rsidR="001844C7">
        <w:t>’</w:t>
      </w:r>
      <w:r>
        <w:t>homologation de type d</w:t>
      </w:r>
      <w:r w:rsidR="001844C7">
        <w:t>’</w:t>
      </w:r>
      <w:r>
        <w:t>un véhicule complet (IWVTA).</w:t>
      </w:r>
    </w:p>
    <w:p w:rsidR="00584BCA" w:rsidRDefault="00584BCA" w:rsidP="00ED1487">
      <w:pPr>
        <w:pStyle w:val="SingleTxtG"/>
        <w:ind w:left="1701" w:hanging="567"/>
      </w:pPr>
      <w:r>
        <w:t>14.</w:t>
      </w:r>
      <w:r>
        <w:tab/>
        <w:t>Qualité de l</w:t>
      </w:r>
      <w:r w:rsidR="001844C7">
        <w:t>’</w:t>
      </w:r>
      <w:r>
        <w:t>air à l</w:t>
      </w:r>
      <w:r w:rsidR="001844C7">
        <w:t>’</w:t>
      </w:r>
      <w:r>
        <w:t>intérieur des véhicules (VIAQ).</w:t>
      </w:r>
    </w:p>
    <w:p w:rsidR="00584BCA" w:rsidRDefault="00584BCA" w:rsidP="00ED1487">
      <w:pPr>
        <w:pStyle w:val="SingleTxtG"/>
        <w:ind w:left="1701" w:hanging="567"/>
      </w:pPr>
      <w:r>
        <w:t>15.</w:t>
      </w:r>
      <w:r>
        <w:tab/>
        <w:t xml:space="preserve">Accord de 1997 (Contrôles techniques périodiques: actualisation de la Règle </w:t>
      </w:r>
      <w:r w:rsidR="00ED1487">
        <w:t>n</w:t>
      </w:r>
      <w:r w:rsidR="00ED1487" w:rsidRPr="005C4B30">
        <w:rPr>
          <w:vertAlign w:val="superscript"/>
        </w:rPr>
        <w:t>o</w:t>
      </w:r>
      <w:r w:rsidR="00ED1487">
        <w:t> </w:t>
      </w:r>
      <w:r>
        <w:t>1 (Protection de l</w:t>
      </w:r>
      <w:r w:rsidR="001844C7">
        <w:t>’</w:t>
      </w:r>
      <w:r>
        <w:t>environnement)).</w:t>
      </w:r>
    </w:p>
    <w:p w:rsidR="00584BCA" w:rsidRDefault="00584BCA" w:rsidP="00ED1487">
      <w:pPr>
        <w:pStyle w:val="SingleTxtG"/>
        <w:ind w:left="1701" w:hanging="567"/>
      </w:pPr>
      <w:r>
        <w:t>16.</w:t>
      </w:r>
      <w:r>
        <w:tab/>
        <w:t>Échange de renseignements sur les prescriptions concernant les émissions.</w:t>
      </w:r>
    </w:p>
    <w:p w:rsidR="00584BCA" w:rsidRDefault="00584BCA" w:rsidP="00ED1487">
      <w:pPr>
        <w:pStyle w:val="SingleTxtG"/>
        <w:ind w:left="1701" w:hanging="567"/>
      </w:pPr>
      <w:r>
        <w:t>17.</w:t>
      </w:r>
      <w:r>
        <w:tab/>
        <w:t>Questions diverses.</w:t>
      </w:r>
    </w:p>
    <w:p w:rsidR="00584BCA" w:rsidRDefault="00584BCA" w:rsidP="00ED1487">
      <w:pPr>
        <w:pStyle w:val="H1G"/>
      </w:pPr>
      <w:r>
        <w:lastRenderedPageBreak/>
        <w:tab/>
        <w:t>C.</w:t>
      </w:r>
      <w:r>
        <w:tab/>
        <w:t>Réunions informelles tenues pendant la prochaine session du GRPE</w:t>
      </w:r>
    </w:p>
    <w:p w:rsidR="00584BCA" w:rsidRDefault="00584BCA" w:rsidP="00ED1487">
      <w:pPr>
        <w:pStyle w:val="ParNoG"/>
        <w:keepNext/>
      </w:pPr>
      <w:r>
        <w:t>Programme des réunions informelles, sous réserve de confirmation: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2834"/>
        <w:gridCol w:w="851"/>
        <w:gridCol w:w="1644"/>
      </w:tblGrid>
      <w:tr w:rsidR="00ED1487" w:rsidRPr="00ED1487" w:rsidTr="00ED1487">
        <w:trPr>
          <w:tblHeader/>
        </w:trPr>
        <w:tc>
          <w:tcPr>
            <w:tcW w:w="2042" w:type="dxa"/>
            <w:tcBorders>
              <w:top w:val="single" w:sz="4" w:space="0" w:color="auto"/>
              <w:bottom w:val="single" w:sz="12" w:space="0" w:color="auto"/>
            </w:tcBorders>
            <w:shd w:val="clear" w:color="auto" w:fill="auto"/>
            <w:vAlign w:val="bottom"/>
          </w:tcPr>
          <w:p w:rsidR="00ED1487" w:rsidRPr="00ED1487" w:rsidRDefault="00ED1487" w:rsidP="00ED1487">
            <w:pPr>
              <w:keepNext/>
              <w:spacing w:before="80" w:after="80" w:line="200" w:lineRule="exact"/>
              <w:ind w:right="113"/>
              <w:rPr>
                <w:i/>
                <w:sz w:val="16"/>
              </w:rPr>
            </w:pPr>
            <w:r w:rsidRPr="00ED1487">
              <w:rPr>
                <w:i/>
                <w:sz w:val="16"/>
              </w:rPr>
              <w:t>Date</w:t>
            </w:r>
          </w:p>
        </w:tc>
        <w:tc>
          <w:tcPr>
            <w:tcW w:w="2835" w:type="dxa"/>
            <w:tcBorders>
              <w:top w:val="single" w:sz="4" w:space="0" w:color="auto"/>
              <w:bottom w:val="single" w:sz="12" w:space="0" w:color="auto"/>
            </w:tcBorders>
            <w:shd w:val="clear" w:color="auto" w:fill="auto"/>
            <w:vAlign w:val="bottom"/>
          </w:tcPr>
          <w:p w:rsidR="00ED1487" w:rsidRPr="00ED1487" w:rsidRDefault="00ED1487" w:rsidP="00ED1487">
            <w:pPr>
              <w:keepNext/>
              <w:spacing w:before="80" w:after="80" w:line="200" w:lineRule="exact"/>
              <w:ind w:right="113"/>
              <w:rPr>
                <w:i/>
                <w:sz w:val="16"/>
              </w:rPr>
            </w:pPr>
            <w:r w:rsidRPr="00ED1487">
              <w:rPr>
                <w:i/>
                <w:sz w:val="16"/>
              </w:rPr>
              <w:t xml:space="preserve">Groupe </w:t>
            </w:r>
          </w:p>
        </w:tc>
        <w:tc>
          <w:tcPr>
            <w:tcW w:w="851" w:type="dxa"/>
            <w:tcBorders>
              <w:top w:val="single" w:sz="4" w:space="0" w:color="auto"/>
              <w:bottom w:val="single" w:sz="12" w:space="0" w:color="auto"/>
            </w:tcBorders>
            <w:shd w:val="clear" w:color="auto" w:fill="auto"/>
            <w:vAlign w:val="bottom"/>
          </w:tcPr>
          <w:p w:rsidR="00ED1487" w:rsidRPr="00ED1487" w:rsidRDefault="00ED1487" w:rsidP="00ED1487">
            <w:pPr>
              <w:keepNext/>
              <w:spacing w:before="80" w:after="80" w:line="200" w:lineRule="exact"/>
              <w:ind w:right="113"/>
              <w:rPr>
                <w:i/>
                <w:sz w:val="16"/>
              </w:rPr>
            </w:pPr>
            <w:r w:rsidRPr="00ED1487">
              <w:rPr>
                <w:i/>
                <w:sz w:val="16"/>
              </w:rPr>
              <w:t>Acronyme</w:t>
            </w:r>
          </w:p>
        </w:tc>
        <w:tc>
          <w:tcPr>
            <w:tcW w:w="1644" w:type="dxa"/>
            <w:tcBorders>
              <w:top w:val="single" w:sz="4" w:space="0" w:color="auto"/>
              <w:bottom w:val="single" w:sz="12" w:space="0" w:color="auto"/>
            </w:tcBorders>
            <w:shd w:val="clear" w:color="auto" w:fill="auto"/>
            <w:vAlign w:val="bottom"/>
          </w:tcPr>
          <w:p w:rsidR="00ED1487" w:rsidRPr="00ED1487" w:rsidRDefault="00ED1487" w:rsidP="00ED1487">
            <w:pPr>
              <w:keepNext/>
              <w:spacing w:before="80" w:after="80" w:line="200" w:lineRule="exact"/>
              <w:ind w:right="113"/>
              <w:rPr>
                <w:i/>
                <w:sz w:val="16"/>
              </w:rPr>
            </w:pPr>
            <w:r w:rsidRPr="00ED1487">
              <w:rPr>
                <w:i/>
                <w:sz w:val="16"/>
              </w:rPr>
              <w:t>Horaire</w:t>
            </w:r>
          </w:p>
        </w:tc>
      </w:tr>
      <w:tr w:rsidR="00ED1487" w:rsidRPr="00ED1487" w:rsidTr="00ED1487">
        <w:trPr>
          <w:trHeight w:hRule="exact" w:val="113"/>
          <w:tblHeader/>
        </w:trPr>
        <w:tc>
          <w:tcPr>
            <w:tcW w:w="2042" w:type="dxa"/>
            <w:tcBorders>
              <w:top w:val="single" w:sz="12" w:space="0" w:color="auto"/>
            </w:tcBorders>
            <w:shd w:val="clear" w:color="auto" w:fill="auto"/>
          </w:tcPr>
          <w:p w:rsidR="00ED1487" w:rsidRPr="00ED1487" w:rsidRDefault="00ED1487" w:rsidP="00ED1487">
            <w:pPr>
              <w:keepNext/>
              <w:spacing w:before="40" w:after="120"/>
              <w:ind w:right="113"/>
            </w:pPr>
          </w:p>
        </w:tc>
        <w:tc>
          <w:tcPr>
            <w:tcW w:w="2835" w:type="dxa"/>
            <w:tcBorders>
              <w:top w:val="single" w:sz="12" w:space="0" w:color="auto"/>
            </w:tcBorders>
            <w:shd w:val="clear" w:color="auto" w:fill="auto"/>
          </w:tcPr>
          <w:p w:rsidR="00ED1487" w:rsidRPr="00ED1487" w:rsidRDefault="00ED1487" w:rsidP="00ED1487">
            <w:pPr>
              <w:keepNext/>
              <w:spacing w:before="40" w:after="120"/>
              <w:ind w:right="113"/>
            </w:pPr>
          </w:p>
        </w:tc>
        <w:tc>
          <w:tcPr>
            <w:tcW w:w="851" w:type="dxa"/>
            <w:tcBorders>
              <w:top w:val="single" w:sz="12" w:space="0" w:color="auto"/>
            </w:tcBorders>
            <w:shd w:val="clear" w:color="auto" w:fill="auto"/>
          </w:tcPr>
          <w:p w:rsidR="00ED1487" w:rsidRPr="00ED1487" w:rsidRDefault="00ED1487" w:rsidP="00ED1487">
            <w:pPr>
              <w:keepNext/>
              <w:spacing w:before="40" w:after="120"/>
              <w:ind w:right="113"/>
            </w:pPr>
          </w:p>
        </w:tc>
        <w:tc>
          <w:tcPr>
            <w:tcW w:w="1644" w:type="dxa"/>
            <w:tcBorders>
              <w:top w:val="single" w:sz="12" w:space="0" w:color="auto"/>
            </w:tcBorders>
            <w:shd w:val="clear" w:color="auto" w:fill="auto"/>
          </w:tcPr>
          <w:p w:rsidR="00ED1487" w:rsidRPr="00ED1487" w:rsidRDefault="00ED1487" w:rsidP="00ED1487">
            <w:pPr>
              <w:keepNext/>
              <w:spacing w:before="40" w:after="120"/>
              <w:ind w:right="113"/>
            </w:pPr>
          </w:p>
        </w:tc>
      </w:tr>
      <w:tr w:rsidR="00ED1487" w:rsidRPr="00ED1487" w:rsidTr="00ED1487">
        <w:tc>
          <w:tcPr>
            <w:tcW w:w="2042" w:type="dxa"/>
            <w:shd w:val="clear" w:color="auto" w:fill="auto"/>
          </w:tcPr>
          <w:p w:rsidR="00ED1487" w:rsidRPr="00ED1487" w:rsidRDefault="00ED1487" w:rsidP="00ED1487">
            <w:pPr>
              <w:spacing w:before="40" w:after="120"/>
              <w:ind w:right="113"/>
            </w:pPr>
            <w:r w:rsidRPr="00ED1487">
              <w:t>Lundi 8 juin 2015</w:t>
            </w:r>
          </w:p>
        </w:tc>
        <w:tc>
          <w:tcPr>
            <w:tcW w:w="2835" w:type="dxa"/>
            <w:shd w:val="clear" w:color="auto" w:fill="auto"/>
          </w:tcPr>
          <w:p w:rsidR="00ED1487" w:rsidRPr="00ED1487" w:rsidRDefault="00ED1487" w:rsidP="00ED1487">
            <w:pPr>
              <w:spacing w:before="40" w:after="120"/>
              <w:ind w:right="113"/>
            </w:pPr>
            <w:r w:rsidRPr="00ED1487">
              <w:t>Véhicules électriques et</w:t>
            </w:r>
            <w:r>
              <w:t> </w:t>
            </w:r>
            <w:r w:rsidRPr="00ED1487">
              <w:t>environnement</w:t>
            </w:r>
          </w:p>
        </w:tc>
        <w:tc>
          <w:tcPr>
            <w:tcW w:w="851" w:type="dxa"/>
            <w:shd w:val="clear" w:color="auto" w:fill="auto"/>
          </w:tcPr>
          <w:p w:rsidR="00ED1487" w:rsidRPr="00ED1487" w:rsidRDefault="00ED1487" w:rsidP="00ED1487">
            <w:pPr>
              <w:spacing w:before="40" w:after="120"/>
              <w:ind w:right="113"/>
            </w:pPr>
            <w:r w:rsidRPr="00ED1487">
              <w:t>EVE</w:t>
            </w:r>
          </w:p>
        </w:tc>
        <w:tc>
          <w:tcPr>
            <w:tcW w:w="1644" w:type="dxa"/>
            <w:shd w:val="clear" w:color="auto" w:fill="auto"/>
          </w:tcPr>
          <w:p w:rsidR="00ED1487" w:rsidRPr="00ED1487" w:rsidRDefault="00ED1487" w:rsidP="00ED1487">
            <w:pPr>
              <w:spacing w:before="40" w:after="120"/>
              <w:ind w:right="113"/>
            </w:pPr>
            <w:r w:rsidRPr="00ED1487">
              <w:t>9 h 30-12 h 30</w:t>
            </w:r>
          </w:p>
        </w:tc>
      </w:tr>
      <w:tr w:rsidR="00ED1487" w:rsidRPr="00ED1487" w:rsidTr="00ED1487">
        <w:tc>
          <w:tcPr>
            <w:tcW w:w="2042" w:type="dxa"/>
            <w:shd w:val="clear" w:color="auto" w:fill="auto"/>
          </w:tcPr>
          <w:p w:rsidR="00ED1487" w:rsidRPr="00ED1487" w:rsidRDefault="00ED1487" w:rsidP="00ED1487">
            <w:pPr>
              <w:spacing w:before="40" w:after="120"/>
              <w:ind w:right="113"/>
            </w:pPr>
          </w:p>
        </w:tc>
        <w:tc>
          <w:tcPr>
            <w:tcW w:w="2835" w:type="dxa"/>
            <w:shd w:val="clear" w:color="auto" w:fill="auto"/>
          </w:tcPr>
          <w:p w:rsidR="00ED1487" w:rsidRPr="00ED1487" w:rsidRDefault="00ED1487" w:rsidP="00ED1487">
            <w:pPr>
              <w:spacing w:before="40" w:after="120"/>
              <w:ind w:right="113"/>
            </w:pPr>
            <w:r w:rsidRPr="00ED1487">
              <w:t>Véhicules fonctionnant au gaz</w:t>
            </w:r>
          </w:p>
        </w:tc>
        <w:tc>
          <w:tcPr>
            <w:tcW w:w="851" w:type="dxa"/>
            <w:shd w:val="clear" w:color="auto" w:fill="auto"/>
          </w:tcPr>
          <w:p w:rsidR="00ED1487" w:rsidRPr="00ED1487" w:rsidRDefault="00ED1487" w:rsidP="00ED1487">
            <w:pPr>
              <w:spacing w:before="40" w:after="120"/>
              <w:ind w:right="113"/>
            </w:pPr>
            <w:r w:rsidRPr="00ED1487">
              <w:t>GFV</w:t>
            </w:r>
          </w:p>
        </w:tc>
        <w:tc>
          <w:tcPr>
            <w:tcW w:w="1644" w:type="dxa"/>
            <w:shd w:val="clear" w:color="auto" w:fill="auto"/>
          </w:tcPr>
          <w:p w:rsidR="00ED1487" w:rsidRPr="00ED1487" w:rsidRDefault="00ED1487" w:rsidP="00ED1487">
            <w:pPr>
              <w:spacing w:before="40" w:after="120"/>
              <w:ind w:right="113"/>
            </w:pPr>
            <w:r w:rsidRPr="00ED1487">
              <w:t>14 h 30-17 h 30</w:t>
            </w:r>
          </w:p>
        </w:tc>
      </w:tr>
      <w:tr w:rsidR="00ED1487" w:rsidRPr="00ED1487" w:rsidTr="00ED1487">
        <w:tc>
          <w:tcPr>
            <w:tcW w:w="2042" w:type="dxa"/>
            <w:shd w:val="clear" w:color="auto" w:fill="auto"/>
          </w:tcPr>
          <w:p w:rsidR="00ED1487" w:rsidRPr="00ED1487" w:rsidRDefault="00ED1487" w:rsidP="00ED1487">
            <w:pPr>
              <w:spacing w:before="40" w:after="120"/>
              <w:ind w:right="113"/>
            </w:pPr>
            <w:r w:rsidRPr="00ED1487">
              <w:t>Mardi 9 juin 2015</w:t>
            </w:r>
          </w:p>
        </w:tc>
        <w:tc>
          <w:tcPr>
            <w:tcW w:w="2835" w:type="dxa"/>
            <w:shd w:val="clear" w:color="auto" w:fill="auto"/>
          </w:tcPr>
          <w:p w:rsidR="00ED1487" w:rsidRPr="00ED1487" w:rsidRDefault="00ED1487" w:rsidP="00ED1487">
            <w:pPr>
              <w:spacing w:before="40" w:after="120"/>
              <w:ind w:right="113"/>
            </w:pPr>
            <w:r w:rsidRPr="00ED1487">
              <w:t>Prescriptions concernant les performances environnementales et la propulsion des véhicules de</w:t>
            </w:r>
            <w:r>
              <w:t> </w:t>
            </w:r>
            <w:r w:rsidRPr="00ED1487">
              <w:t>la catégorie L</w:t>
            </w:r>
          </w:p>
        </w:tc>
        <w:tc>
          <w:tcPr>
            <w:tcW w:w="851" w:type="dxa"/>
            <w:shd w:val="clear" w:color="auto" w:fill="auto"/>
          </w:tcPr>
          <w:p w:rsidR="00ED1487" w:rsidRPr="00ED1487" w:rsidRDefault="00ED1487" w:rsidP="00ED1487">
            <w:pPr>
              <w:spacing w:before="40" w:after="120"/>
              <w:ind w:right="113"/>
            </w:pPr>
            <w:r w:rsidRPr="00ED1487">
              <w:t>EPPR</w:t>
            </w:r>
          </w:p>
        </w:tc>
        <w:tc>
          <w:tcPr>
            <w:tcW w:w="1644" w:type="dxa"/>
            <w:shd w:val="clear" w:color="auto" w:fill="auto"/>
          </w:tcPr>
          <w:p w:rsidR="00ED1487" w:rsidRPr="00ED1487" w:rsidRDefault="00ED1487" w:rsidP="00ED1487">
            <w:pPr>
              <w:spacing w:before="40" w:after="120"/>
              <w:ind w:right="113"/>
            </w:pPr>
            <w:r w:rsidRPr="00ED1487">
              <w:t>9 h 30-12 h 30</w:t>
            </w:r>
            <w:r w:rsidRPr="00ED1487">
              <w:br/>
              <w:t>14 h 30-17 h 30</w:t>
            </w:r>
          </w:p>
        </w:tc>
      </w:tr>
      <w:tr w:rsidR="00ED1487" w:rsidRPr="00ED1487" w:rsidTr="00ED1487">
        <w:tc>
          <w:tcPr>
            <w:tcW w:w="2042" w:type="dxa"/>
            <w:shd w:val="clear" w:color="auto" w:fill="auto"/>
          </w:tcPr>
          <w:p w:rsidR="00ED1487" w:rsidRPr="00ED1487" w:rsidRDefault="00ED1487" w:rsidP="00ED1487">
            <w:pPr>
              <w:spacing w:before="40" w:after="120"/>
              <w:ind w:right="113"/>
            </w:pPr>
            <w:r w:rsidRPr="00ED1487">
              <w:t>Mercredi 10 juin 2015</w:t>
            </w:r>
          </w:p>
        </w:tc>
        <w:tc>
          <w:tcPr>
            <w:tcW w:w="2835" w:type="dxa"/>
            <w:shd w:val="clear" w:color="auto" w:fill="auto"/>
          </w:tcPr>
          <w:p w:rsidR="00ED1487" w:rsidRPr="00ED1487" w:rsidRDefault="00ED1487" w:rsidP="00ED1487">
            <w:pPr>
              <w:spacing w:before="40" w:after="120"/>
              <w:ind w:right="113"/>
            </w:pPr>
            <w:r w:rsidRPr="00ED1487">
              <w:t>Procédure d</w:t>
            </w:r>
            <w:r w:rsidR="001844C7">
              <w:t>’</w:t>
            </w:r>
            <w:r w:rsidRPr="00ED1487">
              <w:t>essai mondiale harmonisée pour les voitures particulières et véhicules utilitaires légers</w:t>
            </w:r>
          </w:p>
        </w:tc>
        <w:tc>
          <w:tcPr>
            <w:tcW w:w="851" w:type="dxa"/>
            <w:shd w:val="clear" w:color="auto" w:fill="auto"/>
          </w:tcPr>
          <w:p w:rsidR="00ED1487" w:rsidRPr="00ED1487" w:rsidRDefault="00ED1487" w:rsidP="00ED1487">
            <w:pPr>
              <w:spacing w:before="40" w:after="120"/>
              <w:ind w:right="113"/>
            </w:pPr>
            <w:r w:rsidRPr="00ED1487">
              <w:t>WLTP</w:t>
            </w:r>
          </w:p>
        </w:tc>
        <w:tc>
          <w:tcPr>
            <w:tcW w:w="1644" w:type="dxa"/>
            <w:shd w:val="clear" w:color="auto" w:fill="auto"/>
          </w:tcPr>
          <w:p w:rsidR="00ED1487" w:rsidRPr="00ED1487" w:rsidRDefault="00ED1487" w:rsidP="00ED1487">
            <w:pPr>
              <w:spacing w:before="40" w:after="120"/>
              <w:ind w:right="113"/>
            </w:pPr>
            <w:r w:rsidRPr="00ED1487">
              <w:t>9 h 30-12 h 30</w:t>
            </w:r>
            <w:r w:rsidRPr="00ED1487">
              <w:br/>
              <w:t>14 h 30-17 h 30</w:t>
            </w:r>
          </w:p>
        </w:tc>
      </w:tr>
      <w:tr w:rsidR="00ED1487" w:rsidRPr="00ED1487" w:rsidTr="00ED1487">
        <w:tc>
          <w:tcPr>
            <w:tcW w:w="2042" w:type="dxa"/>
            <w:tcBorders>
              <w:bottom w:val="single" w:sz="12" w:space="0" w:color="auto"/>
            </w:tcBorders>
            <w:shd w:val="clear" w:color="auto" w:fill="auto"/>
          </w:tcPr>
          <w:p w:rsidR="00ED1487" w:rsidRPr="00ED1487" w:rsidRDefault="00ED1487" w:rsidP="00ED1487">
            <w:pPr>
              <w:spacing w:before="40" w:after="120"/>
              <w:ind w:right="113"/>
            </w:pPr>
            <w:r w:rsidRPr="00ED1487">
              <w:t>Vendredi 12 juin 2015</w:t>
            </w:r>
          </w:p>
        </w:tc>
        <w:tc>
          <w:tcPr>
            <w:tcW w:w="2835" w:type="dxa"/>
            <w:tcBorders>
              <w:bottom w:val="single" w:sz="12" w:space="0" w:color="auto"/>
            </w:tcBorders>
            <w:shd w:val="clear" w:color="auto" w:fill="auto"/>
          </w:tcPr>
          <w:p w:rsidR="00ED1487" w:rsidRPr="00ED1487" w:rsidRDefault="00ED1487" w:rsidP="00ED1487">
            <w:pPr>
              <w:spacing w:before="40" w:after="120"/>
              <w:ind w:right="113"/>
            </w:pPr>
            <w:r w:rsidRPr="00ED1487">
              <w:t>Qualité de l</w:t>
            </w:r>
            <w:r w:rsidR="001844C7">
              <w:t>’</w:t>
            </w:r>
            <w:r w:rsidRPr="00ED1487">
              <w:t>air à l</w:t>
            </w:r>
            <w:r w:rsidR="001844C7">
              <w:t>’</w:t>
            </w:r>
            <w:r w:rsidRPr="00ED1487">
              <w:t>intérieur des</w:t>
            </w:r>
            <w:r>
              <w:t> </w:t>
            </w:r>
            <w:r w:rsidRPr="00ED1487">
              <w:t>véhicules</w:t>
            </w:r>
          </w:p>
        </w:tc>
        <w:tc>
          <w:tcPr>
            <w:tcW w:w="851" w:type="dxa"/>
            <w:tcBorders>
              <w:bottom w:val="single" w:sz="12" w:space="0" w:color="auto"/>
            </w:tcBorders>
            <w:shd w:val="clear" w:color="auto" w:fill="auto"/>
          </w:tcPr>
          <w:p w:rsidR="00ED1487" w:rsidRPr="00ED1487" w:rsidRDefault="00ED1487" w:rsidP="00ED1487">
            <w:pPr>
              <w:spacing w:before="40" w:after="120"/>
              <w:ind w:right="113"/>
            </w:pPr>
            <w:r w:rsidRPr="00ED1487">
              <w:t>VIAQ</w:t>
            </w:r>
          </w:p>
        </w:tc>
        <w:tc>
          <w:tcPr>
            <w:tcW w:w="1644" w:type="dxa"/>
            <w:tcBorders>
              <w:bottom w:val="single" w:sz="12" w:space="0" w:color="auto"/>
            </w:tcBorders>
            <w:shd w:val="clear" w:color="auto" w:fill="auto"/>
          </w:tcPr>
          <w:p w:rsidR="00ED1487" w:rsidRPr="00ED1487" w:rsidRDefault="00ED1487" w:rsidP="00ED1487">
            <w:pPr>
              <w:spacing w:before="40" w:after="120"/>
              <w:ind w:right="113"/>
            </w:pPr>
            <w:r w:rsidRPr="00ED1487">
              <w:t>14 h 30-17 h 30</w:t>
            </w:r>
          </w:p>
        </w:tc>
      </w:tr>
    </w:tbl>
    <w:p w:rsidR="00ED1487" w:rsidRDefault="00ED1487" w:rsidP="00ED1487">
      <w:pPr>
        <w:pStyle w:val="ParNoG"/>
        <w:spacing w:before="240"/>
      </w:pPr>
      <w:r w:rsidRPr="001825DB">
        <w:t>L</w:t>
      </w:r>
      <w:r w:rsidR="001844C7">
        <w:t>’</w:t>
      </w:r>
      <w:r w:rsidRPr="001825DB">
        <w:t>ordre du jour de ces réunions sera élaboré par leurs secrétaires respectif et</w:t>
      </w:r>
      <w:r>
        <w:t> </w:t>
      </w:r>
      <w:r w:rsidRPr="001825DB">
        <w:t>communiqué aux membres de chaque groupe avant chaque réunion.</w:t>
      </w:r>
    </w:p>
    <w:p w:rsidR="00ED1487" w:rsidRPr="001825DB" w:rsidRDefault="00ED1487" w:rsidP="00ED1487">
      <w:pPr>
        <w:pStyle w:val="HChG"/>
      </w:pPr>
      <w:r>
        <w:br w:type="page"/>
      </w:r>
      <w:r w:rsidRPr="001825DB">
        <w:lastRenderedPageBreak/>
        <w:t>Annexe I</w:t>
      </w:r>
    </w:p>
    <w:p w:rsidR="00ED1487" w:rsidRPr="001825DB" w:rsidRDefault="00ED1487" w:rsidP="00ED1487">
      <w:pPr>
        <w:pStyle w:val="HChG"/>
      </w:pPr>
      <w:r w:rsidRPr="001825DB">
        <w:tab/>
      </w:r>
      <w:r w:rsidRPr="001825DB">
        <w:tab/>
        <w:t>Liste des documents informels distribués sans cote officielle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
        <w:gridCol w:w="1061"/>
        <w:gridCol w:w="5669"/>
        <w:gridCol w:w="851"/>
      </w:tblGrid>
      <w:tr w:rsidR="00ED1487" w:rsidRPr="00ED1487" w:rsidTr="003F4D9D">
        <w:trPr>
          <w:tblHeader/>
        </w:trPr>
        <w:tc>
          <w:tcPr>
            <w:tcW w:w="924" w:type="dxa"/>
            <w:tcBorders>
              <w:top w:val="single" w:sz="4" w:space="0" w:color="auto"/>
              <w:bottom w:val="single" w:sz="12" w:space="0" w:color="auto"/>
            </w:tcBorders>
            <w:shd w:val="clear" w:color="auto" w:fill="auto"/>
            <w:vAlign w:val="bottom"/>
          </w:tcPr>
          <w:p w:rsidR="00ED1487" w:rsidRPr="00ED1487" w:rsidRDefault="00ED1487" w:rsidP="00ED1487">
            <w:pPr>
              <w:spacing w:before="80" w:after="80" w:line="200" w:lineRule="exact"/>
              <w:ind w:right="113"/>
              <w:rPr>
                <w:i/>
                <w:sz w:val="16"/>
              </w:rPr>
            </w:pPr>
            <w:r w:rsidRPr="00ED1487">
              <w:rPr>
                <w:i/>
                <w:sz w:val="16"/>
              </w:rPr>
              <w:t>GRPE-70-</w:t>
            </w:r>
          </w:p>
        </w:tc>
        <w:tc>
          <w:tcPr>
            <w:tcW w:w="1061" w:type="dxa"/>
            <w:tcBorders>
              <w:top w:val="single" w:sz="4" w:space="0" w:color="auto"/>
              <w:bottom w:val="single" w:sz="12" w:space="0" w:color="auto"/>
            </w:tcBorders>
            <w:shd w:val="clear" w:color="auto" w:fill="auto"/>
            <w:vAlign w:val="bottom"/>
          </w:tcPr>
          <w:p w:rsidR="00ED1487" w:rsidRPr="00ED1487" w:rsidRDefault="00ED1487" w:rsidP="00ED1487">
            <w:pPr>
              <w:spacing w:before="80" w:after="80" w:line="200" w:lineRule="exact"/>
              <w:ind w:right="113"/>
              <w:rPr>
                <w:i/>
                <w:sz w:val="16"/>
              </w:rPr>
            </w:pPr>
            <w:r w:rsidRPr="00ED1487">
              <w:rPr>
                <w:i/>
                <w:sz w:val="16"/>
              </w:rPr>
              <w:t>Transmis par</w:t>
            </w:r>
          </w:p>
        </w:tc>
        <w:tc>
          <w:tcPr>
            <w:tcW w:w="5669" w:type="dxa"/>
            <w:tcBorders>
              <w:top w:val="single" w:sz="4" w:space="0" w:color="auto"/>
              <w:bottom w:val="single" w:sz="12" w:space="0" w:color="auto"/>
            </w:tcBorders>
            <w:shd w:val="clear" w:color="auto" w:fill="auto"/>
            <w:vAlign w:val="bottom"/>
          </w:tcPr>
          <w:p w:rsidR="00ED1487" w:rsidRPr="00ED1487" w:rsidRDefault="00ED1487" w:rsidP="00ED1487">
            <w:pPr>
              <w:spacing w:before="80" w:after="80" w:line="200" w:lineRule="exact"/>
              <w:ind w:right="113"/>
              <w:rPr>
                <w:i/>
                <w:sz w:val="16"/>
              </w:rPr>
            </w:pPr>
            <w:r w:rsidRPr="00ED1487">
              <w:rPr>
                <w:i/>
                <w:sz w:val="16"/>
              </w:rPr>
              <w:t xml:space="preserve">Titre </w:t>
            </w:r>
          </w:p>
        </w:tc>
        <w:tc>
          <w:tcPr>
            <w:tcW w:w="851" w:type="dxa"/>
            <w:tcBorders>
              <w:top w:val="single" w:sz="4" w:space="0" w:color="auto"/>
              <w:bottom w:val="single" w:sz="12" w:space="0" w:color="auto"/>
            </w:tcBorders>
            <w:shd w:val="clear" w:color="auto" w:fill="auto"/>
            <w:vAlign w:val="bottom"/>
          </w:tcPr>
          <w:p w:rsidR="00ED1487" w:rsidRPr="00ED1487" w:rsidRDefault="00ED1487" w:rsidP="00ED1487">
            <w:pPr>
              <w:spacing w:before="80" w:after="80" w:line="200" w:lineRule="exact"/>
              <w:ind w:right="113"/>
              <w:rPr>
                <w:i/>
                <w:sz w:val="16"/>
              </w:rPr>
            </w:pPr>
            <w:r w:rsidRPr="00ED1487">
              <w:rPr>
                <w:i/>
                <w:sz w:val="16"/>
              </w:rPr>
              <w:t>Suivi</w:t>
            </w:r>
          </w:p>
        </w:tc>
      </w:tr>
      <w:tr w:rsidR="00ED1487" w:rsidRPr="00ED1487" w:rsidTr="003F4D9D">
        <w:trPr>
          <w:trHeight w:hRule="exact" w:val="113"/>
          <w:tblHeader/>
        </w:trPr>
        <w:tc>
          <w:tcPr>
            <w:tcW w:w="924" w:type="dxa"/>
            <w:tcBorders>
              <w:top w:val="single" w:sz="12" w:space="0" w:color="auto"/>
            </w:tcBorders>
            <w:shd w:val="clear" w:color="auto" w:fill="auto"/>
          </w:tcPr>
          <w:p w:rsidR="00ED1487" w:rsidRPr="00ED1487" w:rsidRDefault="00ED1487" w:rsidP="00ED1487">
            <w:pPr>
              <w:spacing w:before="40" w:after="120"/>
              <w:ind w:right="113"/>
            </w:pPr>
          </w:p>
        </w:tc>
        <w:tc>
          <w:tcPr>
            <w:tcW w:w="1061" w:type="dxa"/>
            <w:tcBorders>
              <w:top w:val="single" w:sz="12" w:space="0" w:color="auto"/>
            </w:tcBorders>
            <w:shd w:val="clear" w:color="auto" w:fill="auto"/>
          </w:tcPr>
          <w:p w:rsidR="00ED1487" w:rsidRPr="00ED1487" w:rsidRDefault="00ED1487" w:rsidP="00ED1487">
            <w:pPr>
              <w:spacing w:before="40" w:after="120"/>
              <w:ind w:right="113"/>
            </w:pPr>
          </w:p>
        </w:tc>
        <w:tc>
          <w:tcPr>
            <w:tcW w:w="5669" w:type="dxa"/>
            <w:tcBorders>
              <w:top w:val="single" w:sz="12" w:space="0" w:color="auto"/>
            </w:tcBorders>
            <w:shd w:val="clear" w:color="auto" w:fill="auto"/>
          </w:tcPr>
          <w:p w:rsidR="00ED1487" w:rsidRPr="00ED1487" w:rsidRDefault="00ED1487" w:rsidP="00ED1487">
            <w:pPr>
              <w:spacing w:before="40" w:after="120"/>
              <w:ind w:right="113"/>
            </w:pPr>
          </w:p>
        </w:tc>
        <w:tc>
          <w:tcPr>
            <w:tcW w:w="851" w:type="dxa"/>
            <w:tcBorders>
              <w:top w:val="single" w:sz="12" w:space="0" w:color="auto"/>
            </w:tcBorders>
            <w:shd w:val="clear" w:color="auto" w:fill="auto"/>
          </w:tcPr>
          <w:p w:rsidR="00ED1487" w:rsidRPr="00ED1487" w:rsidRDefault="00ED1487" w:rsidP="00ED1487">
            <w:pPr>
              <w:spacing w:before="40" w:after="120"/>
              <w:ind w:right="113"/>
            </w:pP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1-Rev.1</w:t>
            </w:r>
          </w:p>
        </w:tc>
        <w:tc>
          <w:tcPr>
            <w:tcW w:w="1061" w:type="dxa"/>
            <w:shd w:val="clear" w:color="auto" w:fill="auto"/>
          </w:tcPr>
          <w:p w:rsidR="00ED1487" w:rsidRPr="00ED1487" w:rsidRDefault="00ED1487" w:rsidP="00FE176F">
            <w:pPr>
              <w:spacing w:before="40" w:after="120"/>
              <w:ind w:right="113"/>
            </w:pPr>
            <w:r w:rsidRPr="00ED1487">
              <w:t>Secrétariat</w:t>
            </w:r>
          </w:p>
        </w:tc>
        <w:tc>
          <w:tcPr>
            <w:tcW w:w="5669" w:type="dxa"/>
            <w:shd w:val="clear" w:color="auto" w:fill="auto"/>
          </w:tcPr>
          <w:p w:rsidR="00ED1487" w:rsidRPr="00ED1487" w:rsidRDefault="00ED1487" w:rsidP="00FE176F">
            <w:pPr>
              <w:spacing w:before="40" w:after="120"/>
              <w:ind w:right="113"/>
            </w:pPr>
            <w:r w:rsidRPr="00ED1487">
              <w:t>Réunions informelles organisées pendant la prochaine session du</w:t>
            </w:r>
            <w:r w:rsidR="00FE176F">
              <w:t> </w:t>
            </w:r>
            <w:r w:rsidRPr="00ED1487">
              <w:t>GRPE (proprement dite): horaires et réservation des salles</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2</w:t>
            </w:r>
          </w:p>
        </w:tc>
        <w:tc>
          <w:tcPr>
            <w:tcW w:w="1061" w:type="dxa"/>
            <w:shd w:val="clear" w:color="auto" w:fill="auto"/>
          </w:tcPr>
          <w:p w:rsidR="00ED1487" w:rsidRPr="00ED1487" w:rsidRDefault="00ED1487" w:rsidP="00FE176F">
            <w:pPr>
              <w:spacing w:before="40" w:after="120"/>
              <w:ind w:right="113"/>
            </w:pPr>
            <w:r w:rsidRPr="00ED1487">
              <w:t>OICA</w:t>
            </w:r>
          </w:p>
        </w:tc>
        <w:tc>
          <w:tcPr>
            <w:tcW w:w="5669" w:type="dxa"/>
            <w:shd w:val="clear" w:color="auto" w:fill="auto"/>
          </w:tcPr>
          <w:p w:rsidR="00ED1487" w:rsidRPr="00ED1487" w:rsidRDefault="00ED1487" w:rsidP="00FE176F">
            <w:pPr>
              <w:spacing w:before="40" w:after="120"/>
              <w:ind w:right="113"/>
            </w:pPr>
            <w:r w:rsidRPr="00ED1487">
              <w:t>Proposition d</w:t>
            </w:r>
            <w:r w:rsidR="001844C7">
              <w:t>’</w:t>
            </w:r>
            <w:r w:rsidRPr="00ED1487">
              <w:t xml:space="preserve">amendement 7 au Règlement </w:t>
            </w:r>
            <w:r w:rsidRPr="00ED1487">
              <w:rPr>
                <w:rFonts w:eastAsia="MS Mincho"/>
              </w:rPr>
              <w:t>n</w:t>
            </w:r>
            <w:r w:rsidRPr="00ED1487">
              <w:rPr>
                <w:rFonts w:eastAsia="MS Mincho"/>
                <w:vertAlign w:val="superscript"/>
              </w:rPr>
              <w:t>o</w:t>
            </w:r>
            <w:r w:rsidRPr="00ED1487">
              <w:t> 85</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c</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3</w:t>
            </w:r>
          </w:p>
        </w:tc>
        <w:tc>
          <w:tcPr>
            <w:tcW w:w="1061" w:type="dxa"/>
            <w:shd w:val="clear" w:color="auto" w:fill="auto"/>
          </w:tcPr>
          <w:p w:rsidR="00ED1487" w:rsidRPr="00ED1487" w:rsidRDefault="00ED1487" w:rsidP="00FE176F">
            <w:pPr>
              <w:spacing w:before="40" w:after="120"/>
              <w:ind w:right="113"/>
            </w:pPr>
            <w:r w:rsidRPr="00ED1487">
              <w:t>Secrétariat</w:t>
            </w:r>
          </w:p>
        </w:tc>
        <w:tc>
          <w:tcPr>
            <w:tcW w:w="5669" w:type="dxa"/>
            <w:shd w:val="clear" w:color="auto" w:fill="auto"/>
          </w:tcPr>
          <w:p w:rsidR="00ED1487" w:rsidRPr="00ED1487" w:rsidRDefault="00ED1487" w:rsidP="00FE176F">
            <w:pPr>
              <w:spacing w:before="40" w:after="120"/>
              <w:ind w:right="113"/>
            </w:pPr>
            <w:r w:rsidRPr="00ED1487">
              <w:t xml:space="preserve">Proposition de modification au Règlement </w:t>
            </w:r>
            <w:r w:rsidRPr="00ED1487">
              <w:rPr>
                <w:rFonts w:eastAsia="MS Mincho"/>
              </w:rPr>
              <w:t>n</w:t>
            </w:r>
            <w:r w:rsidRPr="00ED1487">
              <w:rPr>
                <w:rFonts w:eastAsia="MS Mincho"/>
                <w:vertAlign w:val="superscript"/>
              </w:rPr>
              <w:t>o</w:t>
            </w:r>
            <w:r w:rsidR="00FE176F">
              <w:t> 85</w:t>
            </w:r>
            <w:r w:rsidR="00FE176F">
              <w:br/>
            </w:r>
            <w:r w:rsidRPr="00ED1487">
              <w:t>(Mesure de la puissance nette)</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c</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4</w:t>
            </w:r>
          </w:p>
        </w:tc>
        <w:tc>
          <w:tcPr>
            <w:tcW w:w="1061" w:type="dxa"/>
            <w:shd w:val="clear" w:color="auto" w:fill="auto"/>
          </w:tcPr>
          <w:p w:rsidR="00ED1487" w:rsidRPr="00ED1487" w:rsidRDefault="00ED1487" w:rsidP="00FE176F">
            <w:pPr>
              <w:spacing w:before="40" w:after="120"/>
              <w:ind w:right="113"/>
            </w:pPr>
            <w:r w:rsidRPr="00ED1487">
              <w:t>OICA</w:t>
            </w:r>
          </w:p>
        </w:tc>
        <w:tc>
          <w:tcPr>
            <w:tcW w:w="5669" w:type="dxa"/>
            <w:shd w:val="clear" w:color="auto" w:fill="auto"/>
          </w:tcPr>
          <w:p w:rsidR="00ED1487" w:rsidRPr="00ED1487" w:rsidRDefault="00ED1487" w:rsidP="00FE176F">
            <w:pPr>
              <w:spacing w:before="40" w:after="120"/>
              <w:ind w:right="113"/>
            </w:pPr>
            <w:r w:rsidRPr="00ED1487">
              <w:t>Amendements au document ECE/TRANS/WP.29/GRPE/2015/4</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b</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5</w:t>
            </w:r>
          </w:p>
        </w:tc>
        <w:tc>
          <w:tcPr>
            <w:tcW w:w="1061" w:type="dxa"/>
            <w:shd w:val="clear" w:color="auto" w:fill="auto"/>
          </w:tcPr>
          <w:p w:rsidR="00ED1487" w:rsidRPr="00ED1487" w:rsidRDefault="00ED1487" w:rsidP="00FE176F">
            <w:pPr>
              <w:spacing w:before="40" w:after="120"/>
              <w:ind w:right="113"/>
            </w:pPr>
            <w:r w:rsidRPr="00ED1487">
              <w:t>OICA</w:t>
            </w:r>
          </w:p>
        </w:tc>
        <w:tc>
          <w:tcPr>
            <w:tcW w:w="5669" w:type="dxa"/>
            <w:shd w:val="clear" w:color="auto" w:fill="auto"/>
          </w:tcPr>
          <w:p w:rsidR="00ED1487" w:rsidRPr="00ED1487" w:rsidRDefault="00ED1487" w:rsidP="00FE176F">
            <w:pPr>
              <w:spacing w:before="40" w:after="120"/>
              <w:ind w:right="113"/>
            </w:pPr>
            <w:r w:rsidRPr="00ED1487">
              <w:t>Amendements au document ECE/TRANS/WP.29/GRPE/2015/5</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b</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6-Rev.1</w:t>
            </w:r>
          </w:p>
        </w:tc>
        <w:tc>
          <w:tcPr>
            <w:tcW w:w="1061" w:type="dxa"/>
            <w:shd w:val="clear" w:color="auto" w:fill="auto"/>
          </w:tcPr>
          <w:p w:rsidR="00ED1487" w:rsidRPr="00ED1487" w:rsidRDefault="00ED1487" w:rsidP="00FE176F">
            <w:pPr>
              <w:spacing w:before="40" w:after="120"/>
              <w:ind w:right="113"/>
            </w:pPr>
            <w:r w:rsidRPr="00ED1487">
              <w:t>OICA</w:t>
            </w:r>
          </w:p>
        </w:tc>
        <w:tc>
          <w:tcPr>
            <w:tcW w:w="5669" w:type="dxa"/>
            <w:shd w:val="clear" w:color="auto" w:fill="auto"/>
          </w:tcPr>
          <w:p w:rsidR="00ED1487" w:rsidRPr="00ED1487" w:rsidRDefault="00ED1487" w:rsidP="00FE176F">
            <w:pPr>
              <w:spacing w:before="40" w:after="120"/>
              <w:ind w:right="113"/>
            </w:pPr>
            <w:r w:rsidRPr="00ED1487">
              <w:t>Amendements au document ECE/TRANS/WP.29/GRPE/2015/3</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b</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7-Rev.1</w:t>
            </w:r>
          </w:p>
        </w:tc>
        <w:tc>
          <w:tcPr>
            <w:tcW w:w="1061" w:type="dxa"/>
            <w:shd w:val="clear" w:color="auto" w:fill="auto"/>
          </w:tcPr>
          <w:p w:rsidR="00ED1487" w:rsidRPr="00ED1487" w:rsidRDefault="00ED1487" w:rsidP="00FE176F">
            <w:pPr>
              <w:spacing w:before="40" w:after="120"/>
              <w:ind w:right="113"/>
            </w:pPr>
            <w:r w:rsidRPr="00ED1487">
              <w:t>OICA</w:t>
            </w:r>
          </w:p>
        </w:tc>
        <w:tc>
          <w:tcPr>
            <w:tcW w:w="5669" w:type="dxa"/>
            <w:shd w:val="clear" w:color="auto" w:fill="auto"/>
          </w:tcPr>
          <w:p w:rsidR="00ED1487" w:rsidRPr="00ED1487" w:rsidRDefault="00ED1487" w:rsidP="00FE176F">
            <w:pPr>
              <w:spacing w:before="40" w:after="120"/>
              <w:ind w:right="113"/>
            </w:pPr>
            <w:r w:rsidRPr="00ED1487">
              <w:t>Amendements au document ECE/TRANS/WP.29/GRPE/2015/3 (consolidé)</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8-Rev.2</w:t>
            </w:r>
          </w:p>
        </w:tc>
        <w:tc>
          <w:tcPr>
            <w:tcW w:w="1061" w:type="dxa"/>
            <w:shd w:val="clear" w:color="auto" w:fill="auto"/>
          </w:tcPr>
          <w:p w:rsidR="00ED1487" w:rsidRPr="00ED1487" w:rsidRDefault="00ED1487" w:rsidP="00FE176F">
            <w:pPr>
              <w:spacing w:before="40" w:after="120"/>
              <w:ind w:right="113"/>
            </w:pPr>
            <w:r w:rsidRPr="00ED1487">
              <w:t>Secrétariat</w:t>
            </w:r>
          </w:p>
        </w:tc>
        <w:tc>
          <w:tcPr>
            <w:tcW w:w="5669" w:type="dxa"/>
            <w:shd w:val="clear" w:color="auto" w:fill="auto"/>
          </w:tcPr>
          <w:p w:rsidR="00ED1487" w:rsidRPr="00ED1487" w:rsidRDefault="00ED1487" w:rsidP="00FE176F">
            <w:pPr>
              <w:spacing w:before="40" w:after="120"/>
              <w:ind w:right="113"/>
            </w:pPr>
            <w:r w:rsidRPr="00ED1487">
              <w:t>Ordre du jour provisoire actualisé (comprenant tous les documents informels)</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9</w:t>
            </w:r>
          </w:p>
        </w:tc>
        <w:tc>
          <w:tcPr>
            <w:tcW w:w="1061" w:type="dxa"/>
            <w:shd w:val="clear" w:color="auto" w:fill="auto"/>
          </w:tcPr>
          <w:p w:rsidR="00ED1487" w:rsidRPr="00ED1487" w:rsidRDefault="00ED1487" w:rsidP="00FE176F">
            <w:pPr>
              <w:spacing w:before="40" w:after="120"/>
              <w:ind w:right="113"/>
            </w:pPr>
            <w:r w:rsidRPr="00ED1487">
              <w:t>Corée</w:t>
            </w:r>
          </w:p>
        </w:tc>
        <w:tc>
          <w:tcPr>
            <w:tcW w:w="5669" w:type="dxa"/>
            <w:shd w:val="clear" w:color="auto" w:fill="auto"/>
          </w:tcPr>
          <w:p w:rsidR="00ED1487" w:rsidRPr="00ED1487" w:rsidRDefault="00ED1487" w:rsidP="00FE176F">
            <w:pPr>
              <w:spacing w:before="40" w:after="120"/>
              <w:ind w:right="113"/>
            </w:pPr>
            <w:r w:rsidRPr="00ED1487">
              <w:t>Proposition relative au mandat et au Règlement intérieur du Groupe de travail informel de la qualité de l</w:t>
            </w:r>
            <w:r w:rsidR="001844C7">
              <w:t>’</w:t>
            </w:r>
            <w:r w:rsidRPr="00ED1487">
              <w:t>air à l</w:t>
            </w:r>
            <w:r w:rsidR="001844C7">
              <w:t>’</w:t>
            </w:r>
            <w:r w:rsidRPr="00ED1487">
              <w:t>intérieur des véhicules (VIAQ)</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10</w:t>
            </w:r>
          </w:p>
        </w:tc>
        <w:tc>
          <w:tcPr>
            <w:tcW w:w="1061" w:type="dxa"/>
            <w:shd w:val="clear" w:color="auto" w:fill="auto"/>
          </w:tcPr>
          <w:p w:rsidR="00ED1487" w:rsidRPr="00ED1487" w:rsidRDefault="00ED1487" w:rsidP="00FE176F">
            <w:pPr>
              <w:spacing w:before="40" w:after="120"/>
              <w:ind w:right="113"/>
            </w:pPr>
            <w:r w:rsidRPr="00ED1487">
              <w:t>Secrétariat</w:t>
            </w:r>
          </w:p>
        </w:tc>
        <w:tc>
          <w:tcPr>
            <w:tcW w:w="5669" w:type="dxa"/>
            <w:shd w:val="clear" w:color="auto" w:fill="auto"/>
          </w:tcPr>
          <w:p w:rsidR="00ED1487" w:rsidRPr="00ED1487" w:rsidRDefault="00ED1487" w:rsidP="00FE176F">
            <w:pPr>
              <w:spacing w:before="40" w:after="120"/>
              <w:ind w:right="113"/>
            </w:pPr>
            <w:r w:rsidRPr="00ED1487">
              <w:t xml:space="preserve">Informations générales </w:t>
            </w:r>
          </w:p>
        </w:tc>
        <w:tc>
          <w:tcPr>
            <w:tcW w:w="851" w:type="dxa"/>
            <w:shd w:val="clear" w:color="auto" w:fill="auto"/>
          </w:tcPr>
          <w:p w:rsidR="00ED1487" w:rsidRPr="003F4D9D" w:rsidRDefault="00ED1487" w:rsidP="00FE176F">
            <w:pPr>
              <w:spacing w:before="40" w:after="120"/>
              <w:ind w:right="113"/>
              <w:rPr>
                <w:i/>
                <w:szCs w:val="24"/>
                <w:vertAlign w:val="superscript"/>
              </w:rPr>
            </w:pP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11</w:t>
            </w:r>
          </w:p>
        </w:tc>
        <w:tc>
          <w:tcPr>
            <w:tcW w:w="1061" w:type="dxa"/>
            <w:shd w:val="clear" w:color="auto" w:fill="auto"/>
          </w:tcPr>
          <w:p w:rsidR="00ED1487" w:rsidRPr="00ED1487" w:rsidRDefault="00ED1487" w:rsidP="00FE176F">
            <w:pPr>
              <w:spacing w:before="40" w:after="120"/>
              <w:ind w:right="113"/>
            </w:pPr>
            <w:r w:rsidRPr="00ED1487">
              <w:t>Secrétariat</w:t>
            </w:r>
          </w:p>
        </w:tc>
        <w:tc>
          <w:tcPr>
            <w:tcW w:w="5669" w:type="dxa"/>
            <w:shd w:val="clear" w:color="auto" w:fill="auto"/>
          </w:tcPr>
          <w:p w:rsidR="00ED1487" w:rsidRPr="00ED1487" w:rsidRDefault="00ED1487" w:rsidP="00FE176F">
            <w:pPr>
              <w:spacing w:before="40" w:after="120"/>
              <w:ind w:right="113"/>
            </w:pPr>
            <w:r w:rsidRPr="00ED1487">
              <w:t xml:space="preserve">Faits saillants </w:t>
            </w:r>
            <w:r w:rsidR="00FE176F">
              <w:t>des dernières sessions du WP.29</w:t>
            </w:r>
            <w:r w:rsidR="00FE176F">
              <w:br/>
            </w:r>
            <w:r w:rsidRPr="00ED1487">
              <w:t>(juin et novembre 2014)</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12</w:t>
            </w:r>
          </w:p>
        </w:tc>
        <w:tc>
          <w:tcPr>
            <w:tcW w:w="1061" w:type="dxa"/>
            <w:shd w:val="clear" w:color="auto" w:fill="auto"/>
          </w:tcPr>
          <w:p w:rsidR="00ED1487" w:rsidRPr="00ED1487" w:rsidRDefault="00ED1487" w:rsidP="00FE176F">
            <w:pPr>
              <w:spacing w:before="40" w:after="120"/>
              <w:ind w:right="113"/>
            </w:pPr>
            <w:r w:rsidRPr="00ED1487">
              <w:t>Pays</w:t>
            </w:r>
            <w:r w:rsidRPr="00ED1487">
              <w:noBreakHyphen/>
              <w:t>Bas</w:t>
            </w:r>
          </w:p>
        </w:tc>
        <w:tc>
          <w:tcPr>
            <w:tcW w:w="5669" w:type="dxa"/>
            <w:shd w:val="clear" w:color="auto" w:fill="auto"/>
          </w:tcPr>
          <w:p w:rsidR="00ED1487" w:rsidRPr="00ED1487" w:rsidRDefault="00ED1487" w:rsidP="00FE176F">
            <w:pPr>
              <w:spacing w:before="40" w:after="120"/>
              <w:ind w:right="113"/>
            </w:pPr>
            <w:r w:rsidRPr="00ED1487">
              <w:t>Proposition de retrait du document GRPE-69-02</w:t>
            </w:r>
            <w:r w:rsidRPr="00ED1487">
              <w:br/>
              <w:t xml:space="preserve">(relatif aux amendements au RTM </w:t>
            </w:r>
            <w:r w:rsidRPr="00ED1487">
              <w:rPr>
                <w:rFonts w:eastAsia="MS Mincho"/>
              </w:rPr>
              <w:t>n</w:t>
            </w:r>
            <w:r w:rsidRPr="00ED1487">
              <w:rPr>
                <w:rFonts w:eastAsia="MS Mincho"/>
                <w:vertAlign w:val="superscript"/>
              </w:rPr>
              <w:t>o</w:t>
            </w:r>
            <w:r w:rsidRPr="00ED1487">
              <w:t> 2)</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13</w:t>
            </w:r>
          </w:p>
        </w:tc>
        <w:tc>
          <w:tcPr>
            <w:tcW w:w="1061" w:type="dxa"/>
            <w:shd w:val="clear" w:color="auto" w:fill="auto"/>
          </w:tcPr>
          <w:p w:rsidR="00ED1487" w:rsidRPr="00ED1487" w:rsidRDefault="00ED1487" w:rsidP="00FE176F">
            <w:pPr>
              <w:spacing w:before="40" w:after="120"/>
              <w:ind w:right="113"/>
            </w:pPr>
            <w:r w:rsidRPr="00ED1487">
              <w:t>CE</w:t>
            </w:r>
          </w:p>
        </w:tc>
        <w:tc>
          <w:tcPr>
            <w:tcW w:w="5669" w:type="dxa"/>
            <w:shd w:val="clear" w:color="auto" w:fill="auto"/>
          </w:tcPr>
          <w:p w:rsidR="00ED1487" w:rsidRPr="00ED1487" w:rsidRDefault="00ED1487" w:rsidP="00FE176F">
            <w:pPr>
              <w:spacing w:before="40" w:after="120"/>
              <w:ind w:right="113"/>
            </w:pPr>
            <w:r w:rsidRPr="00ED1487">
              <w:t>Transposition du WLTP</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14</w:t>
            </w:r>
          </w:p>
        </w:tc>
        <w:tc>
          <w:tcPr>
            <w:tcW w:w="1061" w:type="dxa"/>
            <w:shd w:val="clear" w:color="auto" w:fill="auto"/>
          </w:tcPr>
          <w:p w:rsidR="00ED1487" w:rsidRPr="00ED1487" w:rsidRDefault="00ED1487" w:rsidP="00FE176F">
            <w:pPr>
              <w:spacing w:before="40" w:after="120"/>
              <w:ind w:right="113"/>
            </w:pPr>
            <w:r w:rsidRPr="00ED1487">
              <w:t>OICA</w:t>
            </w:r>
          </w:p>
        </w:tc>
        <w:tc>
          <w:tcPr>
            <w:tcW w:w="5669" w:type="dxa"/>
            <w:shd w:val="clear" w:color="auto" w:fill="auto"/>
          </w:tcPr>
          <w:p w:rsidR="00ED1487" w:rsidRPr="00ED1487" w:rsidRDefault="00ED1487" w:rsidP="00FE176F">
            <w:pPr>
              <w:spacing w:before="40" w:after="120"/>
              <w:ind w:right="113"/>
            </w:pPr>
            <w:r w:rsidRPr="00ED1487">
              <w:t xml:space="preserve">Informations générales pour les documents ECE/TRANS/WP.29/ GRPE/2015/4 et ECE/TRANS/WP.29/GRPE/2015/5 </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15</w:t>
            </w:r>
          </w:p>
        </w:tc>
        <w:tc>
          <w:tcPr>
            <w:tcW w:w="1061" w:type="dxa"/>
            <w:shd w:val="clear" w:color="auto" w:fill="auto"/>
          </w:tcPr>
          <w:p w:rsidR="00ED1487" w:rsidRPr="00ED1487" w:rsidRDefault="00ED1487" w:rsidP="00FE176F">
            <w:pPr>
              <w:spacing w:before="40" w:after="120"/>
              <w:ind w:right="113"/>
            </w:pPr>
            <w:r w:rsidRPr="00ED1487">
              <w:t>États-Unis</w:t>
            </w:r>
          </w:p>
        </w:tc>
        <w:tc>
          <w:tcPr>
            <w:tcW w:w="5669" w:type="dxa"/>
            <w:shd w:val="clear" w:color="auto" w:fill="auto"/>
          </w:tcPr>
          <w:p w:rsidR="00ED1487" w:rsidRPr="00ED1487" w:rsidRDefault="00ED1487" w:rsidP="00FE176F">
            <w:pPr>
              <w:spacing w:before="40" w:after="120"/>
              <w:ind w:right="113"/>
            </w:pPr>
            <w:r w:rsidRPr="00ED1487">
              <w:t>Comparaison entre les procédures d</w:t>
            </w:r>
            <w:r w:rsidR="001844C7">
              <w:t>’</w:t>
            </w:r>
            <w:r w:rsidRPr="00ED1487">
              <w:t xml:space="preserve">essai des véhicules utilitaires lourds hybrides exposées dans le RTM </w:t>
            </w:r>
            <w:r w:rsidRPr="00ED1487">
              <w:rPr>
                <w:rFonts w:eastAsia="MS Mincho"/>
              </w:rPr>
              <w:t>n</w:t>
            </w:r>
            <w:r w:rsidRPr="00ED1487">
              <w:rPr>
                <w:rFonts w:eastAsia="MS Mincho"/>
                <w:vertAlign w:val="superscript"/>
              </w:rPr>
              <w:t>o</w:t>
            </w:r>
            <w:r w:rsidRPr="00ED1487">
              <w:t> 4</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ED1487" w:rsidTr="00ED1487">
        <w:tc>
          <w:tcPr>
            <w:tcW w:w="924" w:type="dxa"/>
            <w:shd w:val="clear" w:color="auto" w:fill="auto"/>
          </w:tcPr>
          <w:p w:rsidR="00ED1487" w:rsidRPr="00ED1487" w:rsidRDefault="00ED1487" w:rsidP="00FE176F">
            <w:pPr>
              <w:spacing w:before="40" w:after="120"/>
              <w:ind w:right="113"/>
            </w:pPr>
            <w:r w:rsidRPr="00ED1487">
              <w:t>16-Rev.1</w:t>
            </w:r>
          </w:p>
        </w:tc>
        <w:tc>
          <w:tcPr>
            <w:tcW w:w="1061" w:type="dxa"/>
            <w:shd w:val="clear" w:color="auto" w:fill="auto"/>
          </w:tcPr>
          <w:p w:rsidR="00ED1487" w:rsidRPr="00ED1487" w:rsidRDefault="00ED1487" w:rsidP="00FE176F">
            <w:pPr>
              <w:spacing w:before="40" w:after="120"/>
              <w:ind w:right="113"/>
            </w:pPr>
            <w:r w:rsidRPr="00ED1487">
              <w:t>OICA</w:t>
            </w:r>
          </w:p>
        </w:tc>
        <w:tc>
          <w:tcPr>
            <w:tcW w:w="5669" w:type="dxa"/>
            <w:shd w:val="clear" w:color="auto" w:fill="auto"/>
          </w:tcPr>
          <w:p w:rsidR="00ED1487" w:rsidRPr="00ED1487" w:rsidRDefault="00ED1487" w:rsidP="00FE176F">
            <w:pPr>
              <w:spacing w:before="40" w:after="120"/>
              <w:ind w:right="113"/>
            </w:pPr>
            <w:r w:rsidRPr="00ED1487">
              <w:t>Proposition d</w:t>
            </w:r>
            <w:r w:rsidR="001844C7">
              <w:t>’</w:t>
            </w:r>
            <w:r w:rsidRPr="00ED1487">
              <w:t xml:space="preserve">amendement au document ECE/TRANS/ WP.29/GRPE/2015/2 </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b</w:t>
            </w:r>
          </w:p>
        </w:tc>
      </w:tr>
      <w:tr w:rsidR="00ED1487" w:rsidRPr="00ED1487" w:rsidTr="003F4D9D">
        <w:tc>
          <w:tcPr>
            <w:tcW w:w="924" w:type="dxa"/>
            <w:shd w:val="clear" w:color="auto" w:fill="auto"/>
          </w:tcPr>
          <w:p w:rsidR="00ED1487" w:rsidRPr="00ED1487" w:rsidRDefault="00ED1487" w:rsidP="00FE176F">
            <w:pPr>
              <w:spacing w:before="40" w:after="120"/>
              <w:ind w:right="113"/>
            </w:pPr>
            <w:r w:rsidRPr="00ED1487">
              <w:t>17</w:t>
            </w:r>
          </w:p>
        </w:tc>
        <w:tc>
          <w:tcPr>
            <w:tcW w:w="1061" w:type="dxa"/>
            <w:shd w:val="clear" w:color="auto" w:fill="auto"/>
          </w:tcPr>
          <w:p w:rsidR="00ED1487" w:rsidRPr="00ED1487" w:rsidRDefault="00ED1487" w:rsidP="00FE176F">
            <w:pPr>
              <w:spacing w:before="40" w:after="120"/>
              <w:ind w:right="113"/>
            </w:pPr>
            <w:r w:rsidRPr="00ED1487">
              <w:t>PMP</w:t>
            </w:r>
          </w:p>
        </w:tc>
        <w:tc>
          <w:tcPr>
            <w:tcW w:w="5669" w:type="dxa"/>
            <w:shd w:val="clear" w:color="auto" w:fill="auto"/>
          </w:tcPr>
          <w:p w:rsidR="00ED1487" w:rsidRPr="00ED1487" w:rsidRDefault="00ED1487" w:rsidP="00FE176F">
            <w:pPr>
              <w:spacing w:before="40" w:after="120"/>
              <w:ind w:right="113"/>
            </w:pPr>
            <w:r w:rsidRPr="00ED1487">
              <w:t xml:space="preserve">Rapport de situation </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ED1487" w:rsidTr="003F4D9D">
        <w:tc>
          <w:tcPr>
            <w:tcW w:w="924" w:type="dxa"/>
            <w:shd w:val="clear" w:color="auto" w:fill="auto"/>
          </w:tcPr>
          <w:p w:rsidR="00ED1487" w:rsidRPr="00ED1487" w:rsidRDefault="00ED1487" w:rsidP="00FE176F">
            <w:pPr>
              <w:spacing w:before="40" w:after="120"/>
              <w:ind w:right="113"/>
            </w:pPr>
            <w:r w:rsidRPr="00ED1487">
              <w:t>18</w:t>
            </w:r>
          </w:p>
        </w:tc>
        <w:tc>
          <w:tcPr>
            <w:tcW w:w="1061" w:type="dxa"/>
            <w:shd w:val="clear" w:color="auto" w:fill="auto"/>
          </w:tcPr>
          <w:p w:rsidR="00ED1487" w:rsidRPr="00ED1487" w:rsidRDefault="00ED1487" w:rsidP="00FE176F">
            <w:pPr>
              <w:spacing w:before="40" w:after="120"/>
              <w:ind w:right="113"/>
            </w:pPr>
            <w:r w:rsidRPr="00ED1487">
              <w:t>VPSD</w:t>
            </w:r>
            <w:r w:rsidRPr="00ED1487">
              <w:br/>
              <w:t>et OICA</w:t>
            </w:r>
          </w:p>
        </w:tc>
        <w:tc>
          <w:tcPr>
            <w:tcW w:w="5669" w:type="dxa"/>
            <w:shd w:val="clear" w:color="auto" w:fill="auto"/>
          </w:tcPr>
          <w:p w:rsidR="00ED1487" w:rsidRPr="00ED1487" w:rsidRDefault="00ED1487" w:rsidP="00022C55">
            <w:pPr>
              <w:spacing w:before="40" w:after="120"/>
              <w:ind w:right="113"/>
            </w:pPr>
            <w:r w:rsidRPr="00ED1487">
              <w:t>Proposition d</w:t>
            </w:r>
            <w:r w:rsidR="001844C7">
              <w:t>’</w:t>
            </w:r>
            <w:r w:rsidRPr="00ED1487">
              <w:t>amendements au document ECE/TRANS/WP.29/2014/84 (projet d</w:t>
            </w:r>
            <w:r w:rsidR="001844C7">
              <w:t>’</w:t>
            </w:r>
            <w:r w:rsidRPr="00ED1487">
              <w:t xml:space="preserve">amendement 3 au RTM </w:t>
            </w:r>
            <w:r w:rsidRPr="00ED1487">
              <w:rPr>
                <w:rFonts w:eastAsia="MS Mincho"/>
              </w:rPr>
              <w:t>n</w:t>
            </w:r>
            <w:r w:rsidRPr="00ED1487">
              <w:rPr>
                <w:rFonts w:eastAsia="MS Mincho"/>
                <w:vertAlign w:val="superscript"/>
              </w:rPr>
              <w:t>o</w:t>
            </w:r>
            <w:r w:rsidRPr="00ED1487">
              <w:t xml:space="preserve"> 4) </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1825DB" w:rsidTr="003F4D9D">
        <w:tc>
          <w:tcPr>
            <w:tcW w:w="924" w:type="dxa"/>
            <w:shd w:val="clear" w:color="auto" w:fill="auto"/>
          </w:tcPr>
          <w:p w:rsidR="00ED1487" w:rsidRPr="001825DB" w:rsidRDefault="00ED1487" w:rsidP="00FE176F">
            <w:pPr>
              <w:spacing w:before="40" w:after="120"/>
              <w:ind w:right="113"/>
              <w:rPr>
                <w:szCs w:val="24"/>
              </w:rPr>
            </w:pPr>
            <w:r w:rsidRPr="001825DB">
              <w:rPr>
                <w:szCs w:val="24"/>
              </w:rPr>
              <w:t>19</w:t>
            </w:r>
          </w:p>
        </w:tc>
        <w:tc>
          <w:tcPr>
            <w:tcW w:w="1061" w:type="dxa"/>
            <w:shd w:val="clear" w:color="auto" w:fill="auto"/>
          </w:tcPr>
          <w:p w:rsidR="00ED1487" w:rsidRPr="001825DB" w:rsidRDefault="00ED1487" w:rsidP="00FE176F">
            <w:pPr>
              <w:spacing w:before="40" w:after="120"/>
              <w:ind w:right="113"/>
              <w:rPr>
                <w:szCs w:val="24"/>
              </w:rPr>
            </w:pPr>
            <w:r w:rsidRPr="001825DB">
              <w:rPr>
                <w:szCs w:val="24"/>
              </w:rPr>
              <w:t>OICA</w:t>
            </w:r>
          </w:p>
        </w:tc>
        <w:tc>
          <w:tcPr>
            <w:tcW w:w="5669" w:type="dxa"/>
            <w:shd w:val="clear" w:color="auto" w:fill="auto"/>
          </w:tcPr>
          <w:p w:rsidR="00ED1487" w:rsidRPr="001825DB" w:rsidRDefault="00ED1487" w:rsidP="00FE176F">
            <w:pPr>
              <w:spacing w:before="40" w:after="120"/>
              <w:ind w:right="113"/>
              <w:rPr>
                <w:szCs w:val="24"/>
              </w:rPr>
            </w:pPr>
            <w:r w:rsidRPr="001825DB">
              <w:rPr>
                <w:szCs w:val="24"/>
              </w:rPr>
              <w:t>Observations de l</w:t>
            </w:r>
            <w:r w:rsidR="001844C7">
              <w:rPr>
                <w:szCs w:val="24"/>
              </w:rPr>
              <w:t>’</w:t>
            </w:r>
            <w:r w:rsidRPr="001825DB">
              <w:rPr>
                <w:szCs w:val="24"/>
              </w:rPr>
              <w:t>OICA sur le document GRPE-70-09</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1825DB" w:rsidTr="003F4D9D">
        <w:tc>
          <w:tcPr>
            <w:tcW w:w="924" w:type="dxa"/>
            <w:shd w:val="clear" w:color="auto" w:fill="auto"/>
          </w:tcPr>
          <w:p w:rsidR="00ED1487" w:rsidRPr="001825DB" w:rsidRDefault="00ED1487" w:rsidP="00FE176F">
            <w:pPr>
              <w:spacing w:before="40" w:after="120"/>
              <w:ind w:right="113"/>
              <w:rPr>
                <w:szCs w:val="24"/>
              </w:rPr>
            </w:pPr>
            <w:r w:rsidRPr="001825DB">
              <w:rPr>
                <w:szCs w:val="24"/>
              </w:rPr>
              <w:t>20</w:t>
            </w:r>
          </w:p>
        </w:tc>
        <w:tc>
          <w:tcPr>
            <w:tcW w:w="1061" w:type="dxa"/>
            <w:shd w:val="clear" w:color="auto" w:fill="auto"/>
          </w:tcPr>
          <w:p w:rsidR="00ED1487" w:rsidRPr="001825DB" w:rsidRDefault="00ED1487" w:rsidP="00FE176F">
            <w:pPr>
              <w:spacing w:before="40" w:after="120"/>
              <w:ind w:right="113"/>
              <w:rPr>
                <w:szCs w:val="24"/>
              </w:rPr>
            </w:pPr>
            <w:r w:rsidRPr="001825DB">
              <w:rPr>
                <w:szCs w:val="24"/>
              </w:rPr>
              <w:t>WLTP</w:t>
            </w:r>
          </w:p>
        </w:tc>
        <w:tc>
          <w:tcPr>
            <w:tcW w:w="5669" w:type="dxa"/>
            <w:shd w:val="clear" w:color="auto" w:fill="auto"/>
          </w:tcPr>
          <w:p w:rsidR="00ED1487" w:rsidRPr="001825DB" w:rsidRDefault="00ED1487" w:rsidP="00FE176F">
            <w:pPr>
              <w:spacing w:before="40" w:after="120"/>
              <w:ind w:right="113"/>
              <w:rPr>
                <w:szCs w:val="24"/>
              </w:rPr>
            </w:pPr>
            <w:r w:rsidRPr="001825DB">
              <w:rPr>
                <w:szCs w:val="24"/>
              </w:rPr>
              <w:t>Rapport de situation</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1825DB" w:rsidTr="003F4D9D">
        <w:tc>
          <w:tcPr>
            <w:tcW w:w="924" w:type="dxa"/>
            <w:shd w:val="clear" w:color="auto" w:fill="auto"/>
          </w:tcPr>
          <w:p w:rsidR="00ED1487" w:rsidRPr="001825DB" w:rsidRDefault="00ED1487" w:rsidP="00FE176F">
            <w:pPr>
              <w:spacing w:before="40" w:after="120"/>
              <w:ind w:right="113"/>
              <w:rPr>
                <w:szCs w:val="24"/>
              </w:rPr>
            </w:pPr>
            <w:r w:rsidRPr="001825DB">
              <w:rPr>
                <w:szCs w:val="24"/>
              </w:rPr>
              <w:lastRenderedPageBreak/>
              <w:t>21</w:t>
            </w:r>
          </w:p>
        </w:tc>
        <w:tc>
          <w:tcPr>
            <w:tcW w:w="1061" w:type="dxa"/>
            <w:shd w:val="clear" w:color="auto" w:fill="auto"/>
          </w:tcPr>
          <w:p w:rsidR="00ED1487" w:rsidRPr="001825DB" w:rsidRDefault="00ED1487" w:rsidP="00FE176F">
            <w:pPr>
              <w:spacing w:before="40" w:after="120"/>
              <w:ind w:right="113"/>
              <w:rPr>
                <w:szCs w:val="24"/>
              </w:rPr>
            </w:pPr>
            <w:r w:rsidRPr="001825DB">
              <w:rPr>
                <w:szCs w:val="24"/>
              </w:rPr>
              <w:t>VPSD</w:t>
            </w:r>
          </w:p>
        </w:tc>
        <w:tc>
          <w:tcPr>
            <w:tcW w:w="5669" w:type="dxa"/>
            <w:shd w:val="clear" w:color="auto" w:fill="auto"/>
          </w:tcPr>
          <w:p w:rsidR="00ED1487" w:rsidRPr="001825DB" w:rsidRDefault="00ED1487" w:rsidP="00FE176F">
            <w:pPr>
              <w:spacing w:before="40" w:after="120"/>
              <w:ind w:right="113"/>
              <w:rPr>
                <w:szCs w:val="24"/>
              </w:rPr>
            </w:pPr>
            <w:r w:rsidRPr="001825DB">
              <w:rPr>
                <w:szCs w:val="24"/>
              </w:rPr>
              <w:t>Résultats de la cinquième session du VPSD</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1825DB" w:rsidTr="003F4D9D">
        <w:tc>
          <w:tcPr>
            <w:tcW w:w="924" w:type="dxa"/>
            <w:shd w:val="clear" w:color="auto" w:fill="auto"/>
          </w:tcPr>
          <w:p w:rsidR="00ED1487" w:rsidRPr="001825DB" w:rsidRDefault="00ED1487" w:rsidP="00FE176F">
            <w:pPr>
              <w:spacing w:before="40" w:after="120"/>
              <w:ind w:right="113"/>
              <w:rPr>
                <w:szCs w:val="24"/>
              </w:rPr>
            </w:pPr>
            <w:r w:rsidRPr="001825DB">
              <w:rPr>
                <w:szCs w:val="24"/>
              </w:rPr>
              <w:t>22</w:t>
            </w:r>
          </w:p>
        </w:tc>
        <w:tc>
          <w:tcPr>
            <w:tcW w:w="1061" w:type="dxa"/>
            <w:shd w:val="clear" w:color="auto" w:fill="auto"/>
          </w:tcPr>
          <w:p w:rsidR="00ED1487" w:rsidRPr="001825DB" w:rsidRDefault="00ED1487" w:rsidP="00FE176F">
            <w:pPr>
              <w:spacing w:before="40" w:after="120"/>
              <w:ind w:right="113"/>
              <w:rPr>
                <w:szCs w:val="24"/>
              </w:rPr>
            </w:pPr>
            <w:r w:rsidRPr="001825DB">
              <w:rPr>
                <w:szCs w:val="24"/>
              </w:rPr>
              <w:t>GFV</w:t>
            </w:r>
          </w:p>
        </w:tc>
        <w:tc>
          <w:tcPr>
            <w:tcW w:w="5669" w:type="dxa"/>
            <w:shd w:val="clear" w:color="auto" w:fill="auto"/>
          </w:tcPr>
          <w:p w:rsidR="00ED1487" w:rsidRPr="001825DB" w:rsidRDefault="00ED1487" w:rsidP="00FE176F">
            <w:pPr>
              <w:spacing w:before="40" w:after="120"/>
              <w:ind w:right="113"/>
              <w:rPr>
                <w:szCs w:val="24"/>
              </w:rPr>
            </w:pPr>
            <w:r w:rsidRPr="001825DB">
              <w:rPr>
                <w:szCs w:val="24"/>
              </w:rPr>
              <w:t>Rapport de situation</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1825DB" w:rsidTr="003F4D9D">
        <w:tc>
          <w:tcPr>
            <w:tcW w:w="924" w:type="dxa"/>
            <w:shd w:val="clear" w:color="auto" w:fill="auto"/>
          </w:tcPr>
          <w:p w:rsidR="00ED1487" w:rsidRPr="001825DB" w:rsidRDefault="00ED1487" w:rsidP="00FE176F">
            <w:pPr>
              <w:spacing w:before="40" w:after="120"/>
              <w:ind w:right="113"/>
              <w:rPr>
                <w:szCs w:val="24"/>
              </w:rPr>
            </w:pPr>
            <w:r w:rsidRPr="001825DB">
              <w:rPr>
                <w:szCs w:val="24"/>
              </w:rPr>
              <w:t>23</w:t>
            </w:r>
          </w:p>
        </w:tc>
        <w:tc>
          <w:tcPr>
            <w:tcW w:w="1061" w:type="dxa"/>
            <w:shd w:val="clear" w:color="auto" w:fill="auto"/>
          </w:tcPr>
          <w:p w:rsidR="00ED1487" w:rsidRPr="001825DB" w:rsidRDefault="00ED1487" w:rsidP="00FE176F">
            <w:pPr>
              <w:spacing w:before="40" w:after="120"/>
              <w:ind w:right="113"/>
              <w:rPr>
                <w:szCs w:val="24"/>
              </w:rPr>
            </w:pPr>
            <w:r w:rsidRPr="001825DB">
              <w:rPr>
                <w:szCs w:val="24"/>
              </w:rPr>
              <w:t>EVE</w:t>
            </w:r>
          </w:p>
        </w:tc>
        <w:tc>
          <w:tcPr>
            <w:tcW w:w="5669" w:type="dxa"/>
            <w:shd w:val="clear" w:color="auto" w:fill="auto"/>
          </w:tcPr>
          <w:p w:rsidR="00ED1487" w:rsidRPr="001825DB" w:rsidRDefault="00ED1487" w:rsidP="00FE176F">
            <w:pPr>
              <w:spacing w:before="40" w:after="120"/>
              <w:ind w:right="113"/>
              <w:rPr>
                <w:szCs w:val="24"/>
              </w:rPr>
            </w:pPr>
            <w:r w:rsidRPr="001825DB">
              <w:rPr>
                <w:szCs w:val="24"/>
              </w:rPr>
              <w:t>Rapport de situation</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1825DB" w:rsidTr="003F4D9D">
        <w:tc>
          <w:tcPr>
            <w:tcW w:w="924" w:type="dxa"/>
            <w:shd w:val="clear" w:color="auto" w:fill="auto"/>
          </w:tcPr>
          <w:p w:rsidR="00ED1487" w:rsidRPr="001825DB" w:rsidRDefault="00ED1487" w:rsidP="00FE176F">
            <w:pPr>
              <w:spacing w:before="40" w:after="120"/>
              <w:ind w:right="113"/>
              <w:rPr>
                <w:szCs w:val="24"/>
              </w:rPr>
            </w:pPr>
            <w:r w:rsidRPr="001825DB">
              <w:rPr>
                <w:szCs w:val="24"/>
              </w:rPr>
              <w:t>24</w:t>
            </w:r>
          </w:p>
        </w:tc>
        <w:tc>
          <w:tcPr>
            <w:tcW w:w="1061" w:type="dxa"/>
            <w:shd w:val="clear" w:color="auto" w:fill="auto"/>
          </w:tcPr>
          <w:p w:rsidR="00ED1487" w:rsidRPr="001825DB" w:rsidRDefault="00ED1487" w:rsidP="00FE176F">
            <w:pPr>
              <w:spacing w:before="40" w:after="120"/>
              <w:ind w:right="113"/>
              <w:rPr>
                <w:szCs w:val="24"/>
              </w:rPr>
            </w:pPr>
            <w:r w:rsidRPr="001825DB">
              <w:rPr>
                <w:szCs w:val="24"/>
              </w:rPr>
              <w:t>OICA</w:t>
            </w:r>
          </w:p>
        </w:tc>
        <w:tc>
          <w:tcPr>
            <w:tcW w:w="5669" w:type="dxa"/>
            <w:shd w:val="clear" w:color="auto" w:fill="auto"/>
          </w:tcPr>
          <w:p w:rsidR="00ED1487" w:rsidRPr="001825DB" w:rsidRDefault="00ED1487" w:rsidP="00FE176F">
            <w:pPr>
              <w:spacing w:before="40" w:after="120"/>
              <w:ind w:right="113"/>
              <w:rPr>
                <w:szCs w:val="24"/>
              </w:rPr>
            </w:pPr>
            <w:r w:rsidRPr="001825DB">
              <w:rPr>
                <w:szCs w:val="24"/>
              </w:rPr>
              <w:t>Présentation du document ECE/TRANS/WP.29/GRPE/2015/3</w:t>
            </w:r>
            <w:r w:rsidR="00FE176F">
              <w:rPr>
                <w:szCs w:val="24"/>
              </w:rPr>
              <w:br/>
            </w:r>
            <w:r w:rsidRPr="001825DB">
              <w:rPr>
                <w:szCs w:val="24"/>
              </w:rPr>
              <w:t>et des documents informels y relatifs GRPE</w:t>
            </w:r>
            <w:r w:rsidRPr="001825DB">
              <w:rPr>
                <w:szCs w:val="24"/>
              </w:rPr>
              <w:noBreakHyphen/>
              <w:t>70</w:t>
            </w:r>
            <w:r w:rsidRPr="001825DB">
              <w:rPr>
                <w:szCs w:val="24"/>
              </w:rPr>
              <w:noBreakHyphen/>
              <w:t>06 et GRPE</w:t>
            </w:r>
            <w:r w:rsidRPr="001825DB">
              <w:rPr>
                <w:szCs w:val="24"/>
              </w:rPr>
              <w:noBreakHyphen/>
              <w:t>70</w:t>
            </w:r>
            <w:r w:rsidRPr="001825DB">
              <w:rPr>
                <w:szCs w:val="24"/>
              </w:rPr>
              <w:noBreakHyphen/>
              <w:t>07</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1825DB" w:rsidTr="003F4D9D">
        <w:tc>
          <w:tcPr>
            <w:tcW w:w="924" w:type="dxa"/>
            <w:shd w:val="clear" w:color="auto" w:fill="auto"/>
          </w:tcPr>
          <w:p w:rsidR="00ED1487" w:rsidRPr="001825DB" w:rsidRDefault="00ED1487" w:rsidP="00FE176F">
            <w:pPr>
              <w:spacing w:before="40" w:after="120"/>
              <w:ind w:right="113"/>
              <w:rPr>
                <w:szCs w:val="24"/>
              </w:rPr>
            </w:pPr>
            <w:r w:rsidRPr="001825DB">
              <w:rPr>
                <w:szCs w:val="24"/>
              </w:rPr>
              <w:t>25</w:t>
            </w:r>
          </w:p>
        </w:tc>
        <w:tc>
          <w:tcPr>
            <w:tcW w:w="1061" w:type="dxa"/>
            <w:shd w:val="clear" w:color="auto" w:fill="auto"/>
          </w:tcPr>
          <w:p w:rsidR="00ED1487" w:rsidRPr="001825DB" w:rsidRDefault="00ED1487" w:rsidP="00FE176F">
            <w:pPr>
              <w:spacing w:before="40" w:after="120"/>
              <w:ind w:right="113"/>
              <w:rPr>
                <w:szCs w:val="24"/>
              </w:rPr>
            </w:pPr>
            <w:r w:rsidRPr="001825DB">
              <w:rPr>
                <w:szCs w:val="24"/>
              </w:rPr>
              <w:t>EPPR</w:t>
            </w:r>
          </w:p>
        </w:tc>
        <w:tc>
          <w:tcPr>
            <w:tcW w:w="5669" w:type="dxa"/>
            <w:shd w:val="clear" w:color="auto" w:fill="auto"/>
          </w:tcPr>
          <w:p w:rsidR="00ED1487" w:rsidRPr="001825DB" w:rsidRDefault="00ED1487" w:rsidP="00FE176F">
            <w:pPr>
              <w:spacing w:before="40" w:after="120"/>
              <w:ind w:right="113"/>
              <w:rPr>
                <w:szCs w:val="24"/>
              </w:rPr>
            </w:pPr>
            <w:r w:rsidRPr="001825DB">
              <w:rPr>
                <w:szCs w:val="24"/>
              </w:rPr>
              <w:t>Rapport de situation</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1825DB" w:rsidTr="003F4D9D">
        <w:tc>
          <w:tcPr>
            <w:tcW w:w="924" w:type="dxa"/>
            <w:shd w:val="clear" w:color="auto" w:fill="auto"/>
          </w:tcPr>
          <w:p w:rsidR="00ED1487" w:rsidRPr="001825DB" w:rsidRDefault="00ED1487" w:rsidP="00FE176F">
            <w:pPr>
              <w:spacing w:before="40" w:after="120"/>
              <w:ind w:right="113"/>
              <w:rPr>
                <w:szCs w:val="24"/>
              </w:rPr>
            </w:pPr>
            <w:r w:rsidRPr="001825DB">
              <w:rPr>
                <w:szCs w:val="24"/>
              </w:rPr>
              <w:t>26</w:t>
            </w:r>
          </w:p>
        </w:tc>
        <w:tc>
          <w:tcPr>
            <w:tcW w:w="1061" w:type="dxa"/>
            <w:shd w:val="clear" w:color="auto" w:fill="auto"/>
          </w:tcPr>
          <w:p w:rsidR="00ED1487" w:rsidRPr="001825DB" w:rsidRDefault="00ED1487" w:rsidP="00FE176F">
            <w:pPr>
              <w:spacing w:before="40" w:after="120"/>
              <w:ind w:right="113"/>
              <w:rPr>
                <w:szCs w:val="24"/>
              </w:rPr>
            </w:pPr>
            <w:r w:rsidRPr="001825DB">
              <w:rPr>
                <w:szCs w:val="24"/>
              </w:rPr>
              <w:t>Japon</w:t>
            </w:r>
          </w:p>
        </w:tc>
        <w:tc>
          <w:tcPr>
            <w:tcW w:w="5669" w:type="dxa"/>
            <w:shd w:val="clear" w:color="auto" w:fill="auto"/>
          </w:tcPr>
          <w:p w:rsidR="00ED1487" w:rsidRPr="001825DB" w:rsidRDefault="00ED1487" w:rsidP="00FE176F">
            <w:pPr>
              <w:spacing w:before="40" w:after="120"/>
              <w:ind w:right="113"/>
              <w:rPr>
                <w:szCs w:val="24"/>
              </w:rPr>
            </w:pPr>
            <w:r w:rsidRPr="001825DB">
              <w:rPr>
                <w:szCs w:val="24"/>
              </w:rPr>
              <w:t>Phase 2 du WLTP − Note préalable</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1825DB" w:rsidTr="003F4D9D">
        <w:tc>
          <w:tcPr>
            <w:tcW w:w="924" w:type="dxa"/>
            <w:shd w:val="clear" w:color="auto" w:fill="auto"/>
          </w:tcPr>
          <w:p w:rsidR="00ED1487" w:rsidRPr="001825DB" w:rsidRDefault="00ED1487" w:rsidP="00FE176F">
            <w:pPr>
              <w:spacing w:before="40" w:after="120"/>
              <w:ind w:right="113"/>
              <w:rPr>
                <w:szCs w:val="24"/>
              </w:rPr>
            </w:pPr>
            <w:r w:rsidRPr="001825DB">
              <w:rPr>
                <w:szCs w:val="24"/>
              </w:rPr>
              <w:t>27</w:t>
            </w:r>
          </w:p>
        </w:tc>
        <w:tc>
          <w:tcPr>
            <w:tcW w:w="1061" w:type="dxa"/>
            <w:shd w:val="clear" w:color="auto" w:fill="auto"/>
          </w:tcPr>
          <w:p w:rsidR="00ED1487" w:rsidRPr="001825DB" w:rsidRDefault="00ED1487" w:rsidP="00FE176F">
            <w:pPr>
              <w:spacing w:before="40" w:after="120"/>
              <w:ind w:right="113"/>
              <w:rPr>
                <w:szCs w:val="24"/>
              </w:rPr>
            </w:pPr>
            <w:r w:rsidRPr="001825DB">
              <w:rPr>
                <w:szCs w:val="24"/>
              </w:rPr>
              <w:t>Japon</w:t>
            </w:r>
          </w:p>
        </w:tc>
        <w:tc>
          <w:tcPr>
            <w:tcW w:w="5669" w:type="dxa"/>
            <w:shd w:val="clear" w:color="auto" w:fill="auto"/>
          </w:tcPr>
          <w:p w:rsidR="00ED1487" w:rsidRPr="001825DB" w:rsidRDefault="00ED1487" w:rsidP="00FE176F">
            <w:pPr>
              <w:spacing w:before="40" w:after="120"/>
              <w:ind w:right="113"/>
              <w:rPr>
                <w:szCs w:val="24"/>
              </w:rPr>
            </w:pPr>
            <w:r w:rsidRPr="001825DB">
              <w:rPr>
                <w:szCs w:val="24"/>
              </w:rPr>
              <w:t>Phase 2 du WLTP − Questionnaire</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1825DB" w:rsidTr="003F4D9D">
        <w:tc>
          <w:tcPr>
            <w:tcW w:w="924" w:type="dxa"/>
            <w:shd w:val="clear" w:color="auto" w:fill="auto"/>
          </w:tcPr>
          <w:p w:rsidR="00ED1487" w:rsidRPr="001825DB" w:rsidRDefault="00ED1487" w:rsidP="00FE176F">
            <w:pPr>
              <w:spacing w:before="40" w:after="120"/>
              <w:ind w:right="113"/>
              <w:rPr>
                <w:szCs w:val="24"/>
              </w:rPr>
            </w:pPr>
            <w:r w:rsidRPr="001825DB">
              <w:rPr>
                <w:szCs w:val="24"/>
              </w:rPr>
              <w:t xml:space="preserve">28 </w:t>
            </w:r>
          </w:p>
        </w:tc>
        <w:tc>
          <w:tcPr>
            <w:tcW w:w="1061" w:type="dxa"/>
            <w:shd w:val="clear" w:color="auto" w:fill="auto"/>
          </w:tcPr>
          <w:p w:rsidR="00ED1487" w:rsidRPr="001825DB" w:rsidRDefault="00ED1487" w:rsidP="00FE176F">
            <w:pPr>
              <w:spacing w:before="40" w:after="120"/>
              <w:ind w:right="113"/>
              <w:rPr>
                <w:szCs w:val="24"/>
              </w:rPr>
            </w:pPr>
            <w:r w:rsidRPr="001825DB">
              <w:rPr>
                <w:szCs w:val="24"/>
              </w:rPr>
              <w:t>CE</w:t>
            </w:r>
          </w:p>
        </w:tc>
        <w:tc>
          <w:tcPr>
            <w:tcW w:w="5669" w:type="dxa"/>
            <w:shd w:val="clear" w:color="auto" w:fill="auto"/>
          </w:tcPr>
          <w:p w:rsidR="00ED1487" w:rsidRPr="001825DB" w:rsidRDefault="00ED1487" w:rsidP="00FE176F">
            <w:pPr>
              <w:spacing w:before="40" w:after="120"/>
              <w:ind w:right="113"/>
              <w:rPr>
                <w:szCs w:val="24"/>
              </w:rPr>
            </w:pPr>
            <w:r w:rsidRPr="001825DB">
              <w:rPr>
                <w:szCs w:val="24"/>
              </w:rPr>
              <w:t>Phase 2 du WLTP − Position sur les phases 2 et 3 et questions relatives aux véhicules électriques</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1825DB" w:rsidTr="003F4D9D">
        <w:tc>
          <w:tcPr>
            <w:tcW w:w="924" w:type="dxa"/>
            <w:shd w:val="clear" w:color="auto" w:fill="auto"/>
          </w:tcPr>
          <w:p w:rsidR="00ED1487" w:rsidRPr="001825DB" w:rsidRDefault="00ED1487" w:rsidP="00FE176F">
            <w:pPr>
              <w:spacing w:before="40" w:after="120"/>
              <w:ind w:right="113"/>
              <w:rPr>
                <w:szCs w:val="24"/>
              </w:rPr>
            </w:pPr>
            <w:r w:rsidRPr="001825DB">
              <w:rPr>
                <w:szCs w:val="24"/>
              </w:rPr>
              <w:t>29</w:t>
            </w:r>
          </w:p>
        </w:tc>
        <w:tc>
          <w:tcPr>
            <w:tcW w:w="1061" w:type="dxa"/>
            <w:shd w:val="clear" w:color="auto" w:fill="auto"/>
          </w:tcPr>
          <w:p w:rsidR="00ED1487" w:rsidRPr="001825DB" w:rsidRDefault="00ED1487" w:rsidP="00FE176F">
            <w:pPr>
              <w:spacing w:before="40" w:after="120"/>
              <w:ind w:right="113"/>
              <w:rPr>
                <w:szCs w:val="24"/>
              </w:rPr>
            </w:pPr>
            <w:r w:rsidRPr="001825DB">
              <w:rPr>
                <w:szCs w:val="24"/>
              </w:rPr>
              <w:t>Japon</w:t>
            </w:r>
          </w:p>
        </w:tc>
        <w:tc>
          <w:tcPr>
            <w:tcW w:w="5669" w:type="dxa"/>
            <w:shd w:val="clear" w:color="auto" w:fill="auto"/>
          </w:tcPr>
          <w:p w:rsidR="00ED1487" w:rsidRPr="001825DB" w:rsidRDefault="00ED1487" w:rsidP="00FE176F">
            <w:pPr>
              <w:spacing w:before="40" w:after="120"/>
              <w:ind w:right="113"/>
              <w:rPr>
                <w:szCs w:val="24"/>
              </w:rPr>
            </w:pPr>
            <w:r w:rsidRPr="001825DB">
              <w:rPr>
                <w:szCs w:val="24"/>
              </w:rPr>
              <w:t>Phase 2 du WLTP − Projet de prise de position sur les climatiseurs mobiles</w:t>
            </w:r>
          </w:p>
        </w:tc>
        <w:tc>
          <w:tcPr>
            <w:tcW w:w="851" w:type="dxa"/>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r w:rsidR="00ED1487" w:rsidRPr="001825DB" w:rsidTr="003F4D9D">
        <w:tc>
          <w:tcPr>
            <w:tcW w:w="924" w:type="dxa"/>
            <w:tcBorders>
              <w:bottom w:val="single" w:sz="12" w:space="0" w:color="auto"/>
            </w:tcBorders>
            <w:shd w:val="clear" w:color="auto" w:fill="auto"/>
          </w:tcPr>
          <w:p w:rsidR="00ED1487" w:rsidRPr="001825DB" w:rsidRDefault="00ED1487" w:rsidP="00FE176F">
            <w:pPr>
              <w:spacing w:before="40" w:after="120"/>
              <w:ind w:right="113"/>
              <w:rPr>
                <w:szCs w:val="24"/>
              </w:rPr>
            </w:pPr>
            <w:r w:rsidRPr="001825DB">
              <w:rPr>
                <w:szCs w:val="24"/>
              </w:rPr>
              <w:t>30</w:t>
            </w:r>
          </w:p>
        </w:tc>
        <w:tc>
          <w:tcPr>
            <w:tcW w:w="1061" w:type="dxa"/>
            <w:tcBorders>
              <w:bottom w:val="single" w:sz="12" w:space="0" w:color="auto"/>
            </w:tcBorders>
            <w:shd w:val="clear" w:color="auto" w:fill="auto"/>
          </w:tcPr>
          <w:p w:rsidR="00ED1487" w:rsidRPr="001825DB" w:rsidRDefault="00ED1487" w:rsidP="00FE176F">
            <w:pPr>
              <w:spacing w:before="40" w:after="120"/>
              <w:ind w:right="113"/>
              <w:rPr>
                <w:szCs w:val="24"/>
              </w:rPr>
            </w:pPr>
            <w:r w:rsidRPr="001825DB">
              <w:rPr>
                <w:szCs w:val="24"/>
              </w:rPr>
              <w:t>Japon</w:t>
            </w:r>
          </w:p>
        </w:tc>
        <w:tc>
          <w:tcPr>
            <w:tcW w:w="5669" w:type="dxa"/>
            <w:tcBorders>
              <w:bottom w:val="single" w:sz="12" w:space="0" w:color="auto"/>
            </w:tcBorders>
            <w:shd w:val="clear" w:color="auto" w:fill="auto"/>
          </w:tcPr>
          <w:p w:rsidR="00ED1487" w:rsidRPr="001825DB" w:rsidRDefault="00ED1487" w:rsidP="00FE176F">
            <w:pPr>
              <w:spacing w:before="40" w:after="120"/>
              <w:ind w:right="113"/>
              <w:rPr>
                <w:szCs w:val="24"/>
              </w:rPr>
            </w:pPr>
            <w:r w:rsidRPr="001825DB">
              <w:rPr>
                <w:szCs w:val="24"/>
              </w:rPr>
              <w:t>Phase 2 du WLTP − Projet de réponses au questionnaire</w:t>
            </w:r>
          </w:p>
        </w:tc>
        <w:tc>
          <w:tcPr>
            <w:tcW w:w="851" w:type="dxa"/>
            <w:tcBorders>
              <w:bottom w:val="single" w:sz="12" w:space="0" w:color="auto"/>
            </w:tcBorders>
            <w:shd w:val="clear" w:color="auto" w:fill="auto"/>
          </w:tcPr>
          <w:p w:rsidR="00ED1487" w:rsidRPr="003F4D9D" w:rsidRDefault="003F4D9D" w:rsidP="00FE176F">
            <w:pPr>
              <w:spacing w:before="40" w:after="120"/>
              <w:ind w:right="113"/>
              <w:rPr>
                <w:i/>
                <w:szCs w:val="24"/>
                <w:vertAlign w:val="superscript"/>
              </w:rPr>
            </w:pPr>
            <w:r w:rsidRPr="003F4D9D">
              <w:rPr>
                <w:i/>
                <w:szCs w:val="24"/>
                <w:vertAlign w:val="superscript"/>
              </w:rPr>
              <w:t>a</w:t>
            </w:r>
          </w:p>
        </w:tc>
      </w:tr>
    </w:tbl>
    <w:p w:rsidR="00ED1487" w:rsidRPr="001825DB" w:rsidRDefault="003F4D9D" w:rsidP="003F4D9D">
      <w:pPr>
        <w:pStyle w:val="H4G"/>
      </w:pPr>
      <w:r>
        <w:tab/>
      </w:r>
      <w:r>
        <w:tab/>
      </w:r>
      <w:r w:rsidR="00ED1487" w:rsidRPr="001825DB">
        <w:t>Notes:</w:t>
      </w:r>
    </w:p>
    <w:p w:rsidR="00ED1487" w:rsidRPr="001825DB" w:rsidRDefault="003F4D9D" w:rsidP="003F4D9D">
      <w:pPr>
        <w:pStyle w:val="SingleTxtG"/>
        <w:spacing w:after="0"/>
        <w:ind w:firstLine="170"/>
        <w:jc w:val="left"/>
        <w:rPr>
          <w:szCs w:val="24"/>
        </w:rPr>
      </w:pPr>
      <w:r w:rsidRPr="003F4D9D">
        <w:rPr>
          <w:i/>
          <w:szCs w:val="24"/>
          <w:vertAlign w:val="superscript"/>
        </w:rPr>
        <w:t>a</w:t>
      </w:r>
      <w:r w:rsidR="00ED1487" w:rsidRPr="001825DB">
        <w:rPr>
          <w:szCs w:val="24"/>
        </w:rPr>
        <w:tab/>
        <w:t>Document dont l</w:t>
      </w:r>
      <w:r w:rsidR="001844C7">
        <w:rPr>
          <w:szCs w:val="24"/>
        </w:rPr>
        <w:t>’</w:t>
      </w:r>
      <w:r w:rsidR="00ED1487" w:rsidRPr="001825DB">
        <w:rPr>
          <w:szCs w:val="24"/>
        </w:rPr>
        <w:t>examen est achevé ou qui doit être remplacé.</w:t>
      </w:r>
    </w:p>
    <w:p w:rsidR="00ED1487" w:rsidRPr="001825DB" w:rsidRDefault="003F4D9D" w:rsidP="003F4D9D">
      <w:pPr>
        <w:pStyle w:val="SingleTxtG"/>
        <w:spacing w:after="0"/>
        <w:ind w:firstLine="170"/>
        <w:jc w:val="left"/>
        <w:rPr>
          <w:szCs w:val="24"/>
        </w:rPr>
      </w:pPr>
      <w:r w:rsidRPr="003F4D9D">
        <w:rPr>
          <w:i/>
          <w:szCs w:val="24"/>
          <w:vertAlign w:val="superscript"/>
        </w:rPr>
        <w:t>b</w:t>
      </w:r>
      <w:r w:rsidR="00ED1487" w:rsidRPr="001825DB">
        <w:rPr>
          <w:szCs w:val="24"/>
        </w:rPr>
        <w:tab/>
        <w:t>Document adopté et soumis au WP.29.</w:t>
      </w:r>
    </w:p>
    <w:p w:rsidR="00ED1487" w:rsidRPr="001825DB" w:rsidRDefault="003F4D9D" w:rsidP="003F4D9D">
      <w:pPr>
        <w:pStyle w:val="SingleTxtG"/>
        <w:spacing w:after="0"/>
        <w:ind w:firstLine="170"/>
        <w:jc w:val="left"/>
        <w:rPr>
          <w:szCs w:val="24"/>
        </w:rPr>
      </w:pPr>
      <w:r w:rsidRPr="003F4D9D">
        <w:rPr>
          <w:i/>
          <w:szCs w:val="24"/>
          <w:vertAlign w:val="superscript"/>
        </w:rPr>
        <w:t>c</w:t>
      </w:r>
      <w:r w:rsidR="00ED1487" w:rsidRPr="001825DB">
        <w:rPr>
          <w:szCs w:val="24"/>
        </w:rPr>
        <w:tab/>
        <w:t>Document qui doit continuer à être examiné en tant que document officiel.</w:t>
      </w:r>
    </w:p>
    <w:p w:rsidR="003F4D9D" w:rsidRDefault="003F4D9D" w:rsidP="003F4D9D">
      <w:pPr>
        <w:pStyle w:val="SingleTxtG"/>
        <w:ind w:firstLine="170"/>
        <w:rPr>
          <w:spacing w:val="-2"/>
          <w:szCs w:val="24"/>
        </w:rPr>
      </w:pPr>
      <w:r w:rsidRPr="003F4D9D">
        <w:rPr>
          <w:i/>
          <w:szCs w:val="24"/>
          <w:vertAlign w:val="superscript"/>
        </w:rPr>
        <w:t>d</w:t>
      </w:r>
      <w:r w:rsidR="00ED1487" w:rsidRPr="001825DB">
        <w:rPr>
          <w:szCs w:val="24"/>
        </w:rPr>
        <w:tab/>
      </w:r>
      <w:r w:rsidR="00ED1487" w:rsidRPr="003F4D9D">
        <w:rPr>
          <w:spacing w:val="-2"/>
          <w:szCs w:val="24"/>
        </w:rPr>
        <w:t>Document conservé comme document de référence/qui doit continuer à être examiné.</w:t>
      </w:r>
    </w:p>
    <w:p w:rsidR="003F4D9D" w:rsidRPr="001825DB" w:rsidRDefault="003F4D9D" w:rsidP="003F4D9D">
      <w:pPr>
        <w:pStyle w:val="HChG"/>
      </w:pPr>
      <w:r>
        <w:rPr>
          <w:spacing w:val="-2"/>
        </w:rPr>
        <w:br w:type="page"/>
      </w:r>
      <w:r w:rsidRPr="001825DB">
        <w:lastRenderedPageBreak/>
        <w:t>Annexe II</w:t>
      </w:r>
    </w:p>
    <w:p w:rsidR="003F4D9D" w:rsidRPr="001825DB" w:rsidRDefault="003F4D9D" w:rsidP="003F4D9D">
      <w:pPr>
        <w:pStyle w:val="SingleTxtG"/>
        <w:ind w:right="0"/>
        <w:jc w:val="right"/>
      </w:pPr>
      <w:r w:rsidRPr="001825DB">
        <w:t>[</w:t>
      </w:r>
      <w:r w:rsidRPr="003F4D9D">
        <w:rPr>
          <w:i/>
        </w:rPr>
        <w:t>Anglais seulement</w:t>
      </w:r>
      <w:r w:rsidRPr="001825DB">
        <w:t>]</w:t>
      </w:r>
    </w:p>
    <w:p w:rsidR="003F4D9D" w:rsidRPr="001825DB" w:rsidRDefault="003F4D9D" w:rsidP="003F4D9D">
      <w:pPr>
        <w:pStyle w:val="H1G"/>
        <w:spacing w:before="240" w:line="240" w:lineRule="atLeast"/>
        <w:rPr>
          <w:szCs w:val="24"/>
        </w:rPr>
      </w:pPr>
      <w:r w:rsidRPr="001825DB">
        <w:rPr>
          <w:szCs w:val="24"/>
        </w:rPr>
        <w:tab/>
      </w:r>
      <w:r w:rsidRPr="001825DB">
        <w:rPr>
          <w:szCs w:val="24"/>
        </w:rPr>
        <w:tab/>
      </w:r>
      <w:bookmarkStart w:id="1" w:name="_Toc317520914"/>
      <w:r w:rsidRPr="001825DB">
        <w:rPr>
          <w:szCs w:val="24"/>
        </w:rPr>
        <w:t>Informal meetings held in conjunction with the GRPE</w:t>
      </w:r>
      <w:bookmarkEnd w:id="1"/>
      <w:r w:rsidRPr="001825DB">
        <w:rPr>
          <w:szCs w:val="24"/>
        </w:rPr>
        <w:t xml:space="preserve"> session</w:t>
      </w:r>
    </w:p>
    <w:tbl>
      <w:tblPr>
        <w:tblW w:w="9639" w:type="dxa"/>
        <w:tblLook w:val="04A0" w:firstRow="1" w:lastRow="0" w:firstColumn="1" w:lastColumn="0" w:noHBand="0" w:noVBand="1"/>
      </w:tblPr>
      <w:tblGrid>
        <w:gridCol w:w="2057"/>
        <w:gridCol w:w="2333"/>
        <w:gridCol w:w="4228"/>
        <w:gridCol w:w="1021"/>
      </w:tblGrid>
      <w:tr w:rsidR="0020051F" w:rsidRPr="003F130A" w:rsidTr="00FE176F">
        <w:trPr>
          <w:trHeight w:val="225"/>
        </w:trPr>
        <w:tc>
          <w:tcPr>
            <w:tcW w:w="2000" w:type="dxa"/>
            <w:tcBorders>
              <w:top w:val="single" w:sz="8" w:space="0" w:color="auto"/>
              <w:left w:val="nil"/>
              <w:bottom w:val="single" w:sz="12" w:space="0" w:color="auto"/>
              <w:right w:val="nil"/>
            </w:tcBorders>
            <w:shd w:val="clear" w:color="auto" w:fill="FFFFFF"/>
            <w:tcMar>
              <w:left w:w="0" w:type="dxa"/>
              <w:right w:w="0" w:type="dxa"/>
            </w:tcMar>
            <w:vAlign w:val="center"/>
            <w:hideMark/>
          </w:tcPr>
          <w:p w:rsidR="0020051F" w:rsidRPr="003F130A" w:rsidRDefault="0020051F" w:rsidP="00FE176F">
            <w:pPr>
              <w:widowControl w:val="0"/>
              <w:spacing w:before="80" w:after="80" w:line="240" w:lineRule="auto"/>
              <w:jc w:val="both"/>
              <w:rPr>
                <w:i/>
                <w:iCs/>
                <w:sz w:val="16"/>
                <w:szCs w:val="16"/>
                <w:lang w:eastAsia="en-GB"/>
              </w:rPr>
            </w:pPr>
            <w:r w:rsidRPr="003F130A">
              <w:rPr>
                <w:i/>
                <w:iCs/>
                <w:sz w:val="16"/>
                <w:szCs w:val="16"/>
                <w:lang w:eastAsia="en-GB"/>
              </w:rPr>
              <w:t>Date</w:t>
            </w:r>
          </w:p>
        </w:tc>
        <w:tc>
          <w:tcPr>
            <w:tcW w:w="2268" w:type="dxa"/>
            <w:tcBorders>
              <w:top w:val="single" w:sz="8" w:space="0" w:color="auto"/>
              <w:left w:val="nil"/>
              <w:bottom w:val="single" w:sz="12" w:space="0" w:color="auto"/>
              <w:right w:val="nil"/>
            </w:tcBorders>
            <w:shd w:val="clear" w:color="auto" w:fill="FFFFFF"/>
            <w:tcMar>
              <w:left w:w="0" w:type="dxa"/>
              <w:right w:w="0" w:type="dxa"/>
            </w:tcMar>
            <w:vAlign w:val="center"/>
            <w:hideMark/>
          </w:tcPr>
          <w:p w:rsidR="0020051F" w:rsidRPr="003F130A" w:rsidRDefault="0020051F" w:rsidP="00FE176F">
            <w:pPr>
              <w:widowControl w:val="0"/>
              <w:spacing w:before="80" w:after="80" w:line="240" w:lineRule="auto"/>
              <w:jc w:val="both"/>
              <w:rPr>
                <w:i/>
                <w:iCs/>
                <w:sz w:val="16"/>
                <w:szCs w:val="16"/>
                <w:lang w:eastAsia="en-GB"/>
              </w:rPr>
            </w:pPr>
            <w:r w:rsidRPr="003F130A">
              <w:rPr>
                <w:i/>
                <w:iCs/>
                <w:sz w:val="16"/>
                <w:szCs w:val="16"/>
                <w:lang w:eastAsia="en-GB"/>
              </w:rPr>
              <w:t>Time</w:t>
            </w:r>
          </w:p>
        </w:tc>
        <w:tc>
          <w:tcPr>
            <w:tcW w:w="4110" w:type="dxa"/>
            <w:tcBorders>
              <w:top w:val="single" w:sz="8" w:space="0" w:color="auto"/>
              <w:left w:val="nil"/>
              <w:bottom w:val="single" w:sz="12" w:space="0" w:color="auto"/>
              <w:right w:val="nil"/>
            </w:tcBorders>
            <w:shd w:val="clear" w:color="auto" w:fill="FFFFFF"/>
            <w:tcMar>
              <w:left w:w="0" w:type="dxa"/>
              <w:right w:w="0" w:type="dxa"/>
            </w:tcMar>
            <w:vAlign w:val="center"/>
            <w:hideMark/>
          </w:tcPr>
          <w:p w:rsidR="0020051F" w:rsidRPr="003F130A" w:rsidRDefault="0020051F" w:rsidP="00FE176F">
            <w:pPr>
              <w:widowControl w:val="0"/>
              <w:spacing w:before="80" w:after="80" w:line="240" w:lineRule="auto"/>
              <w:jc w:val="both"/>
              <w:rPr>
                <w:i/>
                <w:iCs/>
                <w:sz w:val="16"/>
                <w:szCs w:val="16"/>
                <w:lang w:eastAsia="en-GB"/>
              </w:rPr>
            </w:pPr>
            <w:r w:rsidRPr="003F130A">
              <w:rPr>
                <w:i/>
                <w:iCs/>
                <w:sz w:val="16"/>
                <w:szCs w:val="16"/>
                <w:lang w:eastAsia="en-GB"/>
              </w:rPr>
              <w:t>Group</w:t>
            </w:r>
          </w:p>
        </w:tc>
        <w:tc>
          <w:tcPr>
            <w:tcW w:w="993" w:type="dxa"/>
            <w:tcBorders>
              <w:top w:val="single" w:sz="8" w:space="0" w:color="auto"/>
              <w:left w:val="nil"/>
              <w:bottom w:val="single" w:sz="12" w:space="0" w:color="auto"/>
              <w:right w:val="nil"/>
            </w:tcBorders>
            <w:shd w:val="clear" w:color="auto" w:fill="FFFFFF"/>
            <w:tcMar>
              <w:left w:w="0" w:type="dxa"/>
              <w:right w:w="0" w:type="dxa"/>
            </w:tcMar>
            <w:hideMark/>
          </w:tcPr>
          <w:p w:rsidR="0020051F" w:rsidRPr="003F130A" w:rsidRDefault="0020051F" w:rsidP="00FE176F">
            <w:pPr>
              <w:widowControl w:val="0"/>
              <w:spacing w:before="80" w:after="80" w:line="240" w:lineRule="auto"/>
              <w:jc w:val="both"/>
              <w:rPr>
                <w:i/>
                <w:iCs/>
                <w:sz w:val="16"/>
                <w:szCs w:val="16"/>
                <w:lang w:eastAsia="en-GB"/>
              </w:rPr>
            </w:pPr>
            <w:r w:rsidRPr="003F130A">
              <w:rPr>
                <w:i/>
                <w:iCs/>
                <w:sz w:val="16"/>
                <w:szCs w:val="16"/>
                <w:lang w:eastAsia="en-GB"/>
              </w:rPr>
              <w:t>Acronym</w:t>
            </w:r>
          </w:p>
        </w:tc>
      </w:tr>
      <w:tr w:rsidR="0020051F" w:rsidRPr="003F130A" w:rsidTr="00FE176F">
        <w:trPr>
          <w:trHeight w:val="255"/>
        </w:trPr>
        <w:tc>
          <w:tcPr>
            <w:tcW w:w="2000" w:type="dxa"/>
            <w:tcBorders>
              <w:top w:val="single" w:sz="12" w:space="0" w:color="auto"/>
              <w:left w:val="nil"/>
              <w:bottom w:val="nil"/>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12 January 2015</w:t>
            </w:r>
          </w:p>
        </w:tc>
        <w:tc>
          <w:tcPr>
            <w:tcW w:w="2268" w:type="dxa"/>
            <w:tcBorders>
              <w:top w:val="single" w:sz="12" w:space="0" w:color="auto"/>
              <w:left w:val="nil"/>
              <w:bottom w:val="single" w:sz="4"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9:30 a.m. - 12:30 p.m.</w:t>
            </w:r>
          </w:p>
        </w:tc>
        <w:tc>
          <w:tcPr>
            <w:tcW w:w="4110" w:type="dxa"/>
            <w:tcBorders>
              <w:top w:val="single" w:sz="12" w:space="0" w:color="auto"/>
              <w:left w:val="nil"/>
              <w:bottom w:val="single" w:sz="4"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Environmental and Propulsion Performance Requirements of L-category vehicles</w:t>
            </w:r>
          </w:p>
        </w:tc>
        <w:tc>
          <w:tcPr>
            <w:tcW w:w="993" w:type="dxa"/>
            <w:tcBorders>
              <w:top w:val="single" w:sz="12" w:space="0" w:color="auto"/>
              <w:left w:val="nil"/>
              <w:bottom w:val="single" w:sz="4" w:space="0" w:color="auto"/>
              <w:right w:val="nil"/>
            </w:tcBorders>
            <w:tcMar>
              <w:left w:w="0" w:type="dxa"/>
              <w:right w:w="0" w:type="dxa"/>
            </w:tcMar>
            <w:hideMark/>
          </w:tcPr>
          <w:p w:rsidR="0020051F" w:rsidRPr="003F130A" w:rsidRDefault="0020051F" w:rsidP="00FE176F">
            <w:pPr>
              <w:widowControl w:val="0"/>
              <w:spacing w:before="40" w:after="120" w:line="240" w:lineRule="auto"/>
              <w:jc w:val="center"/>
              <w:rPr>
                <w:sz w:val="18"/>
                <w:szCs w:val="18"/>
                <w:lang w:eastAsia="en-GB"/>
              </w:rPr>
            </w:pPr>
            <w:r w:rsidRPr="003F130A">
              <w:rPr>
                <w:sz w:val="18"/>
                <w:szCs w:val="18"/>
                <w:lang w:eastAsia="en-GB"/>
              </w:rPr>
              <w:t>EPPR</w:t>
            </w:r>
          </w:p>
        </w:tc>
      </w:tr>
      <w:tr w:rsidR="0020051F" w:rsidRPr="003F130A" w:rsidTr="00FE176F">
        <w:trPr>
          <w:trHeight w:val="255"/>
        </w:trPr>
        <w:tc>
          <w:tcPr>
            <w:tcW w:w="2000" w:type="dxa"/>
            <w:tcBorders>
              <w:top w:val="nil"/>
              <w:left w:val="nil"/>
              <w:bottom w:val="single" w:sz="4" w:space="0" w:color="auto"/>
              <w:right w:val="nil"/>
            </w:tcBorders>
            <w:tcMar>
              <w:left w:w="0" w:type="dxa"/>
              <w:right w:w="0" w:type="dxa"/>
            </w:tcMar>
          </w:tcPr>
          <w:p w:rsidR="0020051F" w:rsidRPr="003F130A" w:rsidRDefault="0020051F" w:rsidP="00FE176F">
            <w:pPr>
              <w:widowControl w:val="0"/>
              <w:spacing w:before="40" w:after="120" w:line="240" w:lineRule="auto"/>
              <w:rPr>
                <w:sz w:val="18"/>
                <w:szCs w:val="18"/>
                <w:lang w:eastAsia="en-GB"/>
              </w:rPr>
            </w:pPr>
          </w:p>
        </w:tc>
        <w:tc>
          <w:tcPr>
            <w:tcW w:w="2268" w:type="dxa"/>
            <w:tcBorders>
              <w:top w:val="single" w:sz="4" w:space="0" w:color="auto"/>
              <w:left w:val="nil"/>
              <w:bottom w:val="single" w:sz="4"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single" w:sz="4"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Electric Vehicles and the Environment</w:t>
            </w:r>
          </w:p>
        </w:tc>
        <w:tc>
          <w:tcPr>
            <w:tcW w:w="993" w:type="dxa"/>
            <w:tcBorders>
              <w:top w:val="single" w:sz="4" w:space="0" w:color="auto"/>
              <w:left w:val="nil"/>
              <w:bottom w:val="single" w:sz="4" w:space="0" w:color="auto"/>
              <w:right w:val="nil"/>
            </w:tcBorders>
            <w:tcMar>
              <w:left w:w="0" w:type="dxa"/>
              <w:right w:w="0" w:type="dxa"/>
            </w:tcMar>
            <w:hideMark/>
          </w:tcPr>
          <w:p w:rsidR="0020051F" w:rsidRPr="003F130A" w:rsidRDefault="0020051F" w:rsidP="00FE176F">
            <w:pPr>
              <w:widowControl w:val="0"/>
              <w:spacing w:before="40" w:after="120" w:line="240" w:lineRule="auto"/>
              <w:jc w:val="center"/>
              <w:rPr>
                <w:sz w:val="18"/>
                <w:szCs w:val="18"/>
                <w:lang w:eastAsia="en-GB"/>
              </w:rPr>
            </w:pPr>
            <w:r w:rsidRPr="003F130A">
              <w:rPr>
                <w:sz w:val="18"/>
                <w:szCs w:val="18"/>
                <w:lang w:eastAsia="en-GB"/>
              </w:rPr>
              <w:t>EVE</w:t>
            </w:r>
          </w:p>
        </w:tc>
      </w:tr>
      <w:tr w:rsidR="0020051F" w:rsidRPr="003F130A" w:rsidTr="00FE176F">
        <w:trPr>
          <w:trHeight w:val="255"/>
        </w:trPr>
        <w:tc>
          <w:tcPr>
            <w:tcW w:w="2000" w:type="dxa"/>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13 January 2015</w:t>
            </w:r>
          </w:p>
        </w:tc>
        <w:tc>
          <w:tcPr>
            <w:tcW w:w="2268" w:type="dxa"/>
            <w:tcBorders>
              <w:top w:val="single" w:sz="4" w:space="0" w:color="auto"/>
              <w:left w:val="nil"/>
              <w:bottom w:val="dotted" w:sz="4"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dotted" w:sz="4"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Gaseous Fuelled Vehicles</w:t>
            </w:r>
          </w:p>
        </w:tc>
        <w:tc>
          <w:tcPr>
            <w:tcW w:w="993" w:type="dxa"/>
            <w:tcBorders>
              <w:top w:val="single" w:sz="4" w:space="0" w:color="auto"/>
              <w:left w:val="nil"/>
              <w:bottom w:val="dotted" w:sz="4" w:space="0" w:color="auto"/>
              <w:right w:val="nil"/>
            </w:tcBorders>
            <w:tcMar>
              <w:left w:w="0" w:type="dxa"/>
              <w:right w:w="0" w:type="dxa"/>
            </w:tcMar>
            <w:hideMark/>
          </w:tcPr>
          <w:p w:rsidR="0020051F" w:rsidRPr="003F130A" w:rsidRDefault="0020051F" w:rsidP="00FE176F">
            <w:pPr>
              <w:widowControl w:val="0"/>
              <w:spacing w:before="40" w:after="120" w:line="240" w:lineRule="auto"/>
              <w:jc w:val="center"/>
              <w:rPr>
                <w:sz w:val="18"/>
                <w:szCs w:val="18"/>
                <w:lang w:eastAsia="en-GB"/>
              </w:rPr>
            </w:pPr>
            <w:r w:rsidRPr="003F130A">
              <w:rPr>
                <w:sz w:val="18"/>
                <w:szCs w:val="18"/>
                <w:lang w:eastAsia="en-GB"/>
              </w:rPr>
              <w:t>GFV</w:t>
            </w:r>
          </w:p>
        </w:tc>
      </w:tr>
      <w:tr w:rsidR="0020051F" w:rsidRPr="003F130A" w:rsidTr="00FE176F">
        <w:trPr>
          <w:trHeight w:val="255"/>
        </w:trPr>
        <w:tc>
          <w:tcPr>
            <w:tcW w:w="2000" w:type="dxa"/>
            <w:tcMar>
              <w:left w:w="0" w:type="dxa"/>
              <w:right w:w="0" w:type="dxa"/>
            </w:tcMar>
          </w:tcPr>
          <w:p w:rsidR="0020051F" w:rsidRPr="003F130A" w:rsidRDefault="0020051F" w:rsidP="00FE176F">
            <w:pPr>
              <w:widowControl w:val="0"/>
              <w:spacing w:before="40" w:after="120" w:line="240" w:lineRule="auto"/>
              <w:rPr>
                <w:sz w:val="18"/>
                <w:szCs w:val="18"/>
                <w:lang w:eastAsia="en-GB"/>
              </w:rPr>
            </w:pPr>
          </w:p>
        </w:tc>
        <w:tc>
          <w:tcPr>
            <w:tcW w:w="2268" w:type="dxa"/>
            <w:tcBorders>
              <w:top w:val="dotted" w:sz="4" w:space="0" w:color="auto"/>
              <w:left w:val="nil"/>
              <w:bottom w:val="single" w:sz="4"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9:30 a.m. - 12:30 p.m.</w:t>
            </w:r>
          </w:p>
        </w:tc>
        <w:tc>
          <w:tcPr>
            <w:tcW w:w="4110" w:type="dxa"/>
            <w:tcBorders>
              <w:top w:val="dotted" w:sz="4" w:space="0" w:color="auto"/>
              <w:left w:val="nil"/>
              <w:bottom w:val="single" w:sz="4"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Environmental and Propulsion Performance Requirements of L-category vehicles</w:t>
            </w:r>
          </w:p>
        </w:tc>
        <w:tc>
          <w:tcPr>
            <w:tcW w:w="993" w:type="dxa"/>
            <w:tcBorders>
              <w:top w:val="dotted" w:sz="4" w:space="0" w:color="auto"/>
              <w:left w:val="nil"/>
              <w:bottom w:val="single" w:sz="4" w:space="0" w:color="auto"/>
              <w:right w:val="nil"/>
            </w:tcBorders>
            <w:tcMar>
              <w:left w:w="0" w:type="dxa"/>
              <w:right w:w="0" w:type="dxa"/>
            </w:tcMar>
            <w:hideMark/>
          </w:tcPr>
          <w:p w:rsidR="0020051F" w:rsidRPr="003F130A" w:rsidRDefault="0020051F" w:rsidP="00FE176F">
            <w:pPr>
              <w:widowControl w:val="0"/>
              <w:spacing w:before="40" w:after="120" w:line="240" w:lineRule="auto"/>
              <w:jc w:val="center"/>
              <w:rPr>
                <w:sz w:val="18"/>
                <w:szCs w:val="18"/>
                <w:lang w:eastAsia="en-GB"/>
              </w:rPr>
            </w:pPr>
            <w:r w:rsidRPr="003F130A">
              <w:rPr>
                <w:sz w:val="18"/>
                <w:szCs w:val="18"/>
                <w:lang w:eastAsia="en-GB"/>
              </w:rPr>
              <w:t>EPPR</w:t>
            </w:r>
          </w:p>
        </w:tc>
      </w:tr>
      <w:tr w:rsidR="0020051F" w:rsidRPr="003F130A" w:rsidTr="00FE176F">
        <w:trPr>
          <w:trHeight w:val="255"/>
        </w:trPr>
        <w:tc>
          <w:tcPr>
            <w:tcW w:w="2000" w:type="dxa"/>
            <w:tcMar>
              <w:left w:w="0" w:type="dxa"/>
              <w:right w:w="0" w:type="dxa"/>
            </w:tcMar>
          </w:tcPr>
          <w:p w:rsidR="0020051F" w:rsidRPr="003F130A" w:rsidRDefault="0020051F" w:rsidP="00FE176F">
            <w:pPr>
              <w:widowControl w:val="0"/>
              <w:spacing w:before="40" w:after="120" w:line="240" w:lineRule="auto"/>
              <w:rPr>
                <w:sz w:val="18"/>
                <w:szCs w:val="18"/>
                <w:lang w:eastAsia="en-GB"/>
              </w:rPr>
            </w:pPr>
          </w:p>
        </w:tc>
        <w:tc>
          <w:tcPr>
            <w:tcW w:w="2268" w:type="dxa"/>
            <w:tcBorders>
              <w:top w:val="single" w:sz="4" w:space="0" w:color="auto"/>
              <w:left w:val="nil"/>
              <w:bottom w:val="dotted" w:sz="4"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dotted" w:sz="4"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Particle Measurement Programme</w:t>
            </w:r>
          </w:p>
        </w:tc>
        <w:tc>
          <w:tcPr>
            <w:tcW w:w="993" w:type="dxa"/>
            <w:tcBorders>
              <w:top w:val="single" w:sz="4" w:space="0" w:color="auto"/>
              <w:left w:val="nil"/>
              <w:bottom w:val="dotted" w:sz="4" w:space="0" w:color="auto"/>
              <w:right w:val="nil"/>
            </w:tcBorders>
            <w:tcMar>
              <w:left w:w="0" w:type="dxa"/>
              <w:right w:w="0" w:type="dxa"/>
            </w:tcMar>
            <w:hideMark/>
          </w:tcPr>
          <w:p w:rsidR="0020051F" w:rsidRPr="003F130A" w:rsidRDefault="0020051F" w:rsidP="00FE176F">
            <w:pPr>
              <w:widowControl w:val="0"/>
              <w:spacing w:before="40" w:after="120" w:line="240" w:lineRule="auto"/>
              <w:jc w:val="center"/>
              <w:rPr>
                <w:sz w:val="18"/>
                <w:szCs w:val="18"/>
                <w:lang w:eastAsia="en-GB"/>
              </w:rPr>
            </w:pPr>
            <w:r w:rsidRPr="003F130A">
              <w:rPr>
                <w:sz w:val="18"/>
                <w:szCs w:val="18"/>
                <w:lang w:eastAsia="en-GB"/>
              </w:rPr>
              <w:t>PMP</w:t>
            </w:r>
          </w:p>
        </w:tc>
      </w:tr>
      <w:tr w:rsidR="0020051F" w:rsidRPr="003F130A" w:rsidTr="00FE176F">
        <w:trPr>
          <w:trHeight w:val="255"/>
        </w:trPr>
        <w:tc>
          <w:tcPr>
            <w:tcW w:w="2000" w:type="dxa"/>
            <w:tcBorders>
              <w:top w:val="nil"/>
              <w:left w:val="nil"/>
              <w:bottom w:val="single" w:sz="4" w:space="0" w:color="auto"/>
              <w:right w:val="nil"/>
            </w:tcBorders>
            <w:tcMar>
              <w:left w:w="0" w:type="dxa"/>
              <w:right w:w="0" w:type="dxa"/>
            </w:tcMar>
          </w:tcPr>
          <w:p w:rsidR="0020051F" w:rsidRPr="003F130A" w:rsidRDefault="0020051F" w:rsidP="00FE176F">
            <w:pPr>
              <w:widowControl w:val="0"/>
              <w:spacing w:before="40" w:after="120" w:line="240" w:lineRule="auto"/>
              <w:rPr>
                <w:sz w:val="18"/>
                <w:szCs w:val="18"/>
                <w:lang w:eastAsia="en-GB"/>
              </w:rPr>
            </w:pPr>
          </w:p>
        </w:tc>
        <w:tc>
          <w:tcPr>
            <w:tcW w:w="2268" w:type="dxa"/>
            <w:tcBorders>
              <w:top w:val="dotted" w:sz="4" w:space="0" w:color="auto"/>
              <w:left w:val="nil"/>
              <w:bottom w:val="single" w:sz="4"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2:30 p.m. - 5:30 p.m.</w:t>
            </w:r>
          </w:p>
        </w:tc>
        <w:tc>
          <w:tcPr>
            <w:tcW w:w="4110" w:type="dxa"/>
            <w:tcBorders>
              <w:top w:val="dotted" w:sz="4" w:space="0" w:color="auto"/>
              <w:left w:val="nil"/>
              <w:bottom w:val="single" w:sz="4"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rPr>
              <w:t>Vehicle Propulsion System Definition</w:t>
            </w:r>
          </w:p>
        </w:tc>
        <w:tc>
          <w:tcPr>
            <w:tcW w:w="993" w:type="dxa"/>
            <w:tcBorders>
              <w:top w:val="dotted" w:sz="4" w:space="0" w:color="auto"/>
              <w:left w:val="nil"/>
              <w:bottom w:val="single" w:sz="4" w:space="0" w:color="auto"/>
              <w:right w:val="nil"/>
            </w:tcBorders>
            <w:tcMar>
              <w:left w:w="0" w:type="dxa"/>
              <w:right w:w="0" w:type="dxa"/>
            </w:tcMar>
            <w:hideMark/>
          </w:tcPr>
          <w:p w:rsidR="0020051F" w:rsidRPr="003F130A" w:rsidRDefault="0020051F" w:rsidP="00FE176F">
            <w:pPr>
              <w:widowControl w:val="0"/>
              <w:spacing w:before="40" w:after="120" w:line="240" w:lineRule="auto"/>
              <w:jc w:val="center"/>
              <w:rPr>
                <w:sz w:val="18"/>
                <w:szCs w:val="18"/>
                <w:lang w:eastAsia="en-GB"/>
              </w:rPr>
            </w:pPr>
            <w:r w:rsidRPr="003F130A">
              <w:rPr>
                <w:sz w:val="18"/>
                <w:szCs w:val="18"/>
                <w:lang w:eastAsia="en-GB"/>
              </w:rPr>
              <w:t>VPSD</w:t>
            </w:r>
          </w:p>
        </w:tc>
      </w:tr>
      <w:tr w:rsidR="0020051F" w:rsidRPr="003F130A" w:rsidTr="00FE176F">
        <w:trPr>
          <w:trHeight w:val="510"/>
        </w:trPr>
        <w:tc>
          <w:tcPr>
            <w:tcW w:w="2000" w:type="dxa"/>
            <w:tcBorders>
              <w:top w:val="nil"/>
              <w:left w:val="nil"/>
              <w:bottom w:val="single" w:sz="12"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14 January 2015</w:t>
            </w:r>
          </w:p>
        </w:tc>
        <w:tc>
          <w:tcPr>
            <w:tcW w:w="2268" w:type="dxa"/>
            <w:tcBorders>
              <w:top w:val="nil"/>
              <w:left w:val="nil"/>
              <w:bottom w:val="single" w:sz="12"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9:30 a.m. - 12:30 p.m.</w:t>
            </w:r>
            <w:r w:rsidRPr="003F130A">
              <w:rPr>
                <w:sz w:val="18"/>
                <w:szCs w:val="18"/>
                <w:lang w:eastAsia="en-GB"/>
              </w:rPr>
              <w:br/>
              <w:t>2:30 p.m. - 5:30 p.m.</w:t>
            </w:r>
          </w:p>
        </w:tc>
        <w:tc>
          <w:tcPr>
            <w:tcW w:w="4110" w:type="dxa"/>
            <w:tcBorders>
              <w:top w:val="nil"/>
              <w:left w:val="nil"/>
              <w:bottom w:val="single" w:sz="12" w:space="0" w:color="auto"/>
              <w:right w:val="nil"/>
            </w:tcBorders>
            <w:tcMar>
              <w:left w:w="0" w:type="dxa"/>
              <w:right w:w="0" w:type="dxa"/>
            </w:tcMar>
            <w:hideMark/>
          </w:tcPr>
          <w:p w:rsidR="0020051F" w:rsidRPr="003F130A" w:rsidRDefault="0020051F" w:rsidP="00FE176F">
            <w:pPr>
              <w:widowControl w:val="0"/>
              <w:spacing w:before="40" w:after="120" w:line="240" w:lineRule="auto"/>
              <w:rPr>
                <w:sz w:val="18"/>
                <w:szCs w:val="18"/>
                <w:lang w:eastAsia="en-GB"/>
              </w:rPr>
            </w:pPr>
            <w:r w:rsidRPr="003F130A">
              <w:rPr>
                <w:sz w:val="18"/>
                <w:szCs w:val="18"/>
                <w:lang w:eastAsia="en-GB"/>
              </w:rPr>
              <w:t>Worldwide harmonized Light vehicles Test Procedure</w:t>
            </w:r>
          </w:p>
        </w:tc>
        <w:tc>
          <w:tcPr>
            <w:tcW w:w="993" w:type="dxa"/>
            <w:tcBorders>
              <w:top w:val="nil"/>
              <w:left w:val="nil"/>
              <w:bottom w:val="single" w:sz="12" w:space="0" w:color="auto"/>
              <w:right w:val="nil"/>
            </w:tcBorders>
            <w:tcMar>
              <w:left w:w="0" w:type="dxa"/>
              <w:right w:w="0" w:type="dxa"/>
            </w:tcMar>
            <w:hideMark/>
          </w:tcPr>
          <w:p w:rsidR="0020051F" w:rsidRPr="003F130A" w:rsidRDefault="0020051F" w:rsidP="00FE176F">
            <w:pPr>
              <w:widowControl w:val="0"/>
              <w:spacing w:before="40" w:after="120" w:line="240" w:lineRule="auto"/>
              <w:jc w:val="center"/>
              <w:rPr>
                <w:sz w:val="18"/>
                <w:szCs w:val="18"/>
                <w:lang w:eastAsia="en-GB"/>
              </w:rPr>
            </w:pPr>
            <w:r w:rsidRPr="003F130A">
              <w:rPr>
                <w:sz w:val="18"/>
                <w:szCs w:val="18"/>
                <w:lang w:eastAsia="en-GB"/>
              </w:rPr>
              <w:t>WLTP</w:t>
            </w:r>
          </w:p>
        </w:tc>
      </w:tr>
    </w:tbl>
    <w:p w:rsidR="003F4D9D" w:rsidRPr="001825DB" w:rsidRDefault="003F4D9D" w:rsidP="00256103">
      <w:pPr>
        <w:pStyle w:val="HChG"/>
        <w:spacing w:after="200"/>
      </w:pPr>
      <w:r>
        <w:rPr>
          <w:spacing w:val="-2"/>
        </w:rPr>
        <w:br w:type="page"/>
      </w:r>
      <w:r w:rsidRPr="001825DB">
        <w:lastRenderedPageBreak/>
        <w:t>Annexe III</w:t>
      </w:r>
    </w:p>
    <w:p w:rsidR="003F4D9D" w:rsidRPr="001825DB" w:rsidRDefault="003F4D9D" w:rsidP="00256103">
      <w:pPr>
        <w:pStyle w:val="SingleTxtG"/>
        <w:spacing w:after="60"/>
        <w:ind w:right="0"/>
        <w:jc w:val="right"/>
      </w:pPr>
      <w:r w:rsidRPr="001825DB">
        <w:t>[</w:t>
      </w:r>
      <w:r w:rsidR="00DE181B" w:rsidRPr="00256103">
        <w:rPr>
          <w:i/>
        </w:rPr>
        <w:t>Anglais seulement</w:t>
      </w:r>
      <w:r w:rsidRPr="001825DB">
        <w:t>]</w:t>
      </w:r>
    </w:p>
    <w:p w:rsidR="003F4D9D" w:rsidRPr="001825DB" w:rsidRDefault="003F4D9D" w:rsidP="00256103">
      <w:pPr>
        <w:pStyle w:val="H1G"/>
        <w:spacing w:before="120" w:line="240" w:lineRule="atLeast"/>
        <w:rPr>
          <w:szCs w:val="24"/>
        </w:rPr>
      </w:pPr>
      <w:r w:rsidRPr="001825DB">
        <w:rPr>
          <w:color w:val="C00000"/>
          <w:szCs w:val="24"/>
        </w:rPr>
        <w:tab/>
      </w:r>
      <w:r w:rsidRPr="001825DB">
        <w:rPr>
          <w:color w:val="C00000"/>
          <w:szCs w:val="24"/>
        </w:rPr>
        <w:tab/>
      </w:r>
      <w:r w:rsidRPr="001825DB">
        <w:rPr>
          <w:szCs w:val="24"/>
        </w:rPr>
        <w:t>List of GRPE informal working groups, task forces and subgroups</w:t>
      </w:r>
    </w:p>
    <w:tbl>
      <w:tblPr>
        <w:tblW w:w="9639" w:type="dxa"/>
        <w:tblLook w:val="04A0" w:firstRow="1" w:lastRow="0" w:firstColumn="1" w:lastColumn="0" w:noHBand="0" w:noVBand="1"/>
      </w:tblPr>
      <w:tblGrid>
        <w:gridCol w:w="1991"/>
        <w:gridCol w:w="2994"/>
        <w:gridCol w:w="3266"/>
        <w:gridCol w:w="1388"/>
      </w:tblGrid>
      <w:tr w:rsidR="003F4D9D" w:rsidRPr="001825DB" w:rsidTr="003567A6">
        <w:trPr>
          <w:trHeight w:val="240"/>
          <w:tblHeader/>
        </w:trPr>
        <w:tc>
          <w:tcPr>
            <w:tcW w:w="2000" w:type="dxa"/>
            <w:tcBorders>
              <w:top w:val="single" w:sz="4" w:space="0" w:color="auto"/>
              <w:left w:val="nil"/>
              <w:bottom w:val="single" w:sz="12"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i/>
                <w:iCs/>
                <w:szCs w:val="24"/>
                <w:lang w:eastAsia="en-GB"/>
              </w:rPr>
            </w:pPr>
            <w:r w:rsidRPr="001825DB">
              <w:rPr>
                <w:i/>
                <w:iCs/>
                <w:szCs w:val="24"/>
                <w:lang w:eastAsia="en-GB"/>
              </w:rPr>
              <w:t>Name (Acronym) (Status)</w:t>
            </w:r>
          </w:p>
        </w:tc>
        <w:tc>
          <w:tcPr>
            <w:tcW w:w="2995" w:type="dxa"/>
            <w:tcBorders>
              <w:top w:val="single" w:sz="4" w:space="0" w:color="auto"/>
              <w:left w:val="nil"/>
              <w:bottom w:val="single" w:sz="12"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i/>
                <w:iCs/>
                <w:szCs w:val="24"/>
                <w:lang w:eastAsia="en-GB"/>
              </w:rPr>
            </w:pPr>
            <w:r w:rsidRPr="001825DB">
              <w:rPr>
                <w:i/>
                <w:iCs/>
                <w:szCs w:val="24"/>
                <w:lang w:eastAsia="en-GB"/>
              </w:rPr>
              <w:t>Chair or Co-chairs</w:t>
            </w:r>
          </w:p>
        </w:tc>
        <w:tc>
          <w:tcPr>
            <w:tcW w:w="3250" w:type="dxa"/>
            <w:tcBorders>
              <w:top w:val="single" w:sz="4" w:space="0" w:color="auto"/>
              <w:left w:val="nil"/>
              <w:bottom w:val="single" w:sz="12"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i/>
                <w:iCs/>
                <w:szCs w:val="24"/>
                <w:lang w:eastAsia="en-GB"/>
              </w:rPr>
            </w:pPr>
            <w:r w:rsidRPr="001825DB">
              <w:rPr>
                <w:i/>
                <w:iCs/>
                <w:szCs w:val="24"/>
                <w:lang w:eastAsia="en-GB"/>
              </w:rPr>
              <w:t>Secretaries</w:t>
            </w:r>
          </w:p>
        </w:tc>
        <w:tc>
          <w:tcPr>
            <w:tcW w:w="1394" w:type="dxa"/>
            <w:tcBorders>
              <w:top w:val="single" w:sz="4" w:space="0" w:color="auto"/>
              <w:left w:val="nil"/>
              <w:bottom w:val="single" w:sz="12"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i/>
                <w:iCs/>
                <w:szCs w:val="24"/>
                <w:lang w:eastAsia="en-GB"/>
              </w:rPr>
            </w:pPr>
            <w:r w:rsidRPr="001825DB">
              <w:rPr>
                <w:i/>
                <w:iCs/>
                <w:szCs w:val="24"/>
                <w:lang w:eastAsia="en-GB"/>
              </w:rPr>
              <w:t>End of mandate</w:t>
            </w:r>
          </w:p>
        </w:tc>
      </w:tr>
      <w:tr w:rsidR="003F4D9D" w:rsidRPr="001825DB" w:rsidTr="003567A6">
        <w:trPr>
          <w:trHeight w:val="1275"/>
        </w:trPr>
        <w:tc>
          <w:tcPr>
            <w:tcW w:w="2000" w:type="dxa"/>
            <w:tcBorders>
              <w:top w:val="single" w:sz="12" w:space="0" w:color="auto"/>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Environmental and Propulsion Performance Requirements of L-category vehicles (EPPR) (group)</w:t>
            </w:r>
          </w:p>
        </w:tc>
        <w:tc>
          <w:tcPr>
            <w:tcW w:w="2995" w:type="dxa"/>
            <w:tcBorders>
              <w:top w:val="single" w:sz="12" w:space="0" w:color="auto"/>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rPr>
            </w:pPr>
            <w:r w:rsidRPr="001825DB">
              <w:rPr>
                <w:szCs w:val="24"/>
              </w:rPr>
              <w:t>Petter Ăsman,</w:t>
            </w:r>
            <w:r w:rsidRPr="001825DB">
              <w:rPr>
                <w:szCs w:val="24"/>
              </w:rPr>
              <w:br/>
              <w:t>petter.asman@trafikverket.se</w:t>
            </w:r>
          </w:p>
        </w:tc>
        <w:tc>
          <w:tcPr>
            <w:tcW w:w="3250" w:type="dxa"/>
            <w:tcBorders>
              <w:top w:val="single" w:sz="12" w:space="0" w:color="auto"/>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Thomas Vercammen,</w:t>
            </w:r>
            <w:r w:rsidRPr="001825DB">
              <w:rPr>
                <w:szCs w:val="24"/>
                <w:lang w:eastAsia="en-GB"/>
              </w:rPr>
              <w:br/>
            </w:r>
            <w:hyperlink r:id="rId10" w:history="1">
              <w:r w:rsidRPr="001825DB">
                <w:rPr>
                  <w:rStyle w:val="Hyperlink"/>
                  <w:szCs w:val="24"/>
                  <w:lang w:eastAsia="en-GB"/>
                </w:rPr>
                <w:t>t.vercammen@acem.eu</w:t>
              </w:r>
            </w:hyperlink>
          </w:p>
        </w:tc>
        <w:tc>
          <w:tcPr>
            <w:tcW w:w="1394" w:type="dxa"/>
            <w:tcBorders>
              <w:top w:val="single" w:sz="12" w:space="0" w:color="auto"/>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June 2016</w:t>
            </w:r>
          </w:p>
        </w:tc>
      </w:tr>
      <w:tr w:rsidR="003F4D9D" w:rsidRPr="001825DB" w:rsidTr="003567A6">
        <w:trPr>
          <w:trHeight w:val="510"/>
        </w:trPr>
        <w:tc>
          <w:tcPr>
            <w:tcW w:w="2000" w:type="dxa"/>
            <w:vMerge w:val="restart"/>
            <w:tcBorders>
              <w:top w:val="nil"/>
              <w:left w:val="nil"/>
              <w:bottom w:val="single" w:sz="4" w:space="0" w:color="000000"/>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Electric Vehicles and the Environment (EVE) (group)</w:t>
            </w:r>
          </w:p>
        </w:tc>
        <w:tc>
          <w:tcPr>
            <w:tcW w:w="2995"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rPr>
            </w:pPr>
            <w:r w:rsidRPr="001825DB">
              <w:rPr>
                <w:szCs w:val="24"/>
              </w:rPr>
              <w:t>Michael Olechiw,</w:t>
            </w:r>
            <w:r w:rsidRPr="001825DB">
              <w:rPr>
                <w:szCs w:val="24"/>
              </w:rPr>
              <w:br/>
              <w:t>Olechiw.Michael@epamail.epa.gov</w:t>
            </w:r>
          </w:p>
        </w:tc>
        <w:tc>
          <w:tcPr>
            <w:tcW w:w="3250"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rPr>
            </w:pPr>
            <w:r w:rsidRPr="001825DB">
              <w:rPr>
                <w:szCs w:val="24"/>
              </w:rPr>
              <w:t>Stéphane Couroux,</w:t>
            </w:r>
            <w:r w:rsidRPr="001825DB">
              <w:rPr>
                <w:szCs w:val="24"/>
              </w:rPr>
              <w:br/>
            </w:r>
            <w:hyperlink r:id="rId11" w:history="1">
              <w:r w:rsidRPr="001825DB">
                <w:rPr>
                  <w:rStyle w:val="Hyperlink"/>
                  <w:szCs w:val="24"/>
                </w:rPr>
                <w:t>stephane.couroux@ec.gc.ca</w:t>
              </w:r>
            </w:hyperlink>
          </w:p>
        </w:tc>
        <w:tc>
          <w:tcPr>
            <w:tcW w:w="1394" w:type="dxa"/>
            <w:tcBorders>
              <w:top w:val="nil"/>
              <w:left w:val="nil"/>
              <w:bottom w:val="nil"/>
              <w:right w:val="nil"/>
            </w:tcBorders>
            <w:shd w:val="clear" w:color="auto" w:fill="auto"/>
            <w:tcMar>
              <w:left w:w="0" w:type="dxa"/>
              <w:right w:w="0" w:type="dxa"/>
            </w:tcMar>
          </w:tcPr>
          <w:p w:rsidR="003F4D9D" w:rsidRPr="005E4923" w:rsidRDefault="003F4D9D" w:rsidP="003F4D9D">
            <w:pPr>
              <w:suppressAutoHyphens w:val="0"/>
              <w:spacing w:beforeLines="20" w:before="48"/>
              <w:rPr>
                <w:szCs w:val="24"/>
                <w:lang w:eastAsia="en-GB"/>
              </w:rPr>
            </w:pPr>
            <w:r w:rsidRPr="001825DB">
              <w:rPr>
                <w:szCs w:val="24"/>
                <w:lang w:eastAsia="en-GB"/>
              </w:rPr>
              <w:t>November 2018</w:t>
            </w:r>
          </w:p>
        </w:tc>
      </w:tr>
      <w:tr w:rsidR="003F4D9D" w:rsidRPr="001825DB" w:rsidTr="003567A6">
        <w:trPr>
          <w:trHeight w:val="510"/>
        </w:trPr>
        <w:tc>
          <w:tcPr>
            <w:tcW w:w="2000" w:type="dxa"/>
            <w:vMerge/>
            <w:tcBorders>
              <w:top w:val="nil"/>
              <w:left w:val="nil"/>
              <w:bottom w:val="single" w:sz="4" w:space="0" w:color="000000"/>
              <w:right w:val="nil"/>
            </w:tcBorders>
            <w:tcMar>
              <w:left w:w="0" w:type="dxa"/>
              <w:right w:w="0" w:type="dxa"/>
            </w:tcMar>
          </w:tcPr>
          <w:p w:rsidR="003F4D9D" w:rsidRPr="001825DB" w:rsidRDefault="003F4D9D" w:rsidP="003F4D9D">
            <w:pPr>
              <w:suppressAutoHyphens w:val="0"/>
              <w:spacing w:beforeLines="20" w:before="48"/>
              <w:rPr>
                <w:szCs w:val="24"/>
                <w:lang w:eastAsia="en-GB"/>
              </w:rPr>
            </w:pPr>
          </w:p>
        </w:tc>
        <w:tc>
          <w:tcPr>
            <w:tcW w:w="2995"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Chen Chunmei (vice-Chair),</w:t>
            </w:r>
            <w:r w:rsidRPr="001825DB">
              <w:rPr>
                <w:szCs w:val="24"/>
                <w:lang w:eastAsia="en-GB"/>
              </w:rPr>
              <w:br/>
              <w:t>chencm@miit.gov.cn</w:t>
            </w:r>
          </w:p>
        </w:tc>
        <w:tc>
          <w:tcPr>
            <w:tcW w:w="3250"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Erin Marchington,</w:t>
            </w:r>
            <w:r w:rsidRPr="001825DB">
              <w:rPr>
                <w:szCs w:val="24"/>
                <w:lang w:eastAsia="en-GB"/>
              </w:rPr>
              <w:br/>
              <w:t xml:space="preserve">Erin.Marchington@ec.gc.ca </w:t>
            </w:r>
          </w:p>
        </w:tc>
        <w:tc>
          <w:tcPr>
            <w:tcW w:w="1394"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p>
        </w:tc>
      </w:tr>
      <w:tr w:rsidR="003F4D9D" w:rsidRPr="001825DB" w:rsidTr="003567A6">
        <w:trPr>
          <w:trHeight w:val="510"/>
        </w:trPr>
        <w:tc>
          <w:tcPr>
            <w:tcW w:w="2000" w:type="dxa"/>
            <w:vMerge/>
            <w:tcBorders>
              <w:top w:val="nil"/>
              <w:left w:val="nil"/>
              <w:bottom w:val="single" w:sz="4" w:space="0" w:color="000000"/>
              <w:right w:val="nil"/>
            </w:tcBorders>
            <w:tcMar>
              <w:left w:w="0" w:type="dxa"/>
              <w:right w:w="0" w:type="dxa"/>
            </w:tcMar>
          </w:tcPr>
          <w:p w:rsidR="003F4D9D" w:rsidRPr="001825DB" w:rsidRDefault="003F4D9D" w:rsidP="003F4D9D">
            <w:pPr>
              <w:suppressAutoHyphens w:val="0"/>
              <w:spacing w:beforeLines="20" w:before="48"/>
              <w:rPr>
                <w:szCs w:val="24"/>
                <w:lang w:eastAsia="en-GB"/>
              </w:rPr>
            </w:pPr>
          </w:p>
        </w:tc>
        <w:tc>
          <w:tcPr>
            <w:tcW w:w="2995"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Kazuyuki Narusawa (vice-Chair),</w:t>
            </w:r>
            <w:r w:rsidRPr="001825DB">
              <w:rPr>
                <w:szCs w:val="24"/>
                <w:lang w:eastAsia="en-GB"/>
              </w:rPr>
              <w:br/>
              <w:t>narusawa@ntsel.go.jp</w:t>
            </w:r>
          </w:p>
        </w:tc>
        <w:tc>
          <w:tcPr>
            <w:tcW w:w="3250"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 </w:t>
            </w:r>
          </w:p>
        </w:tc>
        <w:tc>
          <w:tcPr>
            <w:tcW w:w="1394"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 </w:t>
            </w:r>
          </w:p>
        </w:tc>
      </w:tr>
      <w:tr w:rsidR="003F4D9D" w:rsidRPr="001825DB" w:rsidTr="003567A6">
        <w:trPr>
          <w:trHeight w:val="510"/>
        </w:trPr>
        <w:tc>
          <w:tcPr>
            <w:tcW w:w="2000" w:type="dxa"/>
            <w:vMerge w:val="restart"/>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Gaseous Fuelled Vehicles (GFV) (group)</w:t>
            </w:r>
          </w:p>
        </w:tc>
        <w:tc>
          <w:tcPr>
            <w:tcW w:w="2995"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rPr>
            </w:pPr>
            <w:r w:rsidRPr="001825DB">
              <w:rPr>
                <w:szCs w:val="24"/>
              </w:rPr>
              <w:t>André Rijnders,</w:t>
            </w:r>
            <w:r w:rsidRPr="001825DB">
              <w:rPr>
                <w:szCs w:val="24"/>
              </w:rPr>
              <w:br/>
              <w:t>arijnders@rdw.nl</w:t>
            </w:r>
          </w:p>
        </w:tc>
        <w:tc>
          <w:tcPr>
            <w:tcW w:w="3250"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Jeffrey Seisler,</w:t>
            </w:r>
            <w:r w:rsidRPr="001825DB">
              <w:rPr>
                <w:szCs w:val="24"/>
                <w:lang w:eastAsia="en-GB"/>
              </w:rPr>
              <w:br/>
              <w:t>jseisler@cleanfuelsconsulting.org</w:t>
            </w:r>
          </w:p>
        </w:tc>
        <w:tc>
          <w:tcPr>
            <w:tcW w:w="1394"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June 2016</w:t>
            </w:r>
          </w:p>
        </w:tc>
      </w:tr>
      <w:tr w:rsidR="003F4D9D" w:rsidRPr="001825DB" w:rsidTr="003567A6">
        <w:trPr>
          <w:trHeight w:val="510"/>
        </w:trPr>
        <w:tc>
          <w:tcPr>
            <w:tcW w:w="2000" w:type="dxa"/>
            <w:vMerge/>
            <w:tcBorders>
              <w:top w:val="nil"/>
              <w:left w:val="nil"/>
              <w:bottom w:val="nil"/>
              <w:right w:val="nil"/>
            </w:tcBorders>
            <w:tcMar>
              <w:left w:w="0" w:type="dxa"/>
              <w:right w:w="0" w:type="dxa"/>
            </w:tcMar>
          </w:tcPr>
          <w:p w:rsidR="003F4D9D" w:rsidRPr="001825DB" w:rsidRDefault="003F4D9D" w:rsidP="003F4D9D">
            <w:pPr>
              <w:suppressAutoHyphens w:val="0"/>
              <w:spacing w:beforeLines="20" w:before="48"/>
              <w:rPr>
                <w:szCs w:val="24"/>
                <w:lang w:eastAsia="en-GB"/>
              </w:rPr>
            </w:pPr>
          </w:p>
        </w:tc>
        <w:tc>
          <w:tcPr>
            <w:tcW w:w="2995"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p>
        </w:tc>
        <w:tc>
          <w:tcPr>
            <w:tcW w:w="3250"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rPr>
            </w:pPr>
            <w:r w:rsidRPr="001825DB">
              <w:rPr>
                <w:szCs w:val="24"/>
              </w:rPr>
              <w:t>Salvatore Piccolo,</w:t>
            </w:r>
            <w:r w:rsidRPr="001825DB">
              <w:rPr>
                <w:szCs w:val="24"/>
              </w:rPr>
              <w:br/>
              <w:t xml:space="preserve">s.piccolo@federchimica.it </w:t>
            </w:r>
          </w:p>
        </w:tc>
        <w:tc>
          <w:tcPr>
            <w:tcW w:w="1394"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rPr>
            </w:pPr>
          </w:p>
        </w:tc>
      </w:tr>
      <w:tr w:rsidR="003F4D9D" w:rsidRPr="001825DB" w:rsidTr="003567A6">
        <w:trPr>
          <w:trHeight w:val="510"/>
        </w:trPr>
        <w:tc>
          <w:tcPr>
            <w:tcW w:w="2000" w:type="dxa"/>
            <w:vMerge w:val="restart"/>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Heavy Duty Dual-Fuel Task Force (HDDV TF) (task force)</w:t>
            </w:r>
          </w:p>
        </w:tc>
        <w:tc>
          <w:tcPr>
            <w:tcW w:w="2995"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rPr>
            </w:pPr>
            <w:r w:rsidRPr="001825DB">
              <w:rPr>
                <w:szCs w:val="24"/>
                <w:lang w:eastAsia="en-GB"/>
              </w:rPr>
              <w:t>Henk Dekker,</w:t>
            </w:r>
            <w:r w:rsidRPr="001825DB">
              <w:rPr>
                <w:szCs w:val="24"/>
                <w:lang w:eastAsia="en-GB"/>
              </w:rPr>
              <w:br/>
              <w:t>henk.j.dekker@tno.nl</w:t>
            </w:r>
          </w:p>
        </w:tc>
        <w:tc>
          <w:tcPr>
            <w:tcW w:w="3250"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Jeffrey Seisler,</w:t>
            </w:r>
            <w:r w:rsidRPr="001825DB">
              <w:rPr>
                <w:szCs w:val="24"/>
                <w:lang w:eastAsia="en-GB"/>
              </w:rPr>
              <w:br/>
              <w:t>jseisler@cleanfuelsconsulting.org</w:t>
            </w:r>
          </w:p>
        </w:tc>
        <w:tc>
          <w:tcPr>
            <w:tcW w:w="1394"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p>
        </w:tc>
      </w:tr>
      <w:tr w:rsidR="003F4D9D" w:rsidRPr="001825DB" w:rsidTr="003567A6">
        <w:trPr>
          <w:trHeight w:val="510"/>
        </w:trPr>
        <w:tc>
          <w:tcPr>
            <w:tcW w:w="2000" w:type="dxa"/>
            <w:vMerge/>
            <w:tcBorders>
              <w:top w:val="nil"/>
              <w:left w:val="nil"/>
              <w:bottom w:val="nil"/>
              <w:right w:val="nil"/>
            </w:tcBorders>
            <w:tcMar>
              <w:left w:w="0" w:type="dxa"/>
              <w:right w:w="0" w:type="dxa"/>
            </w:tcMar>
          </w:tcPr>
          <w:p w:rsidR="003F4D9D" w:rsidRPr="001825DB" w:rsidRDefault="003F4D9D" w:rsidP="003F4D9D">
            <w:pPr>
              <w:suppressAutoHyphens w:val="0"/>
              <w:spacing w:beforeLines="20" w:before="48"/>
              <w:rPr>
                <w:szCs w:val="24"/>
                <w:lang w:eastAsia="en-GB"/>
              </w:rPr>
            </w:pPr>
          </w:p>
        </w:tc>
        <w:tc>
          <w:tcPr>
            <w:tcW w:w="2995"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p>
        </w:tc>
        <w:tc>
          <w:tcPr>
            <w:tcW w:w="3250" w:type="dxa"/>
            <w:tcBorders>
              <w:top w:val="nil"/>
              <w:left w:val="nil"/>
              <w:bottom w:val="nil"/>
              <w:right w:val="nil"/>
            </w:tcBorders>
            <w:shd w:val="clear" w:color="auto" w:fill="auto"/>
            <w:noWrap/>
            <w:tcMar>
              <w:left w:w="0" w:type="dxa"/>
              <w:right w:w="0" w:type="dxa"/>
            </w:tcMar>
          </w:tcPr>
          <w:p w:rsidR="003F4D9D" w:rsidRPr="001825DB" w:rsidRDefault="003F4D9D" w:rsidP="003F4D9D">
            <w:pPr>
              <w:suppressAutoHyphens w:val="0"/>
              <w:spacing w:beforeLines="20" w:before="48"/>
              <w:rPr>
                <w:szCs w:val="24"/>
                <w:lang w:eastAsia="en-GB"/>
              </w:rPr>
            </w:pPr>
          </w:p>
        </w:tc>
        <w:tc>
          <w:tcPr>
            <w:tcW w:w="1394"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p>
        </w:tc>
      </w:tr>
      <w:tr w:rsidR="003F4D9D" w:rsidRPr="001825DB" w:rsidTr="003567A6">
        <w:trPr>
          <w:trHeight w:val="510"/>
        </w:trPr>
        <w:tc>
          <w:tcPr>
            <w:tcW w:w="2000" w:type="dxa"/>
            <w:vMerge w:val="restart"/>
            <w:tcBorders>
              <w:top w:val="nil"/>
              <w:left w:val="nil"/>
              <w:bottom w:val="single" w:sz="4" w:space="0" w:color="000000"/>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Liquefied Natural Gas Task Force (LNG TF) (task force)</w:t>
            </w:r>
          </w:p>
        </w:tc>
        <w:tc>
          <w:tcPr>
            <w:tcW w:w="2995"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Paul Dijkhof,</w:t>
            </w:r>
            <w:r w:rsidRPr="001825DB">
              <w:rPr>
                <w:szCs w:val="24"/>
                <w:lang w:eastAsia="en-GB"/>
              </w:rPr>
              <w:br/>
              <w:t>Paul.Dijkhof@kiwa.nl</w:t>
            </w:r>
          </w:p>
        </w:tc>
        <w:tc>
          <w:tcPr>
            <w:tcW w:w="3250"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Jeffrey Seisler,</w:t>
            </w:r>
            <w:r w:rsidRPr="001825DB">
              <w:rPr>
                <w:szCs w:val="24"/>
                <w:lang w:eastAsia="en-GB"/>
              </w:rPr>
              <w:br/>
              <w:t>jseisler@cleanfuelsconsulting.org</w:t>
            </w:r>
          </w:p>
        </w:tc>
        <w:tc>
          <w:tcPr>
            <w:tcW w:w="1394" w:type="dxa"/>
            <w:tcBorders>
              <w:top w:val="nil"/>
              <w:left w:val="nil"/>
              <w:bottom w:val="nil"/>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p>
        </w:tc>
      </w:tr>
      <w:tr w:rsidR="003F4D9D" w:rsidRPr="001825DB" w:rsidTr="003567A6">
        <w:trPr>
          <w:trHeight w:val="510"/>
        </w:trPr>
        <w:tc>
          <w:tcPr>
            <w:tcW w:w="2000" w:type="dxa"/>
            <w:vMerge/>
            <w:tcBorders>
              <w:top w:val="nil"/>
              <w:left w:val="nil"/>
              <w:bottom w:val="single" w:sz="4" w:space="0" w:color="000000"/>
              <w:right w:val="nil"/>
            </w:tcBorders>
            <w:tcMar>
              <w:left w:w="0" w:type="dxa"/>
              <w:right w:w="0" w:type="dxa"/>
            </w:tcMar>
          </w:tcPr>
          <w:p w:rsidR="003F4D9D" w:rsidRPr="001825DB" w:rsidRDefault="003F4D9D" w:rsidP="003F4D9D">
            <w:pPr>
              <w:suppressAutoHyphens w:val="0"/>
              <w:spacing w:beforeLines="20" w:before="48"/>
              <w:rPr>
                <w:szCs w:val="24"/>
                <w:lang w:eastAsia="en-GB"/>
              </w:rPr>
            </w:pPr>
          </w:p>
        </w:tc>
        <w:tc>
          <w:tcPr>
            <w:tcW w:w="2995"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 </w:t>
            </w:r>
          </w:p>
        </w:tc>
        <w:tc>
          <w:tcPr>
            <w:tcW w:w="3250"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Jaime Del Alamo,</w:t>
            </w:r>
            <w:r w:rsidRPr="001825DB">
              <w:rPr>
                <w:szCs w:val="24"/>
                <w:lang w:eastAsia="en-GB"/>
              </w:rPr>
              <w:br/>
              <w:t>jaime.alamo@ngvaeurope.eu</w:t>
            </w:r>
          </w:p>
        </w:tc>
        <w:tc>
          <w:tcPr>
            <w:tcW w:w="1394"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p>
        </w:tc>
      </w:tr>
      <w:tr w:rsidR="003F4D9D" w:rsidRPr="001825DB" w:rsidTr="003567A6">
        <w:trPr>
          <w:trHeight w:val="510"/>
        </w:trPr>
        <w:tc>
          <w:tcPr>
            <w:tcW w:w="2000"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Particle Measurement Programme (PMP) (group)</w:t>
            </w:r>
          </w:p>
        </w:tc>
        <w:tc>
          <w:tcPr>
            <w:tcW w:w="2995"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rPr>
            </w:pPr>
            <w:r w:rsidRPr="001825DB">
              <w:rPr>
                <w:szCs w:val="24"/>
              </w:rPr>
              <w:t>Giorgio Martini,</w:t>
            </w:r>
            <w:r w:rsidRPr="001825DB">
              <w:rPr>
                <w:szCs w:val="24"/>
              </w:rPr>
              <w:br/>
              <w:t>giorgio.martini@jrc.ec.europa.eu</w:t>
            </w:r>
          </w:p>
        </w:tc>
        <w:tc>
          <w:tcPr>
            <w:tcW w:w="3250"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rPr>
            </w:pPr>
            <w:r w:rsidRPr="001825DB">
              <w:rPr>
                <w:szCs w:val="24"/>
              </w:rPr>
              <w:t>Caroline Hosier,</w:t>
            </w:r>
            <w:r w:rsidRPr="001825DB">
              <w:rPr>
                <w:szCs w:val="24"/>
              </w:rPr>
              <w:br/>
              <w:t>chosier@ford.com</w:t>
            </w:r>
          </w:p>
        </w:tc>
        <w:tc>
          <w:tcPr>
            <w:tcW w:w="1394"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June 2017</w:t>
            </w:r>
          </w:p>
        </w:tc>
      </w:tr>
      <w:tr w:rsidR="003F4D9D" w:rsidRPr="001825DB" w:rsidTr="003567A6">
        <w:trPr>
          <w:trHeight w:val="765"/>
        </w:trPr>
        <w:tc>
          <w:tcPr>
            <w:tcW w:w="2000"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Vehicle Interior Air Quality (VIAQ) (group)</w:t>
            </w:r>
          </w:p>
        </w:tc>
        <w:tc>
          <w:tcPr>
            <w:tcW w:w="2995"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rPr>
              <w:t>Jong Soon Lim</w:t>
            </w:r>
            <w:r w:rsidRPr="001825DB">
              <w:rPr>
                <w:szCs w:val="24"/>
              </w:rPr>
              <w:br/>
            </w:r>
            <w:r w:rsidRPr="001825DB">
              <w:rPr>
                <w:szCs w:val="24"/>
                <w:lang w:eastAsia="en-GB"/>
              </w:rPr>
              <w:t>jongsoon@ts2020.kr</w:t>
            </w:r>
          </w:p>
        </w:tc>
        <w:tc>
          <w:tcPr>
            <w:tcW w:w="3250" w:type="dxa"/>
            <w:tcBorders>
              <w:top w:val="nil"/>
              <w:left w:val="nil"/>
              <w:bottom w:val="single" w:sz="4" w:space="0" w:color="auto"/>
              <w:right w:val="nil"/>
            </w:tcBorders>
            <w:shd w:val="clear" w:color="auto" w:fill="auto"/>
            <w:noWrap/>
            <w:tcMar>
              <w:left w:w="0" w:type="dxa"/>
              <w:right w:w="0" w:type="dxa"/>
            </w:tcMar>
          </w:tcPr>
          <w:p w:rsidR="003F4D9D" w:rsidRPr="001825DB" w:rsidRDefault="003F4D9D" w:rsidP="003F4D9D">
            <w:pPr>
              <w:spacing w:before="240"/>
              <w:rPr>
                <w:szCs w:val="24"/>
              </w:rPr>
            </w:pPr>
            <w:r w:rsidRPr="001825DB">
              <w:rPr>
                <w:szCs w:val="24"/>
              </w:rPr>
              <w:t>Daniel Nesa</w:t>
            </w:r>
            <w:r w:rsidRPr="001825DB">
              <w:rPr>
                <w:szCs w:val="24"/>
              </w:rPr>
              <w:br/>
              <w:t>daniel.nesa@renault.com</w:t>
            </w:r>
          </w:p>
        </w:tc>
        <w:tc>
          <w:tcPr>
            <w:tcW w:w="1394"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November 2017</w:t>
            </w:r>
          </w:p>
        </w:tc>
      </w:tr>
      <w:tr w:rsidR="003F4D9D" w:rsidRPr="001825DB" w:rsidTr="003567A6">
        <w:trPr>
          <w:trHeight w:val="765"/>
        </w:trPr>
        <w:tc>
          <w:tcPr>
            <w:tcW w:w="2000"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Vehicle Propulsion System Definitions (VPSD) (group)</w:t>
            </w:r>
          </w:p>
        </w:tc>
        <w:tc>
          <w:tcPr>
            <w:tcW w:w="2995"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Christoph Albus,</w:t>
            </w:r>
            <w:r w:rsidRPr="001825DB">
              <w:rPr>
                <w:szCs w:val="24"/>
                <w:lang w:eastAsia="en-GB"/>
              </w:rPr>
              <w:br/>
              <w:t>christoph.albus@bmvi.bund.de</w:t>
            </w:r>
          </w:p>
        </w:tc>
        <w:tc>
          <w:tcPr>
            <w:tcW w:w="3250" w:type="dxa"/>
            <w:tcBorders>
              <w:top w:val="nil"/>
              <w:left w:val="nil"/>
              <w:bottom w:val="single" w:sz="4" w:space="0" w:color="auto"/>
              <w:right w:val="nil"/>
            </w:tcBorders>
            <w:shd w:val="clear" w:color="auto" w:fill="auto"/>
            <w:noWrap/>
            <w:tcMar>
              <w:left w:w="0" w:type="dxa"/>
              <w:right w:w="0" w:type="dxa"/>
            </w:tcMar>
          </w:tcPr>
          <w:p w:rsidR="003F4D9D" w:rsidRPr="001825DB" w:rsidRDefault="003F4D9D" w:rsidP="003F4D9D">
            <w:pPr>
              <w:spacing w:before="240"/>
              <w:rPr>
                <w:szCs w:val="24"/>
              </w:rPr>
            </w:pPr>
            <w:r w:rsidRPr="001825DB">
              <w:rPr>
                <w:szCs w:val="24"/>
              </w:rPr>
              <w:t>Daniela Leveratto,</w:t>
            </w:r>
            <w:r w:rsidRPr="001825DB">
              <w:rPr>
                <w:szCs w:val="24"/>
              </w:rPr>
              <w:br/>
              <w:t>dleveratto@oica.net</w:t>
            </w:r>
          </w:p>
        </w:tc>
        <w:tc>
          <w:tcPr>
            <w:tcW w:w="1394" w:type="dxa"/>
            <w:tcBorders>
              <w:top w:val="nil"/>
              <w:left w:val="nil"/>
              <w:bottom w:val="single" w:sz="4" w:space="0" w:color="auto"/>
              <w:right w:val="nil"/>
            </w:tcBorders>
            <w:shd w:val="clear" w:color="auto" w:fill="auto"/>
            <w:tcMar>
              <w:left w:w="0" w:type="dxa"/>
              <w:right w:w="0" w:type="dxa"/>
            </w:tcMar>
          </w:tcPr>
          <w:p w:rsidR="003F4D9D" w:rsidRPr="001825DB" w:rsidRDefault="003F4D9D" w:rsidP="003F4D9D">
            <w:pPr>
              <w:suppressAutoHyphens w:val="0"/>
              <w:spacing w:beforeLines="20" w:before="48"/>
              <w:rPr>
                <w:szCs w:val="24"/>
                <w:lang w:eastAsia="en-GB"/>
              </w:rPr>
            </w:pPr>
            <w:r w:rsidRPr="001825DB">
              <w:rPr>
                <w:szCs w:val="24"/>
                <w:lang w:eastAsia="en-GB"/>
              </w:rPr>
              <w:t xml:space="preserve">June 2015 </w:t>
            </w:r>
          </w:p>
        </w:tc>
      </w:tr>
      <w:tr w:rsidR="003F4D9D" w:rsidRPr="001825DB" w:rsidTr="003567A6">
        <w:trPr>
          <w:trHeight w:val="765"/>
        </w:trPr>
        <w:tc>
          <w:tcPr>
            <w:tcW w:w="2000" w:type="dxa"/>
            <w:tcBorders>
              <w:top w:val="single" w:sz="4" w:space="0" w:color="auto"/>
              <w:left w:val="nil"/>
              <w:right w:val="nil"/>
            </w:tcBorders>
            <w:shd w:val="clear" w:color="auto" w:fill="auto"/>
            <w:tcMar>
              <w:left w:w="0" w:type="dxa"/>
              <w:right w:w="0" w:type="dxa"/>
            </w:tcMar>
          </w:tcPr>
          <w:p w:rsidR="003F4D9D" w:rsidRPr="001825DB" w:rsidRDefault="003F4D9D" w:rsidP="00256103">
            <w:pPr>
              <w:suppressAutoHyphens w:val="0"/>
              <w:spacing w:beforeLines="20" w:before="48"/>
              <w:rPr>
                <w:szCs w:val="24"/>
                <w:lang w:eastAsia="en-GB"/>
              </w:rPr>
            </w:pPr>
            <w:r w:rsidRPr="001825DB">
              <w:rPr>
                <w:szCs w:val="24"/>
                <w:lang w:eastAsia="en-GB"/>
              </w:rPr>
              <w:t>Worldwide harmonized Light vehicles Test  Procedure (WLTP) (group)</w:t>
            </w:r>
          </w:p>
        </w:tc>
        <w:tc>
          <w:tcPr>
            <w:tcW w:w="2995" w:type="dxa"/>
            <w:tcBorders>
              <w:top w:val="single" w:sz="4" w:space="0" w:color="auto"/>
              <w:left w:val="nil"/>
              <w:right w:val="nil"/>
            </w:tcBorders>
            <w:shd w:val="clear" w:color="auto" w:fill="auto"/>
            <w:tcMar>
              <w:left w:w="0" w:type="dxa"/>
              <w:right w:w="0" w:type="dxa"/>
            </w:tcMar>
          </w:tcPr>
          <w:p w:rsidR="003F4D9D" w:rsidRPr="001825DB" w:rsidRDefault="003F4D9D" w:rsidP="003F4D9D">
            <w:pPr>
              <w:keepNext/>
              <w:suppressAutoHyphens w:val="0"/>
              <w:spacing w:beforeLines="20" w:before="48"/>
              <w:rPr>
                <w:szCs w:val="24"/>
                <w:lang w:eastAsia="en-GB"/>
              </w:rPr>
            </w:pPr>
            <w:r w:rsidRPr="001825DB">
              <w:rPr>
                <w:szCs w:val="24"/>
                <w:lang w:eastAsia="en-GB"/>
              </w:rPr>
              <w:t>Stephan Redmann,</w:t>
            </w:r>
            <w:r w:rsidRPr="001825DB">
              <w:rPr>
                <w:szCs w:val="24"/>
                <w:lang w:eastAsia="en-GB"/>
              </w:rPr>
              <w:br/>
            </w:r>
            <w:hyperlink r:id="rId12" w:history="1">
              <w:r w:rsidRPr="001825DB">
                <w:rPr>
                  <w:rStyle w:val="Hyperlink"/>
                  <w:szCs w:val="24"/>
                  <w:lang w:eastAsia="en-GB"/>
                </w:rPr>
                <w:t>stephan.redmann@bmvbs.bund.de</w:t>
              </w:r>
            </w:hyperlink>
          </w:p>
          <w:p w:rsidR="003F4D9D" w:rsidRPr="001825DB" w:rsidRDefault="003F4D9D" w:rsidP="003F4D9D">
            <w:pPr>
              <w:keepNext/>
              <w:suppressAutoHyphens w:val="0"/>
              <w:spacing w:beforeLines="20" w:before="48"/>
              <w:rPr>
                <w:szCs w:val="24"/>
                <w:lang w:eastAsia="en-GB"/>
              </w:rPr>
            </w:pPr>
            <w:r w:rsidRPr="001825DB">
              <w:rPr>
                <w:szCs w:val="24"/>
                <w:lang w:eastAsia="en-GB"/>
              </w:rPr>
              <w:t>Kazuki Kobayashi (Vice-Chair),</w:t>
            </w:r>
            <w:r w:rsidRPr="001825DB">
              <w:rPr>
                <w:szCs w:val="24"/>
                <w:lang w:eastAsia="en-GB"/>
              </w:rPr>
              <w:br/>
            </w:r>
            <w:hyperlink r:id="rId13" w:history="1">
              <w:r w:rsidRPr="001825DB">
                <w:rPr>
                  <w:rStyle w:val="Hyperlink"/>
                  <w:szCs w:val="24"/>
                  <w:lang w:eastAsia="en-GB"/>
                </w:rPr>
                <w:t>ka-koba@shinsa.ntsel.go.jp</w:t>
              </w:r>
            </w:hyperlink>
          </w:p>
        </w:tc>
        <w:tc>
          <w:tcPr>
            <w:tcW w:w="3250" w:type="dxa"/>
            <w:tcBorders>
              <w:top w:val="single" w:sz="4" w:space="0" w:color="auto"/>
              <w:left w:val="nil"/>
              <w:right w:val="nil"/>
            </w:tcBorders>
            <w:shd w:val="clear" w:color="auto" w:fill="auto"/>
            <w:tcMar>
              <w:left w:w="0" w:type="dxa"/>
              <w:right w:w="0" w:type="dxa"/>
            </w:tcMar>
          </w:tcPr>
          <w:p w:rsidR="003F4D9D" w:rsidRPr="001825DB" w:rsidRDefault="003F4D9D" w:rsidP="003F4D9D">
            <w:pPr>
              <w:keepNext/>
              <w:suppressAutoHyphens w:val="0"/>
              <w:spacing w:beforeLines="20" w:before="48"/>
              <w:rPr>
                <w:szCs w:val="24"/>
                <w:lang w:eastAsia="en-GB"/>
              </w:rPr>
            </w:pPr>
            <w:r w:rsidRPr="001825DB">
              <w:rPr>
                <w:szCs w:val="24"/>
                <w:lang w:eastAsia="en-GB"/>
              </w:rPr>
              <w:t>Noriyuki Ichikawa (co-Technical Secretary),</w:t>
            </w:r>
            <w:r w:rsidRPr="001825DB">
              <w:rPr>
                <w:szCs w:val="24"/>
                <w:lang w:eastAsia="en-GB"/>
              </w:rPr>
              <w:br/>
            </w:r>
            <w:hyperlink r:id="rId14" w:history="1">
              <w:r w:rsidRPr="001825DB">
                <w:rPr>
                  <w:rStyle w:val="Hyperlink"/>
                  <w:szCs w:val="24"/>
                  <w:lang w:eastAsia="en-GB"/>
                </w:rPr>
                <w:t>noriyuki_ichikawa@mail.toyota.co.jp</w:t>
              </w:r>
            </w:hyperlink>
          </w:p>
          <w:p w:rsidR="003F4D9D" w:rsidRPr="001825DB" w:rsidRDefault="003F4D9D" w:rsidP="003F4D9D">
            <w:pPr>
              <w:keepNext/>
              <w:suppressAutoHyphens w:val="0"/>
              <w:spacing w:beforeLines="20" w:before="48"/>
              <w:rPr>
                <w:szCs w:val="24"/>
                <w:lang w:eastAsia="en-GB"/>
              </w:rPr>
            </w:pPr>
            <w:r w:rsidRPr="001825DB">
              <w:rPr>
                <w:szCs w:val="24"/>
              </w:rPr>
              <w:t xml:space="preserve">Konrad Kolesa </w:t>
            </w:r>
            <w:r w:rsidRPr="001825DB">
              <w:rPr>
                <w:szCs w:val="24"/>
                <w:lang w:eastAsia="en-GB"/>
              </w:rPr>
              <w:t>(co-Technical Secretary),</w:t>
            </w:r>
            <w:r w:rsidRPr="001825DB">
              <w:rPr>
                <w:szCs w:val="24"/>
                <w:lang w:eastAsia="en-GB"/>
              </w:rPr>
              <w:br/>
            </w:r>
            <w:hyperlink r:id="rId15" w:history="1">
              <w:r w:rsidRPr="001825DB">
                <w:rPr>
                  <w:rStyle w:val="Hyperlink"/>
                  <w:szCs w:val="24"/>
                  <w:lang w:eastAsia="en-GB"/>
                </w:rPr>
                <w:t>konrad.kolesa@audi.de</w:t>
              </w:r>
            </w:hyperlink>
          </w:p>
        </w:tc>
        <w:tc>
          <w:tcPr>
            <w:tcW w:w="1394" w:type="dxa"/>
            <w:tcBorders>
              <w:top w:val="single" w:sz="4" w:space="0" w:color="auto"/>
              <w:left w:val="nil"/>
              <w:right w:val="nil"/>
            </w:tcBorders>
            <w:shd w:val="clear" w:color="auto" w:fill="auto"/>
            <w:tcMar>
              <w:left w:w="0" w:type="dxa"/>
              <w:right w:w="0" w:type="dxa"/>
            </w:tcMar>
          </w:tcPr>
          <w:p w:rsidR="003F4D9D" w:rsidRPr="001825DB" w:rsidRDefault="003F4D9D" w:rsidP="003F4D9D">
            <w:pPr>
              <w:keepNext/>
              <w:suppressAutoHyphens w:val="0"/>
              <w:spacing w:beforeLines="20" w:before="48"/>
              <w:rPr>
                <w:szCs w:val="24"/>
                <w:lang w:eastAsia="en-GB"/>
              </w:rPr>
            </w:pPr>
            <w:r w:rsidRPr="001825DB">
              <w:rPr>
                <w:szCs w:val="24"/>
                <w:lang w:eastAsia="en-GB"/>
              </w:rPr>
              <w:t xml:space="preserve">June 2016 </w:t>
            </w:r>
          </w:p>
        </w:tc>
      </w:tr>
      <w:tr w:rsidR="003F4D9D" w:rsidRPr="001825DB" w:rsidTr="003567A6">
        <w:trPr>
          <w:trHeight w:hRule="exact" w:val="113"/>
        </w:trPr>
        <w:tc>
          <w:tcPr>
            <w:tcW w:w="2000" w:type="dxa"/>
            <w:tcBorders>
              <w:left w:val="nil"/>
              <w:bottom w:val="single" w:sz="12" w:space="0" w:color="auto"/>
              <w:right w:val="nil"/>
            </w:tcBorders>
            <w:shd w:val="clear" w:color="auto" w:fill="auto"/>
            <w:tcMar>
              <w:left w:w="0" w:type="dxa"/>
              <w:right w:w="0" w:type="dxa"/>
            </w:tcMar>
          </w:tcPr>
          <w:p w:rsidR="003F4D9D" w:rsidRPr="001825DB" w:rsidRDefault="003F4D9D" w:rsidP="003F4D9D">
            <w:pPr>
              <w:keepNext/>
              <w:suppressAutoHyphens w:val="0"/>
              <w:spacing w:beforeLines="20" w:before="48"/>
              <w:rPr>
                <w:szCs w:val="24"/>
                <w:lang w:eastAsia="en-GB"/>
              </w:rPr>
            </w:pPr>
          </w:p>
        </w:tc>
        <w:tc>
          <w:tcPr>
            <w:tcW w:w="2995" w:type="dxa"/>
            <w:tcBorders>
              <w:left w:val="nil"/>
              <w:bottom w:val="single" w:sz="12" w:space="0" w:color="auto"/>
              <w:right w:val="nil"/>
            </w:tcBorders>
            <w:shd w:val="clear" w:color="auto" w:fill="auto"/>
            <w:tcMar>
              <w:left w:w="0" w:type="dxa"/>
              <w:right w:w="0" w:type="dxa"/>
            </w:tcMar>
          </w:tcPr>
          <w:p w:rsidR="003F4D9D" w:rsidRPr="001825DB" w:rsidRDefault="003F4D9D" w:rsidP="003F4D9D">
            <w:pPr>
              <w:keepNext/>
              <w:suppressAutoHyphens w:val="0"/>
              <w:spacing w:beforeLines="20" w:before="48"/>
              <w:rPr>
                <w:szCs w:val="24"/>
                <w:lang w:eastAsia="en-GB"/>
              </w:rPr>
            </w:pPr>
          </w:p>
        </w:tc>
        <w:tc>
          <w:tcPr>
            <w:tcW w:w="3250" w:type="dxa"/>
            <w:tcBorders>
              <w:left w:val="nil"/>
              <w:bottom w:val="single" w:sz="12" w:space="0" w:color="auto"/>
              <w:right w:val="nil"/>
            </w:tcBorders>
            <w:shd w:val="clear" w:color="auto" w:fill="auto"/>
            <w:tcMar>
              <w:left w:w="0" w:type="dxa"/>
              <w:right w:w="0" w:type="dxa"/>
            </w:tcMar>
          </w:tcPr>
          <w:p w:rsidR="003F4D9D" w:rsidRPr="001825DB" w:rsidRDefault="003F4D9D" w:rsidP="003F4D9D">
            <w:pPr>
              <w:keepNext/>
              <w:suppressAutoHyphens w:val="0"/>
              <w:spacing w:beforeLines="20" w:before="48"/>
              <w:rPr>
                <w:szCs w:val="24"/>
                <w:lang w:eastAsia="en-GB"/>
              </w:rPr>
            </w:pPr>
          </w:p>
        </w:tc>
        <w:tc>
          <w:tcPr>
            <w:tcW w:w="1394" w:type="dxa"/>
            <w:tcBorders>
              <w:left w:val="nil"/>
              <w:bottom w:val="single" w:sz="12" w:space="0" w:color="auto"/>
              <w:right w:val="nil"/>
            </w:tcBorders>
            <w:shd w:val="clear" w:color="auto" w:fill="auto"/>
            <w:tcMar>
              <w:left w:w="0" w:type="dxa"/>
              <w:right w:w="0" w:type="dxa"/>
            </w:tcMar>
          </w:tcPr>
          <w:p w:rsidR="003F4D9D" w:rsidRPr="001825DB" w:rsidRDefault="003F4D9D" w:rsidP="003F4D9D">
            <w:pPr>
              <w:keepNext/>
              <w:suppressAutoHyphens w:val="0"/>
              <w:spacing w:beforeLines="20" w:before="48"/>
              <w:rPr>
                <w:szCs w:val="24"/>
                <w:lang w:eastAsia="en-GB"/>
              </w:rPr>
            </w:pPr>
          </w:p>
        </w:tc>
      </w:tr>
    </w:tbl>
    <w:p w:rsidR="003F4D9D" w:rsidRPr="003F4D9D" w:rsidRDefault="003F4D9D" w:rsidP="003F4D9D">
      <w:pPr>
        <w:pStyle w:val="HChG"/>
      </w:pPr>
      <w:r>
        <w:br w:type="page"/>
      </w:r>
      <w:r w:rsidRPr="003F4D9D">
        <w:lastRenderedPageBreak/>
        <w:t>Annexe IV</w:t>
      </w:r>
    </w:p>
    <w:p w:rsidR="003F4D9D" w:rsidRPr="003F4D9D" w:rsidRDefault="003F4D9D" w:rsidP="003F4D9D">
      <w:pPr>
        <w:pStyle w:val="HChG"/>
      </w:pPr>
      <w:r w:rsidRPr="003F4D9D">
        <w:tab/>
      </w:r>
      <w:r w:rsidRPr="003F4D9D">
        <w:tab/>
        <w:t xml:space="preserve">Amendements au Règlement </w:t>
      </w:r>
      <w:r>
        <w:t>n</w:t>
      </w:r>
      <w:r w:rsidRPr="003F4D9D">
        <w:rPr>
          <w:vertAlign w:val="superscript"/>
        </w:rPr>
        <w:t>o</w:t>
      </w:r>
      <w:r>
        <w:t> </w:t>
      </w:r>
      <w:r w:rsidRPr="003F4D9D">
        <w:t>83</w:t>
      </w:r>
    </w:p>
    <w:p w:rsidR="003F4D9D" w:rsidRPr="003F4D9D" w:rsidRDefault="003F4D9D" w:rsidP="005B4326">
      <w:pPr>
        <w:pStyle w:val="H1G"/>
      </w:pPr>
      <w:r w:rsidRPr="003F4D9D">
        <w:tab/>
        <w:t>A.</w:t>
      </w:r>
      <w:r w:rsidRPr="003F4D9D">
        <w:tab/>
        <w:t>Amendements au document ECE/TRANS/WP.29/GRPE/2015/4</w:t>
      </w:r>
    </w:p>
    <w:p w:rsidR="003F4D9D" w:rsidRPr="005B4326" w:rsidRDefault="003F4D9D" w:rsidP="005B4326">
      <w:pPr>
        <w:pStyle w:val="SingleTxtG"/>
        <w:rPr>
          <w:b/>
        </w:rPr>
      </w:pPr>
      <w:r w:rsidRPr="005B4326">
        <w:rPr>
          <w:b/>
        </w:rPr>
        <w:t>Adoptés sur la base du document GRPE-70-04 (voir par. 9 et 13)</w:t>
      </w:r>
    </w:p>
    <w:p w:rsidR="003F4D9D" w:rsidRPr="005B4326" w:rsidRDefault="003F4D9D" w:rsidP="005B4326">
      <w:pPr>
        <w:pStyle w:val="SingleTxtG"/>
        <w:rPr>
          <w:i/>
        </w:rPr>
      </w:pPr>
      <w:r w:rsidRPr="005B4326">
        <w:rPr>
          <w:i/>
        </w:rPr>
        <w:t>Docume</w:t>
      </w:r>
      <w:r w:rsidR="005B4326">
        <w:rPr>
          <w:i/>
        </w:rPr>
        <w:t>nt ECE/TRANS/WP.29/GRPE/2015/4,</w:t>
      </w:r>
    </w:p>
    <w:p w:rsidR="003F4D9D" w:rsidRPr="003F4D9D" w:rsidRDefault="005B4326" w:rsidP="005B4326">
      <w:pPr>
        <w:pStyle w:val="SingleTxtG"/>
      </w:pPr>
      <w:r>
        <w:rPr>
          <w:i/>
        </w:rPr>
        <w:t>Annexe 11, paragraphe 2.10</w:t>
      </w:r>
      <w:r>
        <w:t>,</w:t>
      </w:r>
      <w:r w:rsidR="003F4D9D" w:rsidRPr="003F4D9D">
        <w:t xml:space="preserve"> modifier comme suit:</w:t>
      </w:r>
    </w:p>
    <w:p w:rsidR="003F4D9D" w:rsidRPr="003F4D9D" w:rsidRDefault="005B4326" w:rsidP="005B4326">
      <w:pPr>
        <w:pStyle w:val="SingleTxtG"/>
        <w:ind w:left="2268" w:hanging="1134"/>
        <w:rPr>
          <w:spacing w:val="-2"/>
        </w:rPr>
      </w:pPr>
      <w:r>
        <w:t>«</w:t>
      </w:r>
      <w:r w:rsidR="003F4D9D" w:rsidRPr="003F4D9D">
        <w:t>2.10</w:t>
      </w:r>
      <w:r w:rsidR="003F4D9D" w:rsidRPr="003F4D9D">
        <w:tab/>
      </w:r>
      <w:r>
        <w:t>“</w:t>
      </w:r>
      <w:r w:rsidR="003F4D9D" w:rsidRPr="003F4D9D">
        <w:t>Séquence de fonctionnement</w:t>
      </w:r>
      <w:r>
        <w:t>”</w:t>
      </w:r>
      <w:r w:rsidR="003F4D9D" w:rsidRPr="003F4D9D">
        <w:t>, une séquence d</w:t>
      </w:r>
      <w:r w:rsidR="001844C7">
        <w:t>’</w:t>
      </w:r>
      <w:r w:rsidR="003F4D9D" w:rsidRPr="003F4D9D">
        <w:t xml:space="preserve">opérations comprenant </w:t>
      </w:r>
      <w:r w:rsidR="003F4D9D" w:rsidRPr="005B4326">
        <w:rPr>
          <w:strike/>
        </w:rPr>
        <w:t>le démarrage du moteur</w:t>
      </w:r>
      <w:r w:rsidR="003F4D9D" w:rsidRPr="003F4D9D">
        <w:t xml:space="preserve"> </w:t>
      </w:r>
      <w:r w:rsidR="003F4D9D" w:rsidRPr="005B4326">
        <w:rPr>
          <w:b/>
        </w:rPr>
        <w:t>la mise en position marche</w:t>
      </w:r>
      <w:r w:rsidR="003F4D9D" w:rsidRPr="003F4D9D">
        <w:t>, une phase de conduite pendant laquelle un</w:t>
      </w:r>
      <w:r>
        <w:t xml:space="preserve"> </w:t>
      </w:r>
      <w:r w:rsidR="003F4D9D" w:rsidRPr="003F4D9D">
        <w:rPr>
          <w:spacing w:val="-2"/>
        </w:rPr>
        <w:t>éventuel défaut de fonctionnement serait détecté et</w:t>
      </w:r>
      <w:r>
        <w:rPr>
          <w:spacing w:val="-2"/>
        </w:rPr>
        <w:t> </w:t>
      </w:r>
      <w:r w:rsidR="003F4D9D" w:rsidRPr="005B4326">
        <w:rPr>
          <w:strike/>
          <w:spacing w:val="-2"/>
        </w:rPr>
        <w:t>la</w:t>
      </w:r>
      <w:r w:rsidRPr="005B4326">
        <w:rPr>
          <w:strike/>
          <w:spacing w:val="-2"/>
        </w:rPr>
        <w:t> </w:t>
      </w:r>
      <w:r w:rsidR="003F4D9D" w:rsidRPr="005B4326">
        <w:rPr>
          <w:strike/>
          <w:spacing w:val="-2"/>
        </w:rPr>
        <w:t>coupure du moteur</w:t>
      </w:r>
      <w:r w:rsidR="003F4D9D" w:rsidRPr="003F4D9D">
        <w:rPr>
          <w:spacing w:val="-2"/>
        </w:rPr>
        <w:t xml:space="preserve"> </w:t>
      </w:r>
      <w:r w:rsidR="003F4D9D" w:rsidRPr="005B4326">
        <w:rPr>
          <w:b/>
          <w:spacing w:val="-2"/>
        </w:rPr>
        <w:t>la mise en position arrêt</w:t>
      </w:r>
      <w:r w:rsidR="003F4D9D" w:rsidRPr="003F4D9D">
        <w:rPr>
          <w:spacing w:val="-2"/>
        </w:rPr>
        <w:t>)</w:t>
      </w:r>
      <w:r>
        <w:rPr>
          <w:spacing w:val="-2"/>
        </w:rPr>
        <w:t>»</w:t>
      </w:r>
      <w:r w:rsidR="003F4D9D" w:rsidRPr="003F4D9D">
        <w:rPr>
          <w:spacing w:val="-2"/>
        </w:rPr>
        <w:t>.</w:t>
      </w:r>
    </w:p>
    <w:p w:rsidR="003F4D9D" w:rsidRPr="003F4D9D" w:rsidRDefault="003F4D9D" w:rsidP="005B4326">
      <w:pPr>
        <w:pStyle w:val="H1G"/>
      </w:pPr>
      <w:r w:rsidRPr="003F4D9D">
        <w:tab/>
        <w:t>B.</w:t>
      </w:r>
      <w:r w:rsidRPr="003F4D9D">
        <w:tab/>
        <w:t>Amendements au document ECE/TRANS/WP.29/GRPE/2015/5</w:t>
      </w:r>
    </w:p>
    <w:p w:rsidR="003F4D9D" w:rsidRPr="005B4326" w:rsidRDefault="003F4D9D" w:rsidP="005B4326">
      <w:pPr>
        <w:pStyle w:val="SingleTxtG"/>
        <w:rPr>
          <w:b/>
        </w:rPr>
      </w:pPr>
      <w:r w:rsidRPr="005B4326">
        <w:rPr>
          <w:b/>
        </w:rPr>
        <w:t>Adoptés sur la base du document GRPE-70-05 (voir par.</w:t>
      </w:r>
      <w:r w:rsidR="005B4326" w:rsidRPr="005B4326">
        <w:rPr>
          <w:b/>
        </w:rPr>
        <w:t> </w:t>
      </w:r>
      <w:r w:rsidRPr="005B4326">
        <w:rPr>
          <w:b/>
        </w:rPr>
        <w:t xml:space="preserve">9 </w:t>
      </w:r>
      <w:r w:rsidR="003567A6">
        <w:rPr>
          <w:b/>
        </w:rPr>
        <w:t>et</w:t>
      </w:r>
      <w:r w:rsidRPr="005B4326">
        <w:rPr>
          <w:b/>
        </w:rPr>
        <w:t xml:space="preserve"> 14)</w:t>
      </w:r>
    </w:p>
    <w:p w:rsidR="003F4D9D" w:rsidRPr="005B4326" w:rsidRDefault="003F4D9D" w:rsidP="005B4326">
      <w:pPr>
        <w:pStyle w:val="SingleTxtG"/>
        <w:rPr>
          <w:i/>
        </w:rPr>
      </w:pPr>
      <w:r w:rsidRPr="005B4326">
        <w:rPr>
          <w:i/>
        </w:rPr>
        <w:t>Document ECE/TRANS/WP.29/GRPE/2015/5,</w:t>
      </w:r>
    </w:p>
    <w:p w:rsidR="003F4D9D" w:rsidRPr="003F4D9D" w:rsidRDefault="003F4D9D" w:rsidP="005B4326">
      <w:pPr>
        <w:pStyle w:val="SingleTxtG"/>
      </w:pPr>
      <w:r w:rsidRPr="005B4326">
        <w:rPr>
          <w:i/>
        </w:rPr>
        <w:t>Annexe 11, Appendice 1, paragraphe 7.6.1</w:t>
      </w:r>
      <w:r w:rsidRPr="003F4D9D">
        <w:t>, modifier comme suit:</w:t>
      </w:r>
    </w:p>
    <w:p w:rsidR="003F4D9D" w:rsidRPr="003F4D9D" w:rsidRDefault="005B4326" w:rsidP="005B4326">
      <w:pPr>
        <w:pStyle w:val="SingleTxtG"/>
        <w:ind w:left="2268" w:hanging="1134"/>
        <w:rPr>
          <w:spacing w:val="-2"/>
        </w:rPr>
      </w:pPr>
      <w:r>
        <w:rPr>
          <w:spacing w:val="-2"/>
        </w:rPr>
        <w:t>«</w:t>
      </w:r>
      <w:r w:rsidR="003F4D9D" w:rsidRPr="003F4D9D">
        <w:rPr>
          <w:spacing w:val="-2"/>
        </w:rPr>
        <w:t>7.6.1</w:t>
      </w:r>
      <w:r w:rsidR="003F4D9D" w:rsidRPr="003F4D9D">
        <w:rPr>
          <w:spacing w:val="-2"/>
        </w:rPr>
        <w:tab/>
        <w:t>Le système OBD doit relever, conformément à la norme</w:t>
      </w:r>
      <w:r>
        <w:rPr>
          <w:spacing w:val="-2"/>
        </w:rPr>
        <w:t> </w:t>
      </w:r>
      <w:r w:rsidR="003F4D9D" w:rsidRPr="005B4326">
        <w:rPr>
          <w:b/>
          <w:spacing w:val="-2"/>
        </w:rPr>
        <w:t>ISO</w:t>
      </w:r>
      <w:r w:rsidRPr="005B4326">
        <w:rPr>
          <w:b/>
          <w:spacing w:val="-2"/>
        </w:rPr>
        <w:t> </w:t>
      </w:r>
      <w:r w:rsidR="003F4D9D" w:rsidRPr="005B4326">
        <w:rPr>
          <w:b/>
          <w:spacing w:val="-2"/>
        </w:rPr>
        <w:t>15031-5 mentionnée au paragraphe</w:t>
      </w:r>
      <w:r w:rsidRPr="005B4326">
        <w:rPr>
          <w:b/>
          <w:spacing w:val="-2"/>
        </w:rPr>
        <w:t> </w:t>
      </w:r>
      <w:r w:rsidR="003F4D9D" w:rsidRPr="005B4326">
        <w:rPr>
          <w:b/>
          <w:spacing w:val="-2"/>
        </w:rPr>
        <w:t>6.5.3.2</w:t>
      </w:r>
      <w:r w:rsidRPr="005B4326">
        <w:rPr>
          <w:b/>
          <w:spacing w:val="-2"/>
        </w:rPr>
        <w:t> </w:t>
      </w:r>
      <w:r w:rsidR="003F4D9D" w:rsidRPr="005B4326">
        <w:rPr>
          <w:b/>
          <w:spacing w:val="-2"/>
        </w:rPr>
        <w:t>a) du présent appendice,</w:t>
      </w:r>
      <w:r w:rsidR="003F4D9D" w:rsidRPr="003F4D9D">
        <w:rPr>
          <w:spacing w:val="-2"/>
        </w:rPr>
        <w:t xml:space="preserve"> l</w:t>
      </w:r>
      <w:r w:rsidR="001844C7">
        <w:rPr>
          <w:spacing w:val="-2"/>
        </w:rPr>
        <w:t>’</w:t>
      </w:r>
      <w:r w:rsidR="003F4D9D" w:rsidRPr="003F4D9D">
        <w:rPr>
          <w:spacing w:val="-2"/>
        </w:rPr>
        <w:t>état du compteur de cycles d</w:t>
      </w:r>
      <w:r w:rsidR="001844C7">
        <w:rPr>
          <w:spacing w:val="-2"/>
        </w:rPr>
        <w:t>’</w:t>
      </w:r>
      <w:r w:rsidR="003F4D9D" w:rsidRPr="003F4D9D">
        <w:rPr>
          <w:spacing w:val="-2"/>
        </w:rPr>
        <w:t>allumage et du dénominateur général ainsi que des numérateurs et</w:t>
      </w:r>
      <w:r>
        <w:rPr>
          <w:spacing w:val="-2"/>
        </w:rPr>
        <w:t> </w:t>
      </w:r>
      <w:r w:rsidR="003F4D9D" w:rsidRPr="003F4D9D">
        <w:rPr>
          <w:spacing w:val="-2"/>
        </w:rPr>
        <w:t>dénominateurs séparés pour les programmes de surveillance ci-dessous, si</w:t>
      </w:r>
      <w:r>
        <w:rPr>
          <w:spacing w:val="-2"/>
        </w:rPr>
        <w:t> </w:t>
      </w:r>
      <w:r w:rsidR="003F4D9D" w:rsidRPr="003F4D9D">
        <w:rPr>
          <w:spacing w:val="-2"/>
        </w:rPr>
        <w:t>leur présence sur le véhicule est prescrite par la présente annexe:</w:t>
      </w:r>
    </w:p>
    <w:p w:rsidR="003F4D9D" w:rsidRPr="003F4D9D" w:rsidRDefault="003F4D9D" w:rsidP="005B4326">
      <w:pPr>
        <w:pStyle w:val="SingleTxtG"/>
        <w:ind w:left="2835" w:hanging="567"/>
        <w:rPr>
          <w:spacing w:val="-2"/>
        </w:rPr>
      </w:pPr>
      <w:r w:rsidRPr="003F4D9D">
        <w:rPr>
          <w:spacing w:val="-2"/>
        </w:rPr>
        <w:t>a)</w:t>
      </w:r>
      <w:r w:rsidRPr="003F4D9D">
        <w:rPr>
          <w:spacing w:val="-2"/>
        </w:rPr>
        <w:tab/>
        <w:t xml:space="preserve">Catalyseurs (relevé séparé de chaque rampe); </w:t>
      </w:r>
    </w:p>
    <w:p w:rsidR="003F4D9D" w:rsidRPr="003F4D9D" w:rsidRDefault="003F4D9D" w:rsidP="005B4326">
      <w:pPr>
        <w:pStyle w:val="SingleTxtG"/>
        <w:ind w:left="2835" w:hanging="567"/>
        <w:rPr>
          <w:spacing w:val="-2"/>
        </w:rPr>
      </w:pPr>
      <w:r w:rsidRPr="003F4D9D">
        <w:rPr>
          <w:spacing w:val="-2"/>
        </w:rPr>
        <w:t>b)</w:t>
      </w:r>
      <w:r w:rsidRPr="003F4D9D">
        <w:rPr>
          <w:spacing w:val="-2"/>
        </w:rPr>
        <w:tab/>
        <w:t>Sondes à oxygène (sonde lambda)/capteur de gaz d</w:t>
      </w:r>
      <w:r w:rsidR="001844C7">
        <w:rPr>
          <w:spacing w:val="-2"/>
        </w:rPr>
        <w:t>’</w:t>
      </w:r>
      <w:r w:rsidRPr="003F4D9D">
        <w:rPr>
          <w:spacing w:val="-2"/>
        </w:rPr>
        <w:t>échappement y</w:t>
      </w:r>
      <w:r w:rsidR="005B4326">
        <w:rPr>
          <w:spacing w:val="-2"/>
        </w:rPr>
        <w:t> </w:t>
      </w:r>
      <w:r w:rsidRPr="003F4D9D">
        <w:rPr>
          <w:spacing w:val="-2"/>
        </w:rPr>
        <w:t>compris les sondes à oxygène secondaires (relevé séparé de chaque sonde ou capteur);</w:t>
      </w:r>
    </w:p>
    <w:p w:rsidR="003F4D9D" w:rsidRPr="003F4D9D" w:rsidRDefault="003F4D9D" w:rsidP="005B4326">
      <w:pPr>
        <w:pStyle w:val="SingleTxtG"/>
        <w:ind w:left="2835" w:hanging="567"/>
        <w:rPr>
          <w:spacing w:val="-2"/>
        </w:rPr>
      </w:pPr>
      <w:r w:rsidRPr="003F4D9D">
        <w:rPr>
          <w:spacing w:val="-2"/>
        </w:rPr>
        <w:t>c)</w:t>
      </w:r>
      <w:r w:rsidRPr="003F4D9D">
        <w:rPr>
          <w:spacing w:val="-2"/>
        </w:rPr>
        <w:tab/>
        <w:t>Système d</w:t>
      </w:r>
      <w:r w:rsidR="001844C7">
        <w:rPr>
          <w:spacing w:val="-2"/>
        </w:rPr>
        <w:t>’</w:t>
      </w:r>
      <w:r w:rsidRPr="003F4D9D">
        <w:rPr>
          <w:spacing w:val="-2"/>
        </w:rPr>
        <w:t>évaporation;</w:t>
      </w:r>
    </w:p>
    <w:p w:rsidR="003F4D9D" w:rsidRPr="003F4D9D" w:rsidRDefault="003F4D9D" w:rsidP="005B4326">
      <w:pPr>
        <w:pStyle w:val="SingleTxtG"/>
        <w:ind w:left="2835" w:hanging="567"/>
        <w:rPr>
          <w:spacing w:val="-2"/>
        </w:rPr>
      </w:pPr>
      <w:r w:rsidRPr="003F4D9D">
        <w:rPr>
          <w:spacing w:val="-2"/>
        </w:rPr>
        <w:t>d)</w:t>
      </w:r>
      <w:r w:rsidRPr="003F4D9D">
        <w:rPr>
          <w:spacing w:val="-2"/>
        </w:rPr>
        <w:tab/>
        <w:t>Système EGR;</w:t>
      </w:r>
    </w:p>
    <w:p w:rsidR="003F4D9D" w:rsidRPr="003F4D9D" w:rsidRDefault="003F4D9D" w:rsidP="005B4326">
      <w:pPr>
        <w:pStyle w:val="SingleTxtG"/>
        <w:ind w:left="2835" w:hanging="567"/>
        <w:rPr>
          <w:spacing w:val="-2"/>
        </w:rPr>
      </w:pPr>
      <w:r w:rsidRPr="003F4D9D">
        <w:rPr>
          <w:spacing w:val="-2"/>
        </w:rPr>
        <w:t>e)</w:t>
      </w:r>
      <w:r w:rsidRPr="003F4D9D">
        <w:rPr>
          <w:spacing w:val="-2"/>
        </w:rPr>
        <w:tab/>
        <w:t>Système VVT;</w:t>
      </w:r>
    </w:p>
    <w:p w:rsidR="003F4D9D" w:rsidRPr="003F4D9D" w:rsidRDefault="003F4D9D" w:rsidP="005B4326">
      <w:pPr>
        <w:pStyle w:val="SingleTxtG"/>
        <w:ind w:left="2835" w:hanging="567"/>
        <w:rPr>
          <w:spacing w:val="-2"/>
        </w:rPr>
      </w:pPr>
      <w:r w:rsidRPr="003F4D9D">
        <w:rPr>
          <w:spacing w:val="-2"/>
        </w:rPr>
        <w:t>f)</w:t>
      </w:r>
      <w:r w:rsidRPr="003F4D9D">
        <w:rPr>
          <w:spacing w:val="-2"/>
        </w:rPr>
        <w:tab/>
        <w:t>Système d</w:t>
      </w:r>
      <w:r w:rsidR="001844C7">
        <w:rPr>
          <w:spacing w:val="-2"/>
        </w:rPr>
        <w:t>’</w:t>
      </w:r>
      <w:r w:rsidRPr="003F4D9D">
        <w:rPr>
          <w:spacing w:val="-2"/>
        </w:rPr>
        <w:t>air secondaire;</w:t>
      </w:r>
    </w:p>
    <w:p w:rsidR="003F4D9D" w:rsidRPr="003F4D9D" w:rsidRDefault="003F4D9D" w:rsidP="005B4326">
      <w:pPr>
        <w:pStyle w:val="SingleTxtG"/>
        <w:ind w:left="2835" w:hanging="567"/>
        <w:rPr>
          <w:spacing w:val="-2"/>
        </w:rPr>
      </w:pPr>
      <w:r w:rsidRPr="003F4D9D">
        <w:rPr>
          <w:spacing w:val="-2"/>
        </w:rPr>
        <w:t>g)</w:t>
      </w:r>
      <w:r w:rsidRPr="003F4D9D">
        <w:rPr>
          <w:spacing w:val="-2"/>
        </w:rPr>
        <w:tab/>
        <w:t>Filtre à particules;</w:t>
      </w:r>
    </w:p>
    <w:p w:rsidR="003F4D9D" w:rsidRPr="003F4D9D" w:rsidRDefault="003F4D9D" w:rsidP="005B4326">
      <w:pPr>
        <w:pStyle w:val="SingleTxtG"/>
        <w:ind w:left="2835" w:hanging="567"/>
        <w:rPr>
          <w:spacing w:val="-2"/>
        </w:rPr>
      </w:pPr>
      <w:r w:rsidRPr="003F4D9D">
        <w:rPr>
          <w:spacing w:val="-2"/>
        </w:rPr>
        <w:t>h)</w:t>
      </w:r>
      <w:r w:rsidRPr="003F4D9D">
        <w:rPr>
          <w:spacing w:val="-2"/>
        </w:rPr>
        <w:tab/>
        <w:t>Système d</w:t>
      </w:r>
      <w:r w:rsidR="001844C7">
        <w:rPr>
          <w:spacing w:val="-2"/>
        </w:rPr>
        <w:t>’</w:t>
      </w:r>
      <w:r w:rsidRPr="003F4D9D">
        <w:rPr>
          <w:spacing w:val="-2"/>
        </w:rPr>
        <w:t xml:space="preserve">épuration aval des NOx (par exemple </w:t>
      </w:r>
      <w:r w:rsidRPr="005B4326">
        <w:rPr>
          <w:b/>
          <w:spacing w:val="-2"/>
        </w:rPr>
        <w:t>adsorbeur</w:t>
      </w:r>
      <w:r w:rsidRPr="003F4D9D">
        <w:rPr>
          <w:spacing w:val="-2"/>
        </w:rPr>
        <w:t xml:space="preserve"> de NOx, système réactif/catalyseur de NOx);</w:t>
      </w:r>
    </w:p>
    <w:p w:rsidR="003F4D9D" w:rsidRPr="003F4D9D" w:rsidRDefault="003F4D9D" w:rsidP="005B4326">
      <w:pPr>
        <w:pStyle w:val="SingleTxtG"/>
        <w:ind w:left="2835" w:hanging="567"/>
        <w:rPr>
          <w:spacing w:val="-2"/>
        </w:rPr>
      </w:pPr>
      <w:r w:rsidRPr="003F4D9D">
        <w:rPr>
          <w:spacing w:val="-2"/>
        </w:rPr>
        <w:t>i)</w:t>
      </w:r>
      <w:r w:rsidRPr="003F4D9D">
        <w:rPr>
          <w:spacing w:val="-2"/>
        </w:rPr>
        <w:tab/>
        <w:t>Système de régulation de la pression de suralimentation.</w:t>
      </w:r>
      <w:r w:rsidR="003567A6">
        <w:rPr>
          <w:spacing w:val="-2"/>
        </w:rPr>
        <w:t>».</w:t>
      </w:r>
    </w:p>
    <w:p w:rsidR="003F4D9D" w:rsidRPr="003F4D9D" w:rsidRDefault="003F4D9D" w:rsidP="005B4326">
      <w:pPr>
        <w:pStyle w:val="SingleTxtG"/>
      </w:pPr>
      <w:r w:rsidRPr="005B4326">
        <w:rPr>
          <w:i/>
        </w:rPr>
        <w:t>Annexe 11, paragraphe 2.10</w:t>
      </w:r>
      <w:r w:rsidRPr="003F4D9D">
        <w:t>, modifier comme suit:</w:t>
      </w:r>
    </w:p>
    <w:p w:rsidR="004209CF" w:rsidRDefault="005B4326" w:rsidP="005B4326">
      <w:pPr>
        <w:pStyle w:val="SingleTxtG"/>
        <w:ind w:left="2268" w:hanging="1134"/>
      </w:pPr>
      <w:r>
        <w:t>«</w:t>
      </w:r>
      <w:r w:rsidR="004209CF">
        <w:t>2.10</w:t>
      </w:r>
      <w:r w:rsidR="003F4D9D" w:rsidRPr="003F4D9D">
        <w:tab/>
      </w:r>
      <w:r w:rsidR="004209CF">
        <w:t>“</w:t>
      </w:r>
      <w:r w:rsidR="003F4D9D" w:rsidRPr="004209CF">
        <w:rPr>
          <w:i/>
        </w:rPr>
        <w:t>Séquence de fonctionnement</w:t>
      </w:r>
      <w:r w:rsidR="003F4D9D" w:rsidRPr="003F4D9D">
        <w:t>”, une séquence d</w:t>
      </w:r>
      <w:r w:rsidR="001844C7">
        <w:t>’</w:t>
      </w:r>
      <w:r w:rsidR="003F4D9D" w:rsidRPr="003F4D9D">
        <w:t xml:space="preserve">opérations comprenant </w:t>
      </w:r>
      <w:r w:rsidR="003F4D9D" w:rsidRPr="004209CF">
        <w:rPr>
          <w:strike/>
        </w:rPr>
        <w:t>le démarrage du moteur</w:t>
      </w:r>
      <w:r w:rsidR="003F4D9D" w:rsidRPr="003F4D9D">
        <w:t xml:space="preserve"> </w:t>
      </w:r>
      <w:r w:rsidR="003F4D9D" w:rsidRPr="004209CF">
        <w:rPr>
          <w:b/>
        </w:rPr>
        <w:t>la mise en position marche</w:t>
      </w:r>
      <w:r w:rsidR="003F4D9D" w:rsidRPr="003F4D9D">
        <w:t xml:space="preserve">, une phase de marche pendant laquelle un éventuel défaut de fonctionnement serait détecté et </w:t>
      </w:r>
      <w:r w:rsidR="003F4D9D" w:rsidRPr="004209CF">
        <w:rPr>
          <w:strike/>
        </w:rPr>
        <w:t>la coupure du moteur</w:t>
      </w:r>
      <w:r w:rsidR="003F4D9D" w:rsidRPr="003F4D9D">
        <w:t xml:space="preserve"> </w:t>
      </w:r>
      <w:r w:rsidR="003F4D9D" w:rsidRPr="004209CF">
        <w:rPr>
          <w:b/>
        </w:rPr>
        <w:t>la mise en position arrêt</w:t>
      </w:r>
      <w:r w:rsidR="004209CF">
        <w:t>»</w:t>
      </w:r>
      <w:r w:rsidR="003F4D9D" w:rsidRPr="003F4D9D">
        <w:t>.</w:t>
      </w:r>
    </w:p>
    <w:p w:rsidR="004209CF" w:rsidRPr="003F130A" w:rsidRDefault="004209CF" w:rsidP="004209CF">
      <w:pPr>
        <w:pStyle w:val="HChG"/>
        <w:rPr>
          <w:lang w:val="en-GB"/>
        </w:rPr>
      </w:pPr>
      <w:r>
        <w:br w:type="page"/>
      </w:r>
      <w:r w:rsidRPr="003F130A">
        <w:rPr>
          <w:lang w:val="en-GB"/>
        </w:rPr>
        <w:lastRenderedPageBreak/>
        <w:t>Annex</w:t>
      </w:r>
      <w:r>
        <w:rPr>
          <w:lang w:val="en-GB"/>
        </w:rPr>
        <w:t>e</w:t>
      </w:r>
      <w:r w:rsidRPr="003F130A">
        <w:rPr>
          <w:lang w:val="en-GB"/>
        </w:rPr>
        <w:t xml:space="preserve"> V</w:t>
      </w:r>
    </w:p>
    <w:p w:rsidR="004209CF" w:rsidRPr="00DE181B" w:rsidRDefault="004209CF" w:rsidP="00DE181B">
      <w:pPr>
        <w:pStyle w:val="H1G"/>
      </w:pPr>
      <w:r w:rsidRPr="004209CF">
        <w:tab/>
      </w:r>
      <w:r w:rsidRPr="004209CF">
        <w:tab/>
      </w:r>
      <w:r w:rsidRPr="00DE181B">
        <w:t>Amendements au document ECE/TRANS/WP.29/GRPE/2015/3</w:t>
      </w:r>
    </w:p>
    <w:p w:rsidR="004209CF" w:rsidRPr="004209CF" w:rsidRDefault="004209CF" w:rsidP="004209CF">
      <w:pPr>
        <w:pStyle w:val="H23G"/>
      </w:pPr>
      <w:r w:rsidRPr="004209CF">
        <w:tab/>
      </w:r>
      <w:r w:rsidRPr="004209CF">
        <w:tab/>
        <w:t>Adoptés sur la base du document GRPE-70-04 (voir par. 21)</w:t>
      </w:r>
    </w:p>
    <w:p w:rsidR="004209CF" w:rsidRPr="004209CF" w:rsidRDefault="004209CF" w:rsidP="004209CF">
      <w:pPr>
        <w:pStyle w:val="SingleTxtG"/>
        <w:ind w:left="2268" w:hanging="1134"/>
      </w:pPr>
      <w:r w:rsidRPr="004209CF">
        <w:t>Remarque:</w:t>
      </w:r>
      <w:r w:rsidRPr="004209CF">
        <w:tab/>
        <w:t>Une version de synthèse du texte adopté inclus dans la présente annexe est contenue dans le document GRPE-70-07-Rev.1</w:t>
      </w:r>
      <w:r w:rsidR="003567A6">
        <w:t>.</w:t>
      </w:r>
    </w:p>
    <w:p w:rsidR="004209CF" w:rsidRPr="004209CF" w:rsidRDefault="004209CF" w:rsidP="004209CF">
      <w:pPr>
        <w:pStyle w:val="SingleTxtG"/>
        <w:rPr>
          <w:i/>
        </w:rPr>
      </w:pPr>
      <w:r w:rsidRPr="004209CF">
        <w:rPr>
          <w:i/>
        </w:rPr>
        <w:t>Document ECE/TRANS/WP.29/GRPE/2015/3, paragraphe 13.2.1</w:t>
      </w:r>
      <w:r w:rsidRPr="004209CF">
        <w:t xml:space="preserve">, </w:t>
      </w:r>
      <w:r w:rsidRPr="004209CF">
        <w:rPr>
          <w:noProof/>
        </w:rPr>
        <w:t>modifier comme suit</w:t>
      </w:r>
      <w:r w:rsidRPr="004209CF">
        <w:t>:</w:t>
      </w:r>
    </w:p>
    <w:p w:rsidR="004209CF" w:rsidRPr="004209CF" w:rsidRDefault="004209CF" w:rsidP="004209CF">
      <w:pPr>
        <w:pStyle w:val="SingleTxtG"/>
        <w:ind w:left="2268" w:hanging="1134"/>
      </w:pPr>
      <w:r w:rsidRPr="004209CF">
        <w:t>«13.2.1</w:t>
      </w:r>
      <w:r w:rsidRPr="004209CF">
        <w:tab/>
        <w:t>À dater de l</w:t>
      </w:r>
      <w:r w:rsidR="001844C7">
        <w:t>’</w:t>
      </w:r>
      <w:r w:rsidRPr="004209CF">
        <w:t>entrée en vigueur de la série</w:t>
      </w:r>
      <w:r>
        <w:t> </w:t>
      </w:r>
      <w:r w:rsidRPr="004209CF">
        <w:t>06 d</w:t>
      </w:r>
      <w:r w:rsidR="001844C7">
        <w:t>’</w:t>
      </w:r>
      <w:r w:rsidRPr="004209CF">
        <w:t>amendements au présent Règlement, les Parties contractantes appliquant le Règlement ne délivreront une homologation CEE pour un système moteur ou un véhicule que si celui</w:t>
      </w:r>
      <w:r>
        <w:noBreakHyphen/>
      </w:r>
      <w:r w:rsidRPr="004209CF">
        <w:t>ci satisfait:</w:t>
      </w:r>
    </w:p>
    <w:p w:rsidR="004209CF" w:rsidRPr="004209CF" w:rsidRDefault="004209CF" w:rsidP="004209CF">
      <w:pPr>
        <w:pStyle w:val="SingleTxtG"/>
        <w:ind w:left="2835" w:hanging="567"/>
      </w:pPr>
      <w:r w:rsidRPr="004209CF">
        <w:t>a)</w:t>
      </w:r>
      <w:r w:rsidRPr="004209CF">
        <w:tab/>
        <w:t>Aux prescriptions du paragraphe</w:t>
      </w:r>
      <w:r>
        <w:t> </w:t>
      </w:r>
      <w:r w:rsidRPr="004209CF">
        <w:t>4.1 du présent Règlement;</w:t>
      </w:r>
    </w:p>
    <w:p w:rsidR="004209CF" w:rsidRPr="004209CF" w:rsidRDefault="004209CF" w:rsidP="004209CF">
      <w:pPr>
        <w:pStyle w:val="SingleTxtG"/>
        <w:ind w:left="2835" w:hanging="567"/>
      </w:pPr>
      <w:r w:rsidRPr="004209CF">
        <w:t>b)</w:t>
      </w:r>
      <w:r w:rsidRPr="004209CF">
        <w:tab/>
        <w:t>Aux prescriptions de surveillance de l</w:t>
      </w:r>
      <w:r w:rsidR="001844C7">
        <w:t>’</w:t>
      </w:r>
      <w:r w:rsidRPr="004209CF">
        <w:t>efficacité énoncées au paragraphe</w:t>
      </w:r>
      <w:r>
        <w:t> </w:t>
      </w:r>
      <w:r w:rsidRPr="004209CF">
        <w:t>2.3.2.2 de l</w:t>
      </w:r>
      <w:r w:rsidR="001844C7">
        <w:t>’</w:t>
      </w:r>
      <w:r w:rsidRPr="004209CF">
        <w:t>annexe</w:t>
      </w:r>
      <w:r>
        <w:t> </w:t>
      </w:r>
      <w:r w:rsidRPr="004209CF">
        <w:t>9A</w:t>
      </w:r>
      <w:r w:rsidRPr="004209CF">
        <w:rPr>
          <w:bCs/>
        </w:rPr>
        <w:t xml:space="preserve">, </w:t>
      </w:r>
      <w:r w:rsidRPr="004209CF">
        <w:rPr>
          <w:b/>
          <w:bCs/>
        </w:rPr>
        <w:t>dans le cas des moteurs et véhicules à allumage par compression et bicarburant</w:t>
      </w:r>
      <w:r w:rsidRPr="004209CF">
        <w:t>;</w:t>
      </w:r>
    </w:p>
    <w:p w:rsidR="004209CF" w:rsidRPr="004209CF" w:rsidRDefault="004209CF" w:rsidP="004209CF">
      <w:pPr>
        <w:pStyle w:val="SingleTxtG"/>
        <w:ind w:left="2835" w:hanging="567"/>
        <w:rPr>
          <w:b/>
          <w:bCs/>
        </w:rPr>
      </w:pPr>
      <w:r w:rsidRPr="004209CF">
        <w:t>c)</w:t>
      </w:r>
      <w:r w:rsidRPr="004209CF">
        <w:tab/>
        <w:t>Aux prescriptions de surveillance des valeurs limites OBD pour les oxydes d</w:t>
      </w:r>
      <w:r w:rsidR="001844C7">
        <w:t>’</w:t>
      </w:r>
      <w:r w:rsidRPr="004209CF">
        <w:t>azote, telles qu</w:t>
      </w:r>
      <w:r w:rsidR="001844C7">
        <w:t>’</w:t>
      </w:r>
      <w:r w:rsidRPr="004209CF">
        <w:t xml:space="preserve">elles sont énoncées dans </w:t>
      </w:r>
      <w:r w:rsidRPr="004209CF">
        <w:rPr>
          <w:strike/>
        </w:rPr>
        <w:t>les</w:t>
      </w:r>
      <w:r w:rsidRPr="004209CF">
        <w:t xml:space="preserve"> le tableau</w:t>
      </w:r>
      <w:r w:rsidRPr="004209CF">
        <w:rPr>
          <w:strike/>
        </w:rPr>
        <w:t>x</w:t>
      </w:r>
      <w:r w:rsidRPr="004209CF">
        <w:t xml:space="preserve"> 1 </w:t>
      </w:r>
      <w:r w:rsidRPr="004209CF">
        <w:rPr>
          <w:strike/>
        </w:rPr>
        <w:t>et 2</w:t>
      </w:r>
      <w:r w:rsidRPr="004209CF">
        <w:t xml:space="preserve"> de l</w:t>
      </w:r>
      <w:r w:rsidR="001844C7">
        <w:t>’</w:t>
      </w:r>
      <w:r w:rsidRPr="004209CF">
        <w:t>annexe</w:t>
      </w:r>
      <w:r>
        <w:t> </w:t>
      </w:r>
      <w:r w:rsidRPr="004209CF">
        <w:t xml:space="preserve">9A, sur la ligne </w:t>
      </w:r>
      <w:r>
        <w:t>“</w:t>
      </w:r>
      <w:r w:rsidRPr="004209CF">
        <w:t>Phase de transition</w:t>
      </w:r>
      <w:r>
        <w:t>”</w:t>
      </w:r>
      <w:r w:rsidRPr="004209CF">
        <w:rPr>
          <w:b/>
          <w:bCs/>
        </w:rPr>
        <w:t>, dans le cas des moteurs et véhicules à allumage</w:t>
      </w:r>
      <w:r>
        <w:rPr>
          <w:b/>
          <w:bCs/>
        </w:rPr>
        <w:t xml:space="preserve"> par compression et bicarburant</w:t>
      </w:r>
      <w:r w:rsidR="000E63EE" w:rsidRPr="000E63EE">
        <w:rPr>
          <w:bCs/>
        </w:rPr>
        <w:t>;</w:t>
      </w:r>
    </w:p>
    <w:p w:rsidR="004209CF" w:rsidRPr="004209CF" w:rsidRDefault="004209CF" w:rsidP="004209CF">
      <w:pPr>
        <w:pStyle w:val="SingleTxtG"/>
        <w:ind w:left="2835" w:hanging="567"/>
        <w:rPr>
          <w:b/>
        </w:rPr>
      </w:pPr>
      <w:r w:rsidRPr="004209CF">
        <w:rPr>
          <w:b/>
        </w:rPr>
        <w:t>d)</w:t>
      </w:r>
      <w:r w:rsidRPr="004209CF">
        <w:rPr>
          <w:b/>
        </w:rPr>
        <w:tab/>
      </w:r>
      <w:r w:rsidRPr="004209CF">
        <w:rPr>
          <w:b/>
          <w:bCs/>
        </w:rPr>
        <w:t>Aux prescriptions de surveillance des valeurs limites OBD pour les oxydes d</w:t>
      </w:r>
      <w:r w:rsidR="001844C7">
        <w:rPr>
          <w:b/>
          <w:bCs/>
        </w:rPr>
        <w:t>’</w:t>
      </w:r>
      <w:r w:rsidRPr="004209CF">
        <w:rPr>
          <w:b/>
          <w:bCs/>
        </w:rPr>
        <w:t>azote, telles qu</w:t>
      </w:r>
      <w:r w:rsidR="001844C7">
        <w:rPr>
          <w:b/>
          <w:bCs/>
        </w:rPr>
        <w:t>’</w:t>
      </w:r>
      <w:r w:rsidRPr="004209CF">
        <w:rPr>
          <w:b/>
          <w:bCs/>
        </w:rPr>
        <w:t>elles sont énoncées dans le tableau</w:t>
      </w:r>
      <w:r w:rsidR="000E63EE">
        <w:rPr>
          <w:b/>
          <w:bCs/>
        </w:rPr>
        <w:t> </w:t>
      </w:r>
      <w:r w:rsidRPr="004209CF">
        <w:rPr>
          <w:b/>
          <w:bCs/>
        </w:rPr>
        <w:t>2 de l</w:t>
      </w:r>
      <w:r w:rsidR="001844C7">
        <w:rPr>
          <w:b/>
          <w:bCs/>
        </w:rPr>
        <w:t>’</w:t>
      </w:r>
      <w:r w:rsidRPr="004209CF">
        <w:rPr>
          <w:b/>
          <w:bCs/>
        </w:rPr>
        <w:t>annexe</w:t>
      </w:r>
      <w:r w:rsidR="000E63EE">
        <w:rPr>
          <w:b/>
          <w:bCs/>
        </w:rPr>
        <w:t> </w:t>
      </w:r>
      <w:r w:rsidRPr="004209CF">
        <w:rPr>
          <w:b/>
          <w:bCs/>
        </w:rPr>
        <w:t xml:space="preserve">9A, sur la ligne </w:t>
      </w:r>
      <w:r w:rsidR="000E63EE">
        <w:rPr>
          <w:b/>
          <w:bCs/>
        </w:rPr>
        <w:t>“</w:t>
      </w:r>
      <w:r w:rsidRPr="004209CF">
        <w:rPr>
          <w:b/>
          <w:bCs/>
        </w:rPr>
        <w:t>Phase de transition</w:t>
      </w:r>
      <w:r w:rsidR="000E63EE">
        <w:rPr>
          <w:b/>
          <w:bCs/>
        </w:rPr>
        <w:t>”</w:t>
      </w:r>
      <w:r w:rsidRPr="004209CF">
        <w:rPr>
          <w:b/>
          <w:bCs/>
        </w:rPr>
        <w:t>, dans le cas des moteurs à gaz et des moteurs à allumage commandé</w:t>
      </w:r>
      <w:r w:rsidRPr="004209CF">
        <w:rPr>
          <w:b/>
        </w:rPr>
        <w:t>;</w:t>
      </w:r>
    </w:p>
    <w:p w:rsidR="004209CF" w:rsidRPr="004209CF" w:rsidRDefault="004209CF" w:rsidP="004209CF">
      <w:pPr>
        <w:pStyle w:val="SingleTxtG"/>
        <w:ind w:left="2835" w:hanging="567"/>
      </w:pPr>
      <w:r w:rsidRPr="004209CF">
        <w:rPr>
          <w:b/>
        </w:rPr>
        <w:t>e</w:t>
      </w:r>
      <w:r w:rsidRPr="004209CF">
        <w:t>)</w:t>
      </w:r>
      <w:r w:rsidRPr="004209CF">
        <w:tab/>
        <w:t xml:space="preserve">Aux prescriptions concernant la qualité </w:t>
      </w:r>
      <w:r w:rsidRPr="004209CF">
        <w:rPr>
          <w:strike/>
        </w:rPr>
        <w:t>et la consommation</w:t>
      </w:r>
      <w:r w:rsidRPr="004209CF">
        <w:t xml:space="preserve"> du réactif de la </w:t>
      </w:r>
      <w:r w:rsidR="000E63EE" w:rsidRPr="003567A6">
        <w:rPr>
          <w:b/>
          <w:bCs/>
        </w:rPr>
        <w:t>«</w:t>
      </w:r>
      <w:r w:rsidRPr="003567A6">
        <w:rPr>
          <w:b/>
          <w:bCs/>
        </w:rPr>
        <w:t>Phase de transition</w:t>
      </w:r>
      <w:r w:rsidR="000E63EE" w:rsidRPr="003567A6">
        <w:rPr>
          <w:b/>
          <w:bCs/>
        </w:rPr>
        <w:t>»</w:t>
      </w:r>
      <w:r w:rsidRPr="003567A6">
        <w:rPr>
          <w:b/>
        </w:rPr>
        <w:t>,</w:t>
      </w:r>
      <w:r w:rsidRPr="004209CF">
        <w:t xml:space="preserve"> telles qu</w:t>
      </w:r>
      <w:r w:rsidR="001844C7">
        <w:t>’</w:t>
      </w:r>
      <w:r w:rsidRPr="004209CF">
        <w:t>elles sont énoncées au</w:t>
      </w:r>
      <w:r w:rsidRPr="004209CF">
        <w:rPr>
          <w:strike/>
        </w:rPr>
        <w:t>x</w:t>
      </w:r>
      <w:r w:rsidRPr="004209CF">
        <w:t xml:space="preserve"> paragraphe</w:t>
      </w:r>
      <w:r w:rsidRPr="004209CF">
        <w:rPr>
          <w:strike/>
        </w:rPr>
        <w:t>s</w:t>
      </w:r>
      <w:r w:rsidRPr="004209CF">
        <w:t xml:space="preserve"> 7.1.1.1 </w:t>
      </w:r>
      <w:r w:rsidRPr="004209CF">
        <w:rPr>
          <w:strike/>
        </w:rPr>
        <w:t>et 8.4.1.1</w:t>
      </w:r>
      <w:r w:rsidRPr="004209CF">
        <w:t xml:space="preserve"> de l</w:t>
      </w:r>
      <w:r w:rsidR="001844C7">
        <w:t>’</w:t>
      </w:r>
      <w:r w:rsidRPr="004209CF">
        <w:t>annexe</w:t>
      </w:r>
      <w:r w:rsidR="000E63EE">
        <w:t> </w:t>
      </w:r>
      <w:r w:rsidRPr="004209CF">
        <w:t>11.</w:t>
      </w:r>
      <w:r w:rsidR="000E63EE">
        <w:t>».</w:t>
      </w:r>
    </w:p>
    <w:p w:rsidR="004209CF" w:rsidRPr="004209CF" w:rsidRDefault="004209CF" w:rsidP="000E63EE">
      <w:pPr>
        <w:pStyle w:val="SingleTxtG"/>
        <w:rPr>
          <w:i/>
        </w:rPr>
      </w:pPr>
      <w:r w:rsidRPr="004209CF">
        <w:rPr>
          <w:i/>
        </w:rPr>
        <w:t>Paragraphe 13.3</w:t>
      </w:r>
      <w:r w:rsidRPr="000E63EE">
        <w:t>,</w:t>
      </w:r>
      <w:r w:rsidRPr="004209CF">
        <w:rPr>
          <w:i/>
        </w:rPr>
        <w:t xml:space="preserve"> </w:t>
      </w:r>
      <w:r w:rsidRPr="004209CF">
        <w:rPr>
          <w:noProof/>
        </w:rPr>
        <w:t>modifier comme suit</w:t>
      </w:r>
      <w:r w:rsidRPr="004209CF">
        <w:t>:</w:t>
      </w:r>
    </w:p>
    <w:p w:rsidR="004209CF" w:rsidRPr="004209CF" w:rsidRDefault="000E63EE" w:rsidP="000E63EE">
      <w:pPr>
        <w:pStyle w:val="SingleTxtG"/>
        <w:ind w:left="2268" w:hanging="1134"/>
      </w:pPr>
      <w:r>
        <w:t>«</w:t>
      </w:r>
      <w:r w:rsidR="004209CF" w:rsidRPr="004209CF">
        <w:t>13.3</w:t>
      </w:r>
      <w:r w:rsidR="004209CF" w:rsidRPr="004209CF">
        <w:tab/>
      </w:r>
      <w:r w:rsidR="004209CF" w:rsidRPr="004209CF">
        <w:rPr>
          <w:strike/>
        </w:rPr>
        <w:t>Limite de validité</w:t>
      </w:r>
      <w:r w:rsidR="004209CF" w:rsidRPr="004209CF">
        <w:t xml:space="preserve"> </w:t>
      </w:r>
      <w:r w:rsidR="004209CF" w:rsidRPr="004209CF">
        <w:rPr>
          <w:b/>
        </w:rPr>
        <w:t xml:space="preserve">Acceptation </w:t>
      </w:r>
      <w:r w:rsidR="004209CF" w:rsidRPr="004209CF">
        <w:t xml:space="preserve">des homologations de type </w:t>
      </w:r>
      <w:r w:rsidR="004209CF" w:rsidRPr="004209CF">
        <w:rPr>
          <w:b/>
        </w:rPr>
        <w:t>déj</w:t>
      </w:r>
      <w:r>
        <w:rPr>
          <w:b/>
        </w:rPr>
        <w:t>à</w:t>
      </w:r>
      <w:r w:rsidR="004209CF" w:rsidRPr="004209CF">
        <w:rPr>
          <w:b/>
        </w:rPr>
        <w:t xml:space="preserve"> délivrées</w:t>
      </w:r>
    </w:p>
    <w:p w:rsidR="004209CF" w:rsidRPr="000E63EE" w:rsidRDefault="000E63EE" w:rsidP="000E63EE">
      <w:pPr>
        <w:pStyle w:val="SingleTxtG"/>
        <w:ind w:left="2268" w:hanging="1134"/>
        <w:rPr>
          <w:b/>
        </w:rPr>
      </w:pPr>
      <w:r>
        <w:t>13.3.1</w:t>
      </w:r>
      <w:r w:rsidR="004209CF" w:rsidRPr="004209CF">
        <w:tab/>
        <w:t xml:space="preserve">À dater du </w:t>
      </w:r>
      <w:r w:rsidR="004209CF" w:rsidRPr="004209CF">
        <w:rPr>
          <w:strike/>
        </w:rPr>
        <w:t>1</w:t>
      </w:r>
      <w:r w:rsidR="004209CF" w:rsidRPr="000E63EE">
        <w:rPr>
          <w:strike/>
          <w:vertAlign w:val="superscript"/>
        </w:rPr>
        <w:t>er</w:t>
      </w:r>
      <w:r w:rsidR="004209CF" w:rsidRPr="000E63EE">
        <w:rPr>
          <w:strike/>
        </w:rPr>
        <w:t xml:space="preserve"> </w:t>
      </w:r>
      <w:r w:rsidR="004209CF" w:rsidRPr="004209CF">
        <w:rPr>
          <w:strike/>
        </w:rPr>
        <w:t>janvier 2014</w:t>
      </w:r>
      <w:r w:rsidR="004209CF" w:rsidRPr="004209CF">
        <w:t xml:space="preserve"> </w:t>
      </w:r>
      <w:r w:rsidR="004209CF" w:rsidRPr="004209CF">
        <w:rPr>
          <w:b/>
        </w:rPr>
        <w:t>31</w:t>
      </w:r>
      <w:r>
        <w:rPr>
          <w:b/>
        </w:rPr>
        <w:t> </w:t>
      </w:r>
      <w:r w:rsidR="004209CF" w:rsidRPr="004209CF">
        <w:rPr>
          <w:b/>
        </w:rPr>
        <w:t>décembre 2013</w:t>
      </w:r>
      <w:r w:rsidR="004209CF" w:rsidRPr="004209CF">
        <w:t xml:space="preserve">, </w:t>
      </w:r>
      <w:r w:rsidR="004209CF" w:rsidRPr="004209CF">
        <w:rPr>
          <w:b/>
        </w:rPr>
        <w:t>les</w:t>
      </w:r>
      <w:r w:rsidR="004209CF" w:rsidRPr="004209CF">
        <w:t xml:space="preserve"> </w:t>
      </w:r>
      <w:r>
        <w:rPr>
          <w:b/>
        </w:rPr>
        <w:t>Parties c</w:t>
      </w:r>
      <w:r w:rsidR="004209CF" w:rsidRPr="004209CF">
        <w:rPr>
          <w:b/>
        </w:rPr>
        <w:t>ontractantes peuvent refuser</w:t>
      </w:r>
      <w:r w:rsidR="004209CF" w:rsidRPr="004209CF">
        <w:t xml:space="preserve"> les homologations de type délivrées conformément au présent Règlement </w:t>
      </w:r>
      <w:r w:rsidR="004209CF" w:rsidRPr="004209CF">
        <w:rPr>
          <w:strike/>
        </w:rPr>
        <w:t>modifié par la série 05 d</w:t>
      </w:r>
      <w:r w:rsidR="001844C7">
        <w:rPr>
          <w:strike/>
        </w:rPr>
        <w:t>’</w:t>
      </w:r>
      <w:r w:rsidR="004209CF" w:rsidRPr="004209CF">
        <w:rPr>
          <w:strike/>
        </w:rPr>
        <w:t>amendements cessent d</w:t>
      </w:r>
      <w:r w:rsidR="001844C7">
        <w:rPr>
          <w:strike/>
        </w:rPr>
        <w:t>’</w:t>
      </w:r>
      <w:r w:rsidR="004209CF" w:rsidRPr="004209CF">
        <w:rPr>
          <w:strike/>
        </w:rPr>
        <w:t>être valides.</w:t>
      </w:r>
      <w:r w:rsidR="004209CF" w:rsidRPr="004209CF">
        <w:t xml:space="preserve"> </w:t>
      </w:r>
      <w:r w:rsidR="004209CF" w:rsidRPr="000E63EE">
        <w:rPr>
          <w:b/>
        </w:rPr>
        <w:t>qui ne satisfont pas aux prescriptions mentionnées au paragraphe</w:t>
      </w:r>
      <w:r>
        <w:rPr>
          <w:b/>
        </w:rPr>
        <w:t> </w:t>
      </w:r>
      <w:r w:rsidR="004209CF" w:rsidRPr="000E63EE">
        <w:rPr>
          <w:b/>
        </w:rPr>
        <w:t>13.2.1 ci-dessus</w:t>
      </w:r>
      <w:r w:rsidR="004209CF" w:rsidRPr="000E63EE">
        <w:t>.</w:t>
      </w:r>
    </w:p>
    <w:p w:rsidR="004209CF" w:rsidRPr="004209CF" w:rsidRDefault="004209CF" w:rsidP="000E63EE">
      <w:pPr>
        <w:pStyle w:val="SingleTxtG"/>
        <w:ind w:left="2268" w:hanging="1134"/>
      </w:pPr>
      <w:r w:rsidRPr="004209CF">
        <w:t>13.3.2</w:t>
      </w:r>
      <w:r w:rsidRPr="004209CF">
        <w:tab/>
        <w:t>À dater du 1</w:t>
      </w:r>
      <w:r w:rsidR="000E63EE" w:rsidRPr="000E63EE">
        <w:rPr>
          <w:vertAlign w:val="superscript"/>
        </w:rPr>
        <w:t>er</w:t>
      </w:r>
      <w:r w:rsidR="000E63EE">
        <w:t> </w:t>
      </w:r>
      <w:r w:rsidRPr="004209CF">
        <w:t xml:space="preserve">septembre 2015, </w:t>
      </w:r>
      <w:r w:rsidRPr="004209CF">
        <w:rPr>
          <w:b/>
          <w:bCs/>
        </w:rPr>
        <w:t xml:space="preserve">dans le cas des moteurs et des véhicules à allumage commandé, </w:t>
      </w:r>
      <w:r w:rsidRPr="004209CF">
        <w:rPr>
          <w:b/>
        </w:rPr>
        <w:t>les</w:t>
      </w:r>
      <w:r w:rsidRPr="004209CF">
        <w:t xml:space="preserve"> </w:t>
      </w:r>
      <w:r w:rsidRPr="004209CF">
        <w:rPr>
          <w:b/>
        </w:rPr>
        <w:t xml:space="preserve">Parties </w:t>
      </w:r>
      <w:r w:rsidR="000E63EE">
        <w:rPr>
          <w:b/>
        </w:rPr>
        <w:t>c</w:t>
      </w:r>
      <w:r w:rsidRPr="004209CF">
        <w:rPr>
          <w:b/>
        </w:rPr>
        <w:t xml:space="preserve">ontractantes peuvent refuser </w:t>
      </w:r>
      <w:r w:rsidRPr="004209CF">
        <w:t>les homologations de type délivrées conformément au présent Règlement modifié par la série</w:t>
      </w:r>
      <w:r w:rsidR="000E63EE">
        <w:t> </w:t>
      </w:r>
      <w:r w:rsidRPr="004209CF">
        <w:t>06 d</w:t>
      </w:r>
      <w:r w:rsidR="001844C7">
        <w:t>’</w:t>
      </w:r>
      <w:r w:rsidRPr="004209CF">
        <w:t xml:space="preserve">amendements qui ne satisfont pas aux prescriptions </w:t>
      </w:r>
      <w:r w:rsidRPr="004209CF">
        <w:rPr>
          <w:b/>
        </w:rPr>
        <w:t xml:space="preserve">mentionnées </w:t>
      </w:r>
      <w:r w:rsidRPr="004209CF">
        <w:t>au  paragraphe</w:t>
      </w:r>
      <w:r w:rsidR="000E63EE">
        <w:t> </w:t>
      </w:r>
      <w:r w:rsidRPr="004209CF">
        <w:t xml:space="preserve">13.2.2 </w:t>
      </w:r>
      <w:r w:rsidRPr="004209CF">
        <w:rPr>
          <w:b/>
        </w:rPr>
        <w:t xml:space="preserve">ci-dessus </w:t>
      </w:r>
      <w:r w:rsidRPr="004209CF">
        <w:rPr>
          <w:strike/>
        </w:rPr>
        <w:t>cessent d</w:t>
      </w:r>
      <w:r w:rsidR="001844C7">
        <w:rPr>
          <w:strike/>
        </w:rPr>
        <w:t>’</w:t>
      </w:r>
      <w:r w:rsidRPr="004209CF">
        <w:rPr>
          <w:strike/>
        </w:rPr>
        <w:t>être valides</w:t>
      </w:r>
      <w:r w:rsidRPr="004209CF">
        <w:t>.</w:t>
      </w:r>
    </w:p>
    <w:p w:rsidR="004209CF" w:rsidRPr="004209CF" w:rsidRDefault="004209CF" w:rsidP="000E63EE">
      <w:pPr>
        <w:pStyle w:val="SingleTxtG"/>
        <w:ind w:left="2268" w:hanging="1134"/>
      </w:pPr>
      <w:r w:rsidRPr="004209CF">
        <w:t>13.3.3</w:t>
      </w:r>
      <w:r w:rsidRPr="004209CF">
        <w:tab/>
        <w:t>À dater du 31</w:t>
      </w:r>
      <w:r w:rsidR="000E63EE">
        <w:t> </w:t>
      </w:r>
      <w:r w:rsidRPr="004209CF">
        <w:t xml:space="preserve">décembre 2016, </w:t>
      </w:r>
      <w:r w:rsidRPr="004209CF">
        <w:rPr>
          <w:b/>
        </w:rPr>
        <w:t>les</w:t>
      </w:r>
      <w:r w:rsidRPr="004209CF">
        <w:t xml:space="preserve"> </w:t>
      </w:r>
      <w:r w:rsidRPr="004209CF">
        <w:rPr>
          <w:b/>
        </w:rPr>
        <w:t xml:space="preserve">Parties </w:t>
      </w:r>
      <w:r w:rsidR="000E63EE">
        <w:rPr>
          <w:b/>
        </w:rPr>
        <w:t>c</w:t>
      </w:r>
      <w:r w:rsidRPr="004209CF">
        <w:rPr>
          <w:b/>
        </w:rPr>
        <w:t xml:space="preserve">ontractantes peuvent refuser </w:t>
      </w:r>
      <w:r w:rsidRPr="004209CF">
        <w:t>les homologations de type délivrées conformément au présent Règlement modifié par la série</w:t>
      </w:r>
      <w:r w:rsidR="000E63EE">
        <w:t> </w:t>
      </w:r>
      <w:r w:rsidRPr="004209CF">
        <w:t>06 d</w:t>
      </w:r>
      <w:r w:rsidR="001844C7">
        <w:t>’</w:t>
      </w:r>
      <w:r w:rsidRPr="004209CF">
        <w:t xml:space="preserve">amendements qui ne satisfont pas aux prescriptions </w:t>
      </w:r>
      <w:r w:rsidRPr="004209CF">
        <w:rPr>
          <w:b/>
        </w:rPr>
        <w:t xml:space="preserve">mentionnées </w:t>
      </w:r>
      <w:r w:rsidRPr="004209CF">
        <w:t>au paragraphe</w:t>
      </w:r>
      <w:r w:rsidR="000E63EE">
        <w:t> </w:t>
      </w:r>
      <w:r w:rsidRPr="004209CF">
        <w:rPr>
          <w:bCs/>
        </w:rPr>
        <w:t xml:space="preserve">13.2.3 </w:t>
      </w:r>
      <w:r w:rsidRPr="004209CF">
        <w:t>ci-dessus</w:t>
      </w:r>
      <w:r w:rsidRPr="004209CF">
        <w:rPr>
          <w:b/>
        </w:rPr>
        <w:t xml:space="preserve">. </w:t>
      </w:r>
      <w:r w:rsidRPr="004209CF">
        <w:rPr>
          <w:strike/>
        </w:rPr>
        <w:t>cessent d</w:t>
      </w:r>
      <w:r w:rsidR="001844C7">
        <w:rPr>
          <w:strike/>
        </w:rPr>
        <w:t>’</w:t>
      </w:r>
      <w:r w:rsidRPr="004209CF">
        <w:rPr>
          <w:strike/>
        </w:rPr>
        <w:t>être valides</w:t>
      </w:r>
      <w:r w:rsidRPr="004209CF">
        <w:t>.</w:t>
      </w:r>
      <w:r w:rsidR="000E63EE">
        <w:t>».</w:t>
      </w:r>
    </w:p>
    <w:p w:rsidR="00733BEC" w:rsidRDefault="004209CF" w:rsidP="00BC4A6F">
      <w:pPr>
        <w:pStyle w:val="SingleTxtG"/>
        <w:jc w:val="left"/>
        <w:sectPr w:rsidR="00733BEC" w:rsidSect="00584BCA">
          <w:headerReference w:type="even" r:id="rId16"/>
          <w:headerReference w:type="default" r:id="rId17"/>
          <w:footerReference w:type="even" r:id="rId18"/>
          <w:footerReference w:type="default" r:id="rId19"/>
          <w:footerReference w:type="first" r:id="rId20"/>
          <w:endnotePr>
            <w:numFmt w:val="decimal"/>
          </w:endnotePr>
          <w:pgSz w:w="11906" w:h="16838" w:code="9"/>
          <w:pgMar w:top="1701" w:right="1134" w:bottom="2268" w:left="1134" w:header="1134" w:footer="1701" w:gutter="0"/>
          <w:cols w:space="708"/>
          <w:titlePg/>
          <w:docGrid w:linePitch="360"/>
        </w:sectPr>
      </w:pPr>
      <w:r w:rsidRPr="004209CF">
        <w:rPr>
          <w:i/>
        </w:rPr>
        <w:t>Annexe 1, Partie 1, tableau</w:t>
      </w:r>
      <w:r w:rsidRPr="000E63EE">
        <w:t xml:space="preserve">, </w:t>
      </w:r>
      <w:r w:rsidRPr="004209CF">
        <w:t xml:space="preserve">supprimer </w:t>
      </w:r>
      <w:r w:rsidR="000E63EE">
        <w:t>«</w:t>
      </w:r>
      <w:r w:rsidRPr="004209CF">
        <w:t>paragraphe</w:t>
      </w:r>
      <w:r w:rsidR="000E63EE">
        <w:t> </w:t>
      </w:r>
      <w:r w:rsidRPr="004209CF">
        <w:t>3.2.12.2.8.6</w:t>
      </w:r>
      <w:r w:rsidR="003567A6">
        <w:t>.</w:t>
      </w:r>
    </w:p>
    <w:p w:rsidR="00733BEC" w:rsidRDefault="00733BEC" w:rsidP="00614E72">
      <w:pPr>
        <w:pStyle w:val="SingleTxtG"/>
        <w:keepNext/>
        <w:ind w:left="284"/>
      </w:pPr>
      <w:r>
        <w:rPr>
          <w:i/>
        </w:rPr>
        <w:lastRenderedPageBreak/>
        <w:t>Annexe 3, tableau 1 (y compris les notes relatives aux références)</w:t>
      </w:r>
      <w:r>
        <w:t>, modifier comme suit:</w:t>
      </w:r>
    </w:p>
    <w:p w:rsidR="00733BEC" w:rsidRDefault="00733BEC" w:rsidP="00733BEC">
      <w:pPr>
        <w:pStyle w:val="Heading1"/>
        <w:ind w:left="284"/>
        <w:rPr>
          <w:lang w:eastAsia="en-GB"/>
        </w:rPr>
      </w:pPr>
      <w:r>
        <w:rPr>
          <w:lang w:eastAsia="en-GB"/>
        </w:rPr>
        <w:t>«Tableau 1</w:t>
      </w:r>
    </w:p>
    <w:p w:rsidR="00733BEC" w:rsidRDefault="00733BEC" w:rsidP="00733BEC">
      <w:pPr>
        <w:spacing w:after="120"/>
        <w:ind w:left="284"/>
        <w:rPr>
          <w:b/>
          <w:bCs/>
          <w:lang w:eastAsia="en-GB"/>
        </w:rPr>
      </w:pPr>
      <w:r>
        <w:rPr>
          <w:b/>
          <w:bCs/>
          <w:lang w:eastAsia="en-GB"/>
        </w:rPr>
        <w:t>Lettres faisant référence au stade des prescriptions concernant les systèmes d</w:t>
      </w:r>
      <w:r w:rsidR="001844C7">
        <w:rPr>
          <w:b/>
          <w:bCs/>
          <w:lang w:eastAsia="en-GB"/>
        </w:rPr>
        <w:t>’</w:t>
      </w:r>
      <w:r>
        <w:rPr>
          <w:b/>
          <w:bCs/>
          <w:lang w:eastAsia="en-GB"/>
        </w:rPr>
        <w:t>autodiagnostic (OBD) et de réduction catalytique sélective (RCS)</w:t>
      </w:r>
    </w:p>
    <w:tbl>
      <w:tblPr>
        <w:tblStyle w:val="TableGrid"/>
        <w:tblW w:w="12359"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4"/>
        <w:gridCol w:w="1374"/>
        <w:gridCol w:w="1373"/>
        <w:gridCol w:w="1373"/>
        <w:gridCol w:w="1373"/>
        <w:gridCol w:w="1373"/>
        <w:gridCol w:w="1373"/>
        <w:gridCol w:w="1373"/>
        <w:gridCol w:w="1373"/>
      </w:tblGrid>
      <w:tr w:rsidR="00AC196E" w:rsidRPr="006D5AB2" w:rsidTr="0020051F">
        <w:tc>
          <w:tcPr>
            <w:tcW w:w="1374" w:type="dxa"/>
            <w:tcBorders>
              <w:top w:val="single" w:sz="4" w:space="0" w:color="auto"/>
              <w:bottom w:val="single" w:sz="12" w:space="0" w:color="auto"/>
            </w:tcBorders>
            <w:shd w:val="clear" w:color="auto" w:fill="auto"/>
            <w:vAlign w:val="center"/>
          </w:tcPr>
          <w:p w:rsidR="00AC196E" w:rsidRPr="006D5AB2" w:rsidRDefault="00AC196E" w:rsidP="00D31E3F">
            <w:pPr>
              <w:suppressAutoHyphens w:val="0"/>
              <w:spacing w:before="80" w:after="80" w:line="200" w:lineRule="exact"/>
              <w:ind w:right="113"/>
              <w:jc w:val="center"/>
              <w:rPr>
                <w:b/>
                <w:i/>
                <w:noProof/>
                <w:sz w:val="16"/>
                <w:szCs w:val="16"/>
                <w:lang w:eastAsia="en-GB"/>
              </w:rPr>
            </w:pPr>
            <w:r w:rsidRPr="006D5AB2">
              <w:rPr>
                <w:b/>
                <w:i/>
                <w:noProof/>
                <w:sz w:val="16"/>
                <w:szCs w:val="16"/>
                <w:lang w:eastAsia="en-GB"/>
              </w:rPr>
              <w:t>Lettre</w:t>
            </w:r>
          </w:p>
        </w:tc>
        <w:tc>
          <w:tcPr>
            <w:tcW w:w="1374" w:type="dxa"/>
            <w:tcBorders>
              <w:top w:val="single" w:sz="4" w:space="0" w:color="auto"/>
              <w:bottom w:val="single" w:sz="12" w:space="0" w:color="auto"/>
            </w:tcBorders>
            <w:shd w:val="clear" w:color="auto" w:fill="auto"/>
            <w:vAlign w:val="center"/>
          </w:tcPr>
          <w:p w:rsidR="00AC196E" w:rsidRPr="006D5AB2" w:rsidRDefault="00AC196E" w:rsidP="00D31E3F">
            <w:pPr>
              <w:suppressAutoHyphens w:val="0"/>
              <w:spacing w:before="80" w:after="80" w:line="200" w:lineRule="exact"/>
              <w:ind w:right="113"/>
              <w:jc w:val="center"/>
              <w:rPr>
                <w:b/>
                <w:i/>
                <w:noProof/>
                <w:sz w:val="16"/>
                <w:szCs w:val="16"/>
                <w:lang w:eastAsia="en-GB"/>
              </w:rPr>
            </w:pPr>
            <w:r w:rsidRPr="006D5AB2">
              <w:rPr>
                <w:b/>
                <w:i/>
                <w:noProof/>
                <w:sz w:val="16"/>
                <w:szCs w:val="16"/>
                <w:lang w:eastAsia="en-GB"/>
              </w:rPr>
              <w:t>Valeurs</w:t>
            </w:r>
            <w:r w:rsidRPr="006D5AB2">
              <w:rPr>
                <w:b/>
                <w:i/>
                <w:noProof/>
                <w:sz w:val="16"/>
                <w:szCs w:val="16"/>
                <w:lang w:eastAsia="en-GB"/>
              </w:rPr>
              <w:br/>
              <w:t xml:space="preserve">limites OBD </w:t>
            </w:r>
            <w:r w:rsidRPr="006D5AB2">
              <w:rPr>
                <w:b/>
                <w:i/>
                <w:noProof/>
                <w:sz w:val="16"/>
                <w:szCs w:val="16"/>
                <w:lang w:eastAsia="en-GB"/>
              </w:rPr>
              <w:br/>
              <w:t>pour les oxydes</w:t>
            </w:r>
            <w:r w:rsidRPr="006D5AB2">
              <w:rPr>
                <w:b/>
                <w:i/>
                <w:noProof/>
                <w:sz w:val="16"/>
                <w:szCs w:val="16"/>
                <w:lang w:eastAsia="en-GB"/>
              </w:rPr>
              <w:br/>
              <w:t>d</w:t>
            </w:r>
            <w:r w:rsidR="001844C7">
              <w:rPr>
                <w:b/>
                <w:i/>
                <w:noProof/>
                <w:sz w:val="16"/>
                <w:szCs w:val="16"/>
                <w:lang w:eastAsia="en-GB"/>
              </w:rPr>
              <w:t>’</w:t>
            </w:r>
            <w:r w:rsidRPr="006D5AB2">
              <w:rPr>
                <w:b/>
                <w:i/>
                <w:noProof/>
                <w:sz w:val="16"/>
                <w:szCs w:val="16"/>
                <w:lang w:eastAsia="en-GB"/>
              </w:rPr>
              <w:t>azote</w:t>
            </w:r>
            <w:r w:rsidRPr="003567A6">
              <w:rPr>
                <w:b/>
                <w:noProof/>
                <w:sz w:val="16"/>
                <w:szCs w:val="16"/>
                <w:vertAlign w:val="superscript"/>
                <w:lang w:eastAsia="en-GB"/>
              </w:rPr>
              <w:t>1</w:t>
            </w:r>
          </w:p>
        </w:tc>
        <w:tc>
          <w:tcPr>
            <w:tcW w:w="1373" w:type="dxa"/>
            <w:tcBorders>
              <w:top w:val="single" w:sz="4" w:space="0" w:color="auto"/>
              <w:bottom w:val="single" w:sz="12" w:space="0" w:color="auto"/>
            </w:tcBorders>
            <w:shd w:val="clear" w:color="auto" w:fill="auto"/>
            <w:vAlign w:val="center"/>
          </w:tcPr>
          <w:p w:rsidR="00AC196E" w:rsidRPr="006D5AB2" w:rsidRDefault="00AC196E" w:rsidP="00D31E3F">
            <w:pPr>
              <w:suppressAutoHyphens w:val="0"/>
              <w:spacing w:before="80" w:after="80" w:line="200" w:lineRule="exact"/>
              <w:ind w:right="113"/>
              <w:jc w:val="center"/>
              <w:rPr>
                <w:b/>
                <w:i/>
                <w:noProof/>
                <w:sz w:val="16"/>
                <w:szCs w:val="16"/>
                <w:lang w:eastAsia="en-GB"/>
              </w:rPr>
            </w:pPr>
            <w:r w:rsidRPr="006D5AB2">
              <w:rPr>
                <w:b/>
                <w:i/>
                <w:noProof/>
                <w:sz w:val="16"/>
                <w:szCs w:val="16"/>
                <w:lang w:eastAsia="en-GB"/>
              </w:rPr>
              <w:t>Valeurs</w:t>
            </w:r>
            <w:r w:rsidRPr="006D5AB2">
              <w:rPr>
                <w:b/>
                <w:i/>
                <w:noProof/>
                <w:sz w:val="16"/>
                <w:szCs w:val="16"/>
                <w:lang w:eastAsia="en-GB"/>
              </w:rPr>
              <w:br/>
              <w:t xml:space="preserve">limites OBD </w:t>
            </w:r>
            <w:r w:rsidRPr="006D5AB2">
              <w:rPr>
                <w:b/>
                <w:i/>
                <w:noProof/>
                <w:sz w:val="16"/>
                <w:szCs w:val="16"/>
                <w:lang w:eastAsia="en-GB"/>
              </w:rPr>
              <w:br/>
              <w:t>pour les particules</w:t>
            </w:r>
            <w:r w:rsidRPr="003567A6">
              <w:rPr>
                <w:b/>
                <w:noProof/>
                <w:sz w:val="16"/>
                <w:szCs w:val="16"/>
                <w:vertAlign w:val="superscript"/>
                <w:lang w:eastAsia="en-GB"/>
              </w:rPr>
              <w:t>2</w:t>
            </w:r>
          </w:p>
        </w:tc>
        <w:tc>
          <w:tcPr>
            <w:tcW w:w="1373" w:type="dxa"/>
            <w:tcBorders>
              <w:top w:val="single" w:sz="4" w:space="0" w:color="auto"/>
              <w:bottom w:val="single" w:sz="12" w:space="0" w:color="auto"/>
            </w:tcBorders>
            <w:shd w:val="clear" w:color="auto" w:fill="auto"/>
            <w:vAlign w:val="center"/>
          </w:tcPr>
          <w:p w:rsidR="00AC196E" w:rsidRPr="006D5AB2" w:rsidRDefault="00AC196E" w:rsidP="00D31E3F">
            <w:pPr>
              <w:suppressAutoHyphens w:val="0"/>
              <w:spacing w:before="80" w:after="80" w:line="200" w:lineRule="exact"/>
              <w:ind w:right="113"/>
              <w:jc w:val="center"/>
              <w:rPr>
                <w:b/>
                <w:i/>
                <w:noProof/>
                <w:sz w:val="16"/>
                <w:szCs w:val="16"/>
                <w:lang w:eastAsia="en-GB"/>
              </w:rPr>
            </w:pPr>
            <w:r w:rsidRPr="006D5AB2">
              <w:rPr>
                <w:b/>
                <w:i/>
                <w:noProof/>
                <w:sz w:val="16"/>
                <w:szCs w:val="16"/>
                <w:lang w:eastAsia="en-GB"/>
              </w:rPr>
              <w:t xml:space="preserve">Valeurs </w:t>
            </w:r>
            <w:r w:rsidRPr="006D5AB2">
              <w:rPr>
                <w:b/>
                <w:i/>
                <w:noProof/>
                <w:sz w:val="16"/>
                <w:szCs w:val="16"/>
                <w:lang w:eastAsia="en-GB"/>
              </w:rPr>
              <w:br/>
              <w:t xml:space="preserve">limites OBD </w:t>
            </w:r>
            <w:r w:rsidRPr="006D5AB2">
              <w:rPr>
                <w:b/>
                <w:i/>
                <w:noProof/>
                <w:sz w:val="16"/>
                <w:szCs w:val="16"/>
                <w:lang w:eastAsia="en-GB"/>
              </w:rPr>
              <w:br/>
              <w:t>pour le monoxyde</w:t>
            </w:r>
            <w:r w:rsidRPr="006D5AB2">
              <w:rPr>
                <w:b/>
                <w:i/>
                <w:noProof/>
                <w:sz w:val="16"/>
                <w:szCs w:val="16"/>
                <w:lang w:eastAsia="en-GB"/>
              </w:rPr>
              <w:br/>
              <w:t>de carbone</w:t>
            </w:r>
            <w:r w:rsidRPr="003567A6">
              <w:rPr>
                <w:b/>
                <w:noProof/>
                <w:sz w:val="16"/>
                <w:szCs w:val="16"/>
                <w:vertAlign w:val="superscript"/>
                <w:lang w:eastAsia="en-GB"/>
              </w:rPr>
              <w:t>6</w:t>
            </w:r>
          </w:p>
        </w:tc>
        <w:tc>
          <w:tcPr>
            <w:tcW w:w="1373" w:type="dxa"/>
            <w:tcBorders>
              <w:top w:val="single" w:sz="4" w:space="0" w:color="auto"/>
              <w:bottom w:val="single" w:sz="12" w:space="0" w:color="auto"/>
            </w:tcBorders>
            <w:shd w:val="clear" w:color="auto" w:fill="auto"/>
            <w:vAlign w:val="center"/>
          </w:tcPr>
          <w:p w:rsidR="00AC196E" w:rsidRPr="006D5AB2" w:rsidRDefault="00AC196E" w:rsidP="00D31E3F">
            <w:pPr>
              <w:suppressAutoHyphens w:val="0"/>
              <w:spacing w:before="80" w:after="80" w:line="200" w:lineRule="exact"/>
              <w:ind w:right="113"/>
              <w:jc w:val="center"/>
              <w:rPr>
                <w:b/>
                <w:i/>
                <w:noProof/>
                <w:sz w:val="16"/>
                <w:szCs w:val="16"/>
                <w:lang w:eastAsia="en-GB"/>
              </w:rPr>
            </w:pPr>
            <w:r w:rsidRPr="006D5AB2">
              <w:rPr>
                <w:b/>
                <w:i/>
                <w:noProof/>
                <w:sz w:val="16"/>
                <w:szCs w:val="16"/>
                <w:lang w:eastAsia="en-GB"/>
              </w:rPr>
              <w:t>IUPR</w:t>
            </w:r>
            <w:r w:rsidRPr="003567A6">
              <w:rPr>
                <w:b/>
                <w:noProof/>
                <w:sz w:val="16"/>
                <w:szCs w:val="16"/>
                <w:vertAlign w:val="superscript"/>
                <w:lang w:eastAsia="en-GB"/>
              </w:rPr>
              <w:t>13</w:t>
            </w:r>
          </w:p>
        </w:tc>
        <w:tc>
          <w:tcPr>
            <w:tcW w:w="1373" w:type="dxa"/>
            <w:tcBorders>
              <w:top w:val="single" w:sz="4" w:space="0" w:color="auto"/>
              <w:bottom w:val="single" w:sz="12" w:space="0" w:color="auto"/>
            </w:tcBorders>
            <w:shd w:val="clear" w:color="auto" w:fill="auto"/>
            <w:vAlign w:val="center"/>
          </w:tcPr>
          <w:p w:rsidR="00AC196E" w:rsidRPr="006D5AB2" w:rsidRDefault="00AC196E" w:rsidP="00D31E3F">
            <w:pPr>
              <w:suppressAutoHyphens w:val="0"/>
              <w:spacing w:before="80" w:after="80" w:line="200" w:lineRule="exact"/>
              <w:ind w:right="113"/>
              <w:jc w:val="center"/>
              <w:rPr>
                <w:b/>
                <w:i/>
                <w:noProof/>
                <w:sz w:val="16"/>
                <w:szCs w:val="16"/>
                <w:lang w:eastAsia="en-GB"/>
              </w:rPr>
            </w:pPr>
            <w:r w:rsidRPr="006D5AB2">
              <w:rPr>
                <w:b/>
                <w:i/>
                <w:noProof/>
                <w:sz w:val="16"/>
                <w:szCs w:val="16"/>
                <w:lang w:eastAsia="en-GB"/>
              </w:rPr>
              <w:t xml:space="preserve">Qualité </w:t>
            </w:r>
            <w:r w:rsidRPr="006D5AB2">
              <w:rPr>
                <w:b/>
                <w:i/>
                <w:noProof/>
                <w:sz w:val="16"/>
                <w:szCs w:val="16"/>
                <w:lang w:eastAsia="en-GB"/>
              </w:rPr>
              <w:br/>
              <w:t>du réactif</w:t>
            </w:r>
          </w:p>
        </w:tc>
        <w:tc>
          <w:tcPr>
            <w:tcW w:w="1373" w:type="dxa"/>
            <w:tcBorders>
              <w:top w:val="single" w:sz="4" w:space="0" w:color="auto"/>
              <w:bottom w:val="single" w:sz="12" w:space="0" w:color="auto"/>
            </w:tcBorders>
            <w:shd w:val="clear" w:color="auto" w:fill="auto"/>
            <w:vAlign w:val="center"/>
          </w:tcPr>
          <w:p w:rsidR="00AC196E" w:rsidRPr="006D5AB2" w:rsidRDefault="00AC196E" w:rsidP="00D31E3F">
            <w:pPr>
              <w:suppressAutoHyphens w:val="0"/>
              <w:spacing w:before="80" w:after="80" w:line="200" w:lineRule="exact"/>
              <w:ind w:right="113"/>
              <w:jc w:val="center"/>
              <w:rPr>
                <w:b/>
                <w:i/>
                <w:noProof/>
                <w:sz w:val="16"/>
                <w:szCs w:val="16"/>
                <w:lang w:eastAsia="en-GB"/>
              </w:rPr>
            </w:pPr>
            <w:r w:rsidRPr="006D5AB2">
              <w:rPr>
                <w:b/>
                <w:i/>
                <w:noProof/>
                <w:sz w:val="16"/>
                <w:szCs w:val="16"/>
                <w:lang w:eastAsia="en-GB"/>
              </w:rPr>
              <w:t>Programmes</w:t>
            </w:r>
            <w:r w:rsidRPr="006D5AB2">
              <w:rPr>
                <w:b/>
                <w:i/>
                <w:noProof/>
                <w:sz w:val="16"/>
                <w:szCs w:val="16"/>
                <w:lang w:eastAsia="en-GB"/>
              </w:rPr>
              <w:br/>
              <w:t>de surveillance OBD supplémentaires</w:t>
            </w:r>
            <w:r w:rsidRPr="003567A6">
              <w:rPr>
                <w:b/>
                <w:noProof/>
                <w:sz w:val="16"/>
                <w:szCs w:val="16"/>
                <w:vertAlign w:val="superscript"/>
                <w:lang w:eastAsia="en-GB"/>
              </w:rPr>
              <w:t>12</w:t>
            </w:r>
          </w:p>
        </w:tc>
        <w:tc>
          <w:tcPr>
            <w:tcW w:w="1373" w:type="dxa"/>
            <w:tcBorders>
              <w:top w:val="single" w:sz="4" w:space="0" w:color="auto"/>
              <w:bottom w:val="single" w:sz="12" w:space="0" w:color="auto"/>
            </w:tcBorders>
            <w:shd w:val="clear" w:color="auto" w:fill="auto"/>
            <w:vAlign w:val="center"/>
          </w:tcPr>
          <w:p w:rsidR="00AC196E" w:rsidRPr="006D5AB2" w:rsidRDefault="00AC196E" w:rsidP="00614E72">
            <w:pPr>
              <w:suppressAutoHyphens w:val="0"/>
              <w:spacing w:before="80" w:after="80" w:line="200" w:lineRule="exact"/>
              <w:ind w:right="113"/>
              <w:jc w:val="center"/>
              <w:rPr>
                <w:b/>
                <w:i/>
                <w:noProof/>
                <w:sz w:val="16"/>
                <w:szCs w:val="16"/>
                <w:lang w:eastAsia="en-GB"/>
              </w:rPr>
            </w:pPr>
            <w:r w:rsidRPr="006D5AB2">
              <w:rPr>
                <w:b/>
                <w:i/>
                <w:noProof/>
                <w:sz w:val="16"/>
                <w:szCs w:val="16"/>
                <w:lang w:eastAsia="en-GB"/>
              </w:rPr>
              <w:t>Dates d</w:t>
            </w:r>
            <w:r w:rsidR="001844C7">
              <w:rPr>
                <w:b/>
                <w:i/>
                <w:noProof/>
                <w:sz w:val="16"/>
                <w:szCs w:val="16"/>
                <w:lang w:eastAsia="en-GB"/>
              </w:rPr>
              <w:t>’</w:t>
            </w:r>
            <w:r w:rsidRPr="006D5AB2">
              <w:rPr>
                <w:b/>
                <w:i/>
                <w:noProof/>
                <w:sz w:val="16"/>
                <w:szCs w:val="16"/>
                <w:lang w:eastAsia="en-GB"/>
              </w:rPr>
              <w:t>application: nouveaux types</w:t>
            </w:r>
          </w:p>
        </w:tc>
        <w:tc>
          <w:tcPr>
            <w:tcW w:w="1373" w:type="dxa"/>
            <w:tcBorders>
              <w:top w:val="single" w:sz="4" w:space="0" w:color="auto"/>
              <w:bottom w:val="single" w:sz="12" w:space="0" w:color="auto"/>
            </w:tcBorders>
            <w:shd w:val="clear" w:color="auto" w:fill="auto"/>
            <w:vAlign w:val="center"/>
          </w:tcPr>
          <w:p w:rsidR="00AC196E" w:rsidRPr="006D5AB2" w:rsidRDefault="00AC196E" w:rsidP="00D31E3F">
            <w:pPr>
              <w:suppressAutoHyphens w:val="0"/>
              <w:spacing w:before="80" w:after="80" w:line="200" w:lineRule="exact"/>
              <w:ind w:right="113"/>
              <w:jc w:val="center"/>
              <w:rPr>
                <w:b/>
                <w:i/>
                <w:noProof/>
                <w:sz w:val="16"/>
                <w:szCs w:val="16"/>
                <w:lang w:eastAsia="en-GB"/>
              </w:rPr>
            </w:pPr>
            <w:r w:rsidRPr="006D5AB2">
              <w:rPr>
                <w:i/>
                <w:noProof/>
                <w:sz w:val="16"/>
                <w:szCs w:val="16"/>
                <w:lang w:eastAsia="en-GB"/>
              </w:rPr>
              <w:t xml:space="preserve">Date à partir de laquelle </w:t>
            </w:r>
            <w:r w:rsidRPr="006D5AB2">
              <w:rPr>
                <w:i/>
                <w:sz w:val="16"/>
                <w:szCs w:val="16"/>
              </w:rPr>
              <w:t xml:space="preserve">les Parties </w:t>
            </w:r>
            <w:r w:rsidR="00D31E3F" w:rsidRPr="006D5AB2">
              <w:rPr>
                <w:i/>
                <w:sz w:val="16"/>
                <w:szCs w:val="16"/>
              </w:rPr>
              <w:t>c</w:t>
            </w:r>
            <w:r w:rsidRPr="006D5AB2">
              <w:rPr>
                <w:i/>
                <w:sz w:val="16"/>
                <w:szCs w:val="16"/>
              </w:rPr>
              <w:t>ontractantes peuvent refuser</w:t>
            </w:r>
            <w:r w:rsidRPr="006D5AB2">
              <w:rPr>
                <w:b/>
                <w:i/>
                <w:sz w:val="16"/>
                <w:szCs w:val="16"/>
              </w:rPr>
              <w:t xml:space="preserve"> </w:t>
            </w:r>
            <w:r w:rsidRPr="006D5AB2">
              <w:rPr>
                <w:i/>
                <w:sz w:val="16"/>
                <w:szCs w:val="16"/>
                <w:lang w:val="en-US"/>
              </w:rPr>
              <w:t>les homologations de type</w:t>
            </w:r>
          </w:p>
        </w:tc>
      </w:tr>
      <w:tr w:rsidR="00AC196E" w:rsidRPr="00AC196E" w:rsidTr="00AC196E">
        <w:trPr>
          <w:trHeight w:hRule="exact" w:val="113"/>
        </w:trPr>
        <w:tc>
          <w:tcPr>
            <w:tcW w:w="1374" w:type="dxa"/>
            <w:tcBorders>
              <w:top w:val="single" w:sz="12" w:space="0" w:color="auto"/>
            </w:tcBorders>
            <w:shd w:val="clear" w:color="auto" w:fill="auto"/>
            <w:vAlign w:val="bottom"/>
          </w:tcPr>
          <w:p w:rsidR="00AC196E" w:rsidRPr="00AC196E" w:rsidRDefault="00AC196E" w:rsidP="00AC196E">
            <w:pPr>
              <w:spacing w:before="80" w:after="80" w:line="200" w:lineRule="exact"/>
              <w:ind w:right="113"/>
              <w:rPr>
                <w:i/>
                <w:sz w:val="16"/>
              </w:rPr>
            </w:pPr>
          </w:p>
        </w:tc>
        <w:tc>
          <w:tcPr>
            <w:tcW w:w="1374" w:type="dxa"/>
            <w:tcBorders>
              <w:top w:val="single" w:sz="12" w:space="0" w:color="auto"/>
            </w:tcBorders>
            <w:shd w:val="clear" w:color="auto" w:fill="auto"/>
            <w:vAlign w:val="bottom"/>
          </w:tcPr>
          <w:p w:rsidR="00AC196E" w:rsidRPr="00AC196E" w:rsidRDefault="00AC196E" w:rsidP="00AC196E">
            <w:pPr>
              <w:spacing w:before="80" w:after="80" w:line="200" w:lineRule="exact"/>
              <w:ind w:right="113"/>
              <w:rPr>
                <w:i/>
                <w:sz w:val="16"/>
              </w:rPr>
            </w:pPr>
          </w:p>
        </w:tc>
        <w:tc>
          <w:tcPr>
            <w:tcW w:w="1373" w:type="dxa"/>
            <w:tcBorders>
              <w:top w:val="single" w:sz="12" w:space="0" w:color="auto"/>
            </w:tcBorders>
            <w:shd w:val="clear" w:color="auto" w:fill="auto"/>
            <w:vAlign w:val="bottom"/>
          </w:tcPr>
          <w:p w:rsidR="00AC196E" w:rsidRPr="00AC196E" w:rsidRDefault="00AC196E" w:rsidP="00AC196E">
            <w:pPr>
              <w:spacing w:before="80" w:after="80" w:line="200" w:lineRule="exact"/>
              <w:ind w:right="113"/>
              <w:rPr>
                <w:i/>
                <w:sz w:val="16"/>
              </w:rPr>
            </w:pPr>
          </w:p>
        </w:tc>
        <w:tc>
          <w:tcPr>
            <w:tcW w:w="1373" w:type="dxa"/>
            <w:tcBorders>
              <w:top w:val="single" w:sz="12" w:space="0" w:color="auto"/>
            </w:tcBorders>
            <w:shd w:val="clear" w:color="auto" w:fill="auto"/>
            <w:vAlign w:val="bottom"/>
          </w:tcPr>
          <w:p w:rsidR="00AC196E" w:rsidRPr="00AC196E" w:rsidRDefault="00AC196E" w:rsidP="00AC196E">
            <w:pPr>
              <w:spacing w:before="80" w:after="80" w:line="200" w:lineRule="exact"/>
              <w:ind w:right="113"/>
              <w:rPr>
                <w:i/>
                <w:sz w:val="16"/>
              </w:rPr>
            </w:pPr>
          </w:p>
        </w:tc>
        <w:tc>
          <w:tcPr>
            <w:tcW w:w="1373" w:type="dxa"/>
            <w:tcBorders>
              <w:top w:val="single" w:sz="12" w:space="0" w:color="auto"/>
            </w:tcBorders>
            <w:shd w:val="clear" w:color="auto" w:fill="auto"/>
            <w:vAlign w:val="bottom"/>
          </w:tcPr>
          <w:p w:rsidR="00AC196E" w:rsidRPr="00AC196E" w:rsidRDefault="00AC196E" w:rsidP="00AC196E">
            <w:pPr>
              <w:spacing w:before="80" w:after="80" w:line="200" w:lineRule="exact"/>
              <w:ind w:right="113"/>
              <w:rPr>
                <w:i/>
                <w:sz w:val="16"/>
              </w:rPr>
            </w:pPr>
          </w:p>
        </w:tc>
        <w:tc>
          <w:tcPr>
            <w:tcW w:w="1373" w:type="dxa"/>
            <w:tcBorders>
              <w:top w:val="single" w:sz="12" w:space="0" w:color="auto"/>
            </w:tcBorders>
            <w:shd w:val="clear" w:color="auto" w:fill="auto"/>
            <w:vAlign w:val="bottom"/>
          </w:tcPr>
          <w:p w:rsidR="00AC196E" w:rsidRPr="00AC196E" w:rsidRDefault="00AC196E" w:rsidP="00AC196E">
            <w:pPr>
              <w:spacing w:before="80" w:after="80" w:line="200" w:lineRule="exact"/>
              <w:ind w:right="113"/>
              <w:rPr>
                <w:i/>
                <w:sz w:val="16"/>
              </w:rPr>
            </w:pPr>
          </w:p>
        </w:tc>
        <w:tc>
          <w:tcPr>
            <w:tcW w:w="1373" w:type="dxa"/>
            <w:tcBorders>
              <w:top w:val="single" w:sz="12" w:space="0" w:color="auto"/>
            </w:tcBorders>
            <w:shd w:val="clear" w:color="auto" w:fill="auto"/>
            <w:vAlign w:val="bottom"/>
          </w:tcPr>
          <w:p w:rsidR="00AC196E" w:rsidRPr="00AC196E" w:rsidRDefault="00AC196E" w:rsidP="00AC196E">
            <w:pPr>
              <w:spacing w:before="80" w:after="80" w:line="200" w:lineRule="exact"/>
              <w:ind w:right="113"/>
              <w:rPr>
                <w:i/>
                <w:sz w:val="16"/>
              </w:rPr>
            </w:pPr>
          </w:p>
        </w:tc>
        <w:tc>
          <w:tcPr>
            <w:tcW w:w="1373" w:type="dxa"/>
            <w:tcBorders>
              <w:top w:val="single" w:sz="12" w:space="0" w:color="auto"/>
            </w:tcBorders>
            <w:shd w:val="clear" w:color="auto" w:fill="auto"/>
            <w:vAlign w:val="bottom"/>
          </w:tcPr>
          <w:p w:rsidR="00AC196E" w:rsidRPr="00AC196E" w:rsidRDefault="00AC196E" w:rsidP="00AC196E">
            <w:pPr>
              <w:spacing w:before="80" w:after="80" w:line="200" w:lineRule="exact"/>
              <w:ind w:right="113"/>
              <w:rPr>
                <w:i/>
                <w:sz w:val="16"/>
              </w:rPr>
            </w:pPr>
          </w:p>
        </w:tc>
        <w:tc>
          <w:tcPr>
            <w:tcW w:w="1373" w:type="dxa"/>
            <w:tcBorders>
              <w:top w:val="single" w:sz="12" w:space="0" w:color="auto"/>
            </w:tcBorders>
            <w:shd w:val="clear" w:color="auto" w:fill="auto"/>
            <w:vAlign w:val="bottom"/>
          </w:tcPr>
          <w:p w:rsidR="00AC196E" w:rsidRPr="00AC196E" w:rsidRDefault="00AC196E" w:rsidP="00AC196E">
            <w:pPr>
              <w:spacing w:before="80" w:after="80" w:line="200" w:lineRule="exact"/>
              <w:ind w:right="113"/>
              <w:rPr>
                <w:i/>
                <w:sz w:val="16"/>
              </w:rPr>
            </w:pPr>
          </w:p>
        </w:tc>
      </w:tr>
      <w:tr w:rsidR="00AC196E" w:rsidRPr="00AC196E" w:rsidTr="00AC196E">
        <w:tc>
          <w:tcPr>
            <w:tcW w:w="1374" w:type="dxa"/>
            <w:shd w:val="clear" w:color="auto" w:fill="auto"/>
            <w:vAlign w:val="center"/>
          </w:tcPr>
          <w:p w:rsidR="00AC196E" w:rsidRPr="00AC196E" w:rsidRDefault="00AC196E" w:rsidP="00D31E3F">
            <w:pPr>
              <w:suppressAutoHyphens w:val="0"/>
              <w:spacing w:before="40" w:after="120"/>
              <w:ind w:right="113"/>
              <w:jc w:val="center"/>
              <w:rPr>
                <w:b/>
                <w:sz w:val="18"/>
                <w:szCs w:val="18"/>
                <w:vertAlign w:val="superscript"/>
              </w:rPr>
            </w:pPr>
            <w:r w:rsidRPr="00AC196E">
              <w:rPr>
                <w:b/>
                <w:noProof/>
                <w:sz w:val="18"/>
                <w:szCs w:val="18"/>
                <w:lang w:eastAsia="en-GB"/>
              </w:rPr>
              <w:t>A</w:t>
            </w:r>
            <w:r w:rsidRPr="003567A6">
              <w:rPr>
                <w:b/>
                <w:i/>
                <w:sz w:val="18"/>
                <w:szCs w:val="18"/>
                <w:vertAlign w:val="superscript"/>
              </w:rPr>
              <w:t>9 10</w:t>
            </w:r>
          </w:p>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B</w:t>
            </w:r>
            <w:r w:rsidRPr="003567A6">
              <w:rPr>
                <w:b/>
                <w:i/>
                <w:sz w:val="18"/>
                <w:szCs w:val="18"/>
                <w:vertAlign w:val="superscript"/>
              </w:rPr>
              <w:t>10</w:t>
            </w:r>
          </w:p>
        </w:tc>
        <w:tc>
          <w:tcPr>
            <w:tcW w:w="1374"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Ligne «Phase de transition» des tableaux 1 et 2 de l</w:t>
            </w:r>
            <w:r w:rsidR="001844C7">
              <w:rPr>
                <w:b/>
                <w:noProof/>
                <w:sz w:val="18"/>
                <w:szCs w:val="18"/>
                <w:lang w:eastAsia="en-GB"/>
              </w:rPr>
              <w:t>’</w:t>
            </w:r>
            <w:r w:rsidRPr="00AC196E">
              <w:rPr>
                <w:b/>
                <w:noProof/>
                <w:sz w:val="18"/>
                <w:szCs w:val="18"/>
                <w:lang w:eastAsia="en-GB"/>
              </w:rPr>
              <w:t>annexe 9A</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vertAlign w:val="superscript"/>
                <w:lang w:eastAsia="en-GB"/>
              </w:rPr>
            </w:pPr>
            <w:r w:rsidRPr="00AC196E">
              <w:rPr>
                <w:b/>
                <w:noProof/>
                <w:sz w:val="18"/>
                <w:szCs w:val="18"/>
                <w:lang w:eastAsia="en-GB"/>
              </w:rPr>
              <w:t xml:space="preserve">Surveillance </w:t>
            </w:r>
            <w:r w:rsidRPr="00AC196E">
              <w:rPr>
                <w:b/>
                <w:noProof/>
                <w:sz w:val="18"/>
                <w:szCs w:val="18"/>
                <w:lang w:eastAsia="en-GB"/>
              </w:rPr>
              <w:br/>
              <w:t>de l</w:t>
            </w:r>
            <w:r w:rsidR="001844C7">
              <w:rPr>
                <w:b/>
                <w:noProof/>
                <w:sz w:val="18"/>
                <w:szCs w:val="18"/>
                <w:lang w:eastAsia="en-GB"/>
              </w:rPr>
              <w:t>’</w:t>
            </w:r>
            <w:r w:rsidRPr="00AC196E">
              <w:rPr>
                <w:b/>
                <w:noProof/>
                <w:sz w:val="18"/>
                <w:szCs w:val="18"/>
                <w:lang w:eastAsia="en-GB"/>
              </w:rPr>
              <w:t>efficacité</w:t>
            </w:r>
            <w:r w:rsidRPr="003567A6">
              <w:rPr>
                <w:b/>
                <w:i/>
                <w:noProof/>
                <w:sz w:val="16"/>
                <w:szCs w:val="16"/>
                <w:vertAlign w:val="superscript"/>
                <w:lang w:eastAsia="en-GB"/>
              </w:rPr>
              <w:t>3</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Sans objet</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Phase</w:t>
            </w:r>
            <w:r w:rsidRPr="00AC196E">
              <w:rPr>
                <w:b/>
                <w:noProof/>
                <w:sz w:val="18"/>
                <w:szCs w:val="18"/>
                <w:lang w:eastAsia="en-GB"/>
              </w:rPr>
              <w:br/>
              <w:t>de transition</w:t>
            </w:r>
            <w:r w:rsidRPr="003567A6">
              <w:rPr>
                <w:b/>
                <w:i/>
                <w:noProof/>
                <w:sz w:val="16"/>
                <w:szCs w:val="16"/>
                <w:vertAlign w:val="superscript"/>
                <w:lang w:eastAsia="en-GB"/>
              </w:rPr>
              <w:t>7</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Phase</w:t>
            </w:r>
            <w:r w:rsidRPr="00AC196E">
              <w:rPr>
                <w:b/>
                <w:noProof/>
                <w:sz w:val="18"/>
                <w:szCs w:val="18"/>
                <w:lang w:eastAsia="en-GB"/>
              </w:rPr>
              <w:br/>
              <w:t>de transition</w:t>
            </w:r>
            <w:r w:rsidRPr="00022C55">
              <w:rPr>
                <w:b/>
                <w:i/>
                <w:noProof/>
                <w:sz w:val="18"/>
                <w:szCs w:val="18"/>
                <w:vertAlign w:val="superscript"/>
                <w:lang w:eastAsia="en-GB"/>
              </w:rPr>
              <w:t>4</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Sans objet</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Date d</w:t>
            </w:r>
            <w:r w:rsidR="001844C7">
              <w:rPr>
                <w:b/>
                <w:noProof/>
                <w:sz w:val="18"/>
                <w:szCs w:val="18"/>
                <w:lang w:eastAsia="en-GB"/>
              </w:rPr>
              <w:t>’</w:t>
            </w:r>
            <w:r w:rsidRPr="00AC196E">
              <w:rPr>
                <w:b/>
                <w:noProof/>
                <w:sz w:val="18"/>
                <w:szCs w:val="18"/>
                <w:lang w:eastAsia="en-GB"/>
              </w:rPr>
              <w:t>entrée</w:t>
            </w:r>
            <w:r w:rsidRPr="00AC196E">
              <w:rPr>
                <w:b/>
                <w:noProof/>
                <w:sz w:val="18"/>
                <w:szCs w:val="18"/>
                <w:lang w:eastAsia="en-GB"/>
              </w:rPr>
              <w:br/>
              <w:t>en vigueur</w:t>
            </w:r>
            <w:r w:rsidRPr="00AC196E">
              <w:rPr>
                <w:b/>
                <w:noProof/>
                <w:sz w:val="18"/>
                <w:szCs w:val="18"/>
                <w:lang w:eastAsia="en-GB"/>
              </w:rPr>
              <w:br/>
              <w:t>de la série 06</w:t>
            </w:r>
            <w:r w:rsidRPr="00AC196E">
              <w:rPr>
                <w:b/>
                <w:noProof/>
                <w:sz w:val="18"/>
                <w:szCs w:val="18"/>
                <w:lang w:eastAsia="en-GB"/>
              </w:rPr>
              <w:br/>
              <w:t xml:space="preserve">du Règlement </w:t>
            </w:r>
            <w:r w:rsidRPr="00AC196E">
              <w:rPr>
                <w:rFonts w:eastAsia="MS Mincho"/>
                <w:b/>
                <w:noProof/>
                <w:sz w:val="18"/>
                <w:szCs w:val="18"/>
                <w:lang w:eastAsia="en-GB"/>
              </w:rPr>
              <w:t>n</w:t>
            </w:r>
            <w:r w:rsidRPr="00AC196E">
              <w:rPr>
                <w:rFonts w:eastAsia="MS Mincho"/>
                <w:b/>
                <w:noProof/>
                <w:sz w:val="18"/>
                <w:szCs w:val="18"/>
                <w:vertAlign w:val="superscript"/>
                <w:lang w:eastAsia="en-GB"/>
              </w:rPr>
              <w:t>o</w:t>
            </w:r>
            <w:r w:rsidRPr="00AC196E">
              <w:rPr>
                <w:b/>
                <w:noProof/>
                <w:sz w:val="18"/>
                <w:szCs w:val="18"/>
                <w:lang w:eastAsia="en-GB"/>
              </w:rPr>
              <w:t> 49</w:t>
            </w:r>
          </w:p>
        </w:tc>
        <w:tc>
          <w:tcPr>
            <w:tcW w:w="1373" w:type="dxa"/>
            <w:shd w:val="clear" w:color="auto" w:fill="auto"/>
            <w:vAlign w:val="center"/>
          </w:tcPr>
          <w:p w:rsidR="00AC196E" w:rsidRPr="00AC196E" w:rsidRDefault="003567A6" w:rsidP="00AC196E">
            <w:pPr>
              <w:suppressAutoHyphens w:val="0"/>
              <w:spacing w:before="40" w:after="120"/>
              <w:ind w:right="113"/>
              <w:jc w:val="center"/>
              <w:rPr>
                <w:b/>
                <w:noProof/>
                <w:sz w:val="18"/>
                <w:szCs w:val="18"/>
                <w:lang w:eastAsia="en-GB"/>
              </w:rPr>
            </w:pPr>
            <w:r>
              <w:rPr>
                <w:b/>
                <w:noProof/>
                <w:sz w:val="18"/>
                <w:szCs w:val="18"/>
                <w:lang w:eastAsia="en-GB"/>
              </w:rPr>
              <w:t>1</w:t>
            </w:r>
            <w:r w:rsidRPr="003567A6">
              <w:rPr>
                <w:b/>
                <w:noProof/>
                <w:sz w:val="18"/>
                <w:szCs w:val="18"/>
                <w:vertAlign w:val="superscript"/>
                <w:lang w:eastAsia="en-GB"/>
              </w:rPr>
              <w:t>er</w:t>
            </w:r>
            <w:r>
              <w:rPr>
                <w:b/>
                <w:noProof/>
                <w:sz w:val="18"/>
                <w:szCs w:val="18"/>
                <w:lang w:eastAsia="en-GB"/>
              </w:rPr>
              <w:t xml:space="preserve"> </w:t>
            </w:r>
            <w:r w:rsidR="00AC196E" w:rsidRPr="00AC196E">
              <w:rPr>
                <w:b/>
                <w:noProof/>
                <w:sz w:val="18"/>
                <w:szCs w:val="18"/>
                <w:lang w:eastAsia="en-GB"/>
              </w:rPr>
              <w:t>septembre 2015</w:t>
            </w:r>
            <w:r w:rsidR="00AC196E" w:rsidRPr="00022C55">
              <w:rPr>
                <w:b/>
                <w:i/>
                <w:noProof/>
                <w:sz w:val="16"/>
                <w:szCs w:val="16"/>
                <w:vertAlign w:val="superscript"/>
                <w:lang w:eastAsia="en-GB"/>
              </w:rPr>
              <w:t>9</w:t>
            </w:r>
          </w:p>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31 décembre 2016</w:t>
            </w:r>
            <w:r w:rsidRPr="003567A6">
              <w:rPr>
                <w:b/>
                <w:i/>
                <w:noProof/>
                <w:sz w:val="16"/>
                <w:szCs w:val="16"/>
                <w:vertAlign w:val="superscript"/>
                <w:lang w:eastAsia="en-GB"/>
              </w:rPr>
              <w:t>10</w:t>
            </w:r>
          </w:p>
        </w:tc>
      </w:tr>
      <w:tr w:rsidR="00AC196E" w:rsidRPr="00AC196E" w:rsidTr="00AC196E">
        <w:tc>
          <w:tcPr>
            <w:tcW w:w="1374"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B</w:t>
            </w:r>
            <w:r w:rsidRPr="003567A6">
              <w:rPr>
                <w:b/>
                <w:i/>
                <w:noProof/>
                <w:sz w:val="16"/>
                <w:szCs w:val="16"/>
                <w:vertAlign w:val="superscript"/>
                <w:lang w:eastAsia="en-GB"/>
              </w:rPr>
              <w:t>11</w:t>
            </w:r>
          </w:p>
        </w:tc>
        <w:tc>
          <w:tcPr>
            <w:tcW w:w="1374"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Ligne «Phase de transition» des tableaux 1 et 2 de l</w:t>
            </w:r>
            <w:r w:rsidR="001844C7">
              <w:rPr>
                <w:b/>
                <w:noProof/>
                <w:sz w:val="18"/>
                <w:szCs w:val="18"/>
                <w:lang w:eastAsia="en-GB"/>
              </w:rPr>
              <w:t>’</w:t>
            </w:r>
            <w:r w:rsidRPr="00AC196E">
              <w:rPr>
                <w:b/>
                <w:noProof/>
                <w:sz w:val="18"/>
                <w:szCs w:val="18"/>
                <w:lang w:eastAsia="en-GB"/>
              </w:rPr>
              <w:t>annexe 9A</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Sans objet</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 xml:space="preserve">Ligne «Phase </w:t>
            </w:r>
            <w:r w:rsidRPr="00AC196E">
              <w:rPr>
                <w:b/>
                <w:noProof/>
                <w:sz w:val="18"/>
                <w:szCs w:val="18"/>
                <w:lang w:eastAsia="en-GB"/>
              </w:rPr>
              <w:br/>
              <w:t xml:space="preserve">de transition» </w:t>
            </w:r>
            <w:r w:rsidRPr="00AC196E">
              <w:rPr>
                <w:b/>
                <w:noProof/>
                <w:sz w:val="18"/>
                <w:szCs w:val="18"/>
                <w:lang w:eastAsia="en-GB"/>
              </w:rPr>
              <w:br/>
              <w:t>du tableau 2 de l</w:t>
            </w:r>
            <w:r w:rsidR="001844C7">
              <w:rPr>
                <w:b/>
                <w:noProof/>
                <w:sz w:val="18"/>
                <w:szCs w:val="18"/>
                <w:lang w:eastAsia="en-GB"/>
              </w:rPr>
              <w:t>’</w:t>
            </w:r>
            <w:r w:rsidRPr="00AC196E">
              <w:rPr>
                <w:b/>
                <w:noProof/>
                <w:sz w:val="18"/>
                <w:szCs w:val="18"/>
                <w:lang w:eastAsia="en-GB"/>
              </w:rPr>
              <w:t>annexe 9A</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Sans objet</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Phase</w:t>
            </w:r>
            <w:r w:rsidRPr="00AC196E">
              <w:rPr>
                <w:b/>
                <w:noProof/>
                <w:sz w:val="18"/>
                <w:szCs w:val="18"/>
                <w:lang w:eastAsia="en-GB"/>
              </w:rPr>
              <w:br/>
              <w:t>de transition</w:t>
            </w:r>
            <w:r w:rsidRPr="003567A6">
              <w:rPr>
                <w:b/>
                <w:i/>
                <w:noProof/>
                <w:sz w:val="16"/>
                <w:szCs w:val="16"/>
                <w:vertAlign w:val="superscript"/>
                <w:lang w:eastAsia="en-GB"/>
              </w:rPr>
              <w:t>4</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Sans objet</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1</w:t>
            </w:r>
            <w:r w:rsidRPr="00AC196E">
              <w:rPr>
                <w:b/>
                <w:noProof/>
                <w:sz w:val="18"/>
                <w:szCs w:val="18"/>
                <w:vertAlign w:val="superscript"/>
                <w:lang w:eastAsia="en-GB"/>
              </w:rPr>
              <w:t>er</w:t>
            </w:r>
            <w:r w:rsidRPr="00AC196E">
              <w:rPr>
                <w:b/>
                <w:noProof/>
                <w:sz w:val="18"/>
                <w:szCs w:val="18"/>
                <w:lang w:eastAsia="en-GB"/>
              </w:rPr>
              <w:t xml:space="preserve"> septembre 2014</w:t>
            </w:r>
          </w:p>
        </w:tc>
        <w:tc>
          <w:tcPr>
            <w:tcW w:w="1373" w:type="dxa"/>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31 décembre 2016</w:t>
            </w:r>
          </w:p>
        </w:tc>
      </w:tr>
      <w:tr w:rsidR="00AC196E" w:rsidRPr="00AC196E" w:rsidTr="00AC196E">
        <w:tc>
          <w:tcPr>
            <w:tcW w:w="1374" w:type="dxa"/>
            <w:tcBorders>
              <w:bottom w:val="single" w:sz="12" w:space="0" w:color="auto"/>
            </w:tcBorders>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C</w:t>
            </w:r>
          </w:p>
        </w:tc>
        <w:tc>
          <w:tcPr>
            <w:tcW w:w="1374" w:type="dxa"/>
            <w:tcBorders>
              <w:bottom w:val="single" w:sz="12" w:space="0" w:color="auto"/>
            </w:tcBorders>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Ligne</w:t>
            </w:r>
            <w:r w:rsidRPr="00AC196E">
              <w:rPr>
                <w:b/>
                <w:noProof/>
                <w:sz w:val="18"/>
                <w:szCs w:val="18"/>
                <w:lang w:eastAsia="en-GB"/>
              </w:rPr>
              <w:br/>
              <w:t>«Prescriptions générales» des tableaux 1 et 2 de l</w:t>
            </w:r>
            <w:r w:rsidR="001844C7">
              <w:rPr>
                <w:b/>
                <w:noProof/>
                <w:sz w:val="18"/>
                <w:szCs w:val="18"/>
                <w:lang w:eastAsia="en-GB"/>
              </w:rPr>
              <w:t>’</w:t>
            </w:r>
            <w:r w:rsidRPr="00AC196E">
              <w:rPr>
                <w:b/>
                <w:noProof/>
                <w:sz w:val="18"/>
                <w:szCs w:val="18"/>
                <w:lang w:eastAsia="en-GB"/>
              </w:rPr>
              <w:t>annexe 9A</w:t>
            </w:r>
          </w:p>
        </w:tc>
        <w:tc>
          <w:tcPr>
            <w:tcW w:w="1373" w:type="dxa"/>
            <w:tcBorders>
              <w:bottom w:val="single" w:sz="12" w:space="0" w:color="auto"/>
            </w:tcBorders>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 xml:space="preserve">Ligne «Prescriptions générales» </w:t>
            </w:r>
            <w:r w:rsidRPr="00AC196E">
              <w:rPr>
                <w:b/>
                <w:noProof/>
                <w:sz w:val="18"/>
                <w:szCs w:val="18"/>
                <w:lang w:eastAsia="en-GB"/>
              </w:rPr>
              <w:br/>
              <w:t xml:space="preserve">du tableau 1 </w:t>
            </w:r>
            <w:r w:rsidRPr="00AC196E">
              <w:rPr>
                <w:b/>
                <w:noProof/>
                <w:sz w:val="18"/>
                <w:szCs w:val="18"/>
                <w:lang w:eastAsia="en-GB"/>
              </w:rPr>
              <w:br/>
              <w:t>de l</w:t>
            </w:r>
            <w:r w:rsidR="001844C7">
              <w:rPr>
                <w:b/>
                <w:noProof/>
                <w:sz w:val="18"/>
                <w:szCs w:val="18"/>
                <w:lang w:eastAsia="en-GB"/>
              </w:rPr>
              <w:t>’</w:t>
            </w:r>
            <w:r w:rsidRPr="00AC196E">
              <w:rPr>
                <w:b/>
                <w:noProof/>
                <w:sz w:val="18"/>
                <w:szCs w:val="18"/>
                <w:lang w:eastAsia="en-GB"/>
              </w:rPr>
              <w:t>annexe 9A</w:t>
            </w:r>
          </w:p>
        </w:tc>
        <w:tc>
          <w:tcPr>
            <w:tcW w:w="1373" w:type="dxa"/>
            <w:tcBorders>
              <w:bottom w:val="single" w:sz="12" w:space="0" w:color="auto"/>
            </w:tcBorders>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 xml:space="preserve">Ligne «Prescriptions générales» </w:t>
            </w:r>
            <w:r w:rsidRPr="00AC196E">
              <w:rPr>
                <w:b/>
                <w:noProof/>
                <w:sz w:val="18"/>
                <w:szCs w:val="18"/>
                <w:lang w:eastAsia="en-GB"/>
              </w:rPr>
              <w:br/>
              <w:t xml:space="preserve">du tableau 2 </w:t>
            </w:r>
            <w:r w:rsidRPr="00AC196E">
              <w:rPr>
                <w:b/>
                <w:noProof/>
                <w:sz w:val="18"/>
                <w:szCs w:val="18"/>
                <w:lang w:eastAsia="en-GB"/>
              </w:rPr>
              <w:br/>
              <w:t>de l</w:t>
            </w:r>
            <w:r w:rsidR="001844C7">
              <w:rPr>
                <w:b/>
                <w:noProof/>
                <w:sz w:val="18"/>
                <w:szCs w:val="18"/>
                <w:lang w:eastAsia="en-GB"/>
              </w:rPr>
              <w:t>’</w:t>
            </w:r>
            <w:r w:rsidRPr="00AC196E">
              <w:rPr>
                <w:b/>
                <w:noProof/>
                <w:sz w:val="18"/>
                <w:szCs w:val="18"/>
                <w:lang w:eastAsia="en-GB"/>
              </w:rPr>
              <w:t>annexe 9A</w:t>
            </w:r>
          </w:p>
        </w:tc>
        <w:tc>
          <w:tcPr>
            <w:tcW w:w="1373" w:type="dxa"/>
            <w:tcBorders>
              <w:bottom w:val="single" w:sz="12" w:space="0" w:color="auto"/>
            </w:tcBorders>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Prescriptions générales</w:t>
            </w:r>
            <w:r w:rsidRPr="003567A6">
              <w:rPr>
                <w:b/>
                <w:i/>
                <w:noProof/>
                <w:sz w:val="16"/>
                <w:szCs w:val="16"/>
                <w:vertAlign w:val="superscript"/>
                <w:lang w:eastAsia="en-GB"/>
              </w:rPr>
              <w:t>8</w:t>
            </w:r>
          </w:p>
        </w:tc>
        <w:tc>
          <w:tcPr>
            <w:tcW w:w="1373" w:type="dxa"/>
            <w:tcBorders>
              <w:bottom w:val="single" w:sz="12" w:space="0" w:color="auto"/>
            </w:tcBorders>
            <w:shd w:val="clear" w:color="auto" w:fill="auto"/>
            <w:vAlign w:val="center"/>
          </w:tcPr>
          <w:p w:rsidR="00AC196E" w:rsidRPr="00AC196E" w:rsidRDefault="00AC196E" w:rsidP="00AC196E">
            <w:pPr>
              <w:suppressAutoHyphens w:val="0"/>
              <w:spacing w:before="40" w:after="120"/>
              <w:ind w:right="113"/>
              <w:jc w:val="center"/>
              <w:rPr>
                <w:b/>
                <w:noProof/>
                <w:sz w:val="18"/>
                <w:szCs w:val="18"/>
                <w:vertAlign w:val="superscript"/>
                <w:lang w:eastAsia="en-GB"/>
              </w:rPr>
            </w:pPr>
            <w:r w:rsidRPr="00AC196E">
              <w:rPr>
                <w:b/>
                <w:noProof/>
                <w:sz w:val="18"/>
                <w:szCs w:val="18"/>
                <w:lang w:eastAsia="en-GB"/>
              </w:rPr>
              <w:t>Prescriptions générales</w:t>
            </w:r>
            <w:r w:rsidRPr="003567A6">
              <w:rPr>
                <w:b/>
                <w:i/>
                <w:noProof/>
                <w:sz w:val="16"/>
                <w:szCs w:val="16"/>
                <w:vertAlign w:val="superscript"/>
                <w:lang w:eastAsia="en-GB"/>
              </w:rPr>
              <w:t>5</w:t>
            </w:r>
          </w:p>
        </w:tc>
        <w:tc>
          <w:tcPr>
            <w:tcW w:w="1373" w:type="dxa"/>
            <w:tcBorders>
              <w:bottom w:val="single" w:sz="12" w:space="0" w:color="auto"/>
            </w:tcBorders>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Oui</w:t>
            </w:r>
          </w:p>
        </w:tc>
        <w:tc>
          <w:tcPr>
            <w:tcW w:w="1373" w:type="dxa"/>
            <w:tcBorders>
              <w:bottom w:val="single" w:sz="12" w:space="0" w:color="auto"/>
            </w:tcBorders>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r w:rsidRPr="00AC196E">
              <w:rPr>
                <w:b/>
                <w:noProof/>
                <w:sz w:val="18"/>
                <w:szCs w:val="18"/>
                <w:lang w:eastAsia="en-GB"/>
              </w:rPr>
              <w:t>31 décembre 2015</w:t>
            </w:r>
          </w:p>
        </w:tc>
        <w:tc>
          <w:tcPr>
            <w:tcW w:w="1373" w:type="dxa"/>
            <w:tcBorders>
              <w:bottom w:val="single" w:sz="12" w:space="0" w:color="auto"/>
            </w:tcBorders>
            <w:shd w:val="clear" w:color="auto" w:fill="auto"/>
            <w:vAlign w:val="center"/>
          </w:tcPr>
          <w:p w:rsidR="00AC196E" w:rsidRPr="00AC196E" w:rsidRDefault="00AC196E" w:rsidP="00AC196E">
            <w:pPr>
              <w:suppressAutoHyphens w:val="0"/>
              <w:spacing w:before="40" w:after="120"/>
              <w:ind w:right="113"/>
              <w:jc w:val="center"/>
              <w:rPr>
                <w:b/>
                <w:noProof/>
                <w:sz w:val="18"/>
                <w:szCs w:val="18"/>
                <w:lang w:eastAsia="en-GB"/>
              </w:rPr>
            </w:pPr>
          </w:p>
        </w:tc>
      </w:tr>
    </w:tbl>
    <w:p w:rsidR="00733BEC" w:rsidRPr="0056187D" w:rsidRDefault="00733BEC" w:rsidP="003567A6">
      <w:pPr>
        <w:pStyle w:val="H4G"/>
        <w:tabs>
          <w:tab w:val="clear" w:pos="851"/>
          <w:tab w:val="right" w:pos="1021"/>
        </w:tabs>
        <w:spacing w:before="120"/>
        <w:ind w:left="284" w:firstLine="0"/>
        <w:rPr>
          <w:b/>
        </w:rPr>
      </w:pPr>
      <w:r w:rsidRPr="0056187D">
        <w:rPr>
          <w:b/>
        </w:rPr>
        <w:t>Notes:</w:t>
      </w:r>
    </w:p>
    <w:p w:rsidR="00733BEC" w:rsidRPr="00D31E3F" w:rsidRDefault="00733BEC" w:rsidP="008973FB">
      <w:pPr>
        <w:ind w:left="284" w:firstLine="170"/>
        <w:rPr>
          <w:b/>
          <w:sz w:val="18"/>
          <w:szCs w:val="18"/>
        </w:rPr>
      </w:pPr>
      <w:r w:rsidRPr="00D31E3F">
        <w:rPr>
          <w:b/>
          <w:i/>
          <w:sz w:val="18"/>
          <w:szCs w:val="18"/>
          <w:vertAlign w:val="superscript"/>
        </w:rPr>
        <w:t>1</w:t>
      </w:r>
      <w:r w:rsidR="00D31E3F" w:rsidRPr="00D31E3F">
        <w:rPr>
          <w:b/>
          <w:sz w:val="18"/>
          <w:szCs w:val="18"/>
        </w:rPr>
        <w:t xml:space="preserve"> </w:t>
      </w:r>
      <w:r w:rsidR="00D31E3F">
        <w:rPr>
          <w:b/>
          <w:sz w:val="18"/>
          <w:szCs w:val="18"/>
        </w:rPr>
        <w:t xml:space="preserve"> </w:t>
      </w:r>
      <w:r w:rsidRPr="00D31E3F">
        <w:rPr>
          <w:b/>
          <w:sz w:val="18"/>
          <w:szCs w:val="18"/>
        </w:rPr>
        <w:t>Prescriptions de surveillance des valeurs limites OBD pour les oxydes d</w:t>
      </w:r>
      <w:r w:rsidR="001844C7">
        <w:rPr>
          <w:b/>
          <w:sz w:val="18"/>
          <w:szCs w:val="18"/>
        </w:rPr>
        <w:t>’</w:t>
      </w:r>
      <w:r w:rsidRPr="00D31E3F">
        <w:rPr>
          <w:b/>
          <w:sz w:val="18"/>
          <w:szCs w:val="18"/>
        </w:rPr>
        <w:t>azote, telles qu</w:t>
      </w:r>
      <w:r w:rsidR="001844C7">
        <w:rPr>
          <w:b/>
          <w:sz w:val="18"/>
          <w:szCs w:val="18"/>
        </w:rPr>
        <w:t>’</w:t>
      </w:r>
      <w:r w:rsidRPr="00D31E3F">
        <w:rPr>
          <w:b/>
          <w:sz w:val="18"/>
          <w:szCs w:val="18"/>
        </w:rPr>
        <w:t>énoncées au tableau</w:t>
      </w:r>
      <w:r w:rsidR="00D31E3F" w:rsidRPr="00D31E3F">
        <w:rPr>
          <w:b/>
          <w:sz w:val="18"/>
          <w:szCs w:val="18"/>
        </w:rPr>
        <w:t> </w:t>
      </w:r>
      <w:r w:rsidRPr="00D31E3F">
        <w:rPr>
          <w:b/>
          <w:sz w:val="18"/>
          <w:szCs w:val="18"/>
        </w:rPr>
        <w:t>1 de l</w:t>
      </w:r>
      <w:r w:rsidR="001844C7">
        <w:rPr>
          <w:b/>
          <w:sz w:val="18"/>
          <w:szCs w:val="18"/>
        </w:rPr>
        <w:t>’</w:t>
      </w:r>
      <w:r w:rsidRPr="00D31E3F">
        <w:rPr>
          <w:b/>
          <w:sz w:val="18"/>
          <w:szCs w:val="18"/>
        </w:rPr>
        <w:t>annexe</w:t>
      </w:r>
      <w:r w:rsidR="00D31E3F" w:rsidRPr="00D31E3F">
        <w:rPr>
          <w:b/>
          <w:sz w:val="18"/>
          <w:szCs w:val="18"/>
        </w:rPr>
        <w:t> </w:t>
      </w:r>
      <w:r w:rsidRPr="00D31E3F">
        <w:rPr>
          <w:b/>
          <w:sz w:val="18"/>
          <w:szCs w:val="18"/>
        </w:rPr>
        <w:t>9A pour les moteurs et véhicules à</w:t>
      </w:r>
      <w:r w:rsidR="00D31E3F" w:rsidRPr="00D31E3F">
        <w:rPr>
          <w:b/>
          <w:sz w:val="18"/>
          <w:szCs w:val="18"/>
        </w:rPr>
        <w:t> </w:t>
      </w:r>
      <w:r w:rsidRPr="00D31E3F">
        <w:rPr>
          <w:b/>
          <w:sz w:val="18"/>
          <w:szCs w:val="18"/>
        </w:rPr>
        <w:t>allumage par compression et bicarburant et au tableau</w:t>
      </w:r>
      <w:r w:rsidR="00D31E3F" w:rsidRPr="00D31E3F">
        <w:rPr>
          <w:b/>
        </w:rPr>
        <w:t> </w:t>
      </w:r>
      <w:r w:rsidRPr="00D31E3F">
        <w:rPr>
          <w:b/>
          <w:sz w:val="18"/>
          <w:szCs w:val="18"/>
        </w:rPr>
        <w:t>2 de l</w:t>
      </w:r>
      <w:r w:rsidR="001844C7">
        <w:rPr>
          <w:b/>
          <w:sz w:val="18"/>
          <w:szCs w:val="18"/>
        </w:rPr>
        <w:t>’</w:t>
      </w:r>
      <w:r w:rsidRPr="00D31E3F">
        <w:rPr>
          <w:b/>
          <w:sz w:val="18"/>
          <w:szCs w:val="18"/>
        </w:rPr>
        <w:t>annexe 9A pour les moteurs et véhicules à allumage commandé.</w:t>
      </w:r>
    </w:p>
    <w:p w:rsidR="00733BEC" w:rsidRPr="00D31E3F" w:rsidRDefault="00733BEC" w:rsidP="008973FB">
      <w:pPr>
        <w:ind w:left="284" w:firstLine="170"/>
        <w:rPr>
          <w:b/>
          <w:sz w:val="18"/>
          <w:szCs w:val="18"/>
        </w:rPr>
      </w:pPr>
      <w:r w:rsidRPr="00D31E3F">
        <w:rPr>
          <w:b/>
          <w:i/>
          <w:sz w:val="18"/>
          <w:szCs w:val="18"/>
          <w:vertAlign w:val="superscript"/>
        </w:rPr>
        <w:t>2</w:t>
      </w:r>
      <w:r w:rsidR="00D31E3F" w:rsidRPr="00D31E3F">
        <w:rPr>
          <w:b/>
          <w:i/>
          <w:sz w:val="18"/>
          <w:szCs w:val="18"/>
          <w:vertAlign w:val="superscript"/>
        </w:rPr>
        <w:t xml:space="preserve"> </w:t>
      </w:r>
      <w:r w:rsidR="00D31E3F" w:rsidRPr="00D31E3F">
        <w:rPr>
          <w:b/>
          <w:sz w:val="18"/>
          <w:szCs w:val="18"/>
        </w:rPr>
        <w:t xml:space="preserve"> </w:t>
      </w:r>
      <w:r w:rsidR="00D31E3F">
        <w:rPr>
          <w:b/>
          <w:sz w:val="18"/>
          <w:szCs w:val="18"/>
        </w:rPr>
        <w:t xml:space="preserve"> </w:t>
      </w:r>
      <w:r w:rsidRPr="00D31E3F">
        <w:rPr>
          <w:b/>
          <w:sz w:val="18"/>
          <w:szCs w:val="18"/>
        </w:rPr>
        <w:t>Prescriptions de surveillance des valeurs limites OBD pour les particules, telles qu</w:t>
      </w:r>
      <w:r w:rsidR="001844C7">
        <w:rPr>
          <w:b/>
          <w:sz w:val="18"/>
          <w:szCs w:val="18"/>
        </w:rPr>
        <w:t>’</w:t>
      </w:r>
      <w:r w:rsidRPr="00D31E3F">
        <w:rPr>
          <w:b/>
          <w:sz w:val="18"/>
          <w:szCs w:val="18"/>
        </w:rPr>
        <w:t>énoncées au tableau 1 de l</w:t>
      </w:r>
      <w:r w:rsidR="001844C7">
        <w:rPr>
          <w:b/>
          <w:sz w:val="18"/>
          <w:szCs w:val="18"/>
        </w:rPr>
        <w:t>’</w:t>
      </w:r>
      <w:r w:rsidRPr="00D31E3F">
        <w:rPr>
          <w:b/>
          <w:sz w:val="18"/>
          <w:szCs w:val="18"/>
        </w:rPr>
        <w:t>annexe</w:t>
      </w:r>
      <w:r w:rsidR="00D31E3F" w:rsidRPr="00D31E3F">
        <w:rPr>
          <w:b/>
          <w:sz w:val="18"/>
          <w:szCs w:val="18"/>
        </w:rPr>
        <w:t> </w:t>
      </w:r>
      <w:r w:rsidRPr="00D31E3F">
        <w:rPr>
          <w:b/>
          <w:sz w:val="18"/>
          <w:szCs w:val="18"/>
        </w:rPr>
        <w:t>9A pour les moteurs et véhicules à</w:t>
      </w:r>
      <w:r w:rsidR="00D31E3F" w:rsidRPr="00D31E3F">
        <w:rPr>
          <w:b/>
          <w:sz w:val="18"/>
          <w:szCs w:val="18"/>
        </w:rPr>
        <w:t> </w:t>
      </w:r>
      <w:r w:rsidRPr="00D31E3F">
        <w:rPr>
          <w:b/>
          <w:sz w:val="18"/>
          <w:szCs w:val="18"/>
        </w:rPr>
        <w:t>allumage par compression et bicarburant.</w:t>
      </w:r>
    </w:p>
    <w:p w:rsidR="00733BEC" w:rsidRPr="00D31E3F" w:rsidRDefault="00733BEC" w:rsidP="008973FB">
      <w:pPr>
        <w:ind w:left="284" w:firstLine="170"/>
        <w:rPr>
          <w:b/>
          <w:sz w:val="18"/>
          <w:szCs w:val="18"/>
        </w:rPr>
      </w:pPr>
      <w:r w:rsidRPr="00D31E3F">
        <w:rPr>
          <w:b/>
          <w:i/>
          <w:sz w:val="18"/>
          <w:szCs w:val="18"/>
          <w:vertAlign w:val="superscript"/>
        </w:rPr>
        <w:t>3</w:t>
      </w:r>
      <w:r w:rsidR="00D31E3F" w:rsidRPr="00D31E3F">
        <w:rPr>
          <w:b/>
          <w:sz w:val="18"/>
          <w:szCs w:val="18"/>
        </w:rPr>
        <w:t xml:space="preserve"> </w:t>
      </w:r>
      <w:r w:rsidR="00D31E3F">
        <w:rPr>
          <w:b/>
          <w:sz w:val="18"/>
          <w:szCs w:val="18"/>
        </w:rPr>
        <w:t xml:space="preserve"> </w:t>
      </w:r>
      <w:r w:rsidRPr="00D31E3F">
        <w:rPr>
          <w:b/>
          <w:sz w:val="18"/>
          <w:szCs w:val="18"/>
        </w:rPr>
        <w:t>Prescriptions de surveillance de l</w:t>
      </w:r>
      <w:r w:rsidR="001844C7">
        <w:rPr>
          <w:b/>
          <w:sz w:val="18"/>
          <w:szCs w:val="18"/>
        </w:rPr>
        <w:t>’</w:t>
      </w:r>
      <w:r w:rsidRPr="00D31E3F">
        <w:rPr>
          <w:b/>
          <w:sz w:val="18"/>
          <w:szCs w:val="18"/>
        </w:rPr>
        <w:t>efficacité, telles qu</w:t>
      </w:r>
      <w:r w:rsidR="001844C7">
        <w:rPr>
          <w:b/>
          <w:sz w:val="18"/>
          <w:szCs w:val="18"/>
        </w:rPr>
        <w:t>’</w:t>
      </w:r>
      <w:r w:rsidRPr="00D31E3F">
        <w:rPr>
          <w:b/>
          <w:sz w:val="18"/>
          <w:szCs w:val="18"/>
        </w:rPr>
        <w:t>énoncées au paragraphe</w:t>
      </w:r>
      <w:r w:rsidR="00D31E3F" w:rsidRPr="00D31E3F">
        <w:rPr>
          <w:b/>
          <w:sz w:val="18"/>
          <w:szCs w:val="18"/>
        </w:rPr>
        <w:t> </w:t>
      </w:r>
      <w:r w:rsidRPr="00D31E3F">
        <w:rPr>
          <w:b/>
          <w:sz w:val="18"/>
          <w:szCs w:val="18"/>
        </w:rPr>
        <w:t>2.3.2.2 de l</w:t>
      </w:r>
      <w:r w:rsidR="001844C7">
        <w:rPr>
          <w:b/>
          <w:sz w:val="18"/>
          <w:szCs w:val="18"/>
        </w:rPr>
        <w:t>’</w:t>
      </w:r>
      <w:r w:rsidRPr="00D31E3F">
        <w:rPr>
          <w:b/>
          <w:sz w:val="18"/>
          <w:szCs w:val="18"/>
        </w:rPr>
        <w:t>annexe 9A.</w:t>
      </w:r>
    </w:p>
    <w:p w:rsidR="00733BEC" w:rsidRPr="00D31E3F" w:rsidRDefault="00733BEC" w:rsidP="008973FB">
      <w:pPr>
        <w:ind w:left="284" w:firstLine="170"/>
        <w:rPr>
          <w:b/>
          <w:sz w:val="18"/>
          <w:szCs w:val="18"/>
        </w:rPr>
      </w:pPr>
      <w:r w:rsidRPr="00D31E3F">
        <w:rPr>
          <w:b/>
          <w:i/>
          <w:sz w:val="18"/>
          <w:szCs w:val="18"/>
          <w:vertAlign w:val="superscript"/>
        </w:rPr>
        <w:t>4</w:t>
      </w:r>
      <w:r w:rsidR="00D31E3F" w:rsidRPr="00D31E3F">
        <w:rPr>
          <w:b/>
          <w:sz w:val="18"/>
          <w:szCs w:val="18"/>
        </w:rPr>
        <w:t xml:space="preserve"> </w:t>
      </w:r>
      <w:r w:rsidR="00D31E3F">
        <w:rPr>
          <w:b/>
          <w:sz w:val="18"/>
          <w:szCs w:val="18"/>
        </w:rPr>
        <w:t xml:space="preserve"> </w:t>
      </w:r>
      <w:r w:rsidRPr="00D31E3F">
        <w:rPr>
          <w:b/>
          <w:sz w:val="18"/>
          <w:szCs w:val="18"/>
        </w:rPr>
        <w:t>Prescriptions de la phase de transition concernant la qualité du réactif, telles qu</w:t>
      </w:r>
      <w:r w:rsidR="001844C7">
        <w:rPr>
          <w:b/>
          <w:sz w:val="18"/>
          <w:szCs w:val="18"/>
        </w:rPr>
        <w:t>’</w:t>
      </w:r>
      <w:r w:rsidRPr="00D31E3F">
        <w:rPr>
          <w:b/>
          <w:sz w:val="18"/>
          <w:szCs w:val="18"/>
        </w:rPr>
        <w:t>énoncées au paragraphe 7.1.1.1 de l</w:t>
      </w:r>
      <w:r w:rsidR="001844C7">
        <w:rPr>
          <w:b/>
          <w:sz w:val="18"/>
          <w:szCs w:val="18"/>
        </w:rPr>
        <w:t>’</w:t>
      </w:r>
      <w:r w:rsidRPr="00D31E3F">
        <w:rPr>
          <w:b/>
          <w:sz w:val="18"/>
          <w:szCs w:val="18"/>
        </w:rPr>
        <w:t>annexe</w:t>
      </w:r>
      <w:r w:rsidR="00D31E3F" w:rsidRPr="00D31E3F">
        <w:rPr>
          <w:b/>
          <w:sz w:val="18"/>
          <w:szCs w:val="18"/>
        </w:rPr>
        <w:t> </w:t>
      </w:r>
      <w:r w:rsidRPr="00D31E3F">
        <w:rPr>
          <w:b/>
          <w:sz w:val="18"/>
          <w:szCs w:val="18"/>
        </w:rPr>
        <w:t>11.</w:t>
      </w:r>
    </w:p>
    <w:p w:rsidR="00733BEC" w:rsidRPr="00D31E3F" w:rsidRDefault="00733BEC" w:rsidP="008973FB">
      <w:pPr>
        <w:ind w:left="284" w:firstLine="170"/>
        <w:rPr>
          <w:b/>
          <w:sz w:val="18"/>
          <w:szCs w:val="18"/>
        </w:rPr>
      </w:pPr>
      <w:r w:rsidRPr="00D31E3F">
        <w:rPr>
          <w:b/>
          <w:i/>
          <w:sz w:val="18"/>
          <w:szCs w:val="18"/>
          <w:vertAlign w:val="superscript"/>
        </w:rPr>
        <w:t>5</w:t>
      </w:r>
      <w:r w:rsidR="00D31E3F" w:rsidRPr="00D31E3F">
        <w:rPr>
          <w:b/>
          <w:sz w:val="18"/>
          <w:szCs w:val="18"/>
        </w:rPr>
        <w:t xml:space="preserve"> </w:t>
      </w:r>
      <w:r w:rsidR="00D31E3F">
        <w:rPr>
          <w:b/>
          <w:sz w:val="18"/>
          <w:szCs w:val="18"/>
        </w:rPr>
        <w:t xml:space="preserve"> </w:t>
      </w:r>
      <w:r w:rsidRPr="00D31E3F">
        <w:rPr>
          <w:b/>
          <w:sz w:val="18"/>
          <w:szCs w:val="18"/>
        </w:rPr>
        <w:t>Prescriptions générales concernant la qualité du réactif, telles qu</w:t>
      </w:r>
      <w:r w:rsidR="001844C7">
        <w:rPr>
          <w:b/>
          <w:sz w:val="18"/>
          <w:szCs w:val="18"/>
        </w:rPr>
        <w:t>’</w:t>
      </w:r>
      <w:r w:rsidRPr="00D31E3F">
        <w:rPr>
          <w:b/>
          <w:sz w:val="18"/>
          <w:szCs w:val="18"/>
        </w:rPr>
        <w:t>énoncées au paragraphe</w:t>
      </w:r>
      <w:r w:rsidR="00D31E3F" w:rsidRPr="00D31E3F">
        <w:rPr>
          <w:b/>
          <w:sz w:val="18"/>
          <w:szCs w:val="18"/>
        </w:rPr>
        <w:t> </w:t>
      </w:r>
      <w:r w:rsidRPr="00D31E3F">
        <w:rPr>
          <w:b/>
          <w:sz w:val="18"/>
          <w:szCs w:val="18"/>
        </w:rPr>
        <w:t>7.1.1</w:t>
      </w:r>
      <w:r w:rsidR="00D31E3F" w:rsidRPr="00D31E3F">
        <w:rPr>
          <w:b/>
          <w:sz w:val="18"/>
          <w:szCs w:val="18"/>
        </w:rPr>
        <w:t xml:space="preserve"> </w:t>
      </w:r>
      <w:r w:rsidRPr="00D31E3F">
        <w:rPr>
          <w:b/>
          <w:sz w:val="18"/>
          <w:szCs w:val="18"/>
        </w:rPr>
        <w:t>de l</w:t>
      </w:r>
      <w:r w:rsidR="001844C7">
        <w:rPr>
          <w:b/>
          <w:sz w:val="18"/>
          <w:szCs w:val="18"/>
        </w:rPr>
        <w:t>’</w:t>
      </w:r>
      <w:r w:rsidRPr="00D31E3F">
        <w:rPr>
          <w:b/>
          <w:sz w:val="18"/>
          <w:szCs w:val="18"/>
        </w:rPr>
        <w:t>annexe 11.</w:t>
      </w:r>
    </w:p>
    <w:p w:rsidR="00733BEC" w:rsidRPr="00D31E3F" w:rsidRDefault="00733BEC" w:rsidP="008973FB">
      <w:pPr>
        <w:ind w:left="284" w:firstLine="170"/>
        <w:rPr>
          <w:b/>
          <w:sz w:val="18"/>
          <w:szCs w:val="18"/>
        </w:rPr>
      </w:pPr>
      <w:r w:rsidRPr="00D31E3F">
        <w:rPr>
          <w:b/>
          <w:i/>
          <w:sz w:val="18"/>
          <w:szCs w:val="18"/>
          <w:vertAlign w:val="superscript"/>
        </w:rPr>
        <w:t>6</w:t>
      </w:r>
      <w:r w:rsidR="00D31E3F" w:rsidRPr="00D31E3F">
        <w:rPr>
          <w:b/>
          <w:sz w:val="18"/>
          <w:szCs w:val="18"/>
        </w:rPr>
        <w:t xml:space="preserve">  </w:t>
      </w:r>
      <w:r w:rsidRPr="00D31E3F">
        <w:rPr>
          <w:b/>
          <w:sz w:val="18"/>
          <w:szCs w:val="18"/>
        </w:rPr>
        <w:t>Prescriptions de surveillance des valeurs limites OBD pour le monoxyde de carbone, telles qu</w:t>
      </w:r>
      <w:r w:rsidR="001844C7">
        <w:rPr>
          <w:b/>
          <w:sz w:val="18"/>
          <w:szCs w:val="18"/>
        </w:rPr>
        <w:t>’</w:t>
      </w:r>
      <w:r w:rsidRPr="00D31E3F">
        <w:rPr>
          <w:b/>
          <w:sz w:val="18"/>
          <w:szCs w:val="18"/>
        </w:rPr>
        <w:t>énoncées au tableau 2 de l</w:t>
      </w:r>
      <w:r w:rsidR="001844C7">
        <w:rPr>
          <w:b/>
          <w:sz w:val="18"/>
          <w:szCs w:val="18"/>
        </w:rPr>
        <w:t>’</w:t>
      </w:r>
      <w:r w:rsidRPr="00D31E3F">
        <w:rPr>
          <w:b/>
          <w:sz w:val="18"/>
          <w:szCs w:val="18"/>
        </w:rPr>
        <w:t>annexe 9A pour les moteurs et</w:t>
      </w:r>
      <w:r w:rsidR="00D31E3F" w:rsidRPr="00D31E3F">
        <w:rPr>
          <w:b/>
          <w:sz w:val="18"/>
          <w:szCs w:val="18"/>
        </w:rPr>
        <w:t> </w:t>
      </w:r>
      <w:r w:rsidRPr="00D31E3F">
        <w:rPr>
          <w:b/>
          <w:sz w:val="18"/>
          <w:szCs w:val="18"/>
        </w:rPr>
        <w:t>véhicules à allumage commandé.</w:t>
      </w:r>
    </w:p>
    <w:p w:rsidR="00733BEC" w:rsidRPr="00D31E3F" w:rsidRDefault="00733BEC" w:rsidP="008973FB">
      <w:pPr>
        <w:ind w:left="284" w:firstLine="170"/>
        <w:rPr>
          <w:b/>
          <w:sz w:val="18"/>
          <w:szCs w:val="18"/>
        </w:rPr>
      </w:pPr>
      <w:r w:rsidRPr="00D31E3F">
        <w:rPr>
          <w:b/>
          <w:i/>
          <w:sz w:val="18"/>
          <w:szCs w:val="18"/>
          <w:vertAlign w:val="superscript"/>
        </w:rPr>
        <w:t>7</w:t>
      </w:r>
      <w:r w:rsidR="00D31E3F" w:rsidRPr="00D31E3F">
        <w:rPr>
          <w:b/>
          <w:sz w:val="18"/>
          <w:szCs w:val="18"/>
        </w:rPr>
        <w:t xml:space="preserve">  </w:t>
      </w:r>
      <w:r w:rsidRPr="00D31E3F">
        <w:rPr>
          <w:b/>
          <w:sz w:val="18"/>
          <w:szCs w:val="18"/>
        </w:rPr>
        <w:t>À l</w:t>
      </w:r>
      <w:r w:rsidR="001844C7">
        <w:rPr>
          <w:b/>
          <w:sz w:val="18"/>
          <w:szCs w:val="18"/>
        </w:rPr>
        <w:t>’</w:t>
      </w:r>
      <w:r w:rsidRPr="00D31E3F">
        <w:rPr>
          <w:b/>
          <w:sz w:val="18"/>
          <w:szCs w:val="18"/>
        </w:rPr>
        <w:t>exclusion de la déclaration requise au paragraphe 6.4.1 de l</w:t>
      </w:r>
      <w:r w:rsidR="001844C7">
        <w:rPr>
          <w:b/>
          <w:sz w:val="18"/>
          <w:szCs w:val="18"/>
        </w:rPr>
        <w:t>’</w:t>
      </w:r>
      <w:r w:rsidRPr="00D31E3F">
        <w:rPr>
          <w:b/>
          <w:sz w:val="18"/>
          <w:szCs w:val="18"/>
        </w:rPr>
        <w:t>annexe 9A.</w:t>
      </w:r>
    </w:p>
    <w:p w:rsidR="00D31E3F" w:rsidRPr="00D31E3F" w:rsidRDefault="00733BEC" w:rsidP="008973FB">
      <w:pPr>
        <w:ind w:left="284" w:firstLine="170"/>
        <w:rPr>
          <w:b/>
          <w:sz w:val="18"/>
          <w:szCs w:val="18"/>
        </w:rPr>
      </w:pPr>
      <w:r w:rsidRPr="00D31E3F">
        <w:rPr>
          <w:b/>
          <w:i/>
          <w:sz w:val="18"/>
          <w:szCs w:val="18"/>
          <w:vertAlign w:val="superscript"/>
        </w:rPr>
        <w:t>8</w:t>
      </w:r>
      <w:r w:rsidR="00D31E3F" w:rsidRPr="00D31E3F">
        <w:rPr>
          <w:b/>
          <w:sz w:val="18"/>
          <w:szCs w:val="18"/>
        </w:rPr>
        <w:t xml:space="preserve">  </w:t>
      </w:r>
      <w:r w:rsidRPr="00D31E3F">
        <w:rPr>
          <w:b/>
          <w:sz w:val="18"/>
          <w:szCs w:val="18"/>
        </w:rPr>
        <w:t>Y compris la déclaration requise au p</w:t>
      </w:r>
      <w:r w:rsidR="00D31E3F" w:rsidRPr="00D31E3F">
        <w:rPr>
          <w:b/>
          <w:sz w:val="18"/>
          <w:szCs w:val="18"/>
        </w:rPr>
        <w:t>aragraphe 6.4.1 de l</w:t>
      </w:r>
      <w:r w:rsidR="001844C7">
        <w:rPr>
          <w:b/>
          <w:sz w:val="18"/>
          <w:szCs w:val="18"/>
        </w:rPr>
        <w:t>’</w:t>
      </w:r>
      <w:r w:rsidR="00D31E3F" w:rsidRPr="00D31E3F">
        <w:rPr>
          <w:b/>
          <w:sz w:val="18"/>
          <w:szCs w:val="18"/>
        </w:rPr>
        <w:t>annexe 9A.</w:t>
      </w:r>
    </w:p>
    <w:p w:rsidR="00733BEC" w:rsidRPr="00D31E3F" w:rsidRDefault="00D31E3F" w:rsidP="008973FB">
      <w:pPr>
        <w:ind w:left="284" w:firstLine="170"/>
        <w:rPr>
          <w:b/>
          <w:sz w:val="18"/>
          <w:szCs w:val="18"/>
        </w:rPr>
      </w:pPr>
      <w:r w:rsidRPr="00D31E3F">
        <w:rPr>
          <w:b/>
          <w:i/>
          <w:sz w:val="18"/>
          <w:szCs w:val="18"/>
          <w:vertAlign w:val="superscript"/>
        </w:rPr>
        <w:t>9</w:t>
      </w:r>
      <w:r w:rsidRPr="00D31E3F">
        <w:rPr>
          <w:b/>
          <w:sz w:val="18"/>
          <w:szCs w:val="18"/>
        </w:rPr>
        <w:t xml:space="preserve">  </w:t>
      </w:r>
      <w:r w:rsidR="00733BEC" w:rsidRPr="00D31E3F">
        <w:rPr>
          <w:b/>
          <w:sz w:val="18"/>
          <w:szCs w:val="18"/>
        </w:rPr>
        <w:t>Pour les moteurs et véhicules à allumage commandé.</w:t>
      </w:r>
    </w:p>
    <w:p w:rsidR="00733BEC" w:rsidRPr="00D31E3F" w:rsidRDefault="00733BEC" w:rsidP="008973FB">
      <w:pPr>
        <w:ind w:left="284" w:firstLine="170"/>
        <w:rPr>
          <w:b/>
          <w:sz w:val="18"/>
          <w:szCs w:val="18"/>
        </w:rPr>
      </w:pPr>
      <w:r w:rsidRPr="00D31E3F">
        <w:rPr>
          <w:b/>
          <w:i/>
          <w:sz w:val="18"/>
          <w:szCs w:val="18"/>
          <w:vertAlign w:val="superscript"/>
        </w:rPr>
        <w:t>10</w:t>
      </w:r>
      <w:r w:rsidR="00D31E3F" w:rsidRPr="00D31E3F">
        <w:rPr>
          <w:b/>
          <w:sz w:val="18"/>
          <w:szCs w:val="18"/>
        </w:rPr>
        <w:t xml:space="preserve"> </w:t>
      </w:r>
      <w:r w:rsidR="00D31E3F">
        <w:rPr>
          <w:b/>
          <w:sz w:val="18"/>
          <w:szCs w:val="18"/>
        </w:rPr>
        <w:t xml:space="preserve"> </w:t>
      </w:r>
      <w:r w:rsidRPr="00D31E3F">
        <w:rPr>
          <w:b/>
          <w:sz w:val="18"/>
          <w:szCs w:val="18"/>
        </w:rPr>
        <w:t>Pour les moteurs et véhicules à allumage par compression et bicarburant.</w:t>
      </w:r>
    </w:p>
    <w:p w:rsidR="00733BEC" w:rsidRPr="00D31E3F" w:rsidRDefault="00733BEC" w:rsidP="008973FB">
      <w:pPr>
        <w:ind w:left="284" w:firstLine="170"/>
        <w:rPr>
          <w:b/>
          <w:sz w:val="18"/>
          <w:szCs w:val="18"/>
        </w:rPr>
      </w:pPr>
      <w:r w:rsidRPr="00D31E3F">
        <w:rPr>
          <w:b/>
          <w:i/>
          <w:sz w:val="18"/>
          <w:szCs w:val="18"/>
          <w:vertAlign w:val="superscript"/>
        </w:rPr>
        <w:t>11</w:t>
      </w:r>
      <w:r w:rsidR="00D31E3F" w:rsidRPr="00D31E3F">
        <w:rPr>
          <w:b/>
          <w:sz w:val="18"/>
          <w:szCs w:val="18"/>
        </w:rPr>
        <w:t xml:space="preserve"> </w:t>
      </w:r>
      <w:r w:rsidR="00D31E3F">
        <w:rPr>
          <w:b/>
          <w:sz w:val="18"/>
          <w:szCs w:val="18"/>
        </w:rPr>
        <w:t xml:space="preserve"> </w:t>
      </w:r>
      <w:r w:rsidRPr="00D31E3F">
        <w:rPr>
          <w:b/>
          <w:sz w:val="18"/>
          <w:szCs w:val="18"/>
        </w:rPr>
        <w:t>S</w:t>
      </w:r>
      <w:r w:rsidR="001844C7">
        <w:rPr>
          <w:b/>
          <w:sz w:val="18"/>
          <w:szCs w:val="18"/>
        </w:rPr>
        <w:t>’</w:t>
      </w:r>
      <w:r w:rsidRPr="00D31E3F">
        <w:rPr>
          <w:b/>
          <w:sz w:val="18"/>
          <w:szCs w:val="18"/>
        </w:rPr>
        <w:t>applique uniquement aux moteurs et véhicules à allumage commandé.</w:t>
      </w:r>
    </w:p>
    <w:p w:rsidR="00733BEC" w:rsidRPr="00D31E3F" w:rsidRDefault="00733BEC" w:rsidP="008973FB">
      <w:pPr>
        <w:ind w:left="284" w:firstLine="170"/>
        <w:rPr>
          <w:b/>
          <w:sz w:val="18"/>
          <w:szCs w:val="18"/>
        </w:rPr>
      </w:pPr>
      <w:r w:rsidRPr="00D31E3F">
        <w:rPr>
          <w:b/>
          <w:i/>
          <w:sz w:val="18"/>
          <w:szCs w:val="18"/>
          <w:vertAlign w:val="superscript"/>
        </w:rPr>
        <w:t>12</w:t>
      </w:r>
      <w:r w:rsidR="00D31E3F" w:rsidRPr="00D31E3F">
        <w:rPr>
          <w:b/>
          <w:sz w:val="18"/>
          <w:szCs w:val="18"/>
        </w:rPr>
        <w:t xml:space="preserve">  </w:t>
      </w:r>
      <w:r w:rsidRPr="00D31E3F">
        <w:rPr>
          <w:b/>
          <w:sz w:val="18"/>
          <w:szCs w:val="18"/>
        </w:rPr>
        <w:t>Dispositions supplémentaires concernant les prescriptions de surveillance, telles qu</w:t>
      </w:r>
      <w:r w:rsidR="001844C7">
        <w:rPr>
          <w:b/>
          <w:sz w:val="18"/>
          <w:szCs w:val="18"/>
        </w:rPr>
        <w:t>’</w:t>
      </w:r>
      <w:r w:rsidRPr="00D31E3F">
        <w:rPr>
          <w:b/>
          <w:sz w:val="18"/>
          <w:szCs w:val="18"/>
        </w:rPr>
        <w:t>énoncées au paragraphe 2.3.1.2 de l</w:t>
      </w:r>
      <w:r w:rsidR="001844C7">
        <w:rPr>
          <w:b/>
          <w:sz w:val="18"/>
          <w:szCs w:val="18"/>
        </w:rPr>
        <w:t>’</w:t>
      </w:r>
      <w:r w:rsidRPr="00D31E3F">
        <w:rPr>
          <w:b/>
          <w:sz w:val="18"/>
          <w:szCs w:val="18"/>
        </w:rPr>
        <w:t>annexe 9A.</w:t>
      </w:r>
    </w:p>
    <w:p w:rsidR="00614E72" w:rsidRDefault="00733BEC" w:rsidP="00D31E3F">
      <w:pPr>
        <w:ind w:left="454"/>
        <w:rPr>
          <w:b/>
          <w:sz w:val="18"/>
          <w:szCs w:val="18"/>
        </w:rPr>
        <w:sectPr w:rsidR="00614E72" w:rsidSect="00733BEC">
          <w:headerReference w:type="even" r:id="rId21"/>
          <w:headerReference w:type="default" r:id="rId22"/>
          <w:footerReference w:type="even" r:id="rId23"/>
          <w:footerReference w:type="default" r:id="rId24"/>
          <w:headerReference w:type="first" r:id="rId25"/>
          <w:endnotePr>
            <w:numFmt w:val="decimal"/>
          </w:endnotePr>
          <w:pgSz w:w="16838" w:h="11906" w:orient="landscape" w:code="9"/>
          <w:pgMar w:top="1134" w:right="1701" w:bottom="1134" w:left="2268" w:header="567" w:footer="567" w:gutter="0"/>
          <w:cols w:space="708"/>
          <w:docGrid w:linePitch="360"/>
        </w:sectPr>
      </w:pPr>
      <w:r w:rsidRPr="00D31E3F">
        <w:rPr>
          <w:b/>
          <w:i/>
          <w:sz w:val="18"/>
          <w:szCs w:val="18"/>
          <w:vertAlign w:val="superscript"/>
        </w:rPr>
        <w:t>13</w:t>
      </w:r>
      <w:r w:rsidR="00D31E3F" w:rsidRPr="00D31E3F">
        <w:rPr>
          <w:b/>
          <w:sz w:val="18"/>
          <w:szCs w:val="18"/>
        </w:rPr>
        <w:t xml:space="preserve">  </w:t>
      </w:r>
      <w:r w:rsidRPr="00D31E3F">
        <w:rPr>
          <w:b/>
          <w:sz w:val="18"/>
          <w:szCs w:val="18"/>
        </w:rPr>
        <w:t>Les prescriptions concernant l</w:t>
      </w:r>
      <w:r w:rsidR="001844C7">
        <w:rPr>
          <w:b/>
          <w:sz w:val="18"/>
          <w:szCs w:val="18"/>
        </w:rPr>
        <w:t>’</w:t>
      </w:r>
      <w:r w:rsidRPr="00D31E3F">
        <w:rPr>
          <w:b/>
          <w:sz w:val="18"/>
          <w:szCs w:val="18"/>
        </w:rPr>
        <w:t>IUPR sont énoncées aux annexes 9A et 9C du présent Règlement. Ne s</w:t>
      </w:r>
      <w:r w:rsidR="001844C7">
        <w:rPr>
          <w:b/>
          <w:sz w:val="18"/>
          <w:szCs w:val="18"/>
        </w:rPr>
        <w:t>’</w:t>
      </w:r>
      <w:r w:rsidRPr="00D31E3F">
        <w:rPr>
          <w:b/>
          <w:sz w:val="18"/>
          <w:szCs w:val="18"/>
        </w:rPr>
        <w:t>applique pas aux moteurs à allumage commandé.</w:t>
      </w:r>
      <w:r w:rsidRPr="00614E72">
        <w:rPr>
          <w:sz w:val="18"/>
          <w:szCs w:val="18"/>
        </w:rPr>
        <w:t>».</w:t>
      </w:r>
    </w:p>
    <w:p w:rsidR="00614E72" w:rsidRPr="00614E72" w:rsidRDefault="00614E72" w:rsidP="00614E72">
      <w:pPr>
        <w:pStyle w:val="SingleTxtG"/>
        <w:rPr>
          <w:i/>
        </w:rPr>
      </w:pPr>
      <w:r w:rsidRPr="00614E72">
        <w:rPr>
          <w:i/>
        </w:rPr>
        <w:t>Annexe 9A</w:t>
      </w:r>
    </w:p>
    <w:p w:rsidR="00614E72" w:rsidRPr="003F130A" w:rsidRDefault="00614E72" w:rsidP="00614E72">
      <w:pPr>
        <w:pStyle w:val="SingleTxtG"/>
        <w:rPr>
          <w:noProof/>
        </w:rPr>
      </w:pPr>
      <w:r w:rsidRPr="003F130A">
        <w:rPr>
          <w:i/>
          <w:noProof/>
        </w:rPr>
        <w:t>Table</w:t>
      </w:r>
      <w:r>
        <w:rPr>
          <w:i/>
          <w:noProof/>
        </w:rPr>
        <w:t>au</w:t>
      </w:r>
      <w:r w:rsidRPr="003F130A">
        <w:rPr>
          <w:i/>
          <w:noProof/>
        </w:rPr>
        <w:t xml:space="preserve"> 2,</w:t>
      </w:r>
      <w:r w:rsidRPr="003F130A">
        <w:rPr>
          <w:noProof/>
        </w:rPr>
        <w:t xml:space="preserve"> </w:t>
      </w:r>
      <w:r>
        <w:rPr>
          <w:noProof/>
        </w:rPr>
        <w:t>modifier comme suit</w:t>
      </w:r>
      <w:r w:rsidRPr="003F130A">
        <w:rPr>
          <w:noProof/>
        </w:rPr>
        <w:t>:</w:t>
      </w:r>
    </w:p>
    <w:p w:rsidR="00614E72" w:rsidRPr="003F130A" w:rsidRDefault="00614E72" w:rsidP="00614E72">
      <w:pPr>
        <w:pStyle w:val="SingleTxtG"/>
        <w:rPr>
          <w:noProof/>
        </w:rPr>
      </w:pPr>
      <w:r>
        <w:rPr>
          <w:noProof/>
        </w:rPr>
        <w:t>«</w:t>
      </w:r>
      <w:r w:rsidRPr="003F130A">
        <w:rPr>
          <w:noProof/>
        </w:rPr>
        <w:t>Table</w:t>
      </w:r>
      <w:r>
        <w:rPr>
          <w:noProof/>
        </w:rPr>
        <w:t>au</w:t>
      </w:r>
      <w:r w:rsidRPr="003F130A">
        <w:rPr>
          <w:noProof/>
        </w:rPr>
        <w:t xml:space="preserve"> 2</w:t>
      </w:r>
    </w:p>
    <w:p w:rsidR="00614E72" w:rsidRPr="00762475" w:rsidRDefault="00614E72" w:rsidP="00614E72">
      <w:pPr>
        <w:pStyle w:val="SingleTxtG"/>
        <w:ind w:left="1701"/>
      </w:pPr>
      <w:bookmarkStart w:id="2" w:name="_Toc339460656"/>
      <w:bookmarkStart w:id="3" w:name="_Toc339542179"/>
      <w:r w:rsidRPr="00762475">
        <w:t>Valeurs limites OBD (</w:t>
      </w:r>
      <w:r w:rsidRPr="00614E72">
        <w:rPr>
          <w:strike/>
        </w:rPr>
        <w:t>tous</w:t>
      </w:r>
      <w:r w:rsidRPr="00762475">
        <w:t xml:space="preserve"> </w:t>
      </w:r>
      <w:r w:rsidRPr="008973FB">
        <w:rPr>
          <w:strike/>
        </w:rPr>
        <w:t>moteurs à allumage commandé équipant des véhicules appartenant aux catégories M</w:t>
      </w:r>
      <w:r w:rsidRPr="008973FB">
        <w:rPr>
          <w:strike/>
          <w:vertAlign w:val="subscript"/>
        </w:rPr>
        <w:t xml:space="preserve">3 </w:t>
      </w:r>
      <w:r w:rsidRPr="008973FB">
        <w:rPr>
          <w:strike/>
        </w:rPr>
        <w:t>à N</w:t>
      </w:r>
      <w:r w:rsidRPr="008973FB">
        <w:rPr>
          <w:strike/>
          <w:vertAlign w:val="subscript"/>
        </w:rPr>
        <w:t>2</w:t>
      </w:r>
      <w:r w:rsidRPr="008973FB">
        <w:rPr>
          <w:strike/>
        </w:rPr>
        <w:t xml:space="preserve"> dont la masse maximale admissible excède 7,5 t</w:t>
      </w:r>
      <w:r w:rsidRPr="008973FB">
        <w:rPr>
          <w:strike/>
        </w:rPr>
        <w:br/>
        <w:t>et des véhicules de catégorie N</w:t>
      </w:r>
      <w:r w:rsidRPr="008973FB">
        <w:rPr>
          <w:strike/>
          <w:vertAlign w:val="subscript"/>
        </w:rPr>
        <w:t>3</w:t>
      </w:r>
      <w:r w:rsidR="008973FB">
        <w:t>)</w:t>
      </w:r>
    </w:p>
    <w:tbl>
      <w:tblPr>
        <w:tblW w:w="7370" w:type="dxa"/>
        <w:tblInd w:w="1134" w:type="dxa"/>
        <w:tblLayout w:type="fixed"/>
        <w:tblCellMar>
          <w:left w:w="0" w:type="dxa"/>
          <w:right w:w="0" w:type="dxa"/>
        </w:tblCellMar>
        <w:tblLook w:val="01E0" w:firstRow="1" w:lastRow="1" w:firstColumn="1" w:lastColumn="1" w:noHBand="0" w:noVBand="0"/>
      </w:tblPr>
      <w:tblGrid>
        <w:gridCol w:w="3870"/>
        <w:gridCol w:w="1750"/>
        <w:gridCol w:w="1750"/>
      </w:tblGrid>
      <w:tr w:rsidR="008973FB" w:rsidRPr="008973FB" w:rsidTr="008973FB">
        <w:trPr>
          <w:tblHeader/>
        </w:trPr>
        <w:tc>
          <w:tcPr>
            <w:tcW w:w="3871" w:type="dxa"/>
            <w:tcBorders>
              <w:top w:val="single" w:sz="4" w:space="0" w:color="auto"/>
              <w:bottom w:val="single" w:sz="12" w:space="0" w:color="auto"/>
            </w:tcBorders>
            <w:shd w:val="clear" w:color="auto" w:fill="auto"/>
            <w:vAlign w:val="bottom"/>
          </w:tcPr>
          <w:p w:rsidR="00614E72" w:rsidRPr="008973FB" w:rsidRDefault="00614E72" w:rsidP="008973FB">
            <w:pPr>
              <w:suppressAutoHyphens w:val="0"/>
              <w:spacing w:before="80" w:after="80" w:line="200" w:lineRule="exact"/>
              <w:rPr>
                <w:i/>
                <w:sz w:val="16"/>
              </w:rPr>
            </w:pPr>
          </w:p>
        </w:tc>
        <w:tc>
          <w:tcPr>
            <w:tcW w:w="3500" w:type="dxa"/>
            <w:gridSpan w:val="2"/>
            <w:tcBorders>
              <w:top w:val="single" w:sz="4" w:space="0" w:color="auto"/>
              <w:bottom w:val="single" w:sz="12" w:space="0" w:color="auto"/>
            </w:tcBorders>
            <w:shd w:val="clear" w:color="auto" w:fill="auto"/>
            <w:vAlign w:val="bottom"/>
          </w:tcPr>
          <w:p w:rsidR="00614E72" w:rsidRPr="008973FB" w:rsidRDefault="00614E72" w:rsidP="008973FB">
            <w:pPr>
              <w:suppressAutoHyphens w:val="0"/>
              <w:spacing w:before="80" w:after="80" w:line="200" w:lineRule="exact"/>
              <w:jc w:val="right"/>
              <w:rPr>
                <w:i/>
                <w:sz w:val="16"/>
              </w:rPr>
            </w:pPr>
            <w:r w:rsidRPr="008973FB">
              <w:rPr>
                <w:i/>
                <w:noProof/>
                <w:sz w:val="16"/>
                <w:lang w:eastAsia="en-GB"/>
              </w:rPr>
              <w:t>Limite en mg/kWh</w:t>
            </w:r>
          </w:p>
        </w:tc>
      </w:tr>
      <w:tr w:rsidR="00614E72" w:rsidRPr="008973FB" w:rsidTr="008973FB">
        <w:tc>
          <w:tcPr>
            <w:tcW w:w="3871" w:type="dxa"/>
            <w:tcBorders>
              <w:top w:val="single" w:sz="12" w:space="0" w:color="auto"/>
            </w:tcBorders>
            <w:shd w:val="clear" w:color="auto" w:fill="auto"/>
          </w:tcPr>
          <w:p w:rsidR="00614E72" w:rsidRPr="008973FB" w:rsidRDefault="00614E72" w:rsidP="008973FB">
            <w:pPr>
              <w:suppressAutoHyphens w:val="0"/>
              <w:spacing w:before="40" w:after="40" w:line="220" w:lineRule="exact"/>
              <w:rPr>
                <w:i/>
                <w:noProof/>
                <w:sz w:val="18"/>
                <w:lang w:eastAsia="en-GB"/>
              </w:rPr>
            </w:pPr>
          </w:p>
        </w:tc>
        <w:tc>
          <w:tcPr>
            <w:tcW w:w="1750" w:type="dxa"/>
            <w:tcBorders>
              <w:top w:val="single" w:sz="12" w:space="0" w:color="auto"/>
            </w:tcBorders>
            <w:shd w:val="clear" w:color="auto" w:fill="auto"/>
            <w:vAlign w:val="bottom"/>
          </w:tcPr>
          <w:p w:rsidR="00614E72" w:rsidRPr="008973FB" w:rsidRDefault="00614E72" w:rsidP="008973FB">
            <w:pPr>
              <w:suppressAutoHyphens w:val="0"/>
              <w:spacing w:before="40" w:after="40" w:line="220" w:lineRule="exact"/>
              <w:jc w:val="right"/>
              <w:rPr>
                <w:i/>
                <w:noProof/>
                <w:sz w:val="18"/>
                <w:lang w:eastAsia="en-GB"/>
              </w:rPr>
            </w:pPr>
            <w:r w:rsidRPr="008973FB">
              <w:rPr>
                <w:i/>
                <w:noProof/>
                <w:sz w:val="18"/>
                <w:lang w:eastAsia="en-GB"/>
              </w:rPr>
              <w:t>NO</w:t>
            </w:r>
            <w:r w:rsidRPr="008973FB">
              <w:rPr>
                <w:i/>
                <w:noProof/>
                <w:sz w:val="18"/>
                <w:vertAlign w:val="subscript"/>
                <w:lang w:eastAsia="en-GB"/>
              </w:rPr>
              <w:t>x</w:t>
            </w:r>
          </w:p>
        </w:tc>
        <w:tc>
          <w:tcPr>
            <w:tcW w:w="1750" w:type="dxa"/>
            <w:tcBorders>
              <w:top w:val="single" w:sz="12" w:space="0" w:color="auto"/>
            </w:tcBorders>
            <w:shd w:val="clear" w:color="auto" w:fill="auto"/>
            <w:vAlign w:val="bottom"/>
          </w:tcPr>
          <w:p w:rsidR="00614E72" w:rsidRPr="008973FB" w:rsidRDefault="00614E72" w:rsidP="008973FB">
            <w:pPr>
              <w:suppressAutoHyphens w:val="0"/>
              <w:spacing w:before="40" w:after="40" w:line="220" w:lineRule="exact"/>
              <w:jc w:val="right"/>
              <w:rPr>
                <w:i/>
                <w:noProof/>
                <w:sz w:val="18"/>
                <w:lang w:eastAsia="en-GB"/>
              </w:rPr>
            </w:pPr>
            <w:r w:rsidRPr="008973FB">
              <w:rPr>
                <w:i/>
                <w:noProof/>
                <w:sz w:val="18"/>
                <w:lang w:eastAsia="en-GB"/>
              </w:rPr>
              <w:t>CO</w:t>
            </w:r>
            <w:r w:rsidRPr="008973FB">
              <w:rPr>
                <w:i/>
                <w:strike/>
                <w:noProof/>
                <w:sz w:val="18"/>
                <w:vertAlign w:val="superscript"/>
                <w:lang w:eastAsia="en-GB"/>
              </w:rPr>
              <w:t>1</w:t>
            </w:r>
          </w:p>
        </w:tc>
      </w:tr>
      <w:tr w:rsidR="00614E72" w:rsidRPr="008973FB" w:rsidTr="008973FB">
        <w:tc>
          <w:tcPr>
            <w:tcW w:w="3871" w:type="dxa"/>
            <w:shd w:val="clear" w:color="auto" w:fill="auto"/>
          </w:tcPr>
          <w:p w:rsidR="00614E72" w:rsidRPr="008973FB" w:rsidRDefault="00614E72" w:rsidP="008973FB">
            <w:pPr>
              <w:suppressAutoHyphens w:val="0"/>
              <w:spacing w:before="40" w:after="40" w:line="220" w:lineRule="exact"/>
              <w:rPr>
                <w:noProof/>
                <w:sz w:val="18"/>
                <w:lang w:eastAsia="en-GB"/>
              </w:rPr>
            </w:pPr>
            <w:r w:rsidRPr="008973FB">
              <w:rPr>
                <w:noProof/>
                <w:sz w:val="18"/>
                <w:lang w:eastAsia="en-GB"/>
              </w:rPr>
              <w:t>Phase de transition</w:t>
            </w:r>
          </w:p>
        </w:tc>
        <w:tc>
          <w:tcPr>
            <w:tcW w:w="1750" w:type="dxa"/>
            <w:shd w:val="clear" w:color="auto" w:fill="auto"/>
            <w:vAlign w:val="bottom"/>
          </w:tcPr>
          <w:p w:rsidR="00614E72" w:rsidRPr="008973FB" w:rsidRDefault="00614E72" w:rsidP="008973FB">
            <w:pPr>
              <w:suppressAutoHyphens w:val="0"/>
              <w:spacing w:before="40" w:after="40" w:line="220" w:lineRule="exact"/>
              <w:jc w:val="right"/>
              <w:rPr>
                <w:noProof/>
                <w:sz w:val="18"/>
                <w:lang w:eastAsia="en-GB"/>
              </w:rPr>
            </w:pPr>
            <w:r w:rsidRPr="008973FB">
              <w:rPr>
                <w:noProof/>
                <w:sz w:val="18"/>
                <w:lang w:eastAsia="en-GB"/>
              </w:rPr>
              <w:t>1 500</w:t>
            </w:r>
          </w:p>
        </w:tc>
        <w:tc>
          <w:tcPr>
            <w:tcW w:w="1750" w:type="dxa"/>
            <w:shd w:val="clear" w:color="auto" w:fill="auto"/>
            <w:vAlign w:val="bottom"/>
          </w:tcPr>
          <w:p w:rsidR="00614E72" w:rsidRPr="008973FB" w:rsidRDefault="00614E72" w:rsidP="008973FB">
            <w:pPr>
              <w:suppressAutoHyphens w:val="0"/>
              <w:spacing w:before="40" w:after="40" w:line="220" w:lineRule="exact"/>
              <w:jc w:val="right"/>
              <w:rPr>
                <w:b/>
                <w:noProof/>
                <w:sz w:val="18"/>
                <w:lang w:eastAsia="en-GB"/>
              </w:rPr>
            </w:pPr>
            <w:r w:rsidRPr="008973FB">
              <w:rPr>
                <w:b/>
                <w:noProof/>
                <w:sz w:val="18"/>
                <w:lang w:eastAsia="en-GB"/>
              </w:rPr>
              <w:t>7 500</w:t>
            </w:r>
            <w:r w:rsidRPr="008973FB">
              <w:rPr>
                <w:b/>
                <w:i/>
                <w:noProof/>
                <w:sz w:val="18"/>
                <w:vertAlign w:val="superscript"/>
                <w:lang w:eastAsia="en-GB"/>
              </w:rPr>
              <w:t>1</w:t>
            </w:r>
          </w:p>
        </w:tc>
      </w:tr>
      <w:tr w:rsidR="008973FB" w:rsidRPr="008973FB" w:rsidTr="008973FB">
        <w:tc>
          <w:tcPr>
            <w:tcW w:w="3871" w:type="dxa"/>
            <w:tcBorders>
              <w:bottom w:val="single" w:sz="12" w:space="0" w:color="auto"/>
            </w:tcBorders>
            <w:shd w:val="clear" w:color="auto" w:fill="auto"/>
          </w:tcPr>
          <w:p w:rsidR="00614E72" w:rsidRPr="008973FB" w:rsidRDefault="00614E72" w:rsidP="008973FB">
            <w:pPr>
              <w:suppressAutoHyphens w:val="0"/>
              <w:spacing w:before="40" w:after="40" w:line="220" w:lineRule="exact"/>
              <w:rPr>
                <w:noProof/>
                <w:sz w:val="18"/>
                <w:lang w:eastAsia="en-GB"/>
              </w:rPr>
            </w:pPr>
            <w:r w:rsidRPr="008973FB">
              <w:rPr>
                <w:noProof/>
                <w:sz w:val="18"/>
                <w:lang w:eastAsia="en-GB"/>
              </w:rPr>
              <w:t>Prescriptions générales</w:t>
            </w:r>
          </w:p>
        </w:tc>
        <w:tc>
          <w:tcPr>
            <w:tcW w:w="1750" w:type="dxa"/>
            <w:tcBorders>
              <w:bottom w:val="single" w:sz="12" w:space="0" w:color="auto"/>
            </w:tcBorders>
            <w:shd w:val="clear" w:color="auto" w:fill="auto"/>
            <w:vAlign w:val="bottom"/>
          </w:tcPr>
          <w:p w:rsidR="00614E72" w:rsidRPr="008973FB" w:rsidRDefault="00614E72" w:rsidP="008973FB">
            <w:pPr>
              <w:suppressAutoHyphens w:val="0"/>
              <w:spacing w:before="40" w:after="40" w:line="220" w:lineRule="exact"/>
              <w:jc w:val="right"/>
              <w:rPr>
                <w:noProof/>
                <w:sz w:val="18"/>
                <w:lang w:eastAsia="en-GB"/>
              </w:rPr>
            </w:pPr>
            <w:r w:rsidRPr="008973FB">
              <w:rPr>
                <w:noProof/>
                <w:sz w:val="18"/>
                <w:lang w:eastAsia="en-GB"/>
              </w:rPr>
              <w:t>1 200</w:t>
            </w:r>
          </w:p>
        </w:tc>
        <w:tc>
          <w:tcPr>
            <w:tcW w:w="1750" w:type="dxa"/>
            <w:tcBorders>
              <w:bottom w:val="single" w:sz="12" w:space="0" w:color="auto"/>
            </w:tcBorders>
            <w:shd w:val="clear" w:color="auto" w:fill="auto"/>
            <w:vAlign w:val="bottom"/>
          </w:tcPr>
          <w:p w:rsidR="00614E72" w:rsidRPr="008973FB" w:rsidRDefault="00614E72" w:rsidP="008973FB">
            <w:pPr>
              <w:suppressAutoHyphens w:val="0"/>
              <w:spacing w:before="40" w:after="40" w:line="220" w:lineRule="exact"/>
              <w:jc w:val="right"/>
              <w:rPr>
                <w:b/>
                <w:noProof/>
                <w:sz w:val="18"/>
                <w:lang w:eastAsia="en-GB"/>
              </w:rPr>
            </w:pPr>
            <w:r w:rsidRPr="008973FB">
              <w:rPr>
                <w:b/>
                <w:noProof/>
                <w:sz w:val="18"/>
                <w:lang w:eastAsia="en-GB"/>
              </w:rPr>
              <w:t>7 500</w:t>
            </w:r>
          </w:p>
        </w:tc>
      </w:tr>
    </w:tbl>
    <w:p w:rsidR="00614E72" w:rsidRPr="003F130A" w:rsidRDefault="00614E72" w:rsidP="008973FB">
      <w:pPr>
        <w:spacing w:before="120" w:after="240"/>
        <w:ind w:left="1134" w:right="1134" w:firstLine="170"/>
        <w:jc w:val="both"/>
      </w:pPr>
      <w:r w:rsidRPr="000A1A4A">
        <w:rPr>
          <w:i/>
          <w:sz w:val="18"/>
          <w:szCs w:val="18"/>
          <w:vertAlign w:val="superscript"/>
        </w:rPr>
        <w:t>1</w:t>
      </w:r>
      <w:r w:rsidR="008973FB">
        <w:t xml:space="preserve">  </w:t>
      </w:r>
      <w:r w:rsidRPr="00762475">
        <w:rPr>
          <w:strike/>
        </w:rPr>
        <w:t>Les valeurs limites OBD pour le CO seront fixées à un stade ultérieur.</w:t>
      </w:r>
      <w:r w:rsidRPr="00762475">
        <w:t xml:space="preserve"> </w:t>
      </w:r>
      <w:r w:rsidRPr="00762475">
        <w:rPr>
          <w:b/>
          <w:color w:val="222222"/>
        </w:rPr>
        <w:t>Les dispositions transitoires relatives à l</w:t>
      </w:r>
      <w:r w:rsidR="001844C7">
        <w:rPr>
          <w:b/>
          <w:color w:val="222222"/>
        </w:rPr>
        <w:t>’</w:t>
      </w:r>
      <w:r w:rsidRPr="00762475">
        <w:rPr>
          <w:b/>
          <w:color w:val="222222"/>
        </w:rPr>
        <w:t xml:space="preserve">introduction des </w:t>
      </w:r>
      <w:r w:rsidRPr="00762475">
        <w:rPr>
          <w:b/>
        </w:rPr>
        <w:t xml:space="preserve">valeurs limites OBD pour le CO </w:t>
      </w:r>
      <w:r w:rsidRPr="00762475">
        <w:rPr>
          <w:b/>
          <w:color w:val="222222"/>
        </w:rPr>
        <w:t xml:space="preserve">sont spécifiées </w:t>
      </w:r>
      <w:r w:rsidRPr="00762475">
        <w:rPr>
          <w:b/>
        </w:rPr>
        <w:t>aux paragraphes 13.2.2 et 13.3.2 du présent Règlement.</w:t>
      </w:r>
      <w:r w:rsidRPr="000A1A4A">
        <w:rPr>
          <w:sz w:val="18"/>
          <w:szCs w:val="18"/>
        </w:rPr>
        <w:t>»</w:t>
      </w:r>
      <w:bookmarkEnd w:id="2"/>
      <w:bookmarkEnd w:id="3"/>
    </w:p>
    <w:p w:rsidR="00614E72" w:rsidRPr="008973FB" w:rsidRDefault="00614E72" w:rsidP="008973FB">
      <w:pPr>
        <w:pStyle w:val="SingleTxtG"/>
        <w:rPr>
          <w:i/>
        </w:rPr>
      </w:pPr>
      <w:r w:rsidRPr="008973FB">
        <w:rPr>
          <w:i/>
        </w:rPr>
        <w:t>Annexe 11,</w:t>
      </w:r>
    </w:p>
    <w:p w:rsidR="00614E72" w:rsidRPr="003F130A" w:rsidRDefault="00614E72" w:rsidP="008973FB">
      <w:pPr>
        <w:pStyle w:val="SingleTxtG"/>
        <w:rPr>
          <w:noProof/>
        </w:rPr>
      </w:pPr>
      <w:r w:rsidRPr="008973FB">
        <w:rPr>
          <w:i/>
          <w:noProof/>
        </w:rPr>
        <w:t>Paragraph</w:t>
      </w:r>
      <w:r w:rsidR="008973FB">
        <w:rPr>
          <w:i/>
          <w:noProof/>
        </w:rPr>
        <w:t>e 8</w:t>
      </w:r>
      <w:r w:rsidRPr="008973FB">
        <w:rPr>
          <w:i/>
          <w:noProof/>
        </w:rPr>
        <w:t>, titre</w:t>
      </w:r>
      <w:r w:rsidRPr="003F130A">
        <w:rPr>
          <w:noProof/>
        </w:rPr>
        <w:t xml:space="preserve">, </w:t>
      </w:r>
      <w:r>
        <w:rPr>
          <w:noProof/>
        </w:rPr>
        <w:t>modifier comme suit</w:t>
      </w:r>
      <w:r w:rsidRPr="003F130A">
        <w:rPr>
          <w:noProof/>
        </w:rPr>
        <w:t>:</w:t>
      </w:r>
    </w:p>
    <w:p w:rsidR="00614E72" w:rsidRPr="003F130A" w:rsidRDefault="008973FB" w:rsidP="008973FB">
      <w:pPr>
        <w:pStyle w:val="SingleTxtG"/>
        <w:ind w:left="2268" w:hanging="1134"/>
      </w:pPr>
      <w:r>
        <w:t>«</w:t>
      </w:r>
      <w:r w:rsidR="00614E72" w:rsidRPr="003F130A">
        <w:t>8.</w:t>
      </w:r>
      <w:r w:rsidR="00614E72" w:rsidRPr="003F130A">
        <w:tab/>
      </w:r>
      <w:r w:rsidR="00614E72" w:rsidRPr="003F130A">
        <w:tab/>
      </w:r>
      <w:r w:rsidR="00614E72">
        <w:t>S</w:t>
      </w:r>
      <w:r w:rsidR="00614E72" w:rsidRPr="00324C12">
        <w:t>urveillance de la consommation de réactif</w:t>
      </w:r>
      <w:r w:rsidR="00614E72">
        <w:rPr>
          <w:b/>
        </w:rPr>
        <w:t xml:space="preserve"> et </w:t>
      </w:r>
      <w:r w:rsidR="00614E72" w:rsidRPr="00977B2C">
        <w:rPr>
          <w:b/>
        </w:rPr>
        <w:t>de l</w:t>
      </w:r>
      <w:r w:rsidR="001844C7">
        <w:rPr>
          <w:b/>
        </w:rPr>
        <w:t>’</w:t>
      </w:r>
      <w:r w:rsidR="00614E72" w:rsidRPr="00977B2C">
        <w:rPr>
          <w:b/>
        </w:rPr>
        <w:t>activité de dosage</w:t>
      </w:r>
      <w:r>
        <w:t>».</w:t>
      </w:r>
    </w:p>
    <w:p w:rsidR="00614E72" w:rsidRPr="00C45DA5" w:rsidRDefault="00614E72" w:rsidP="008973FB">
      <w:pPr>
        <w:pStyle w:val="SingleTxtG"/>
        <w:rPr>
          <w:i/>
          <w:noProof/>
        </w:rPr>
      </w:pPr>
      <w:r w:rsidRPr="00C45DA5">
        <w:rPr>
          <w:i/>
          <w:noProof/>
        </w:rPr>
        <w:t>Paragraphe 8.1</w:t>
      </w:r>
      <w:r w:rsidR="008973FB" w:rsidRPr="008973FB">
        <w:rPr>
          <w:noProof/>
        </w:rPr>
        <w:t>,</w:t>
      </w:r>
      <w:r w:rsidRPr="00C45DA5">
        <w:rPr>
          <w:i/>
          <w:noProof/>
        </w:rPr>
        <w:t xml:space="preserve"> </w:t>
      </w:r>
      <w:r w:rsidRPr="00C45DA5">
        <w:rPr>
          <w:noProof/>
        </w:rPr>
        <w:t>modifier comme suit:</w:t>
      </w:r>
    </w:p>
    <w:p w:rsidR="00614E72" w:rsidRPr="00C45DA5" w:rsidRDefault="008973FB" w:rsidP="008973FB">
      <w:pPr>
        <w:pStyle w:val="SingleTxtG"/>
        <w:ind w:left="2268" w:hanging="1134"/>
      </w:pPr>
      <w:r>
        <w:t>«</w:t>
      </w:r>
      <w:r w:rsidR="002A2DEB">
        <w:t>8.1</w:t>
      </w:r>
      <w:r w:rsidR="00614E72" w:rsidRPr="00C45DA5">
        <w:tab/>
        <w:t>Le véhicule doit comporter un moyen de déterminer la consommation de réactif</w:t>
      </w:r>
      <w:r w:rsidR="00614E72" w:rsidRPr="00C45DA5">
        <w:rPr>
          <w:b/>
        </w:rPr>
        <w:t xml:space="preserve">, de détecter une </w:t>
      </w:r>
      <w:r w:rsidR="00614E72" w:rsidRPr="00C45DA5">
        <w:rPr>
          <w:b/>
          <w:color w:val="222222"/>
        </w:rPr>
        <w:t>interruption</w:t>
      </w:r>
      <w:r w:rsidR="00614E72" w:rsidRPr="00C45DA5">
        <w:rPr>
          <w:b/>
          <w:color w:val="222222"/>
          <w:lang w:val="fr-FR"/>
        </w:rPr>
        <w:t xml:space="preserve"> </w:t>
      </w:r>
      <w:r w:rsidR="00614E72" w:rsidRPr="00C45DA5">
        <w:rPr>
          <w:b/>
          <w:color w:val="222222"/>
        </w:rPr>
        <w:t>de l</w:t>
      </w:r>
      <w:r w:rsidR="001844C7">
        <w:rPr>
          <w:b/>
          <w:color w:val="222222"/>
        </w:rPr>
        <w:t>’</w:t>
      </w:r>
      <w:r w:rsidR="00614E72" w:rsidRPr="00C45DA5">
        <w:rPr>
          <w:b/>
          <w:color w:val="222222"/>
        </w:rPr>
        <w:t>activité</w:t>
      </w:r>
      <w:r w:rsidR="00614E72" w:rsidRPr="00C45DA5">
        <w:rPr>
          <w:b/>
          <w:color w:val="222222"/>
          <w:lang w:val="fr-FR"/>
        </w:rPr>
        <w:t xml:space="preserve"> </w:t>
      </w:r>
      <w:r w:rsidR="00614E72" w:rsidRPr="00C45DA5">
        <w:rPr>
          <w:b/>
          <w:color w:val="222222"/>
        </w:rPr>
        <w:t>de dosage de</w:t>
      </w:r>
      <w:r w:rsidR="00614E72" w:rsidRPr="00C45DA5">
        <w:rPr>
          <w:b/>
          <w:color w:val="222222"/>
          <w:lang w:val="fr-FR"/>
        </w:rPr>
        <w:t xml:space="preserve"> </w:t>
      </w:r>
      <w:r w:rsidR="00614E72" w:rsidRPr="00C45DA5">
        <w:rPr>
          <w:b/>
          <w:color w:val="222222"/>
        </w:rPr>
        <w:t>réactif</w:t>
      </w:r>
      <w:r w:rsidR="00614E72" w:rsidRPr="00C45DA5">
        <w:t xml:space="preserve"> et d</w:t>
      </w:r>
      <w:r w:rsidR="001844C7">
        <w:t>’</w:t>
      </w:r>
      <w:r w:rsidR="00614E72" w:rsidRPr="00C45DA5">
        <w:t>avoir un accès externe aux données relatives à la consommation.</w:t>
      </w:r>
      <w:r w:rsidR="002A2DEB">
        <w:t>».</w:t>
      </w:r>
    </w:p>
    <w:p w:rsidR="00614E72" w:rsidRPr="00C45DA5" w:rsidRDefault="001844C7" w:rsidP="002A2DEB">
      <w:pPr>
        <w:pStyle w:val="SingleTxtG"/>
        <w:rPr>
          <w:i/>
          <w:noProof/>
        </w:rPr>
      </w:pPr>
      <w:r>
        <w:rPr>
          <w:i/>
          <w:noProof/>
        </w:rPr>
        <w:t>Paragraphe 8.3.1</w:t>
      </w:r>
      <w:r w:rsidR="00614E72" w:rsidRPr="00C45DA5">
        <w:rPr>
          <w:i/>
          <w:noProof/>
        </w:rPr>
        <w:t xml:space="preserve"> </w:t>
      </w:r>
      <w:r w:rsidR="00614E72" w:rsidRPr="00C45DA5">
        <w:rPr>
          <w:noProof/>
        </w:rPr>
        <w:t>modifier comme suit:</w:t>
      </w:r>
    </w:p>
    <w:p w:rsidR="00614E72" w:rsidRPr="00C45DA5" w:rsidRDefault="002A2DEB" w:rsidP="002A2DEB">
      <w:pPr>
        <w:pStyle w:val="SingleTxtG"/>
        <w:ind w:left="2268" w:hanging="1134"/>
      </w:pPr>
      <w:r>
        <w:t>«8.3.1</w:t>
      </w:r>
      <w:r w:rsidR="00614E72" w:rsidRPr="00C45DA5">
        <w:tab/>
        <w:t>La période maximale de détection d</w:t>
      </w:r>
      <w:r w:rsidR="001844C7">
        <w:t>’</w:t>
      </w:r>
      <w:r w:rsidR="00614E72" w:rsidRPr="00C45DA5">
        <w:t xml:space="preserve">une consommation insuffisante de réactif est de </w:t>
      </w:r>
      <w:r w:rsidR="00614E72" w:rsidRPr="00C45DA5">
        <w:rPr>
          <w:strike/>
        </w:rPr>
        <w:t>48</w:t>
      </w:r>
      <w:r w:rsidR="00614E72" w:rsidRPr="00C45DA5">
        <w:t xml:space="preserve"> </w:t>
      </w:r>
      <w:r w:rsidR="00614E72">
        <w:rPr>
          <w:b/>
        </w:rPr>
        <w:t xml:space="preserve">5 </w:t>
      </w:r>
      <w:r w:rsidR="00614E72" w:rsidRPr="00C45DA5">
        <w:t>h ou la période équivalant à une consommation de réactif demandée d</w:t>
      </w:r>
      <w:r w:rsidR="001844C7">
        <w:t>’</w:t>
      </w:r>
      <w:r w:rsidR="00614E72" w:rsidRPr="00C45DA5">
        <w:t>au moins</w:t>
      </w:r>
      <w:r w:rsidR="00614E72">
        <w:t xml:space="preserve"> </w:t>
      </w:r>
      <w:r w:rsidR="00614E72" w:rsidRPr="00C45DA5">
        <w:rPr>
          <w:strike/>
        </w:rPr>
        <w:t>15</w:t>
      </w:r>
      <w:r w:rsidR="00614E72" w:rsidRPr="00C45DA5">
        <w:t xml:space="preserve"> </w:t>
      </w:r>
      <w:r w:rsidR="00614E72" w:rsidRPr="00C45DA5">
        <w:rPr>
          <w:b/>
        </w:rPr>
        <w:t>2</w:t>
      </w:r>
      <w:r w:rsidR="00614E72" w:rsidRPr="00C45DA5">
        <w:t xml:space="preserve"> l, la plus longue de ces deux périodes étant retenue.</w:t>
      </w:r>
      <w:r>
        <w:t>».</w:t>
      </w:r>
    </w:p>
    <w:p w:rsidR="00614E72" w:rsidRPr="00C45DA5" w:rsidRDefault="00614E72" w:rsidP="002A2DEB">
      <w:pPr>
        <w:pStyle w:val="SingleTxtG"/>
        <w:rPr>
          <w:noProof/>
        </w:rPr>
      </w:pPr>
      <w:r w:rsidRPr="002A2DEB">
        <w:rPr>
          <w:i/>
          <w:noProof/>
        </w:rPr>
        <w:t>Ajouter un nouveau paragraphe 8.3.1.1</w:t>
      </w:r>
      <w:r w:rsidRPr="00C45DA5">
        <w:rPr>
          <w:noProof/>
        </w:rPr>
        <w:t>, comme suit:</w:t>
      </w:r>
    </w:p>
    <w:p w:rsidR="00614E72" w:rsidRPr="002A2DEB" w:rsidRDefault="002A2DEB" w:rsidP="008973FB">
      <w:pPr>
        <w:pStyle w:val="SingleTxtG"/>
        <w:ind w:left="2268" w:hanging="1134"/>
        <w:rPr>
          <w:b/>
        </w:rPr>
      </w:pPr>
      <w:r>
        <w:t>«</w:t>
      </w:r>
      <w:r w:rsidRPr="002A2DEB">
        <w:rPr>
          <w:b/>
        </w:rPr>
        <w:t>8.3.1.1</w:t>
      </w:r>
      <w:r w:rsidR="00614E72" w:rsidRPr="002A2DEB">
        <w:rPr>
          <w:b/>
        </w:rPr>
        <w:tab/>
        <w:t>Lorsque la surveillance de la consommation de réactif s</w:t>
      </w:r>
      <w:r w:rsidR="001844C7">
        <w:rPr>
          <w:b/>
        </w:rPr>
        <w:t>’</w:t>
      </w:r>
      <w:r w:rsidR="00614E72" w:rsidRPr="002A2DEB">
        <w:rPr>
          <w:b/>
        </w:rPr>
        <w:t>effectue en fonction de l</w:t>
      </w:r>
      <w:r w:rsidR="001844C7">
        <w:rPr>
          <w:b/>
        </w:rPr>
        <w:t>’</w:t>
      </w:r>
      <w:r w:rsidR="00614E72" w:rsidRPr="002A2DEB">
        <w:rPr>
          <w:b/>
        </w:rPr>
        <w:t>un au moins des paramètres suivants:</w:t>
      </w:r>
    </w:p>
    <w:p w:rsidR="00614E72" w:rsidRPr="002A2DEB" w:rsidRDefault="00614E72" w:rsidP="001844C7">
      <w:pPr>
        <w:ind w:left="2693" w:right="1134" w:hanging="425"/>
        <w:rPr>
          <w:b/>
        </w:rPr>
      </w:pPr>
      <w:r w:rsidRPr="002A2DEB">
        <w:rPr>
          <w:b/>
        </w:rPr>
        <w:t>a)</w:t>
      </w:r>
      <w:r w:rsidRPr="002A2DEB">
        <w:rPr>
          <w:b/>
        </w:rPr>
        <w:tab/>
        <w:t>Le niveau de réactif dans le réservoir de stockage embarqué du</w:t>
      </w:r>
      <w:r w:rsidR="006A6A09">
        <w:rPr>
          <w:b/>
        </w:rPr>
        <w:t> </w:t>
      </w:r>
      <w:r w:rsidRPr="002A2DEB">
        <w:rPr>
          <w:b/>
        </w:rPr>
        <w:t>véhicule, ou</w:t>
      </w:r>
    </w:p>
    <w:p w:rsidR="00614E72" w:rsidRPr="002A2DEB" w:rsidRDefault="00614E72" w:rsidP="001844C7">
      <w:pPr>
        <w:ind w:left="2694" w:right="1134" w:hanging="426"/>
        <w:rPr>
          <w:b/>
        </w:rPr>
      </w:pPr>
      <w:r w:rsidRPr="002A2DEB">
        <w:rPr>
          <w:b/>
        </w:rPr>
        <w:t>b)</w:t>
      </w:r>
      <w:r w:rsidRPr="002A2DEB">
        <w:rPr>
          <w:b/>
        </w:rPr>
        <w:tab/>
        <w:t>Le débit de réactif ou la quantité de réactif injectée mesurés en</w:t>
      </w:r>
      <w:r w:rsidR="006A6A09">
        <w:rPr>
          <w:b/>
        </w:rPr>
        <w:t> </w:t>
      </w:r>
      <w:r w:rsidRPr="002A2DEB">
        <w:rPr>
          <w:b/>
        </w:rPr>
        <w:t>un</w:t>
      </w:r>
      <w:r w:rsidR="006A6A09">
        <w:rPr>
          <w:b/>
        </w:rPr>
        <w:t> </w:t>
      </w:r>
      <w:r w:rsidRPr="002A2DEB">
        <w:rPr>
          <w:b/>
        </w:rPr>
        <w:t>point aussi proche qu</w:t>
      </w:r>
      <w:r w:rsidR="001844C7">
        <w:rPr>
          <w:b/>
        </w:rPr>
        <w:t>’</w:t>
      </w:r>
      <w:r w:rsidRPr="002A2DEB">
        <w:rPr>
          <w:b/>
        </w:rPr>
        <w:t>il est techniquement possible du point d</w:t>
      </w:r>
      <w:r w:rsidR="001844C7">
        <w:rPr>
          <w:b/>
        </w:rPr>
        <w:t>’</w:t>
      </w:r>
      <w:r w:rsidRPr="002A2DEB">
        <w:rPr>
          <w:b/>
        </w:rPr>
        <w:t>injection dans un système de traitement aval des gaz d</w:t>
      </w:r>
      <w:r w:rsidR="001844C7">
        <w:rPr>
          <w:b/>
        </w:rPr>
        <w:t>’</w:t>
      </w:r>
      <w:r w:rsidRPr="002A2DEB">
        <w:rPr>
          <w:b/>
        </w:rPr>
        <w:t>échappement,</w:t>
      </w:r>
    </w:p>
    <w:p w:rsidR="00614E72" w:rsidRPr="00C45DA5" w:rsidRDefault="00614E72" w:rsidP="001844C7">
      <w:pPr>
        <w:pStyle w:val="SingleTxtG"/>
        <w:ind w:left="2268"/>
        <w:rPr>
          <w:b/>
        </w:rPr>
      </w:pPr>
      <w:r w:rsidRPr="002A2DEB">
        <w:rPr>
          <w:b/>
        </w:rPr>
        <w:t>La période maximale de détection pour une consommation de réactif insuffisante est de 48</w:t>
      </w:r>
      <w:r w:rsidR="002A2DEB">
        <w:rPr>
          <w:b/>
        </w:rPr>
        <w:t> </w:t>
      </w:r>
      <w:r w:rsidRPr="002A2DEB">
        <w:rPr>
          <w:b/>
        </w:rPr>
        <w:t>h ou la période équivalant à une consommation de</w:t>
      </w:r>
      <w:r w:rsidR="001844C7">
        <w:rPr>
          <w:b/>
          <w:sz w:val="22"/>
        </w:rPr>
        <w:t> </w:t>
      </w:r>
      <w:r w:rsidRPr="002A2DEB">
        <w:rPr>
          <w:b/>
        </w:rPr>
        <w:t>réactif demandée d</w:t>
      </w:r>
      <w:r w:rsidR="001844C7">
        <w:rPr>
          <w:b/>
        </w:rPr>
        <w:t>’</w:t>
      </w:r>
      <w:r w:rsidRPr="002A2DEB">
        <w:rPr>
          <w:b/>
        </w:rPr>
        <w:t>au moins 15 l, la plus longue de ces deux périodes étant retenue:</w:t>
      </w:r>
      <w:r w:rsidR="002A2DEB">
        <w:t>»</w:t>
      </w:r>
      <w:r w:rsidR="001844C7">
        <w:t>.</w:t>
      </w:r>
    </w:p>
    <w:p w:rsidR="00614E72" w:rsidRPr="002A2DEB" w:rsidRDefault="00614E72" w:rsidP="001844C7">
      <w:pPr>
        <w:pStyle w:val="SingleTxtG"/>
        <w:keepNext/>
        <w:keepLines/>
        <w:rPr>
          <w:i/>
          <w:noProof/>
        </w:rPr>
      </w:pPr>
      <w:r w:rsidRPr="002A2DEB">
        <w:rPr>
          <w:i/>
          <w:noProof/>
        </w:rPr>
        <w:t>Supprimer le paragraphe 8.3.2.</w:t>
      </w:r>
    </w:p>
    <w:p w:rsidR="00614E72" w:rsidRPr="003F130A" w:rsidRDefault="00614E72" w:rsidP="001844C7">
      <w:pPr>
        <w:pStyle w:val="SingleTxtG"/>
        <w:keepNext/>
        <w:keepLines/>
        <w:rPr>
          <w:noProof/>
        </w:rPr>
      </w:pPr>
      <w:r w:rsidRPr="003F130A">
        <w:rPr>
          <w:i/>
          <w:noProof/>
        </w:rPr>
        <w:t>Paragraph</w:t>
      </w:r>
      <w:r>
        <w:rPr>
          <w:i/>
          <w:noProof/>
        </w:rPr>
        <w:t>e</w:t>
      </w:r>
      <w:r w:rsidR="002A2DEB">
        <w:rPr>
          <w:i/>
          <w:noProof/>
        </w:rPr>
        <w:t xml:space="preserve"> 8.4.1</w:t>
      </w:r>
      <w:r w:rsidRPr="002A2DEB">
        <w:rPr>
          <w:noProof/>
        </w:rPr>
        <w:t>,</w:t>
      </w:r>
      <w:r w:rsidRPr="003F130A">
        <w:rPr>
          <w:i/>
          <w:noProof/>
        </w:rPr>
        <w:t xml:space="preserve"> </w:t>
      </w:r>
      <w:r>
        <w:rPr>
          <w:noProof/>
        </w:rPr>
        <w:t>modifier comme suit</w:t>
      </w:r>
      <w:r w:rsidRPr="003F130A">
        <w:rPr>
          <w:noProof/>
        </w:rPr>
        <w:t>:</w:t>
      </w:r>
    </w:p>
    <w:p w:rsidR="00614E72" w:rsidRPr="003F130A" w:rsidRDefault="002A2DEB" w:rsidP="001844C7">
      <w:pPr>
        <w:pStyle w:val="SingleTxtG"/>
        <w:keepNext/>
        <w:keepLines/>
        <w:ind w:left="2268" w:hanging="1134"/>
        <w:rPr>
          <w:noProof/>
        </w:rPr>
      </w:pPr>
      <w:r>
        <w:rPr>
          <w:noProof/>
        </w:rPr>
        <w:t>«8.4.1</w:t>
      </w:r>
      <w:r w:rsidR="00614E72" w:rsidRPr="003F130A">
        <w:rPr>
          <w:noProof/>
        </w:rPr>
        <w:tab/>
      </w:r>
      <w:r w:rsidR="00614E72" w:rsidRPr="009D1CE7">
        <w:t>Le système d</w:t>
      </w:r>
      <w:r w:rsidR="001844C7">
        <w:t>’</w:t>
      </w:r>
      <w:r w:rsidR="00614E72" w:rsidRPr="009D1CE7">
        <w:t xml:space="preserve">alerte du conducteur décrit au paragraphe 4 doit être activé si un écart de plus de </w:t>
      </w:r>
      <w:r w:rsidR="00614E72" w:rsidRPr="009D1CE7">
        <w:rPr>
          <w:strike/>
        </w:rPr>
        <w:t>20</w:t>
      </w:r>
      <w:r w:rsidR="00614E72" w:rsidRPr="009D1CE7">
        <w:t xml:space="preserve"> </w:t>
      </w:r>
      <w:r w:rsidR="00614E72" w:rsidRPr="009D1CE7">
        <w:rPr>
          <w:b/>
        </w:rPr>
        <w:t>50</w:t>
      </w:r>
      <w:r w:rsidR="001844C7">
        <w:t> </w:t>
      </w:r>
      <w:r w:rsidR="00614E72" w:rsidRPr="009D1CE7">
        <w:t>% entre la consommation moyenne effective de réactif et la consommation moyenne de réactif demandée par le système moteur au cours d</w:t>
      </w:r>
      <w:r w:rsidR="001844C7">
        <w:t>’</w:t>
      </w:r>
      <w:r w:rsidR="00614E72" w:rsidRPr="009D1CE7">
        <w:t xml:space="preserve">une période à définir par le constructeur, qui ne peut être plus longue que la période maximale spécifiée au paragraphe 8.3.1, </w:t>
      </w:r>
      <w:r w:rsidR="00614E72" w:rsidRPr="009D1CE7">
        <w:rPr>
          <w:b/>
        </w:rPr>
        <w:t>ou, lorsqu</w:t>
      </w:r>
      <w:r w:rsidR="001844C7">
        <w:rPr>
          <w:b/>
        </w:rPr>
        <w:t>’</w:t>
      </w:r>
      <w:r w:rsidR="00614E72" w:rsidRPr="009D1CE7">
        <w:rPr>
          <w:b/>
        </w:rPr>
        <w:t>il s</w:t>
      </w:r>
      <w:r w:rsidR="001844C7">
        <w:rPr>
          <w:b/>
        </w:rPr>
        <w:t>’</w:t>
      </w:r>
      <w:r w:rsidR="00614E72" w:rsidRPr="009D1CE7">
        <w:rPr>
          <w:b/>
        </w:rPr>
        <w:t>applique, au paragraphe 8.3.1.1</w:t>
      </w:r>
      <w:r w:rsidR="00614E72" w:rsidRPr="009D1CE7">
        <w:t>, est détecté. Lorsque le système d</w:t>
      </w:r>
      <w:r w:rsidR="001844C7">
        <w:t>’</w:t>
      </w:r>
      <w:r w:rsidR="00614E72" w:rsidRPr="009D1CE7">
        <w:t>alerte comprend un système d</w:t>
      </w:r>
      <w:r w:rsidR="001844C7">
        <w:t>’</w:t>
      </w:r>
      <w:r w:rsidR="00614E72" w:rsidRPr="009D1CE7">
        <w:t>affichage de messages, celui-ci doit afficher un message indiquant le motif de l</w:t>
      </w:r>
      <w:r w:rsidR="001844C7">
        <w:t>’</w:t>
      </w:r>
      <w:r w:rsidR="00614E72" w:rsidRPr="009D1CE7">
        <w:t xml:space="preserve">alerte (par exemple, </w:t>
      </w:r>
      <w:r w:rsidR="001844C7">
        <w:t>“</w:t>
      </w:r>
      <w:r w:rsidR="00614E72" w:rsidRPr="009D1CE7">
        <w:t>défaut dosage urée</w:t>
      </w:r>
      <w:r w:rsidR="001844C7">
        <w:t>”</w:t>
      </w:r>
      <w:r w:rsidR="00614E72" w:rsidRPr="009D1CE7">
        <w:t xml:space="preserve">, </w:t>
      </w:r>
      <w:r w:rsidR="001844C7">
        <w:t>“</w:t>
      </w:r>
      <w:r w:rsidR="00614E72" w:rsidRPr="009D1CE7">
        <w:t>défaut dosage AdBlue</w:t>
      </w:r>
      <w:r w:rsidR="001844C7">
        <w:t>”</w:t>
      </w:r>
      <w:r w:rsidR="00614E72" w:rsidRPr="009D1CE7">
        <w:t xml:space="preserve"> ou </w:t>
      </w:r>
      <w:r w:rsidR="001844C7">
        <w:t>“</w:t>
      </w:r>
      <w:r w:rsidR="00614E72" w:rsidRPr="009D1CE7">
        <w:t>défaut dosage réactif</w:t>
      </w:r>
      <w:r w:rsidR="001844C7">
        <w:t>”</w:t>
      </w:r>
      <w:r w:rsidR="00614E72" w:rsidRPr="009D1CE7">
        <w:t>).</w:t>
      </w:r>
      <w:r>
        <w:rPr>
          <w:noProof/>
        </w:rPr>
        <w:t>».</w:t>
      </w:r>
    </w:p>
    <w:p w:rsidR="00614E72" w:rsidRPr="002A2DEB" w:rsidRDefault="00614E72" w:rsidP="002A2DEB">
      <w:pPr>
        <w:pStyle w:val="SingleTxtG"/>
        <w:rPr>
          <w:i/>
        </w:rPr>
      </w:pPr>
      <w:r w:rsidRPr="002A2DEB">
        <w:rPr>
          <w:i/>
        </w:rPr>
        <w:t>Annexe 15,</w:t>
      </w:r>
    </w:p>
    <w:p w:rsidR="00614E72" w:rsidRPr="002F0FBD" w:rsidRDefault="00614E72" w:rsidP="002A2DEB">
      <w:pPr>
        <w:pStyle w:val="SingleTxtG"/>
      </w:pPr>
      <w:r w:rsidRPr="002A2DEB">
        <w:rPr>
          <w:i/>
        </w:rPr>
        <w:t>Ajouter de nouveaux para</w:t>
      </w:r>
      <w:r w:rsidR="002A2DEB">
        <w:rPr>
          <w:i/>
        </w:rPr>
        <w:t>graphes 4.2.2.3.1 à 4.2.2.3.3</w:t>
      </w:r>
      <w:r w:rsidRPr="002F0FBD">
        <w:t xml:space="preserve">, </w:t>
      </w:r>
      <w:r w:rsidRPr="002F0FBD">
        <w:rPr>
          <w:noProof/>
        </w:rPr>
        <w:t>comme suit</w:t>
      </w:r>
      <w:r w:rsidRPr="002F0FBD">
        <w:t>:</w:t>
      </w:r>
    </w:p>
    <w:p w:rsidR="00614E72" w:rsidRPr="002F0FBD" w:rsidRDefault="002A2DEB" w:rsidP="00614E72">
      <w:pPr>
        <w:pStyle w:val="SingleTxtG"/>
        <w:ind w:left="2268" w:hanging="1134"/>
        <w:rPr>
          <w:b/>
        </w:rPr>
      </w:pPr>
      <w:r w:rsidRPr="002A2DEB">
        <w:t>«</w:t>
      </w:r>
      <w:r w:rsidR="00614E72" w:rsidRPr="002F0FBD">
        <w:rPr>
          <w:b/>
        </w:rPr>
        <w:t>4.2.2.3.1</w:t>
      </w:r>
      <w:r w:rsidR="00614E72" w:rsidRPr="002F0FBD">
        <w:rPr>
          <w:b/>
        </w:rPr>
        <w:tab/>
        <w:t>Le dispositif de limitation de la puissance ne peut être activé que si le</w:t>
      </w:r>
      <w:r>
        <w:rPr>
          <w:b/>
        </w:rPr>
        <w:t> </w:t>
      </w:r>
      <w:r w:rsidR="00614E72" w:rsidRPr="002F0FBD">
        <w:rPr>
          <w:b/>
        </w:rPr>
        <w:t>système conclut que le réservoir de gaz est vide dans les 5 min</w:t>
      </w:r>
      <w:r w:rsidR="00614E72">
        <w:rPr>
          <w:b/>
        </w:rPr>
        <w:t xml:space="preserve"> </w:t>
      </w:r>
      <w:r w:rsidR="00614E72" w:rsidRPr="002F0FBD">
        <w:rPr>
          <w:b/>
        </w:rPr>
        <w:t xml:space="preserve">suivant le lancement du moteur, </w:t>
      </w:r>
      <w:r w:rsidR="00614E72">
        <w:rPr>
          <w:b/>
        </w:rPr>
        <w:t xml:space="preserve">alors que </w:t>
      </w:r>
      <w:r w:rsidR="00614E72" w:rsidRPr="002F0FBD">
        <w:rPr>
          <w:b/>
        </w:rPr>
        <w:t>celui-ci tourn</w:t>
      </w:r>
      <w:r w:rsidR="00614E72">
        <w:rPr>
          <w:b/>
        </w:rPr>
        <w:t>e</w:t>
      </w:r>
      <w:r w:rsidR="00614E72" w:rsidRPr="002F0FBD">
        <w:rPr>
          <w:b/>
        </w:rPr>
        <w:t xml:space="preserve"> au ralenti.</w:t>
      </w:r>
    </w:p>
    <w:p w:rsidR="00614E72" w:rsidRPr="002F0FBD" w:rsidRDefault="00614E72" w:rsidP="00614E72">
      <w:pPr>
        <w:pStyle w:val="SingleTxtG"/>
        <w:ind w:left="2268" w:hanging="1134"/>
        <w:rPr>
          <w:b/>
        </w:rPr>
      </w:pPr>
      <w:r w:rsidRPr="002F0FBD">
        <w:rPr>
          <w:b/>
        </w:rPr>
        <w:t>4.2.2.3.2</w:t>
      </w:r>
      <w:r w:rsidRPr="002F0FBD">
        <w:rPr>
          <w:b/>
        </w:rPr>
        <w:tab/>
        <w:t>Le dispositif de limitation de la puissance ne doit pas être activé lorsque le système conclut que le rés</w:t>
      </w:r>
      <w:r>
        <w:rPr>
          <w:b/>
        </w:rPr>
        <w:t>ervoir de gaz est vide depuis la</w:t>
      </w:r>
      <w:r w:rsidRPr="002F0FBD">
        <w:rPr>
          <w:b/>
        </w:rPr>
        <w:t xml:space="preserve"> précédent</w:t>
      </w:r>
      <w:r>
        <w:rPr>
          <w:b/>
        </w:rPr>
        <w:t>e</w:t>
      </w:r>
      <w:r w:rsidRPr="002F0FBD">
        <w:rPr>
          <w:b/>
        </w:rPr>
        <w:t xml:space="preserve"> </w:t>
      </w:r>
      <w:r>
        <w:rPr>
          <w:b/>
        </w:rPr>
        <w:t>séquence de fonctionnement</w:t>
      </w:r>
      <w:r w:rsidRPr="002F0FBD">
        <w:rPr>
          <w:b/>
        </w:rPr>
        <w:t xml:space="preserve"> et que le réservoir de gaz n</w:t>
      </w:r>
      <w:r w:rsidR="001844C7">
        <w:rPr>
          <w:b/>
        </w:rPr>
        <w:t>’</w:t>
      </w:r>
      <w:r w:rsidRPr="002F0FBD">
        <w:rPr>
          <w:b/>
        </w:rPr>
        <w:t>a pas été rempli de nouveau.</w:t>
      </w:r>
    </w:p>
    <w:p w:rsidR="002A2DEB" w:rsidRDefault="00614E72" w:rsidP="008973FB">
      <w:pPr>
        <w:pStyle w:val="SingleTxtG"/>
        <w:ind w:left="2268" w:hanging="1134"/>
      </w:pPr>
      <w:r w:rsidRPr="00D6230B">
        <w:rPr>
          <w:b/>
        </w:rPr>
        <w:t>4.2.2.3.3</w:t>
      </w:r>
      <w:r w:rsidRPr="00500869">
        <w:rPr>
          <w:b/>
        </w:rPr>
        <w:tab/>
      </w:r>
      <w:r w:rsidRPr="00EE0C77">
        <w:rPr>
          <w:b/>
          <w:lang w:val="fr-FR"/>
        </w:rPr>
        <w:t>Au moment de l</w:t>
      </w:r>
      <w:r w:rsidR="001844C7">
        <w:rPr>
          <w:b/>
          <w:lang w:val="fr-FR"/>
        </w:rPr>
        <w:t>’</w:t>
      </w:r>
      <w:r w:rsidRPr="00EE0C77">
        <w:rPr>
          <w:b/>
          <w:lang w:val="fr-FR"/>
        </w:rPr>
        <w:t>homologation de type, le constructeur doit démontrer que le dispositif de limitation de la puissance ne peut être activé que pendant une opération de réparation ou d</w:t>
      </w:r>
      <w:r w:rsidR="001844C7">
        <w:rPr>
          <w:b/>
          <w:lang w:val="fr-FR"/>
        </w:rPr>
        <w:t>’</w:t>
      </w:r>
      <w:r w:rsidRPr="00EE0C77">
        <w:rPr>
          <w:b/>
          <w:lang w:val="fr-FR"/>
        </w:rPr>
        <w:t>entretien</w:t>
      </w:r>
      <w:r w:rsidRPr="00500869">
        <w:rPr>
          <w:b/>
        </w:rPr>
        <w:t>.</w:t>
      </w:r>
      <w:r w:rsidR="002A2DEB">
        <w:t>».</w:t>
      </w:r>
    </w:p>
    <w:p w:rsidR="002A2DEB" w:rsidRDefault="002A2DEB" w:rsidP="002A2DEB">
      <w:pPr>
        <w:pStyle w:val="HChG"/>
      </w:pPr>
      <w:r>
        <w:br w:type="page"/>
        <w:t>Annexe VI</w:t>
      </w:r>
    </w:p>
    <w:p w:rsidR="002A2DEB" w:rsidRDefault="002A2DEB" w:rsidP="002A2DEB">
      <w:pPr>
        <w:pStyle w:val="HChG"/>
      </w:pPr>
      <w:r>
        <w:tab/>
      </w:r>
      <w:r>
        <w:tab/>
        <w:t>Mandat et règlement intérieur du Groupe de travail informel de la qualité de l</w:t>
      </w:r>
      <w:r w:rsidR="001844C7">
        <w:t>’</w:t>
      </w:r>
      <w:r>
        <w:t>air à l</w:t>
      </w:r>
      <w:r w:rsidR="001844C7">
        <w:t>’</w:t>
      </w:r>
      <w:r>
        <w:t>intérieur des véhicules (VIAQ)</w:t>
      </w:r>
    </w:p>
    <w:p w:rsidR="002A2DEB" w:rsidRDefault="002A2DEB" w:rsidP="002A2DEB">
      <w:pPr>
        <w:pStyle w:val="H23G"/>
      </w:pPr>
      <w:r>
        <w:tab/>
      </w:r>
      <w:r>
        <w:tab/>
        <w:t xml:space="preserve">Adoptés sur la base du document informel GRPE-70-09 modifié (voir par. </w:t>
      </w:r>
      <w:r w:rsidR="001844C7">
        <w:t>4</w:t>
      </w:r>
      <w:r>
        <w:t>8)</w:t>
      </w:r>
    </w:p>
    <w:p w:rsidR="002A2DEB" w:rsidRDefault="002A2DEB" w:rsidP="002A2DEB">
      <w:pPr>
        <w:pStyle w:val="HChG"/>
      </w:pPr>
      <w:r>
        <w:tab/>
        <w:t>1.</w:t>
      </w:r>
      <w:r>
        <w:tab/>
        <w:t>Contexte</w:t>
      </w:r>
    </w:p>
    <w:p w:rsidR="002A2DEB" w:rsidRDefault="002A2DEB" w:rsidP="002A2DEB">
      <w:pPr>
        <w:pStyle w:val="SingleTxtG"/>
        <w:ind w:left="1701" w:hanging="567"/>
      </w:pPr>
      <w:r>
        <w:t>1.1</w:t>
      </w:r>
      <w:r>
        <w:tab/>
        <w:t>Les adhésifs et matériaux intérieurs utilisés dans l</w:t>
      </w:r>
      <w:r w:rsidR="001844C7">
        <w:t>’</w:t>
      </w:r>
      <w:r>
        <w:t>aménagement de l</w:t>
      </w:r>
      <w:r w:rsidR="001844C7">
        <w:t>’</w:t>
      </w:r>
      <w:r>
        <w:t>habitacle des véhicules contiennent plusieurs composants chimiques. En conséquence, différents types de substances chimiques émises par des matériaux intérieurs peuvent se dégager à l</w:t>
      </w:r>
      <w:r w:rsidR="001844C7">
        <w:t>’</w:t>
      </w:r>
      <w:r>
        <w:t>intérieur des véhicules fabriqués. Dans certains cas, par exemple au début de la vie du véhicule et lorsque celui-ci est exposé à de hautes températures, la quantité de substances chimiques émises, c</w:t>
      </w:r>
      <w:r w:rsidR="001844C7">
        <w:t>’</w:t>
      </w:r>
      <w:r>
        <w:t>est-à-dire de composés organiques volatils, peut être particulièrement élevée et certains d</w:t>
      </w:r>
      <w:r w:rsidR="001844C7">
        <w:t>’</w:t>
      </w:r>
      <w:r>
        <w:t>entre eux peuvent altérer la</w:t>
      </w:r>
      <w:r w:rsidR="001844C7">
        <w:t> </w:t>
      </w:r>
      <w:r>
        <w:t>qualité de l</w:t>
      </w:r>
      <w:r w:rsidR="001844C7">
        <w:t>’</w:t>
      </w:r>
      <w:r>
        <w:t>air dans le véhicule.</w:t>
      </w:r>
    </w:p>
    <w:p w:rsidR="002A2DEB" w:rsidRDefault="002A2DEB" w:rsidP="002A2DEB">
      <w:pPr>
        <w:pStyle w:val="SingleTxtG"/>
        <w:ind w:left="1701" w:hanging="567"/>
      </w:pPr>
      <w:r>
        <w:t>1.2</w:t>
      </w:r>
      <w:r>
        <w:tab/>
        <w:t>Bien que le volume des émissions soit variable et que les réactions individuelles soient plus ou moins fortes, certaines des substances pouvant être émises à l</w:t>
      </w:r>
      <w:r w:rsidR="001844C7">
        <w:t>’</w:t>
      </w:r>
      <w:r>
        <w:t>intérieur des véhicules sont susceptibles de provoquer des symptômes tels que nausées, allergies, fatigue, irritation oculaire et maux de tête. De tels symptômes peuvent non seulement nuire au bien-être et au confort des conducteurs et des passagers, mais aussi avoir des conséquences sur la santé et sur la sécurité routière.</w:t>
      </w:r>
    </w:p>
    <w:p w:rsidR="002A2DEB" w:rsidRDefault="002A2DEB" w:rsidP="002A2DEB">
      <w:pPr>
        <w:pStyle w:val="SingleTxtG"/>
        <w:ind w:left="1701" w:hanging="567"/>
      </w:pPr>
      <w:r>
        <w:t>1.3</w:t>
      </w:r>
      <w:r>
        <w:tab/>
        <w:t>La communauté internationale doit s</w:t>
      </w:r>
      <w:r w:rsidR="001844C7">
        <w:t>’</w:t>
      </w:r>
      <w:r>
        <w:t>engager rapidement dans des discussions et prendre des décisions, notamment sous forme de recommandations, afin de réduire les émissions de composés organiques volatils et de substances nocives lors de la fabrication des véhicules pour améliorer la qualité de l</w:t>
      </w:r>
      <w:r w:rsidR="001844C7">
        <w:t>’</w:t>
      </w:r>
      <w:r>
        <w:t>air dans le véhicule.</w:t>
      </w:r>
    </w:p>
    <w:p w:rsidR="002A2DEB" w:rsidRDefault="002A2DEB" w:rsidP="002A2DEB">
      <w:pPr>
        <w:pStyle w:val="HChG"/>
      </w:pPr>
      <w:r>
        <w:tab/>
        <w:t>2.</w:t>
      </w:r>
      <w:r>
        <w:tab/>
        <w:t>Objectif</w:t>
      </w:r>
    </w:p>
    <w:p w:rsidR="002A2DEB" w:rsidRDefault="002A2DEB" w:rsidP="002A2DEB">
      <w:pPr>
        <w:pStyle w:val="SingleTxtG"/>
        <w:ind w:left="1701" w:hanging="567"/>
      </w:pPr>
      <w:r>
        <w:t>2.1</w:t>
      </w:r>
      <w:r>
        <w:tab/>
        <w:t>Le groupe de travail informel de la qualité de l</w:t>
      </w:r>
      <w:r w:rsidR="001844C7">
        <w:t>’</w:t>
      </w:r>
      <w:r>
        <w:t>air à l</w:t>
      </w:r>
      <w:r w:rsidR="001844C7">
        <w:t>’</w:t>
      </w:r>
      <w:r>
        <w:t>intérieur des véhicules aura une structure ouverte qui permettra d</w:t>
      </w:r>
      <w:r w:rsidR="001844C7">
        <w:t>’</w:t>
      </w:r>
      <w:r>
        <w:t>échanger des renseignements et des données d</w:t>
      </w:r>
      <w:r w:rsidR="001844C7">
        <w:t>’</w:t>
      </w:r>
      <w:r>
        <w:t>expérience sur les règlements, les mesures et les efforts d</w:t>
      </w:r>
      <w:r w:rsidR="001844C7">
        <w:t>’</w:t>
      </w:r>
      <w:r>
        <w:t>uniformisation pertinents.</w:t>
      </w:r>
    </w:p>
    <w:p w:rsidR="002A2DEB" w:rsidRDefault="002A2DEB" w:rsidP="002A2DEB">
      <w:pPr>
        <w:pStyle w:val="SingleTxtG"/>
        <w:ind w:left="1701" w:hanging="567"/>
      </w:pPr>
      <w:r>
        <w:t>2.2</w:t>
      </w:r>
      <w:r>
        <w:tab/>
        <w:t>Plusieurs normes existent déjà au plan international mais l</w:t>
      </w:r>
      <w:r w:rsidR="001844C7">
        <w:t>’</w:t>
      </w:r>
      <w:r>
        <w:t>Accord de 1958 et l</w:t>
      </w:r>
      <w:r w:rsidR="001844C7">
        <w:t>’</w:t>
      </w:r>
      <w:r>
        <w:t>Accord de 1998 ne contiennent toujours pas de définition des méthodes exactes de mesures, ni de prescriptions en matière d</w:t>
      </w:r>
      <w:r w:rsidR="001844C7">
        <w:t>’</w:t>
      </w:r>
      <w:r>
        <w:t>émissions de polluants. L</w:t>
      </w:r>
      <w:r w:rsidR="001844C7">
        <w:t>’</w:t>
      </w:r>
      <w:r>
        <w:t>objectif de la présente proposition est d</w:t>
      </w:r>
      <w:r w:rsidR="001844C7">
        <w:t>’</w:t>
      </w:r>
      <w:r>
        <w:t>élaborer une recommandation (R.E.3, S.R.1 ou une nouvelle Résolution mutuelle) relative à la protection des passagers contre les composés volatils organiques émis par des matériaux intérieurs utilisés dans la construction des véhicules.</w:t>
      </w:r>
    </w:p>
    <w:p w:rsidR="002A2DEB" w:rsidRDefault="002A2DEB" w:rsidP="002A2DEB">
      <w:pPr>
        <w:pStyle w:val="SingleTxtG"/>
        <w:ind w:left="1701" w:hanging="567"/>
      </w:pPr>
      <w:r>
        <w:t>2.3</w:t>
      </w:r>
      <w:r>
        <w:tab/>
        <w:t>La recommandation (R.E.3, S.R.1 ou une nouvelle Résolution mutuelle, selon le cas) comprendra des dispositions ainsi que des procédures d</w:t>
      </w:r>
      <w:r w:rsidR="001844C7">
        <w:t>’</w:t>
      </w:r>
      <w:r>
        <w:t>essai harmonisées pour la mesure des composés organiques volatils dans l</w:t>
      </w:r>
      <w:r w:rsidR="001844C7">
        <w:t>’</w:t>
      </w:r>
      <w:r>
        <w:t>air intérieur, en tenant compte des normes existantes.</w:t>
      </w:r>
    </w:p>
    <w:p w:rsidR="002A2DEB" w:rsidRDefault="002A2DEB" w:rsidP="001844C7">
      <w:pPr>
        <w:pStyle w:val="SingleTxtG"/>
        <w:keepLines/>
        <w:ind w:left="1701" w:hanging="567"/>
      </w:pPr>
      <w:r>
        <w:t>2.4</w:t>
      </w:r>
      <w:r>
        <w:tab/>
        <w:t>Le groupe de travail informel mènera une étude approfondie de toutes les dispositions relatives à la gestion de la qualité de l</w:t>
      </w:r>
      <w:r w:rsidR="001844C7">
        <w:t>’</w:t>
      </w:r>
      <w:r>
        <w:t>air à l</w:t>
      </w:r>
      <w:r w:rsidR="001844C7">
        <w:t>’</w:t>
      </w:r>
      <w:r>
        <w:t>intérieur des véhicules. Il élaborera une nouvelle recommandation afin que les conducteurs et les passagers bénéficient d</w:t>
      </w:r>
      <w:r w:rsidR="001844C7">
        <w:t>’</w:t>
      </w:r>
      <w:r>
        <w:t>un meilleur environnement de conduite, qui permettra également à l</w:t>
      </w:r>
      <w:r w:rsidR="001844C7">
        <w:t>’</w:t>
      </w:r>
      <w:r>
        <w:t>industrie automobile de gagner en efficacité et de réduire ses coûts grâce à l</w:t>
      </w:r>
      <w:r w:rsidR="001844C7">
        <w:t>’</w:t>
      </w:r>
      <w:r>
        <w:t>unification des normes et des méthodes de mesure.</w:t>
      </w:r>
    </w:p>
    <w:p w:rsidR="002A2DEB" w:rsidRDefault="002A2DEB" w:rsidP="002A2DEB">
      <w:pPr>
        <w:pStyle w:val="HChG"/>
      </w:pPr>
      <w:r>
        <w:tab/>
        <w:t>3.</w:t>
      </w:r>
      <w:r>
        <w:tab/>
        <w:t>Mandat</w:t>
      </w:r>
    </w:p>
    <w:p w:rsidR="002A2DEB" w:rsidRDefault="002A2DEB" w:rsidP="002A2DEB">
      <w:pPr>
        <w:pStyle w:val="SingleTxtG"/>
        <w:ind w:left="1701" w:hanging="567"/>
      </w:pPr>
      <w:r>
        <w:t>3.1</w:t>
      </w:r>
      <w:r>
        <w:tab/>
        <w:t>Le mandat ci-après décrit les principales tâches du nouveau groupe de travail informel.</w:t>
      </w:r>
    </w:p>
    <w:p w:rsidR="002A2DEB" w:rsidRDefault="002A2DEB" w:rsidP="002A2DEB">
      <w:pPr>
        <w:pStyle w:val="SingleTxtG"/>
        <w:ind w:left="2268" w:hanging="567"/>
      </w:pPr>
      <w:r>
        <w:t>a)</w:t>
      </w:r>
      <w:r>
        <w:tab/>
        <w:t>Recenser et collecter les informations et les données de recherche sur la qualité de l</w:t>
      </w:r>
      <w:r w:rsidR="001844C7">
        <w:t>’</w:t>
      </w:r>
      <w:r>
        <w:t>air à l</w:t>
      </w:r>
      <w:r w:rsidR="001844C7">
        <w:t>’</w:t>
      </w:r>
      <w:r>
        <w:t>intérieur et leur pertinence pour les véhicules, en tenant compte des activités menées par différents gouvernements, organisations non gouvernementales et universités.</w:t>
      </w:r>
    </w:p>
    <w:p w:rsidR="002A2DEB" w:rsidRDefault="002A2DEB" w:rsidP="002A2DEB">
      <w:pPr>
        <w:pStyle w:val="SingleTxtG"/>
        <w:ind w:left="2268" w:hanging="567"/>
      </w:pPr>
      <w:r>
        <w:t>b)</w:t>
      </w:r>
      <w:r>
        <w:tab/>
        <w:t>Recenser et prendre connaissance des prescriptions réglementaires actuelles en matière de qualité de l</w:t>
      </w:r>
      <w:r w:rsidR="001844C7">
        <w:t>’</w:t>
      </w:r>
      <w:r>
        <w:t>air à l</w:t>
      </w:r>
      <w:r w:rsidR="001844C7">
        <w:t>’</w:t>
      </w:r>
      <w:r>
        <w:t>intérieur des véhicules sur différents marchés.</w:t>
      </w:r>
    </w:p>
    <w:p w:rsidR="002A2DEB" w:rsidRDefault="002A2DEB" w:rsidP="002A2DEB">
      <w:pPr>
        <w:pStyle w:val="SingleTxtG"/>
        <w:ind w:left="2268" w:hanging="567"/>
      </w:pPr>
      <w:r>
        <w:t>c)</w:t>
      </w:r>
      <w:r>
        <w:tab/>
        <w:t>Recenser, examiner et évaluer les procédures d</w:t>
      </w:r>
      <w:r w:rsidR="001844C7">
        <w:t>’</w:t>
      </w:r>
      <w:r>
        <w:t>essai existantes adaptées à la mesure des émissions de polluants atmosphériques à l</w:t>
      </w:r>
      <w:r w:rsidR="001844C7">
        <w:t>’</w:t>
      </w:r>
      <w:r>
        <w:t>intérieur des véhicules (notamment les méthodes de collecte d</w:t>
      </w:r>
      <w:r w:rsidR="001844C7">
        <w:t>’</w:t>
      </w:r>
      <w:r>
        <w:t>échantillons et les méthodes d</w:t>
      </w:r>
      <w:r w:rsidR="001844C7">
        <w:t>’</w:t>
      </w:r>
      <w:r>
        <w:t>analyse).</w:t>
      </w:r>
    </w:p>
    <w:p w:rsidR="002A2DEB" w:rsidRDefault="002A2DEB" w:rsidP="002A2DEB">
      <w:pPr>
        <w:pStyle w:val="SingleTxtG"/>
        <w:ind w:left="2268" w:hanging="567"/>
      </w:pPr>
      <w:r>
        <w:t>d)</w:t>
      </w:r>
      <w:r>
        <w:tab/>
        <w:t>Élaborer des dispositions et des procédures d</w:t>
      </w:r>
      <w:r w:rsidR="001844C7">
        <w:t>’</w:t>
      </w:r>
      <w:r>
        <w:t>essai harmonisées.</w:t>
      </w:r>
    </w:p>
    <w:p w:rsidR="002A2DEB" w:rsidRDefault="002A2DEB" w:rsidP="002A2DEB">
      <w:pPr>
        <w:pStyle w:val="SingleTxtG"/>
        <w:ind w:left="2268" w:hanging="567"/>
      </w:pPr>
      <w:r>
        <w:t>e)</w:t>
      </w:r>
      <w:r>
        <w:tab/>
        <w:t>Élaborer une nouvelle recommandation (R.E.3 au titre de l</w:t>
      </w:r>
      <w:r w:rsidR="001844C7">
        <w:t>’</w:t>
      </w:r>
      <w:r>
        <w:t>Accord de 1958, S.R.1 au titre de l</w:t>
      </w:r>
      <w:r w:rsidR="001844C7">
        <w:t>’</w:t>
      </w:r>
      <w:r>
        <w:t>Accord de 1998 ou une nouvelle Résolution mutuelle au titre des deux accords) relative à la protection des conducteurs et des passagers contre les composants volatils organiques émis par des matériaux intérieurs utilisés dans la construction des véhicules, comprenant des prescriptions et des procédures d</w:t>
      </w:r>
      <w:r w:rsidR="001844C7">
        <w:t>’</w:t>
      </w:r>
      <w:r>
        <w:t>essai harmonisées.</w:t>
      </w:r>
    </w:p>
    <w:p w:rsidR="002A2DEB" w:rsidRDefault="002A2DEB" w:rsidP="002A2DEB">
      <w:pPr>
        <w:pStyle w:val="SingleTxtG"/>
        <w:ind w:left="2268" w:hanging="567"/>
      </w:pPr>
      <w:r>
        <w:t>f)</w:t>
      </w:r>
      <w:r>
        <w:tab/>
        <w:t>Rester informé des questions en évolution grâce à un dialogue permanent et</w:t>
      </w:r>
      <w:r w:rsidR="001844C7">
        <w:t> </w:t>
      </w:r>
      <w:r>
        <w:t>aux exposés d</w:t>
      </w:r>
      <w:r w:rsidR="001844C7">
        <w:t>’</w:t>
      </w:r>
      <w:r>
        <w:t>experts.</w:t>
      </w:r>
    </w:p>
    <w:p w:rsidR="002A2DEB" w:rsidRPr="00F460B4" w:rsidRDefault="002A2DEB" w:rsidP="00F460B4">
      <w:pPr>
        <w:pStyle w:val="HChG"/>
      </w:pPr>
      <w:r>
        <w:tab/>
      </w:r>
      <w:r w:rsidRPr="00F460B4">
        <w:t>4.</w:t>
      </w:r>
      <w:r w:rsidRPr="00F460B4">
        <w:tab/>
        <w:t>Calendrier</w:t>
      </w:r>
    </w:p>
    <w:p w:rsidR="002A2DEB" w:rsidRDefault="002A2DEB" w:rsidP="002A2DEB">
      <w:pPr>
        <w:pStyle w:val="SingleTxtG"/>
        <w:ind w:left="1701" w:hanging="567"/>
      </w:pPr>
      <w:r w:rsidRPr="00F460B4">
        <w:t>4.1</w:t>
      </w:r>
      <w:r w:rsidRPr="00F460B4">
        <w:tab/>
        <w:t>La date fixée pour l</w:t>
      </w:r>
      <w:r w:rsidR="001844C7">
        <w:t>’</w:t>
      </w:r>
      <w:r w:rsidRPr="00F460B4">
        <w:t>achèvement des travaux du groupe de travail informel et l</w:t>
      </w:r>
      <w:r w:rsidR="001844C7">
        <w:t>’</w:t>
      </w:r>
      <w:r w:rsidRPr="00F460B4">
        <w:t>adoption éventuelle de la recommandation (R.E.3, S.R.1 ou une nouvelle Résolution mutuelle) est celle de la tenue de la cent soixante-treizième session du</w:t>
      </w:r>
      <w:r w:rsidR="00F460B4">
        <w:t> </w:t>
      </w:r>
      <w:r w:rsidRPr="00F460B4">
        <w:t>WP.29 en novembre 2017.</w:t>
      </w:r>
    </w:p>
    <w:p w:rsidR="002A2DEB" w:rsidRDefault="002A2DEB" w:rsidP="002A2DEB">
      <w:pPr>
        <w:pStyle w:val="SingleTxtG"/>
        <w:ind w:left="2268" w:hanging="567"/>
      </w:pPr>
      <w:r>
        <w:t>a)</w:t>
      </w:r>
      <w:r>
        <w:tab/>
        <w:t>Novembre 2014: Examen de la proposition de la création d</w:t>
      </w:r>
      <w:r w:rsidR="001844C7">
        <w:t>’</w:t>
      </w:r>
      <w:r>
        <w:t>un groupe de travail informel de la qualité de l</w:t>
      </w:r>
      <w:r w:rsidR="001844C7">
        <w:t>’</w:t>
      </w:r>
      <w:r>
        <w:t>air à l</w:t>
      </w:r>
      <w:r w:rsidR="001844C7">
        <w:t>’</w:t>
      </w:r>
      <w:r>
        <w:t>intérieur des véhicules par le</w:t>
      </w:r>
      <w:r w:rsidR="00F460B4">
        <w:t> </w:t>
      </w:r>
      <w:r>
        <w:t>WP.29/AC.3 et du projet de mandat de celui-ci.</w:t>
      </w:r>
    </w:p>
    <w:p w:rsidR="002A2DEB" w:rsidRDefault="002A2DEB" w:rsidP="002A2DEB">
      <w:pPr>
        <w:pStyle w:val="SingleTxtG"/>
        <w:ind w:left="2268" w:hanging="567"/>
      </w:pPr>
      <w:r>
        <w:t>b)</w:t>
      </w:r>
      <w:r>
        <w:tab/>
        <w:t>Janvier 2015: Approbation du mandat du Groupe de travail par le GRPE.</w:t>
      </w:r>
    </w:p>
    <w:p w:rsidR="002A2DEB" w:rsidRDefault="002A2DEB" w:rsidP="002A2DEB">
      <w:pPr>
        <w:pStyle w:val="SingleTxtG"/>
        <w:ind w:left="2268" w:hanging="567"/>
      </w:pPr>
      <w:r>
        <w:t>c)</w:t>
      </w:r>
      <w:r>
        <w:tab/>
        <w:t>Mars 2015: Approbation du groupe de travail informel de la qualité de l</w:t>
      </w:r>
      <w:r w:rsidR="001844C7">
        <w:t>’</w:t>
      </w:r>
      <w:r>
        <w:t>air à</w:t>
      </w:r>
      <w:r w:rsidR="00F460B4">
        <w:t> </w:t>
      </w:r>
      <w:r>
        <w:t>l</w:t>
      </w:r>
      <w:r w:rsidR="001844C7">
        <w:t>’</w:t>
      </w:r>
      <w:r>
        <w:t>intérieur des véhicules par le WP.29.</w:t>
      </w:r>
    </w:p>
    <w:p w:rsidR="002A2DEB" w:rsidRDefault="002A2DEB" w:rsidP="002A2DEB">
      <w:pPr>
        <w:pStyle w:val="SingleTxtG"/>
        <w:ind w:left="2268" w:hanging="567"/>
      </w:pPr>
      <w:r>
        <w:t>d)</w:t>
      </w:r>
      <w:r>
        <w:tab/>
        <w:t>Juin 2015: Première réunion du groupe de travail informel de la qualité de l</w:t>
      </w:r>
      <w:r w:rsidR="001844C7">
        <w:t>’</w:t>
      </w:r>
      <w:r>
        <w:t>air à l</w:t>
      </w:r>
      <w:r w:rsidR="001844C7">
        <w:t>’</w:t>
      </w:r>
      <w:r>
        <w:t>intérieur des véhicules lors de la soixante et onzième session du</w:t>
      </w:r>
      <w:r w:rsidR="00F460B4">
        <w:t> </w:t>
      </w:r>
      <w:r>
        <w:t>GRPE.</w:t>
      </w:r>
    </w:p>
    <w:p w:rsidR="002A2DEB" w:rsidRDefault="002A2DEB" w:rsidP="002A2DEB">
      <w:pPr>
        <w:pStyle w:val="SingleTxtG"/>
        <w:ind w:left="2268" w:hanging="567"/>
      </w:pPr>
      <w:r>
        <w:t>e)</w:t>
      </w:r>
      <w:r>
        <w:tab/>
        <w:t>2015-2017: Réunions du groupe de travail informel et présentation régulière de rapports au GRPE et au WP.29.</w:t>
      </w:r>
    </w:p>
    <w:p w:rsidR="002A2DEB" w:rsidRDefault="002A2DEB" w:rsidP="002A2DEB">
      <w:pPr>
        <w:pStyle w:val="SingleTxtG"/>
        <w:ind w:left="2268" w:hanging="567"/>
      </w:pPr>
      <w:r>
        <w:t>f)</w:t>
      </w:r>
      <w:r>
        <w:tab/>
        <w:t>Juin 2017: Adoption de la recommandation sur la qualité de l</w:t>
      </w:r>
      <w:r w:rsidR="001844C7">
        <w:t>’</w:t>
      </w:r>
      <w:r>
        <w:t>air à l</w:t>
      </w:r>
      <w:r w:rsidR="001844C7">
        <w:t>’</w:t>
      </w:r>
      <w:r>
        <w:t>intérieur des véhicules par le GRPE.</w:t>
      </w:r>
    </w:p>
    <w:p w:rsidR="002A2DEB" w:rsidRDefault="002A2DEB" w:rsidP="002A2DEB">
      <w:pPr>
        <w:pStyle w:val="SingleTxtG"/>
        <w:ind w:left="2268" w:hanging="567"/>
      </w:pPr>
      <w:r>
        <w:t>g)</w:t>
      </w:r>
      <w:r>
        <w:tab/>
        <w:t>Novembre 2017: Adoption de la recommandation sur la qualité de l</w:t>
      </w:r>
      <w:r w:rsidR="001844C7">
        <w:t>’</w:t>
      </w:r>
      <w:r>
        <w:t>air à</w:t>
      </w:r>
      <w:r w:rsidR="00F460B4">
        <w:t> </w:t>
      </w:r>
      <w:r>
        <w:t>l</w:t>
      </w:r>
      <w:r w:rsidR="001844C7">
        <w:t>’</w:t>
      </w:r>
      <w:r>
        <w:t>intérieur de l</w:t>
      </w:r>
      <w:r w:rsidR="001844C7">
        <w:t>’</w:t>
      </w:r>
      <w:r>
        <w:t>habitacle par le WP.29.</w:t>
      </w:r>
    </w:p>
    <w:p w:rsidR="002A2DEB" w:rsidRDefault="002A2DEB" w:rsidP="00F460B4">
      <w:pPr>
        <w:pStyle w:val="HChG"/>
      </w:pPr>
      <w:r>
        <w:tab/>
        <w:t>5.</w:t>
      </w:r>
      <w:r>
        <w:tab/>
        <w:t>Champ et thème des travaux</w:t>
      </w:r>
    </w:p>
    <w:p w:rsidR="002A2DEB" w:rsidRDefault="002A2DEB" w:rsidP="002A2DEB">
      <w:pPr>
        <w:pStyle w:val="SingleTxtG"/>
        <w:ind w:left="1701" w:hanging="567"/>
      </w:pPr>
      <w:r>
        <w:t>5.1</w:t>
      </w:r>
      <w:r>
        <w:tab/>
        <w:t>Collecte d</w:t>
      </w:r>
      <w:r w:rsidR="001844C7">
        <w:t>’</w:t>
      </w:r>
      <w:r>
        <w:t>informations</w:t>
      </w:r>
    </w:p>
    <w:p w:rsidR="002A2DEB" w:rsidRDefault="002A2DEB" w:rsidP="002A2DEB">
      <w:pPr>
        <w:pStyle w:val="SingleTxtG"/>
        <w:ind w:left="2268" w:hanging="567"/>
      </w:pPr>
      <w:r>
        <w:t>a)</w:t>
      </w:r>
      <w:r>
        <w:tab/>
        <w:t>Collecter des informations sur les recherches actuelles relatives à la qualité de l</w:t>
      </w:r>
      <w:r w:rsidR="001844C7">
        <w:t>’</w:t>
      </w:r>
      <w:r>
        <w:t>air à l</w:t>
      </w:r>
      <w:r w:rsidR="001844C7">
        <w:t>’</w:t>
      </w:r>
      <w:r>
        <w:t>intérieur des véhicules.</w:t>
      </w:r>
    </w:p>
    <w:p w:rsidR="002A2DEB" w:rsidRDefault="002A2DEB" w:rsidP="002A2DEB">
      <w:pPr>
        <w:pStyle w:val="SingleTxtG"/>
        <w:ind w:left="2268" w:hanging="567"/>
      </w:pPr>
      <w:r>
        <w:t>b)</w:t>
      </w:r>
      <w:r>
        <w:tab/>
        <w:t>Examiner et évaluer les procédures d</w:t>
      </w:r>
      <w:r w:rsidR="001844C7">
        <w:t>’</w:t>
      </w:r>
      <w:r>
        <w:t>essai existantes de chaque réglementation.</w:t>
      </w:r>
    </w:p>
    <w:p w:rsidR="002A2DEB" w:rsidRDefault="002A2DEB" w:rsidP="002A2DEB">
      <w:pPr>
        <w:pStyle w:val="SingleTxtG"/>
        <w:ind w:left="2268" w:hanging="567"/>
      </w:pPr>
      <w:r>
        <w:t>c)</w:t>
      </w:r>
      <w:r>
        <w:tab/>
        <w:t>Définir la catégorie de véhicules auxquels les recommandations relatives à</w:t>
      </w:r>
      <w:r w:rsidR="00F460B4">
        <w:t> </w:t>
      </w:r>
      <w:r>
        <w:t>la</w:t>
      </w:r>
      <w:r w:rsidR="00F460B4">
        <w:t> </w:t>
      </w:r>
      <w:r>
        <w:t>qualité de l</w:t>
      </w:r>
      <w:r w:rsidR="001844C7">
        <w:t>’</w:t>
      </w:r>
      <w:r>
        <w:t>air à l</w:t>
      </w:r>
      <w:r w:rsidR="001844C7">
        <w:t>’</w:t>
      </w:r>
      <w:r>
        <w:t>intérieur des véhicules s</w:t>
      </w:r>
      <w:r w:rsidR="001844C7">
        <w:t>’</w:t>
      </w:r>
      <w:r>
        <w:t>appliqueront.</w:t>
      </w:r>
    </w:p>
    <w:p w:rsidR="002A2DEB" w:rsidRDefault="002A2DEB" w:rsidP="002A2DEB">
      <w:pPr>
        <w:pStyle w:val="SingleTxtG"/>
        <w:ind w:left="1701" w:hanging="567"/>
      </w:pPr>
      <w:r>
        <w:t>5.2</w:t>
      </w:r>
      <w:r>
        <w:tab/>
        <w:t>Élaboration des dispositions et procédures d</w:t>
      </w:r>
      <w:r w:rsidR="001844C7">
        <w:t>’</w:t>
      </w:r>
      <w:r>
        <w:t>essai harmonisées pertinentes pour la</w:t>
      </w:r>
      <w:r w:rsidR="00F460B4">
        <w:t> </w:t>
      </w:r>
      <w:r>
        <w:t>VIAQ.</w:t>
      </w:r>
    </w:p>
    <w:p w:rsidR="002A2DEB" w:rsidRDefault="002A2DEB" w:rsidP="002A2DEB">
      <w:pPr>
        <w:pStyle w:val="SingleTxtG"/>
        <w:ind w:left="2268" w:hanging="567"/>
      </w:pPr>
      <w:r>
        <w:t>a)</w:t>
      </w:r>
      <w:r>
        <w:tab/>
        <w:t>Déterminer les conditions d</w:t>
      </w:r>
      <w:r w:rsidR="001844C7">
        <w:t>’</w:t>
      </w:r>
      <w:r>
        <w:t>essai, l</w:t>
      </w:r>
      <w:r w:rsidR="001844C7">
        <w:t>’</w:t>
      </w:r>
      <w:r>
        <w:t>appareillage d</w:t>
      </w:r>
      <w:r w:rsidR="001844C7">
        <w:t>’</w:t>
      </w:r>
      <w:r>
        <w:t>essai et les matières, l</w:t>
      </w:r>
      <w:r w:rsidR="001844C7">
        <w:t>’</w:t>
      </w:r>
      <w:r>
        <w:t>enceinte d</w:t>
      </w:r>
      <w:r w:rsidR="001844C7">
        <w:t>’</w:t>
      </w:r>
      <w:r>
        <w:t>essai pour le véhicule complet, les conditions d</w:t>
      </w:r>
      <w:r w:rsidR="001844C7">
        <w:t>’</w:t>
      </w:r>
      <w:r>
        <w:t>essai du véhicule, les procédures de mesure, etc.</w:t>
      </w:r>
    </w:p>
    <w:p w:rsidR="002A2DEB" w:rsidRDefault="002A2DEB" w:rsidP="002A2DEB">
      <w:pPr>
        <w:pStyle w:val="SingleTxtG"/>
        <w:ind w:left="2268" w:hanging="567"/>
      </w:pPr>
      <w:r>
        <w:t>b)</w:t>
      </w:r>
      <w:r>
        <w:tab/>
        <w:t>Déterminer le point de prélèvement, les dispositifs de prise d</w:t>
      </w:r>
      <w:r w:rsidR="001844C7">
        <w:t>’</w:t>
      </w:r>
      <w:r>
        <w:t>échantillon, les</w:t>
      </w:r>
      <w:r w:rsidR="00F460B4">
        <w:t> </w:t>
      </w:r>
      <w:r>
        <w:t>procédures d</w:t>
      </w:r>
      <w:r w:rsidR="001844C7">
        <w:t>’</w:t>
      </w:r>
      <w:r>
        <w:t>échantillonnage, l</w:t>
      </w:r>
      <w:r w:rsidR="001844C7">
        <w:t>’</w:t>
      </w:r>
      <w:r>
        <w:t>analyse des échantillons, le traitement des</w:t>
      </w:r>
      <w:r w:rsidR="00F460B4">
        <w:t> </w:t>
      </w:r>
      <w:r>
        <w:t>données, etc.</w:t>
      </w:r>
    </w:p>
    <w:p w:rsidR="002A2DEB" w:rsidRDefault="002A2DEB" w:rsidP="002A2DEB">
      <w:pPr>
        <w:pStyle w:val="SingleTxtG"/>
        <w:ind w:left="2268" w:hanging="567"/>
      </w:pPr>
      <w:r>
        <w:t>c)</w:t>
      </w:r>
      <w:r>
        <w:tab/>
        <w:t>Élaborer un projet de recommandation pour une procédure d</w:t>
      </w:r>
      <w:r w:rsidR="001844C7">
        <w:t>’</w:t>
      </w:r>
      <w:r>
        <w:t>essai, en vue de son inclusion dans la RE.3 et/ou la SR.1 ou de l</w:t>
      </w:r>
      <w:r w:rsidR="001844C7">
        <w:t>’</w:t>
      </w:r>
      <w:r>
        <w:t>élaboration d</w:t>
      </w:r>
      <w:r w:rsidR="001844C7">
        <w:t>’</w:t>
      </w:r>
      <w:r>
        <w:t>une nouvelle Résolution mutuelle.</w:t>
      </w:r>
    </w:p>
    <w:p w:rsidR="002A2DEB" w:rsidRDefault="002A2DEB" w:rsidP="00F460B4">
      <w:pPr>
        <w:pStyle w:val="HChG"/>
      </w:pPr>
      <w:r>
        <w:tab/>
        <w:t>6.</w:t>
      </w:r>
      <w:r>
        <w:tab/>
        <w:t>Règlement intérieur</w:t>
      </w:r>
    </w:p>
    <w:p w:rsidR="002A2DEB" w:rsidRDefault="002A2DEB" w:rsidP="002A2DEB">
      <w:pPr>
        <w:pStyle w:val="SingleTxtG"/>
        <w:ind w:left="1701" w:hanging="567"/>
      </w:pPr>
      <w:r>
        <w:t>6.1</w:t>
      </w:r>
      <w:r>
        <w:tab/>
        <w:t>Le règlement intérieur ci-après décrit les principes de fonctionnement du nouveau groupe de travail informel.</w:t>
      </w:r>
    </w:p>
    <w:p w:rsidR="002A2DEB" w:rsidRDefault="002A2DEB" w:rsidP="002A2DEB">
      <w:pPr>
        <w:pStyle w:val="SingleTxtG"/>
        <w:ind w:left="2268" w:hanging="567"/>
      </w:pPr>
      <w:r>
        <w:t>a)</w:t>
      </w:r>
      <w:r>
        <w:tab/>
        <w:t>Le groupe de travail informel est ouvert à tous les experts de tout pays ou organisation membre du WP.29 et de ses organes subsidiaires. Il n</w:t>
      </w:r>
      <w:r w:rsidR="001844C7">
        <w:t>’</w:t>
      </w:r>
      <w:r>
        <w:t>est pas prévu de limiter le nombre de participants du groupe de travail informel.</w:t>
      </w:r>
    </w:p>
    <w:p w:rsidR="002A2DEB" w:rsidRDefault="002A2DEB" w:rsidP="002A2DEB">
      <w:pPr>
        <w:pStyle w:val="SingleTxtG"/>
        <w:ind w:left="2268" w:hanging="567"/>
      </w:pPr>
      <w:r>
        <w:t>b)</w:t>
      </w:r>
      <w:r>
        <w:tab/>
        <w:t>Un président (République de Corée) et un secrétaire (OICA) géreront le groupe de travail informel.</w:t>
      </w:r>
    </w:p>
    <w:p w:rsidR="002A2DEB" w:rsidRDefault="002A2DEB" w:rsidP="002A2DEB">
      <w:pPr>
        <w:pStyle w:val="SingleTxtG"/>
        <w:ind w:left="2268" w:hanging="567"/>
      </w:pPr>
      <w:r>
        <w:t>c)</w:t>
      </w:r>
      <w:r>
        <w:tab/>
        <w:t>L</w:t>
      </w:r>
      <w:r w:rsidR="001844C7">
        <w:t>’</w:t>
      </w:r>
      <w:r>
        <w:t>anglais sera la langue officielle du groupe de travail informel.</w:t>
      </w:r>
    </w:p>
    <w:p w:rsidR="002A2DEB" w:rsidRDefault="002A2DEB" w:rsidP="002A2DEB">
      <w:pPr>
        <w:pStyle w:val="SingleTxtG"/>
        <w:ind w:left="2268" w:hanging="567"/>
      </w:pPr>
      <w:r>
        <w:t>d)</w:t>
      </w:r>
      <w:r>
        <w:tab/>
        <w:t>Tous les documents et/ou propositions sont soumis au secrétaire du groupe dans un format électronique approprié, de préférence conforme aux directives de la CEE, avant les réunions. Le groupe peut refuser d</w:t>
      </w:r>
      <w:r w:rsidR="001844C7">
        <w:t>’</w:t>
      </w:r>
      <w:r>
        <w:t xml:space="preserve">examiner tout point ou proposition qui ne lui a pas été communiqué </w:t>
      </w:r>
      <w:r w:rsidR="001844C7">
        <w:t>cinq</w:t>
      </w:r>
      <w:r>
        <w:t xml:space="preserve"> jours ouvrables au moins avant le début de la réunion.</w:t>
      </w:r>
    </w:p>
    <w:p w:rsidR="002A2DEB" w:rsidRDefault="002A2DEB" w:rsidP="002A2DEB">
      <w:pPr>
        <w:pStyle w:val="SingleTxtG"/>
        <w:ind w:left="2268" w:hanging="567"/>
      </w:pPr>
      <w:r>
        <w:t>e)</w:t>
      </w:r>
      <w:r>
        <w:tab/>
        <w:t>Le groupe de travail informel se réunit régulièrement à l</w:t>
      </w:r>
      <w:r w:rsidR="001844C7">
        <w:t>’</w:t>
      </w:r>
      <w:r>
        <w:t xml:space="preserve">occasion des sessions du GRPE, sous réserve </w:t>
      </w:r>
      <w:r w:rsidRPr="002A2DEB">
        <w:t>de</w:t>
      </w:r>
      <w:r>
        <w:t xml:space="preserve"> la disponibilité de salles de réunion. D</w:t>
      </w:r>
      <w:r w:rsidR="001844C7">
        <w:t>’</w:t>
      </w:r>
      <w:r>
        <w:t>autres réunions seront organisées sur demande.</w:t>
      </w:r>
    </w:p>
    <w:p w:rsidR="002A2DEB" w:rsidRDefault="002A2DEB" w:rsidP="00D241DC">
      <w:pPr>
        <w:pStyle w:val="SingleTxtG"/>
        <w:ind w:left="2268" w:hanging="567"/>
      </w:pPr>
      <w:r>
        <w:t>f)</w:t>
      </w:r>
      <w:r>
        <w:tab/>
        <w:t>L</w:t>
      </w:r>
      <w:r w:rsidR="001844C7">
        <w:t>’</w:t>
      </w:r>
      <w:r>
        <w:t xml:space="preserve">ordre du jour et les documents de séance doivent être distribués à tous les membres du groupe informel avant toutes les réunions programmés. </w:t>
      </w:r>
    </w:p>
    <w:p w:rsidR="002A2DEB" w:rsidRDefault="002A2DEB" w:rsidP="002A2DEB">
      <w:pPr>
        <w:pStyle w:val="SingleTxtG"/>
        <w:ind w:left="2268" w:hanging="567"/>
      </w:pPr>
      <w:r>
        <w:t>g)</w:t>
      </w:r>
      <w:r>
        <w:tab/>
        <w:t>Les décisions se prennent par consensus et, en l</w:t>
      </w:r>
      <w:r w:rsidR="001844C7">
        <w:t>’</w:t>
      </w:r>
      <w:r>
        <w:t xml:space="preserve">absence de consensus, le </w:t>
      </w:r>
      <w:r w:rsidR="00617B25">
        <w:t>P</w:t>
      </w:r>
      <w:r>
        <w:t>résident du groupe présente les différents points de vue au GRPE. Il peut solliciter l</w:t>
      </w:r>
      <w:r w:rsidR="001844C7">
        <w:t>’</w:t>
      </w:r>
      <w:r>
        <w:t>avis de celui-ci le cas échéant.</w:t>
      </w:r>
    </w:p>
    <w:p w:rsidR="002A2DEB" w:rsidRDefault="002A2DEB" w:rsidP="002A2DEB">
      <w:pPr>
        <w:pStyle w:val="SingleTxtG"/>
        <w:ind w:left="2268" w:hanging="567"/>
      </w:pPr>
      <w:r>
        <w:t>h)</w:t>
      </w:r>
      <w:r>
        <w:tab/>
        <w:t>Les conclusions du groupe de travail informel sont régulièrement communiquées au GRPE, par oral ou sous la forme d</w:t>
      </w:r>
      <w:r w:rsidR="001844C7">
        <w:t>’</w:t>
      </w:r>
      <w:r>
        <w:t xml:space="preserve">un document sans cote, par le </w:t>
      </w:r>
      <w:r w:rsidR="001844C7">
        <w:t>P</w:t>
      </w:r>
      <w:r>
        <w:t>résident ou le secrétaire.</w:t>
      </w:r>
    </w:p>
    <w:p w:rsidR="00F460B4" w:rsidRDefault="002A2DEB" w:rsidP="002A2DEB">
      <w:pPr>
        <w:pStyle w:val="SingleTxtG"/>
        <w:ind w:left="2268" w:hanging="567"/>
      </w:pPr>
      <w:r>
        <w:t>i)</w:t>
      </w:r>
      <w:r>
        <w:tab/>
        <w:t>Tous les documents sont distribués sous forme numérique. La partie du site Web de la CEE réservée au VIAQ sera utilisée à cette fin.</w:t>
      </w:r>
    </w:p>
    <w:p w:rsidR="00F460B4" w:rsidRPr="001825DB" w:rsidRDefault="00F460B4" w:rsidP="00F460B4">
      <w:pPr>
        <w:pStyle w:val="HChG"/>
      </w:pPr>
      <w:r>
        <w:br w:type="page"/>
      </w:r>
      <w:r w:rsidRPr="001825DB">
        <w:t>Annexe VII</w:t>
      </w:r>
    </w:p>
    <w:p w:rsidR="00F460B4" w:rsidRPr="001825DB" w:rsidRDefault="00F460B4" w:rsidP="00F460B4">
      <w:pPr>
        <w:pStyle w:val="H1G"/>
      </w:pPr>
      <w:r w:rsidRPr="001825DB">
        <w:tab/>
      </w:r>
      <w:r w:rsidRPr="001825DB">
        <w:tab/>
        <w:t>Amendements au document ECE/TRANS/WP.29/GRPE/2015/2</w:t>
      </w:r>
    </w:p>
    <w:p w:rsidR="00F460B4" w:rsidRPr="001825DB" w:rsidRDefault="00F460B4" w:rsidP="00F460B4">
      <w:pPr>
        <w:pStyle w:val="H23G"/>
      </w:pPr>
      <w:r w:rsidRPr="001825DB">
        <w:tab/>
      </w:r>
      <w:r w:rsidRPr="001825DB">
        <w:tab/>
      </w:r>
      <w:r w:rsidRPr="00F460B4">
        <w:t>Adoptés</w:t>
      </w:r>
      <w:r w:rsidRPr="001825DB">
        <w:t xml:space="preserve"> sur la base du document informel GRPE-79-16-Rev.1 (voir par.</w:t>
      </w:r>
      <w:r>
        <w:t> </w:t>
      </w:r>
      <w:r w:rsidRPr="001825DB">
        <w:t>13) et revus par le secrétariat</w:t>
      </w:r>
    </w:p>
    <w:p w:rsidR="00F460B4" w:rsidRPr="001825DB" w:rsidRDefault="00F460B4" w:rsidP="00D241DC">
      <w:pPr>
        <w:pStyle w:val="SingleTxtG"/>
      </w:pPr>
      <w:r w:rsidRPr="00D241DC">
        <w:rPr>
          <w:i/>
        </w:rPr>
        <w:t>Le paragraphe 12.1.2</w:t>
      </w:r>
      <w:r w:rsidRPr="001825DB">
        <w:t xml:space="preserve"> est supprimé.</w:t>
      </w:r>
    </w:p>
    <w:p w:rsidR="00F460B4" w:rsidRPr="001825DB" w:rsidRDefault="00F460B4" w:rsidP="00D241DC">
      <w:pPr>
        <w:pStyle w:val="SingleTxtG"/>
        <w:ind w:left="2268" w:hanging="1134"/>
        <w:rPr>
          <w:szCs w:val="24"/>
        </w:rPr>
      </w:pPr>
      <w:r w:rsidRPr="001825DB">
        <w:rPr>
          <w:strike/>
          <w:szCs w:val="24"/>
        </w:rPr>
        <w:t>«12.1.2</w:t>
      </w:r>
      <w:r w:rsidRPr="001825DB">
        <w:rPr>
          <w:strike/>
          <w:szCs w:val="24"/>
        </w:rPr>
        <w:tab/>
        <w:t>Les dispositions relatives à l</w:t>
      </w:r>
      <w:r w:rsidR="001844C7">
        <w:rPr>
          <w:strike/>
          <w:szCs w:val="24"/>
        </w:rPr>
        <w:t>’</w:t>
      </w:r>
      <w:r w:rsidRPr="001825DB">
        <w:rPr>
          <w:strike/>
          <w:szCs w:val="24"/>
        </w:rPr>
        <w:t>homologation de type et à la vérification de la conformité de la production, telles qu</w:t>
      </w:r>
      <w:r w:rsidR="001844C7">
        <w:rPr>
          <w:strike/>
          <w:szCs w:val="24"/>
        </w:rPr>
        <w:t>’</w:t>
      </w:r>
      <w:r w:rsidRPr="001825DB">
        <w:rPr>
          <w:strike/>
          <w:szCs w:val="24"/>
        </w:rPr>
        <w:t>elles sont énoncées dans le présent Règlement tel que modifié par la série 06 d</w:t>
      </w:r>
      <w:r w:rsidR="001844C7">
        <w:rPr>
          <w:strike/>
          <w:szCs w:val="24"/>
        </w:rPr>
        <w:t>’</w:t>
      </w:r>
      <w:r w:rsidRPr="001825DB">
        <w:rPr>
          <w:strike/>
          <w:szCs w:val="24"/>
        </w:rPr>
        <w:t>amendements, restent applicables jusqu</w:t>
      </w:r>
      <w:r w:rsidR="001844C7">
        <w:rPr>
          <w:strike/>
          <w:szCs w:val="24"/>
        </w:rPr>
        <w:t>’</w:t>
      </w:r>
      <w:r w:rsidRPr="001825DB">
        <w:rPr>
          <w:strike/>
          <w:szCs w:val="24"/>
        </w:rPr>
        <w:t>aux dates indiquées au paragraphe 12.2.1 et 12.2.2.»</w:t>
      </w:r>
      <w:r w:rsidRPr="001825DB">
        <w:rPr>
          <w:szCs w:val="24"/>
        </w:rPr>
        <w:t>.</w:t>
      </w:r>
    </w:p>
    <w:p w:rsidR="00F460B4" w:rsidRPr="001825DB" w:rsidRDefault="00F460B4" w:rsidP="00D241DC">
      <w:pPr>
        <w:pStyle w:val="SingleTxtG"/>
        <w:ind w:left="2268" w:hanging="1134"/>
        <w:rPr>
          <w:szCs w:val="24"/>
        </w:rPr>
      </w:pPr>
      <w:r w:rsidRPr="001825DB">
        <w:rPr>
          <w:i/>
          <w:iCs/>
          <w:szCs w:val="24"/>
        </w:rPr>
        <w:t>Paragraphe 12.2</w:t>
      </w:r>
      <w:r w:rsidRPr="001825DB">
        <w:rPr>
          <w:szCs w:val="24"/>
        </w:rPr>
        <w:t>, modifier comme suit:</w:t>
      </w:r>
    </w:p>
    <w:p w:rsidR="00F460B4" w:rsidRPr="001825DB" w:rsidRDefault="00F460B4" w:rsidP="00D241DC">
      <w:pPr>
        <w:pStyle w:val="SingleTxtG"/>
        <w:ind w:left="2268" w:hanging="1134"/>
        <w:rPr>
          <w:szCs w:val="24"/>
        </w:rPr>
      </w:pPr>
      <w:r w:rsidRPr="001825DB">
        <w:rPr>
          <w:szCs w:val="24"/>
        </w:rPr>
        <w:t>«12.2</w:t>
      </w:r>
      <w:r w:rsidRPr="001825DB">
        <w:rPr>
          <w:szCs w:val="24"/>
        </w:rPr>
        <w:tab/>
      </w:r>
      <w:r w:rsidRPr="001825DB">
        <w:rPr>
          <w:strike/>
          <w:szCs w:val="24"/>
        </w:rPr>
        <w:t>Nouvelle</w:t>
      </w:r>
      <w:r w:rsidRPr="001825DB">
        <w:rPr>
          <w:szCs w:val="24"/>
        </w:rPr>
        <w:t xml:space="preserve"> </w:t>
      </w:r>
      <w:r w:rsidRPr="001825DB">
        <w:rPr>
          <w:b/>
          <w:bCs/>
          <w:szCs w:val="24"/>
        </w:rPr>
        <w:t>H</w:t>
      </w:r>
      <w:r w:rsidRPr="001825DB">
        <w:rPr>
          <w:szCs w:val="24"/>
        </w:rPr>
        <w:t>omologation de type».</w:t>
      </w:r>
    </w:p>
    <w:p w:rsidR="00F460B4" w:rsidRPr="001825DB" w:rsidRDefault="00F460B4" w:rsidP="00D241DC">
      <w:pPr>
        <w:pStyle w:val="SingleTxtG"/>
        <w:ind w:left="2268" w:hanging="1134"/>
        <w:rPr>
          <w:szCs w:val="24"/>
        </w:rPr>
      </w:pPr>
      <w:r w:rsidRPr="001825DB">
        <w:rPr>
          <w:i/>
          <w:iCs/>
          <w:szCs w:val="24"/>
        </w:rPr>
        <w:t>Paragraphe 12.2.1</w:t>
      </w:r>
      <w:r w:rsidRPr="001825DB">
        <w:rPr>
          <w:szCs w:val="24"/>
        </w:rPr>
        <w:t>, modifier comme suit:</w:t>
      </w:r>
    </w:p>
    <w:p w:rsidR="00F460B4" w:rsidRPr="001825DB" w:rsidRDefault="00F460B4" w:rsidP="00D241DC">
      <w:pPr>
        <w:pStyle w:val="SingleTxtG"/>
        <w:ind w:left="2268" w:hanging="1134"/>
        <w:rPr>
          <w:szCs w:val="24"/>
        </w:rPr>
      </w:pPr>
      <w:r w:rsidRPr="001825DB">
        <w:rPr>
          <w:szCs w:val="24"/>
        </w:rPr>
        <w:t>«</w:t>
      </w:r>
      <w:r w:rsidRPr="001825DB">
        <w:rPr>
          <w:b/>
          <w:bCs/>
          <w:szCs w:val="24"/>
        </w:rPr>
        <w:t>12.2.1</w:t>
      </w:r>
      <w:r w:rsidRPr="001825DB">
        <w:rPr>
          <w:b/>
          <w:bCs/>
          <w:szCs w:val="24"/>
        </w:rPr>
        <w:tab/>
        <w:t>À compter de la date officielle d</w:t>
      </w:r>
      <w:r w:rsidR="001844C7">
        <w:rPr>
          <w:b/>
          <w:bCs/>
          <w:szCs w:val="24"/>
        </w:rPr>
        <w:t>’</w:t>
      </w:r>
      <w:r w:rsidRPr="001825DB">
        <w:rPr>
          <w:b/>
          <w:bCs/>
          <w:szCs w:val="24"/>
        </w:rPr>
        <w:t>entrée en vigueur de la série 07 d</w:t>
      </w:r>
      <w:r w:rsidR="001844C7">
        <w:rPr>
          <w:b/>
          <w:bCs/>
          <w:szCs w:val="24"/>
        </w:rPr>
        <w:t>’</w:t>
      </w:r>
      <w:r w:rsidRPr="001825DB">
        <w:rPr>
          <w:b/>
          <w:bCs/>
          <w:szCs w:val="24"/>
        </w:rPr>
        <w:t>amendements pour les véhicules des catégories M ou N</w:t>
      </w:r>
      <w:r w:rsidRPr="001825DB">
        <w:rPr>
          <w:b/>
          <w:bCs/>
          <w:szCs w:val="24"/>
          <w:vertAlign w:val="subscript"/>
        </w:rPr>
        <w:t>1</w:t>
      </w:r>
      <w:r w:rsidRPr="001825DB">
        <w:rPr>
          <w:b/>
          <w:bCs/>
          <w:szCs w:val="24"/>
        </w:rPr>
        <w:t xml:space="preserve"> (classe I) et à compter du 1</w:t>
      </w:r>
      <w:r w:rsidRPr="001825DB">
        <w:rPr>
          <w:b/>
          <w:bCs/>
          <w:szCs w:val="24"/>
          <w:vertAlign w:val="superscript"/>
        </w:rPr>
        <w:t>er</w:t>
      </w:r>
      <w:r w:rsidRPr="001825DB">
        <w:rPr>
          <w:b/>
          <w:bCs/>
          <w:szCs w:val="24"/>
        </w:rPr>
        <w:t> septembre 2015 pour les véhicules de la catégorie N</w:t>
      </w:r>
      <w:r w:rsidRPr="001825DB">
        <w:rPr>
          <w:b/>
          <w:bCs/>
          <w:szCs w:val="24"/>
          <w:vertAlign w:val="subscript"/>
        </w:rPr>
        <w:t>1</w:t>
      </w:r>
      <w:r w:rsidRPr="001825DB">
        <w:rPr>
          <w:b/>
          <w:bCs/>
          <w:szCs w:val="24"/>
        </w:rPr>
        <w:t xml:space="preserve"> (classe</w:t>
      </w:r>
      <w:r w:rsidR="001844C7">
        <w:rPr>
          <w:b/>
          <w:bCs/>
          <w:szCs w:val="24"/>
        </w:rPr>
        <w:t>s</w:t>
      </w:r>
      <w:r w:rsidRPr="001825DB">
        <w:rPr>
          <w:b/>
          <w:bCs/>
          <w:szCs w:val="24"/>
        </w:rPr>
        <w:t> II ou III) et de la catégorie N</w:t>
      </w:r>
      <w:r w:rsidRPr="001825DB">
        <w:rPr>
          <w:b/>
          <w:bCs/>
          <w:szCs w:val="24"/>
          <w:vertAlign w:val="subscript"/>
        </w:rPr>
        <w:t>2</w:t>
      </w:r>
      <w:r w:rsidRPr="001825DB">
        <w:rPr>
          <w:b/>
          <w:bCs/>
          <w:szCs w:val="24"/>
        </w:rPr>
        <w:t xml:space="preserve">, </w:t>
      </w:r>
      <w:r w:rsidRPr="001825DB">
        <w:rPr>
          <w:szCs w:val="24"/>
        </w:rPr>
        <w:t xml:space="preserve">les Parties contractantes appliquant le présent Règlement ne doivent, </w:t>
      </w:r>
      <w:r w:rsidRPr="001825DB">
        <w:rPr>
          <w:strike/>
          <w:szCs w:val="24"/>
        </w:rPr>
        <w:t>à compter du 1</w:t>
      </w:r>
      <w:r w:rsidRPr="001825DB">
        <w:rPr>
          <w:strike/>
          <w:szCs w:val="24"/>
          <w:vertAlign w:val="superscript"/>
        </w:rPr>
        <w:t>er</w:t>
      </w:r>
      <w:r w:rsidRPr="001825DB">
        <w:rPr>
          <w:strike/>
          <w:szCs w:val="24"/>
        </w:rPr>
        <w:t> septembre 2014 pour les véhicules des catégories M ou N</w:t>
      </w:r>
      <w:r w:rsidRPr="001825DB">
        <w:rPr>
          <w:strike/>
          <w:szCs w:val="24"/>
          <w:vertAlign w:val="subscript"/>
        </w:rPr>
        <w:t>1</w:t>
      </w:r>
      <w:r w:rsidRPr="001825DB">
        <w:rPr>
          <w:strike/>
          <w:szCs w:val="24"/>
        </w:rPr>
        <w:t xml:space="preserve"> (classe I) et à compter du 1</w:t>
      </w:r>
      <w:r w:rsidRPr="001825DB">
        <w:rPr>
          <w:strike/>
          <w:szCs w:val="24"/>
          <w:vertAlign w:val="superscript"/>
        </w:rPr>
        <w:t>er</w:t>
      </w:r>
      <w:r w:rsidRPr="001825DB">
        <w:rPr>
          <w:strike/>
          <w:szCs w:val="24"/>
        </w:rPr>
        <w:t> septembre 2015 pour les véhicules de la catégorie N</w:t>
      </w:r>
      <w:r w:rsidRPr="001825DB">
        <w:rPr>
          <w:strike/>
          <w:szCs w:val="24"/>
          <w:vertAlign w:val="subscript"/>
        </w:rPr>
        <w:t>1</w:t>
      </w:r>
      <w:r w:rsidRPr="001825DB">
        <w:rPr>
          <w:strike/>
          <w:szCs w:val="24"/>
        </w:rPr>
        <w:t xml:space="preserve"> (classe II ou III) et de la catégorie N</w:t>
      </w:r>
      <w:r w:rsidRPr="001825DB">
        <w:rPr>
          <w:strike/>
          <w:szCs w:val="24"/>
          <w:vertAlign w:val="subscript"/>
        </w:rPr>
        <w:t>2</w:t>
      </w:r>
      <w:r w:rsidRPr="001825DB">
        <w:rPr>
          <w:strike/>
          <w:szCs w:val="24"/>
        </w:rPr>
        <w:t>,</w:t>
      </w:r>
      <w:r w:rsidRPr="001825DB">
        <w:rPr>
          <w:szCs w:val="24"/>
        </w:rPr>
        <w:t xml:space="preserve"> délivrer une homologation </w:t>
      </w:r>
      <w:r w:rsidRPr="001825DB">
        <w:rPr>
          <w:strike/>
          <w:szCs w:val="24"/>
        </w:rPr>
        <w:t>CEE</w:t>
      </w:r>
      <w:r w:rsidRPr="001825DB">
        <w:rPr>
          <w:szCs w:val="24"/>
        </w:rPr>
        <w:t xml:space="preserve"> pour de nouveaux types de véhicules que s</w:t>
      </w:r>
      <w:r w:rsidR="001844C7">
        <w:rPr>
          <w:szCs w:val="24"/>
        </w:rPr>
        <w:t>’</w:t>
      </w:r>
      <w:r w:rsidRPr="001825DB">
        <w:rPr>
          <w:szCs w:val="24"/>
        </w:rPr>
        <w:t>ils satisfont:</w:t>
      </w:r>
    </w:p>
    <w:p w:rsidR="00F460B4" w:rsidRPr="001825DB" w:rsidRDefault="00F460B4" w:rsidP="00D241DC">
      <w:pPr>
        <w:pStyle w:val="SingleTxtG"/>
        <w:ind w:left="2835" w:hanging="567"/>
        <w:rPr>
          <w:szCs w:val="24"/>
        </w:rPr>
      </w:pPr>
      <w:r w:rsidRPr="001825DB">
        <w:rPr>
          <w:szCs w:val="24"/>
        </w:rPr>
        <w:t>a)</w:t>
      </w:r>
      <w:r w:rsidRPr="001825DB">
        <w:rPr>
          <w:szCs w:val="24"/>
        </w:rPr>
        <w:tab/>
        <w:t xml:space="preserve">Aux limites </w:t>
      </w:r>
      <w:r w:rsidRPr="001825DB">
        <w:rPr>
          <w:b/>
          <w:szCs w:val="24"/>
        </w:rPr>
        <w:t>applicables</w:t>
      </w:r>
      <w:r w:rsidRPr="001825DB">
        <w:rPr>
          <w:szCs w:val="24"/>
        </w:rPr>
        <w:t xml:space="preserve"> pour l</w:t>
      </w:r>
      <w:r w:rsidR="001844C7">
        <w:rPr>
          <w:szCs w:val="24"/>
        </w:rPr>
        <w:t>’</w:t>
      </w:r>
      <w:r w:rsidRPr="001825DB">
        <w:rPr>
          <w:szCs w:val="24"/>
        </w:rPr>
        <w:t xml:space="preserve">essai de type I indiquées dans le tableau 1 </w:t>
      </w:r>
      <w:r w:rsidRPr="001825DB">
        <w:rPr>
          <w:b/>
          <w:szCs w:val="24"/>
        </w:rPr>
        <w:t>spécifiées a</w:t>
      </w:r>
      <w:r w:rsidR="006A6A09">
        <w:rPr>
          <w:b/>
          <w:szCs w:val="24"/>
        </w:rPr>
        <w:t>u</w:t>
      </w:r>
      <w:r w:rsidRPr="001825DB">
        <w:rPr>
          <w:szCs w:val="24"/>
        </w:rPr>
        <w:t xml:space="preserve"> </w:t>
      </w:r>
      <w:r w:rsidR="006A6A09" w:rsidRPr="001825DB">
        <w:rPr>
          <w:strike/>
          <w:szCs w:val="24"/>
        </w:rPr>
        <w:t>du</w:t>
      </w:r>
      <w:r w:rsidR="006A6A09">
        <w:rPr>
          <w:strike/>
          <w:szCs w:val="24"/>
        </w:rPr>
        <w:t xml:space="preserve"> </w:t>
      </w:r>
      <w:r w:rsidRPr="001825DB">
        <w:rPr>
          <w:szCs w:val="24"/>
        </w:rPr>
        <w:t>paragraphe</w:t>
      </w:r>
      <w:r>
        <w:rPr>
          <w:szCs w:val="24"/>
        </w:rPr>
        <w:t> </w:t>
      </w:r>
      <w:r w:rsidRPr="001825DB">
        <w:rPr>
          <w:szCs w:val="24"/>
        </w:rPr>
        <w:t>5.3.1.4 du présent Règlement; et</w:t>
      </w:r>
    </w:p>
    <w:p w:rsidR="00F460B4" w:rsidRDefault="00F460B4" w:rsidP="00D241DC">
      <w:pPr>
        <w:pStyle w:val="SingleTxtG"/>
        <w:ind w:left="2835" w:hanging="567"/>
        <w:rPr>
          <w:szCs w:val="24"/>
        </w:rPr>
      </w:pPr>
      <w:r w:rsidRPr="001825DB">
        <w:rPr>
          <w:szCs w:val="24"/>
        </w:rPr>
        <w:t>b)</w:t>
      </w:r>
      <w:r w:rsidRPr="001825DB">
        <w:rPr>
          <w:szCs w:val="24"/>
        </w:rPr>
        <w:tab/>
      </w:r>
      <w:r w:rsidRPr="00D241DC">
        <w:rPr>
          <w:spacing w:val="-2"/>
          <w:szCs w:val="24"/>
        </w:rPr>
        <w:t>Aux valeurs limites préliminaires OBD indiquées dans le tableau</w:t>
      </w:r>
      <w:r w:rsidR="00D241DC" w:rsidRPr="00D241DC">
        <w:rPr>
          <w:spacing w:val="-2"/>
          <w:szCs w:val="24"/>
        </w:rPr>
        <w:t> </w:t>
      </w:r>
      <w:r w:rsidRPr="00D241DC">
        <w:rPr>
          <w:spacing w:val="-2"/>
          <w:szCs w:val="24"/>
        </w:rPr>
        <w:t>A</w:t>
      </w:r>
      <w:r w:rsidR="00D241DC" w:rsidRPr="00D241DC">
        <w:rPr>
          <w:spacing w:val="-2"/>
          <w:szCs w:val="24"/>
        </w:rPr>
        <w:t> </w:t>
      </w:r>
      <w:r w:rsidRPr="00D241DC">
        <w:rPr>
          <w:spacing w:val="-2"/>
          <w:szCs w:val="24"/>
        </w:rPr>
        <w:t>11/2</w:t>
      </w:r>
      <w:r w:rsidRPr="001825DB">
        <w:rPr>
          <w:szCs w:val="24"/>
        </w:rPr>
        <w:t xml:space="preserve"> </w:t>
      </w:r>
      <w:r w:rsidRPr="001825DB">
        <w:rPr>
          <w:b/>
          <w:szCs w:val="24"/>
        </w:rPr>
        <w:t>spécifiées a</w:t>
      </w:r>
      <w:r w:rsidR="006A6A09">
        <w:rPr>
          <w:b/>
          <w:szCs w:val="24"/>
        </w:rPr>
        <w:t>u</w:t>
      </w:r>
      <w:r w:rsidRPr="001825DB">
        <w:rPr>
          <w:szCs w:val="24"/>
        </w:rPr>
        <w:t xml:space="preserve"> </w:t>
      </w:r>
      <w:r w:rsidRPr="001825DB">
        <w:rPr>
          <w:strike/>
          <w:szCs w:val="24"/>
        </w:rPr>
        <w:t xml:space="preserve">du </w:t>
      </w:r>
      <w:r w:rsidRPr="001825DB">
        <w:rPr>
          <w:szCs w:val="24"/>
        </w:rPr>
        <w:t>paragraphe</w:t>
      </w:r>
      <w:r>
        <w:rPr>
          <w:szCs w:val="24"/>
        </w:rPr>
        <w:t> </w:t>
      </w:r>
      <w:r w:rsidRPr="001825DB">
        <w:rPr>
          <w:szCs w:val="24"/>
        </w:rPr>
        <w:t>3.3.2.2 de l</w:t>
      </w:r>
      <w:r w:rsidR="001844C7">
        <w:rPr>
          <w:szCs w:val="24"/>
        </w:rPr>
        <w:t>’</w:t>
      </w:r>
      <w:r w:rsidRPr="001825DB">
        <w:rPr>
          <w:szCs w:val="24"/>
        </w:rPr>
        <w:t>annexe</w:t>
      </w:r>
      <w:r w:rsidR="00D241DC">
        <w:rPr>
          <w:szCs w:val="24"/>
        </w:rPr>
        <w:t> </w:t>
      </w:r>
      <w:r w:rsidRPr="001825DB">
        <w:rPr>
          <w:szCs w:val="24"/>
        </w:rPr>
        <w:t>11 du présent Règlement.</w:t>
      </w:r>
      <w:r w:rsidR="00D241DC">
        <w:rPr>
          <w:szCs w:val="24"/>
        </w:rPr>
        <w:t>».</w:t>
      </w:r>
    </w:p>
    <w:p w:rsidR="00F460B4" w:rsidRPr="001825DB" w:rsidRDefault="00F460B4" w:rsidP="00D241DC">
      <w:pPr>
        <w:pStyle w:val="SingleTxtG"/>
        <w:rPr>
          <w:szCs w:val="24"/>
        </w:rPr>
      </w:pPr>
      <w:r w:rsidRPr="001825DB">
        <w:rPr>
          <w:i/>
          <w:iCs/>
          <w:szCs w:val="24"/>
        </w:rPr>
        <w:t>Paragraphe 12.2.2</w:t>
      </w:r>
      <w:r w:rsidRPr="001825DB">
        <w:rPr>
          <w:szCs w:val="24"/>
        </w:rPr>
        <w:t>, modifier comme suit:</w:t>
      </w:r>
    </w:p>
    <w:p w:rsidR="00F460B4" w:rsidRPr="001825DB" w:rsidRDefault="00F460B4" w:rsidP="00D241DC">
      <w:pPr>
        <w:pStyle w:val="SingleTxtG"/>
        <w:ind w:left="2268" w:hanging="1134"/>
        <w:rPr>
          <w:szCs w:val="24"/>
        </w:rPr>
      </w:pPr>
      <w:r w:rsidRPr="001825DB">
        <w:rPr>
          <w:szCs w:val="24"/>
        </w:rPr>
        <w:t>«</w:t>
      </w:r>
      <w:r w:rsidRPr="001825DB">
        <w:rPr>
          <w:b/>
          <w:bCs/>
          <w:szCs w:val="24"/>
        </w:rPr>
        <w:t>12.2.2</w:t>
      </w:r>
      <w:r w:rsidRPr="001825DB">
        <w:rPr>
          <w:b/>
          <w:bCs/>
          <w:szCs w:val="24"/>
        </w:rPr>
        <w:tab/>
        <w:t>À compter du 1</w:t>
      </w:r>
      <w:r w:rsidRPr="001825DB">
        <w:rPr>
          <w:b/>
          <w:bCs/>
          <w:szCs w:val="24"/>
          <w:vertAlign w:val="superscript"/>
        </w:rPr>
        <w:t>er</w:t>
      </w:r>
      <w:r w:rsidRPr="001825DB">
        <w:rPr>
          <w:b/>
          <w:bCs/>
          <w:szCs w:val="24"/>
        </w:rPr>
        <w:t> septembre 2015 pour les véhicules des catégories M ou N</w:t>
      </w:r>
      <w:r w:rsidRPr="001825DB">
        <w:rPr>
          <w:b/>
          <w:bCs/>
          <w:szCs w:val="24"/>
          <w:vertAlign w:val="subscript"/>
        </w:rPr>
        <w:t>1</w:t>
      </w:r>
      <w:r w:rsidRPr="001825DB">
        <w:rPr>
          <w:b/>
          <w:bCs/>
          <w:szCs w:val="24"/>
        </w:rPr>
        <w:t xml:space="preserve"> (classe I) et du 1</w:t>
      </w:r>
      <w:r w:rsidRPr="001825DB">
        <w:rPr>
          <w:b/>
          <w:bCs/>
          <w:szCs w:val="24"/>
          <w:vertAlign w:val="superscript"/>
        </w:rPr>
        <w:t>er</w:t>
      </w:r>
      <w:r w:rsidRPr="001825DB">
        <w:rPr>
          <w:b/>
          <w:bCs/>
          <w:szCs w:val="24"/>
        </w:rPr>
        <w:t> septembre 2016 pour les véhicules de la catégorie N</w:t>
      </w:r>
      <w:r w:rsidRPr="001825DB">
        <w:rPr>
          <w:b/>
          <w:bCs/>
          <w:szCs w:val="24"/>
          <w:vertAlign w:val="subscript"/>
        </w:rPr>
        <w:t>1</w:t>
      </w:r>
      <w:r w:rsidRPr="001825DB">
        <w:rPr>
          <w:b/>
          <w:bCs/>
          <w:szCs w:val="24"/>
        </w:rPr>
        <w:t xml:space="preserve"> (classes II ou III) et de la catégorie N</w:t>
      </w:r>
      <w:r w:rsidRPr="001825DB">
        <w:rPr>
          <w:b/>
          <w:bCs/>
          <w:szCs w:val="24"/>
          <w:vertAlign w:val="subscript"/>
        </w:rPr>
        <w:t>2</w:t>
      </w:r>
      <w:r w:rsidRPr="001825DB">
        <w:rPr>
          <w:b/>
          <w:bCs/>
          <w:szCs w:val="24"/>
        </w:rPr>
        <w:t xml:space="preserve">, </w:t>
      </w:r>
      <w:r w:rsidRPr="001825DB">
        <w:rPr>
          <w:szCs w:val="24"/>
        </w:rPr>
        <w:t xml:space="preserve">les Parties contractantes appliquant le présent Règlement </w:t>
      </w:r>
      <w:r w:rsidRPr="001825DB">
        <w:rPr>
          <w:strike/>
          <w:szCs w:val="24"/>
        </w:rPr>
        <w:t>à compter du 1</w:t>
      </w:r>
      <w:r w:rsidRPr="001825DB">
        <w:rPr>
          <w:strike/>
          <w:szCs w:val="24"/>
          <w:vertAlign w:val="superscript"/>
        </w:rPr>
        <w:t>er</w:t>
      </w:r>
      <w:r w:rsidRPr="001825DB">
        <w:rPr>
          <w:strike/>
          <w:szCs w:val="24"/>
        </w:rPr>
        <w:t> septembre 2015 pour les véhicules des catégories M ou N</w:t>
      </w:r>
      <w:r w:rsidRPr="001825DB">
        <w:rPr>
          <w:strike/>
          <w:szCs w:val="24"/>
          <w:vertAlign w:val="subscript"/>
        </w:rPr>
        <w:t>1</w:t>
      </w:r>
      <w:r w:rsidRPr="001825DB">
        <w:rPr>
          <w:strike/>
          <w:szCs w:val="24"/>
        </w:rPr>
        <w:t xml:space="preserve"> (classe I) et à compter du 1</w:t>
      </w:r>
      <w:r w:rsidRPr="001825DB">
        <w:rPr>
          <w:strike/>
          <w:szCs w:val="24"/>
          <w:vertAlign w:val="superscript"/>
        </w:rPr>
        <w:t>er</w:t>
      </w:r>
      <w:r w:rsidRPr="001825DB">
        <w:rPr>
          <w:strike/>
          <w:szCs w:val="24"/>
        </w:rPr>
        <w:t> septembre 2016 pour les véhicules de la catégorie N</w:t>
      </w:r>
      <w:r w:rsidRPr="001825DB">
        <w:rPr>
          <w:strike/>
          <w:szCs w:val="24"/>
          <w:vertAlign w:val="subscript"/>
        </w:rPr>
        <w:t>1</w:t>
      </w:r>
      <w:r w:rsidRPr="001825DB">
        <w:rPr>
          <w:strike/>
          <w:szCs w:val="24"/>
        </w:rPr>
        <w:t xml:space="preserve"> (classés II ou III) et de la catégorie N</w:t>
      </w:r>
      <w:r w:rsidRPr="001825DB">
        <w:rPr>
          <w:strike/>
          <w:szCs w:val="24"/>
          <w:vertAlign w:val="subscript"/>
        </w:rPr>
        <w:t>2</w:t>
      </w:r>
      <w:r w:rsidRPr="001825DB">
        <w:rPr>
          <w:strike/>
          <w:szCs w:val="24"/>
        </w:rPr>
        <w:t>, délivrer une homologation CEE pour de nouveaux types de véhicules seulement s</w:t>
      </w:r>
      <w:r w:rsidR="001844C7">
        <w:rPr>
          <w:strike/>
          <w:szCs w:val="24"/>
        </w:rPr>
        <w:t>’</w:t>
      </w:r>
      <w:r w:rsidRPr="001825DB">
        <w:rPr>
          <w:strike/>
          <w:szCs w:val="24"/>
        </w:rPr>
        <w:t>il</w:t>
      </w:r>
      <w:r w:rsidRPr="001825DB">
        <w:rPr>
          <w:szCs w:val="24"/>
        </w:rPr>
        <w:t xml:space="preserve"> </w:t>
      </w:r>
      <w:r w:rsidRPr="001825DB">
        <w:rPr>
          <w:b/>
          <w:bCs/>
          <w:szCs w:val="24"/>
        </w:rPr>
        <w:t>ne seront pas obligés d</w:t>
      </w:r>
      <w:r w:rsidR="001844C7">
        <w:rPr>
          <w:b/>
          <w:bCs/>
          <w:szCs w:val="24"/>
        </w:rPr>
        <w:t>’</w:t>
      </w:r>
      <w:r w:rsidRPr="001825DB">
        <w:rPr>
          <w:b/>
          <w:bCs/>
          <w:szCs w:val="24"/>
        </w:rPr>
        <w:t>accepter une homologation de type qui n</w:t>
      </w:r>
      <w:r w:rsidR="001844C7">
        <w:rPr>
          <w:b/>
          <w:bCs/>
          <w:szCs w:val="24"/>
        </w:rPr>
        <w:t>’</w:t>
      </w:r>
      <w:r w:rsidRPr="001825DB">
        <w:rPr>
          <w:b/>
          <w:bCs/>
          <w:szCs w:val="24"/>
        </w:rPr>
        <w:t>a pas été délivrée conformément à la série 07 d</w:t>
      </w:r>
      <w:r w:rsidR="001844C7">
        <w:rPr>
          <w:b/>
          <w:bCs/>
          <w:szCs w:val="24"/>
        </w:rPr>
        <w:t>’</w:t>
      </w:r>
      <w:r w:rsidRPr="001825DB">
        <w:rPr>
          <w:b/>
          <w:bCs/>
          <w:szCs w:val="24"/>
        </w:rPr>
        <w:t>amendements au présent Règlement s</w:t>
      </w:r>
      <w:r w:rsidR="001844C7">
        <w:rPr>
          <w:b/>
          <w:bCs/>
          <w:szCs w:val="24"/>
        </w:rPr>
        <w:t>’</w:t>
      </w:r>
      <w:r w:rsidRPr="001825DB">
        <w:rPr>
          <w:b/>
          <w:bCs/>
          <w:szCs w:val="24"/>
        </w:rPr>
        <w:t>il n</w:t>
      </w:r>
      <w:r w:rsidR="001844C7">
        <w:rPr>
          <w:b/>
          <w:bCs/>
          <w:szCs w:val="24"/>
        </w:rPr>
        <w:t>’</w:t>
      </w:r>
      <w:r w:rsidRPr="001825DB">
        <w:rPr>
          <w:b/>
          <w:bCs/>
          <w:szCs w:val="24"/>
        </w:rPr>
        <w:t xml:space="preserve">est pas </w:t>
      </w:r>
      <w:r w:rsidR="00D241DC">
        <w:rPr>
          <w:szCs w:val="24"/>
        </w:rPr>
        <w:t>satisfait:</w:t>
      </w:r>
    </w:p>
    <w:p w:rsidR="00F460B4" w:rsidRPr="001825DB" w:rsidRDefault="00F460B4" w:rsidP="00D241DC">
      <w:pPr>
        <w:pStyle w:val="SingleTxtG"/>
        <w:ind w:left="2835" w:hanging="567"/>
        <w:rPr>
          <w:szCs w:val="24"/>
        </w:rPr>
      </w:pPr>
      <w:r w:rsidRPr="001825DB">
        <w:rPr>
          <w:szCs w:val="24"/>
        </w:rPr>
        <w:t>a)</w:t>
      </w:r>
      <w:r w:rsidRPr="001825DB">
        <w:rPr>
          <w:szCs w:val="24"/>
        </w:rPr>
        <w:tab/>
        <w:t xml:space="preserve">Aux limites </w:t>
      </w:r>
      <w:r w:rsidRPr="001825DB">
        <w:rPr>
          <w:b/>
          <w:bCs/>
          <w:szCs w:val="24"/>
        </w:rPr>
        <w:t xml:space="preserve">applicables </w:t>
      </w:r>
      <w:r w:rsidRPr="001825DB">
        <w:rPr>
          <w:szCs w:val="24"/>
        </w:rPr>
        <w:t>pour l</w:t>
      </w:r>
      <w:r w:rsidR="001844C7">
        <w:rPr>
          <w:szCs w:val="24"/>
        </w:rPr>
        <w:t>’</w:t>
      </w:r>
      <w:r w:rsidRPr="001825DB">
        <w:rPr>
          <w:szCs w:val="24"/>
        </w:rPr>
        <w:t xml:space="preserve">essai de type I </w:t>
      </w:r>
      <w:r>
        <w:rPr>
          <w:bCs/>
          <w:szCs w:val="24"/>
        </w:rPr>
        <w:t xml:space="preserve">du </w:t>
      </w:r>
      <w:r w:rsidRPr="001825DB">
        <w:rPr>
          <w:bCs/>
          <w:szCs w:val="24"/>
        </w:rPr>
        <w:t xml:space="preserve">tableau 1 </w:t>
      </w:r>
      <w:r w:rsidRPr="001825DB">
        <w:rPr>
          <w:b/>
          <w:bCs/>
          <w:szCs w:val="24"/>
        </w:rPr>
        <w:t>spécifiées a</w:t>
      </w:r>
      <w:r w:rsidR="006A6A09">
        <w:rPr>
          <w:b/>
          <w:bCs/>
          <w:szCs w:val="24"/>
        </w:rPr>
        <w:t>u</w:t>
      </w:r>
      <w:r w:rsidRPr="001825DB">
        <w:rPr>
          <w:bCs/>
          <w:szCs w:val="24"/>
        </w:rPr>
        <w:t xml:space="preserve"> </w:t>
      </w:r>
      <w:r w:rsidRPr="001825DB">
        <w:rPr>
          <w:strike/>
          <w:szCs w:val="24"/>
        </w:rPr>
        <w:t>du</w:t>
      </w:r>
      <w:r w:rsidR="006A6A09">
        <w:rPr>
          <w:strike/>
          <w:szCs w:val="24"/>
        </w:rPr>
        <w:t xml:space="preserve"> </w:t>
      </w:r>
      <w:r w:rsidRPr="001825DB">
        <w:rPr>
          <w:szCs w:val="24"/>
        </w:rPr>
        <w:t xml:space="preserve">paragraphe 5.3.1.4 </w:t>
      </w:r>
      <w:r w:rsidRPr="001825DB">
        <w:rPr>
          <w:b/>
          <w:bCs/>
          <w:szCs w:val="24"/>
        </w:rPr>
        <w:t>du présent Règlement</w:t>
      </w:r>
      <w:r w:rsidRPr="001825DB">
        <w:rPr>
          <w:szCs w:val="24"/>
        </w:rPr>
        <w:t>; et</w:t>
      </w:r>
    </w:p>
    <w:p w:rsidR="00F460B4" w:rsidRPr="001825DB" w:rsidRDefault="00F460B4" w:rsidP="00D241DC">
      <w:pPr>
        <w:pStyle w:val="SingleTxtG"/>
        <w:ind w:left="2835" w:hanging="567"/>
        <w:rPr>
          <w:szCs w:val="24"/>
        </w:rPr>
      </w:pPr>
      <w:r w:rsidRPr="001825DB">
        <w:rPr>
          <w:szCs w:val="24"/>
        </w:rPr>
        <w:t>b)</w:t>
      </w:r>
      <w:r w:rsidRPr="001825DB">
        <w:rPr>
          <w:szCs w:val="24"/>
        </w:rPr>
        <w:tab/>
        <w:t xml:space="preserve">Aux valeurs limites préliminaires OBD </w:t>
      </w:r>
      <w:r>
        <w:rPr>
          <w:szCs w:val="24"/>
        </w:rPr>
        <w:t>du</w:t>
      </w:r>
      <w:r w:rsidRPr="001825DB">
        <w:rPr>
          <w:szCs w:val="24"/>
        </w:rPr>
        <w:t xml:space="preserve"> tableau A11/2 </w:t>
      </w:r>
      <w:r w:rsidRPr="001825DB">
        <w:rPr>
          <w:b/>
          <w:bCs/>
          <w:szCs w:val="24"/>
        </w:rPr>
        <w:t xml:space="preserve">spécifiées au </w:t>
      </w:r>
      <w:r w:rsidRPr="001825DB">
        <w:rPr>
          <w:strike/>
          <w:szCs w:val="24"/>
        </w:rPr>
        <w:t xml:space="preserve">du </w:t>
      </w:r>
      <w:r w:rsidRPr="001825DB">
        <w:rPr>
          <w:szCs w:val="24"/>
        </w:rPr>
        <w:t>paragraphe 3.3.2.2 de l</w:t>
      </w:r>
      <w:r w:rsidR="001844C7">
        <w:rPr>
          <w:szCs w:val="24"/>
        </w:rPr>
        <w:t>’</w:t>
      </w:r>
      <w:r w:rsidRPr="001825DB">
        <w:rPr>
          <w:szCs w:val="24"/>
        </w:rPr>
        <w:t>annexe II du présent Règlement.».</w:t>
      </w:r>
    </w:p>
    <w:p w:rsidR="00F460B4" w:rsidRPr="001825DB" w:rsidRDefault="00F460B4" w:rsidP="00D241DC">
      <w:pPr>
        <w:pStyle w:val="SingleTxtG"/>
        <w:keepNext/>
        <w:spacing w:before="240"/>
        <w:rPr>
          <w:szCs w:val="24"/>
        </w:rPr>
      </w:pPr>
      <w:r w:rsidRPr="001825DB">
        <w:rPr>
          <w:i/>
          <w:iCs/>
          <w:szCs w:val="24"/>
        </w:rPr>
        <w:t>Paragraphe 12.2.3</w:t>
      </w:r>
      <w:r w:rsidRPr="001825DB">
        <w:rPr>
          <w:szCs w:val="24"/>
        </w:rPr>
        <w:t>, modifier comme suit:</w:t>
      </w:r>
    </w:p>
    <w:p w:rsidR="00F460B4" w:rsidRPr="001825DB" w:rsidRDefault="00F460B4" w:rsidP="00D241DC">
      <w:pPr>
        <w:pStyle w:val="SingleTxtG"/>
        <w:ind w:left="2257" w:hanging="1123"/>
        <w:rPr>
          <w:szCs w:val="24"/>
        </w:rPr>
      </w:pPr>
      <w:r w:rsidRPr="001825DB">
        <w:rPr>
          <w:szCs w:val="24"/>
        </w:rPr>
        <w:t>«</w:t>
      </w:r>
      <w:r w:rsidRPr="001825DB">
        <w:rPr>
          <w:b/>
          <w:bCs/>
          <w:szCs w:val="24"/>
        </w:rPr>
        <w:t>12.2.3</w:t>
      </w:r>
      <w:r w:rsidRPr="001825DB">
        <w:rPr>
          <w:b/>
          <w:bCs/>
          <w:szCs w:val="24"/>
        </w:rPr>
        <w:tab/>
        <w:t>À compter du 1</w:t>
      </w:r>
      <w:r w:rsidRPr="001825DB">
        <w:rPr>
          <w:b/>
          <w:bCs/>
          <w:szCs w:val="24"/>
          <w:vertAlign w:val="superscript"/>
        </w:rPr>
        <w:t>er</w:t>
      </w:r>
      <w:r w:rsidRPr="001825DB">
        <w:rPr>
          <w:b/>
          <w:bCs/>
          <w:szCs w:val="24"/>
        </w:rPr>
        <w:t> septembre 2017 pour les véhicules des catégories M ou N</w:t>
      </w:r>
      <w:r w:rsidRPr="001825DB">
        <w:rPr>
          <w:b/>
          <w:bCs/>
          <w:szCs w:val="24"/>
          <w:vertAlign w:val="subscript"/>
        </w:rPr>
        <w:t>1</w:t>
      </w:r>
      <w:r w:rsidRPr="001825DB">
        <w:rPr>
          <w:b/>
          <w:bCs/>
          <w:szCs w:val="24"/>
        </w:rPr>
        <w:t xml:space="preserve"> (classe I) et à compter du 1</w:t>
      </w:r>
      <w:r w:rsidRPr="001825DB">
        <w:rPr>
          <w:b/>
          <w:bCs/>
          <w:szCs w:val="24"/>
          <w:vertAlign w:val="superscript"/>
        </w:rPr>
        <w:t>er</w:t>
      </w:r>
      <w:r w:rsidRPr="001825DB">
        <w:rPr>
          <w:b/>
          <w:bCs/>
          <w:szCs w:val="24"/>
        </w:rPr>
        <w:t> septembre 2018 pour les véhicules de la catégorie N</w:t>
      </w:r>
      <w:r w:rsidRPr="001825DB">
        <w:rPr>
          <w:b/>
          <w:bCs/>
          <w:szCs w:val="24"/>
          <w:vertAlign w:val="subscript"/>
        </w:rPr>
        <w:t>1</w:t>
      </w:r>
      <w:r w:rsidRPr="001825DB">
        <w:rPr>
          <w:b/>
          <w:bCs/>
          <w:szCs w:val="24"/>
        </w:rPr>
        <w:t xml:space="preserve"> (classes II ou III) et de la catégorie N</w:t>
      </w:r>
      <w:r w:rsidRPr="001825DB">
        <w:rPr>
          <w:b/>
          <w:bCs/>
          <w:szCs w:val="24"/>
          <w:vertAlign w:val="subscript"/>
        </w:rPr>
        <w:t>2</w:t>
      </w:r>
      <w:r w:rsidRPr="001825DB">
        <w:rPr>
          <w:b/>
          <w:bCs/>
          <w:szCs w:val="24"/>
        </w:rPr>
        <w:t xml:space="preserve">, </w:t>
      </w:r>
      <w:r w:rsidRPr="001825DB">
        <w:rPr>
          <w:szCs w:val="24"/>
        </w:rPr>
        <w:t xml:space="preserve">les Parties contractantes appliquant le présent Règlement </w:t>
      </w:r>
      <w:r w:rsidRPr="001825DB">
        <w:rPr>
          <w:b/>
          <w:bCs/>
          <w:szCs w:val="24"/>
        </w:rPr>
        <w:t>tel que modifié par la série 07 d</w:t>
      </w:r>
      <w:r w:rsidR="001844C7">
        <w:rPr>
          <w:b/>
          <w:bCs/>
          <w:szCs w:val="24"/>
        </w:rPr>
        <w:t>’</w:t>
      </w:r>
      <w:r w:rsidRPr="001825DB">
        <w:rPr>
          <w:b/>
          <w:bCs/>
          <w:szCs w:val="24"/>
        </w:rPr>
        <w:t>amendements</w:t>
      </w:r>
      <w:r w:rsidRPr="001825DB">
        <w:rPr>
          <w:szCs w:val="24"/>
        </w:rPr>
        <w:t xml:space="preserve"> ne doivent </w:t>
      </w:r>
      <w:r w:rsidRPr="001825DB">
        <w:rPr>
          <w:strike/>
          <w:szCs w:val="24"/>
        </w:rPr>
        <w:t>à compter du 1</w:t>
      </w:r>
      <w:r w:rsidRPr="001825DB">
        <w:rPr>
          <w:strike/>
          <w:szCs w:val="24"/>
          <w:vertAlign w:val="superscript"/>
        </w:rPr>
        <w:t>er</w:t>
      </w:r>
      <w:r w:rsidRPr="001825DB">
        <w:rPr>
          <w:strike/>
          <w:szCs w:val="24"/>
        </w:rPr>
        <w:t> septembre 2017 pour les véhicules des catégories M ou N</w:t>
      </w:r>
      <w:r w:rsidRPr="001825DB">
        <w:rPr>
          <w:strike/>
          <w:szCs w:val="24"/>
          <w:vertAlign w:val="subscript"/>
        </w:rPr>
        <w:t>1</w:t>
      </w:r>
      <w:r w:rsidRPr="001825DB">
        <w:rPr>
          <w:strike/>
          <w:szCs w:val="24"/>
        </w:rPr>
        <w:t xml:space="preserve"> (classe I) et à compter du 1</w:t>
      </w:r>
      <w:r w:rsidRPr="001825DB">
        <w:rPr>
          <w:strike/>
          <w:szCs w:val="24"/>
          <w:vertAlign w:val="superscript"/>
        </w:rPr>
        <w:t>er</w:t>
      </w:r>
      <w:r w:rsidRPr="001825DB">
        <w:rPr>
          <w:strike/>
          <w:szCs w:val="24"/>
        </w:rPr>
        <w:t> septembre 2018 pour les véhicules de la catégorie N</w:t>
      </w:r>
      <w:r w:rsidRPr="001825DB">
        <w:rPr>
          <w:strike/>
          <w:szCs w:val="24"/>
          <w:vertAlign w:val="subscript"/>
        </w:rPr>
        <w:t>1</w:t>
      </w:r>
      <w:r w:rsidRPr="001825DB">
        <w:rPr>
          <w:strike/>
          <w:szCs w:val="24"/>
        </w:rPr>
        <w:t xml:space="preserve"> (classe</w:t>
      </w:r>
      <w:r w:rsidR="001844C7">
        <w:rPr>
          <w:strike/>
          <w:szCs w:val="24"/>
        </w:rPr>
        <w:t>s</w:t>
      </w:r>
      <w:r w:rsidRPr="001825DB">
        <w:rPr>
          <w:strike/>
          <w:szCs w:val="24"/>
        </w:rPr>
        <w:t xml:space="preserve"> II ou III) et de la catégorie N</w:t>
      </w:r>
      <w:r w:rsidRPr="001825DB">
        <w:rPr>
          <w:strike/>
          <w:szCs w:val="24"/>
          <w:vertAlign w:val="subscript"/>
        </w:rPr>
        <w:t>2</w:t>
      </w:r>
      <w:r w:rsidRPr="001825DB">
        <w:rPr>
          <w:strike/>
          <w:szCs w:val="24"/>
        </w:rPr>
        <w:t>,</w:t>
      </w:r>
      <w:r w:rsidRPr="001825DB">
        <w:rPr>
          <w:szCs w:val="24"/>
        </w:rPr>
        <w:t xml:space="preserve"> délivrer une homologation</w:t>
      </w:r>
      <w:r w:rsidRPr="001825DB">
        <w:rPr>
          <w:strike/>
          <w:szCs w:val="24"/>
        </w:rPr>
        <w:t xml:space="preserve"> CEE</w:t>
      </w:r>
      <w:r w:rsidRPr="001825DB">
        <w:rPr>
          <w:szCs w:val="24"/>
        </w:rPr>
        <w:t xml:space="preserve"> pour de nouveaux types de véhicules que s</w:t>
      </w:r>
      <w:r w:rsidR="001844C7">
        <w:rPr>
          <w:szCs w:val="24"/>
        </w:rPr>
        <w:t>’</w:t>
      </w:r>
      <w:r w:rsidRPr="001825DB">
        <w:rPr>
          <w:szCs w:val="24"/>
        </w:rPr>
        <w:t>ils satisfont:</w:t>
      </w:r>
    </w:p>
    <w:p w:rsidR="00F460B4" w:rsidRPr="001825DB" w:rsidRDefault="00F460B4" w:rsidP="00D241DC">
      <w:pPr>
        <w:pStyle w:val="SingleTxtG"/>
        <w:ind w:left="2835" w:hanging="567"/>
        <w:rPr>
          <w:szCs w:val="24"/>
        </w:rPr>
      </w:pPr>
      <w:r w:rsidRPr="001825DB">
        <w:rPr>
          <w:szCs w:val="24"/>
        </w:rPr>
        <w:t>a)</w:t>
      </w:r>
      <w:r w:rsidRPr="001825DB">
        <w:rPr>
          <w:szCs w:val="24"/>
        </w:rPr>
        <w:tab/>
        <w:t xml:space="preserve">Aux limites </w:t>
      </w:r>
      <w:r w:rsidRPr="001825DB">
        <w:rPr>
          <w:b/>
          <w:bCs/>
          <w:szCs w:val="24"/>
        </w:rPr>
        <w:t xml:space="preserve">applicables </w:t>
      </w:r>
      <w:r w:rsidRPr="001825DB">
        <w:rPr>
          <w:szCs w:val="24"/>
        </w:rPr>
        <w:t>pour l</w:t>
      </w:r>
      <w:r w:rsidR="001844C7">
        <w:rPr>
          <w:szCs w:val="24"/>
        </w:rPr>
        <w:t>’</w:t>
      </w:r>
      <w:r w:rsidRPr="001825DB">
        <w:rPr>
          <w:szCs w:val="24"/>
        </w:rPr>
        <w:t xml:space="preserve">essai de type I </w:t>
      </w:r>
      <w:r>
        <w:rPr>
          <w:szCs w:val="24"/>
        </w:rPr>
        <w:t xml:space="preserve">du </w:t>
      </w:r>
      <w:r w:rsidRPr="001825DB">
        <w:rPr>
          <w:szCs w:val="24"/>
        </w:rPr>
        <w:t xml:space="preserve">tableau I </w:t>
      </w:r>
      <w:r w:rsidRPr="001825DB">
        <w:rPr>
          <w:b/>
          <w:bCs/>
          <w:szCs w:val="24"/>
        </w:rPr>
        <w:t xml:space="preserve">spécifiées au </w:t>
      </w:r>
      <w:r w:rsidRPr="001825DB">
        <w:rPr>
          <w:strike/>
          <w:szCs w:val="24"/>
        </w:rPr>
        <w:t>du</w:t>
      </w:r>
      <w:r w:rsidR="006A6A09">
        <w:rPr>
          <w:strike/>
          <w:szCs w:val="24"/>
        </w:rPr>
        <w:t xml:space="preserve"> </w:t>
      </w:r>
      <w:r w:rsidRPr="001825DB">
        <w:rPr>
          <w:szCs w:val="24"/>
        </w:rPr>
        <w:t>paragraphe 5.3.1.4; et</w:t>
      </w:r>
    </w:p>
    <w:p w:rsidR="00F460B4" w:rsidRPr="001825DB" w:rsidRDefault="00F460B4" w:rsidP="00D241DC">
      <w:pPr>
        <w:pStyle w:val="SingleTxtG"/>
        <w:ind w:left="2835" w:hanging="567"/>
        <w:rPr>
          <w:szCs w:val="24"/>
        </w:rPr>
      </w:pPr>
      <w:r w:rsidRPr="001825DB">
        <w:rPr>
          <w:szCs w:val="24"/>
        </w:rPr>
        <w:t>b)</w:t>
      </w:r>
      <w:r w:rsidRPr="001825DB">
        <w:rPr>
          <w:szCs w:val="24"/>
        </w:rPr>
        <w:tab/>
        <w:t xml:space="preserve">Aux valeurs préliminaires OBD indiquées dans le tableau A11/1 </w:t>
      </w:r>
      <w:r w:rsidRPr="001825DB">
        <w:rPr>
          <w:b/>
          <w:bCs/>
          <w:szCs w:val="24"/>
        </w:rPr>
        <w:t>spécifiées au</w:t>
      </w:r>
      <w:r w:rsidRPr="001825DB">
        <w:rPr>
          <w:szCs w:val="24"/>
        </w:rPr>
        <w:t xml:space="preserve"> </w:t>
      </w:r>
      <w:r w:rsidRPr="001825DB">
        <w:rPr>
          <w:strike/>
          <w:szCs w:val="24"/>
        </w:rPr>
        <w:t>du</w:t>
      </w:r>
      <w:r w:rsidR="006A6A09">
        <w:rPr>
          <w:strike/>
          <w:szCs w:val="24"/>
        </w:rPr>
        <w:t xml:space="preserve"> </w:t>
      </w:r>
      <w:r w:rsidRPr="001825DB">
        <w:rPr>
          <w:szCs w:val="24"/>
        </w:rPr>
        <w:t>paragraphe 3.3.2.1 de l</w:t>
      </w:r>
      <w:r w:rsidR="001844C7">
        <w:rPr>
          <w:szCs w:val="24"/>
        </w:rPr>
        <w:t>’</w:t>
      </w:r>
      <w:r w:rsidRPr="001825DB">
        <w:rPr>
          <w:szCs w:val="24"/>
        </w:rPr>
        <w:t>annexe II du présent Règlement.».</w:t>
      </w:r>
    </w:p>
    <w:p w:rsidR="00F460B4" w:rsidRPr="001825DB" w:rsidRDefault="00F460B4" w:rsidP="00D241DC">
      <w:pPr>
        <w:pStyle w:val="SingleTxtG"/>
        <w:rPr>
          <w:szCs w:val="24"/>
        </w:rPr>
      </w:pPr>
      <w:r w:rsidRPr="001825DB">
        <w:rPr>
          <w:i/>
          <w:iCs/>
          <w:szCs w:val="24"/>
        </w:rPr>
        <w:t>Paragraphe 12.2.4</w:t>
      </w:r>
      <w:r w:rsidRPr="001825DB">
        <w:rPr>
          <w:szCs w:val="24"/>
        </w:rPr>
        <w:t>, modifier comme suit:</w:t>
      </w:r>
    </w:p>
    <w:p w:rsidR="00F460B4" w:rsidRPr="001825DB" w:rsidRDefault="00F460B4" w:rsidP="00D241DC">
      <w:pPr>
        <w:pStyle w:val="SingleTxtG"/>
        <w:ind w:left="2268" w:hanging="1134"/>
        <w:rPr>
          <w:szCs w:val="24"/>
        </w:rPr>
      </w:pPr>
      <w:r w:rsidRPr="001825DB">
        <w:rPr>
          <w:szCs w:val="24"/>
        </w:rPr>
        <w:t>«</w:t>
      </w:r>
      <w:r w:rsidRPr="001825DB">
        <w:rPr>
          <w:b/>
          <w:bCs/>
          <w:szCs w:val="24"/>
        </w:rPr>
        <w:t>12.2.4</w:t>
      </w:r>
      <w:r w:rsidRPr="001825DB">
        <w:rPr>
          <w:b/>
          <w:bCs/>
          <w:szCs w:val="24"/>
        </w:rPr>
        <w:tab/>
        <w:t>À compter du 1</w:t>
      </w:r>
      <w:r w:rsidRPr="001825DB">
        <w:rPr>
          <w:b/>
          <w:bCs/>
          <w:szCs w:val="24"/>
          <w:vertAlign w:val="superscript"/>
        </w:rPr>
        <w:t>er</w:t>
      </w:r>
      <w:r w:rsidRPr="001825DB">
        <w:rPr>
          <w:b/>
          <w:bCs/>
          <w:szCs w:val="24"/>
        </w:rPr>
        <w:t> septembre 2018 pour les véhicules des catégories M ou N</w:t>
      </w:r>
      <w:r w:rsidRPr="001825DB">
        <w:rPr>
          <w:b/>
          <w:bCs/>
          <w:szCs w:val="24"/>
          <w:vertAlign w:val="subscript"/>
        </w:rPr>
        <w:t>1</w:t>
      </w:r>
      <w:r w:rsidRPr="001825DB">
        <w:rPr>
          <w:b/>
          <w:bCs/>
          <w:szCs w:val="24"/>
        </w:rPr>
        <w:t xml:space="preserve"> (classe I) et à compter du 1</w:t>
      </w:r>
      <w:r w:rsidRPr="001825DB">
        <w:rPr>
          <w:b/>
          <w:bCs/>
          <w:szCs w:val="24"/>
          <w:vertAlign w:val="superscript"/>
        </w:rPr>
        <w:t>er</w:t>
      </w:r>
      <w:r w:rsidRPr="001825DB">
        <w:rPr>
          <w:b/>
          <w:bCs/>
          <w:szCs w:val="24"/>
        </w:rPr>
        <w:t> septembre 2019 pour les véhicules de la catégorie N</w:t>
      </w:r>
      <w:r w:rsidRPr="001825DB">
        <w:rPr>
          <w:b/>
          <w:bCs/>
          <w:szCs w:val="24"/>
          <w:vertAlign w:val="subscript"/>
        </w:rPr>
        <w:t>1</w:t>
      </w:r>
      <w:r w:rsidRPr="001825DB">
        <w:rPr>
          <w:b/>
          <w:bCs/>
          <w:szCs w:val="24"/>
        </w:rPr>
        <w:t xml:space="preserve"> (classes II ou III) et de la catégorie N</w:t>
      </w:r>
      <w:r w:rsidRPr="001825DB">
        <w:rPr>
          <w:b/>
          <w:bCs/>
          <w:szCs w:val="24"/>
          <w:vertAlign w:val="subscript"/>
        </w:rPr>
        <w:t>2</w:t>
      </w:r>
      <w:r w:rsidRPr="001825DB">
        <w:rPr>
          <w:b/>
          <w:bCs/>
          <w:szCs w:val="24"/>
        </w:rPr>
        <w:t xml:space="preserve">, </w:t>
      </w:r>
      <w:r w:rsidRPr="001825DB">
        <w:rPr>
          <w:szCs w:val="24"/>
        </w:rPr>
        <w:t xml:space="preserve">les Parties contractantes appliquant le présent Règlement ne seront pas, </w:t>
      </w:r>
      <w:r w:rsidRPr="001825DB">
        <w:rPr>
          <w:strike/>
          <w:szCs w:val="24"/>
        </w:rPr>
        <w:t>à compter</w:t>
      </w:r>
      <w:r w:rsidRPr="001825DB">
        <w:rPr>
          <w:szCs w:val="24"/>
        </w:rPr>
        <w:t xml:space="preserve"> </w:t>
      </w:r>
      <w:r w:rsidRPr="001825DB">
        <w:rPr>
          <w:strike/>
          <w:szCs w:val="24"/>
        </w:rPr>
        <w:t>du 1</w:t>
      </w:r>
      <w:r w:rsidRPr="001825DB">
        <w:rPr>
          <w:strike/>
          <w:szCs w:val="24"/>
          <w:vertAlign w:val="superscript"/>
        </w:rPr>
        <w:t>er</w:t>
      </w:r>
      <w:r w:rsidRPr="001825DB">
        <w:rPr>
          <w:strike/>
          <w:szCs w:val="24"/>
        </w:rPr>
        <w:t> septembre 2018 pour les véhicules des catégories M ou N</w:t>
      </w:r>
      <w:r w:rsidRPr="001825DB">
        <w:rPr>
          <w:strike/>
          <w:szCs w:val="24"/>
          <w:vertAlign w:val="subscript"/>
        </w:rPr>
        <w:t>1</w:t>
      </w:r>
      <w:r w:rsidRPr="001825DB">
        <w:rPr>
          <w:strike/>
          <w:szCs w:val="24"/>
        </w:rPr>
        <w:t xml:space="preserve"> (classe I) et du 1</w:t>
      </w:r>
      <w:r w:rsidRPr="001825DB">
        <w:rPr>
          <w:strike/>
          <w:szCs w:val="24"/>
          <w:vertAlign w:val="superscript"/>
        </w:rPr>
        <w:t>er</w:t>
      </w:r>
      <w:r w:rsidRPr="001825DB">
        <w:rPr>
          <w:strike/>
          <w:szCs w:val="24"/>
        </w:rPr>
        <w:t> septembre 2019 pour les véhicules de la catégorie N</w:t>
      </w:r>
      <w:r w:rsidRPr="001825DB">
        <w:rPr>
          <w:strike/>
          <w:szCs w:val="24"/>
          <w:vertAlign w:val="subscript"/>
        </w:rPr>
        <w:t>1</w:t>
      </w:r>
      <w:r w:rsidRPr="001825DB">
        <w:rPr>
          <w:strike/>
          <w:szCs w:val="24"/>
        </w:rPr>
        <w:t xml:space="preserve"> (classes II ou III) et de la catégorie N</w:t>
      </w:r>
      <w:r w:rsidRPr="001825DB">
        <w:rPr>
          <w:strike/>
          <w:szCs w:val="24"/>
          <w:vertAlign w:val="subscript"/>
        </w:rPr>
        <w:t>2</w:t>
      </w:r>
      <w:r w:rsidRPr="001825DB">
        <w:rPr>
          <w:strike/>
          <w:szCs w:val="24"/>
        </w:rPr>
        <w:t>, délivrer une homologation CEE pour de nouveaux véhicules que s</w:t>
      </w:r>
      <w:r w:rsidR="001844C7">
        <w:rPr>
          <w:strike/>
          <w:szCs w:val="24"/>
        </w:rPr>
        <w:t>’</w:t>
      </w:r>
      <w:r w:rsidRPr="001825DB">
        <w:rPr>
          <w:strike/>
          <w:szCs w:val="24"/>
        </w:rPr>
        <w:t>ils satisfont</w:t>
      </w:r>
      <w:r w:rsidRPr="001825DB">
        <w:rPr>
          <w:szCs w:val="24"/>
        </w:rPr>
        <w:t xml:space="preserve"> </w:t>
      </w:r>
      <w:r>
        <w:rPr>
          <w:b/>
          <w:bCs/>
          <w:szCs w:val="24"/>
        </w:rPr>
        <w:t>tenues</w:t>
      </w:r>
      <w:r w:rsidRPr="001825DB">
        <w:rPr>
          <w:b/>
          <w:bCs/>
          <w:szCs w:val="24"/>
        </w:rPr>
        <w:t xml:space="preserve"> d</w:t>
      </w:r>
      <w:r w:rsidR="001844C7">
        <w:rPr>
          <w:b/>
          <w:bCs/>
          <w:szCs w:val="24"/>
        </w:rPr>
        <w:t>’</w:t>
      </w:r>
      <w:r w:rsidRPr="001825DB">
        <w:rPr>
          <w:b/>
          <w:bCs/>
          <w:szCs w:val="24"/>
        </w:rPr>
        <w:t>accepter une homologation de type qui n</w:t>
      </w:r>
      <w:r w:rsidR="001844C7">
        <w:rPr>
          <w:b/>
          <w:bCs/>
          <w:szCs w:val="24"/>
        </w:rPr>
        <w:t>’</w:t>
      </w:r>
      <w:r w:rsidRPr="001825DB">
        <w:rPr>
          <w:b/>
          <w:bCs/>
          <w:szCs w:val="24"/>
        </w:rPr>
        <w:t>a pas été délivrée conformément à la série 07 d</w:t>
      </w:r>
      <w:r w:rsidR="001844C7">
        <w:rPr>
          <w:b/>
          <w:bCs/>
          <w:szCs w:val="24"/>
        </w:rPr>
        <w:t>’</w:t>
      </w:r>
      <w:r w:rsidRPr="001825DB">
        <w:rPr>
          <w:b/>
          <w:bCs/>
          <w:szCs w:val="24"/>
        </w:rPr>
        <w:t xml:space="preserve">amendements au présent Règlement </w:t>
      </w:r>
      <w:r>
        <w:rPr>
          <w:b/>
          <w:bCs/>
          <w:szCs w:val="24"/>
        </w:rPr>
        <w:t xml:space="preserve">et </w:t>
      </w:r>
      <w:r w:rsidRPr="001825DB">
        <w:rPr>
          <w:b/>
          <w:bCs/>
          <w:szCs w:val="24"/>
        </w:rPr>
        <w:t>qui ne satisf</w:t>
      </w:r>
      <w:r>
        <w:rPr>
          <w:b/>
          <w:bCs/>
          <w:szCs w:val="24"/>
        </w:rPr>
        <w:t>ai</w:t>
      </w:r>
      <w:r w:rsidRPr="001825DB">
        <w:rPr>
          <w:b/>
          <w:bCs/>
          <w:szCs w:val="24"/>
        </w:rPr>
        <w:t>t pas:</w:t>
      </w:r>
    </w:p>
    <w:p w:rsidR="00F460B4" w:rsidRPr="001825DB" w:rsidRDefault="00F460B4" w:rsidP="00D241DC">
      <w:pPr>
        <w:pStyle w:val="SingleTxtG"/>
        <w:ind w:left="2835" w:hanging="567"/>
        <w:rPr>
          <w:szCs w:val="24"/>
        </w:rPr>
      </w:pPr>
      <w:r w:rsidRPr="001825DB">
        <w:rPr>
          <w:szCs w:val="24"/>
        </w:rPr>
        <w:t>a)</w:t>
      </w:r>
      <w:r w:rsidRPr="001825DB">
        <w:rPr>
          <w:szCs w:val="24"/>
        </w:rPr>
        <w:tab/>
        <w:t>Aux limites applicables pour l</w:t>
      </w:r>
      <w:r w:rsidR="001844C7">
        <w:rPr>
          <w:szCs w:val="24"/>
        </w:rPr>
        <w:t>’</w:t>
      </w:r>
      <w:r w:rsidRPr="001825DB">
        <w:rPr>
          <w:szCs w:val="24"/>
        </w:rPr>
        <w:t xml:space="preserve">essai de type I </w:t>
      </w:r>
      <w:r>
        <w:rPr>
          <w:szCs w:val="24"/>
        </w:rPr>
        <w:t xml:space="preserve">du </w:t>
      </w:r>
      <w:r w:rsidRPr="001825DB">
        <w:rPr>
          <w:szCs w:val="24"/>
        </w:rPr>
        <w:t>tableau 1</w:t>
      </w:r>
      <w:r w:rsidRPr="001825DB">
        <w:rPr>
          <w:b/>
          <w:bCs/>
          <w:szCs w:val="24"/>
        </w:rPr>
        <w:t xml:space="preserve"> spécifiées au</w:t>
      </w:r>
      <w:r w:rsidRPr="001825DB">
        <w:rPr>
          <w:strike/>
          <w:szCs w:val="24"/>
        </w:rPr>
        <w:t xml:space="preserve"> du</w:t>
      </w:r>
      <w:r w:rsidRPr="001825DB">
        <w:rPr>
          <w:szCs w:val="24"/>
        </w:rPr>
        <w:t xml:space="preserve"> paragraphe 5.3.1.4 </w:t>
      </w:r>
      <w:r w:rsidRPr="001825DB">
        <w:rPr>
          <w:b/>
          <w:bCs/>
          <w:szCs w:val="24"/>
        </w:rPr>
        <w:t>du présent Règlement</w:t>
      </w:r>
      <w:r w:rsidRPr="001825DB">
        <w:rPr>
          <w:szCs w:val="24"/>
        </w:rPr>
        <w:t>; et</w:t>
      </w:r>
    </w:p>
    <w:p w:rsidR="00614E72" w:rsidRDefault="00F460B4" w:rsidP="00D241DC">
      <w:pPr>
        <w:pStyle w:val="SingleTxtG"/>
        <w:ind w:left="2835" w:hanging="567"/>
        <w:rPr>
          <w:szCs w:val="24"/>
        </w:rPr>
      </w:pPr>
      <w:r w:rsidRPr="001825DB">
        <w:rPr>
          <w:szCs w:val="24"/>
        </w:rPr>
        <w:t>b)</w:t>
      </w:r>
      <w:r w:rsidRPr="001825DB">
        <w:rPr>
          <w:szCs w:val="24"/>
        </w:rPr>
        <w:tab/>
        <w:t xml:space="preserve">Aux valeurs limites finales OBD </w:t>
      </w:r>
      <w:r>
        <w:rPr>
          <w:szCs w:val="24"/>
        </w:rPr>
        <w:t xml:space="preserve">du </w:t>
      </w:r>
      <w:r w:rsidRPr="001825DB">
        <w:rPr>
          <w:szCs w:val="24"/>
        </w:rPr>
        <w:t xml:space="preserve">tableau A11/1 </w:t>
      </w:r>
      <w:r w:rsidRPr="001825DB">
        <w:rPr>
          <w:b/>
          <w:bCs/>
          <w:szCs w:val="24"/>
        </w:rPr>
        <w:t xml:space="preserve">spécifiées au </w:t>
      </w:r>
      <w:r w:rsidRPr="001825DB">
        <w:rPr>
          <w:strike/>
          <w:szCs w:val="24"/>
        </w:rPr>
        <w:t>du</w:t>
      </w:r>
      <w:r w:rsidRPr="001825DB">
        <w:rPr>
          <w:szCs w:val="24"/>
        </w:rPr>
        <w:t xml:space="preserve"> paragraphe 3.3.2.1 de l</w:t>
      </w:r>
      <w:r w:rsidR="001844C7">
        <w:rPr>
          <w:szCs w:val="24"/>
        </w:rPr>
        <w:t>’</w:t>
      </w:r>
      <w:r w:rsidRPr="001825DB">
        <w:rPr>
          <w:szCs w:val="24"/>
        </w:rPr>
        <w:t>annexe 11 au présent Règlement.».</w:t>
      </w:r>
    </w:p>
    <w:p w:rsidR="00D241DC" w:rsidRPr="00D241DC" w:rsidRDefault="00D241DC" w:rsidP="001844C7">
      <w:pPr>
        <w:pStyle w:val="SingleTxtG"/>
        <w:spacing w:before="240" w:after="0"/>
        <w:jc w:val="center"/>
        <w:rPr>
          <w:u w:val="single"/>
        </w:rPr>
      </w:pPr>
      <w:r>
        <w:rPr>
          <w:u w:val="single"/>
        </w:rPr>
        <w:tab/>
      </w:r>
      <w:r>
        <w:rPr>
          <w:u w:val="single"/>
        </w:rPr>
        <w:tab/>
      </w:r>
      <w:r>
        <w:rPr>
          <w:u w:val="single"/>
        </w:rPr>
        <w:tab/>
      </w:r>
    </w:p>
    <w:sectPr w:rsidR="00D241DC" w:rsidRPr="00D241DC" w:rsidSect="00614E72">
      <w:headerReference w:type="even" r:id="rId26"/>
      <w:headerReference w:type="default" r:id="rId27"/>
      <w:footerReference w:type="even" r:id="rId28"/>
      <w:footerReference w:type="default" r:id="rId29"/>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4C7" w:rsidRDefault="001844C7" w:rsidP="00F95C08">
      <w:pPr>
        <w:spacing w:line="240" w:lineRule="auto"/>
      </w:pPr>
    </w:p>
  </w:endnote>
  <w:endnote w:type="continuationSeparator" w:id="0">
    <w:p w:rsidR="001844C7" w:rsidRPr="00AC3823" w:rsidRDefault="001844C7" w:rsidP="00AC3823">
      <w:pPr>
        <w:pStyle w:val="Footer"/>
      </w:pPr>
    </w:p>
  </w:endnote>
  <w:endnote w:type="continuationNotice" w:id="1">
    <w:p w:rsidR="001844C7" w:rsidRDefault="001844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584BCA" w:rsidRDefault="001844C7" w:rsidP="00584BCA">
    <w:pPr>
      <w:pStyle w:val="Footer"/>
      <w:tabs>
        <w:tab w:val="right" w:pos="9638"/>
      </w:tabs>
    </w:pPr>
    <w:r w:rsidRPr="00584BCA">
      <w:rPr>
        <w:b/>
        <w:sz w:val="18"/>
      </w:rPr>
      <w:fldChar w:fldCharType="begin"/>
    </w:r>
    <w:r w:rsidRPr="00584BCA">
      <w:rPr>
        <w:b/>
        <w:sz w:val="18"/>
      </w:rPr>
      <w:instrText xml:space="preserve"> PAGE  \* MERGEFORMAT </w:instrText>
    </w:r>
    <w:r w:rsidRPr="00584BCA">
      <w:rPr>
        <w:b/>
        <w:sz w:val="18"/>
      </w:rPr>
      <w:fldChar w:fldCharType="separate"/>
    </w:r>
    <w:r w:rsidR="00A3477E">
      <w:rPr>
        <w:b/>
        <w:noProof/>
        <w:sz w:val="18"/>
      </w:rPr>
      <w:t>2</w:t>
    </w:r>
    <w:r w:rsidRPr="00584BCA">
      <w:rPr>
        <w:b/>
        <w:sz w:val="18"/>
      </w:rPr>
      <w:fldChar w:fldCharType="end"/>
    </w:r>
    <w:r>
      <w:rPr>
        <w:b/>
        <w:sz w:val="18"/>
      </w:rPr>
      <w:tab/>
    </w:r>
    <w:r>
      <w:t>GE.15-06713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584BCA" w:rsidRDefault="001844C7" w:rsidP="00584BCA">
    <w:pPr>
      <w:pStyle w:val="Footer"/>
      <w:tabs>
        <w:tab w:val="right" w:pos="9638"/>
      </w:tabs>
      <w:rPr>
        <w:b/>
        <w:sz w:val="18"/>
      </w:rPr>
    </w:pPr>
    <w:r>
      <w:t>GE.15-06713</w:t>
    </w:r>
    <w:r>
      <w:tab/>
    </w:r>
    <w:r w:rsidRPr="00584BCA">
      <w:rPr>
        <w:b/>
        <w:sz w:val="18"/>
      </w:rPr>
      <w:fldChar w:fldCharType="begin"/>
    </w:r>
    <w:r w:rsidRPr="00584BCA">
      <w:rPr>
        <w:b/>
        <w:sz w:val="18"/>
      </w:rPr>
      <w:instrText xml:space="preserve"> PAGE  \* MERGEFORMAT </w:instrText>
    </w:r>
    <w:r w:rsidRPr="00584BCA">
      <w:rPr>
        <w:b/>
        <w:sz w:val="18"/>
      </w:rPr>
      <w:fldChar w:fldCharType="separate"/>
    </w:r>
    <w:r w:rsidR="00A3477E">
      <w:rPr>
        <w:b/>
        <w:noProof/>
        <w:sz w:val="18"/>
      </w:rPr>
      <w:t>19</w:t>
    </w:r>
    <w:r w:rsidRPr="00584B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584BCA" w:rsidRDefault="001844C7" w:rsidP="00584BC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DF37003" wp14:editId="7F1D24F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15-06713  (F)    040615    080615</w:t>
    </w:r>
    <w:r>
      <w:rPr>
        <w:sz w:val="20"/>
      </w:rPr>
      <w:br/>
    </w:r>
    <w:r w:rsidRPr="00584BCA">
      <w:rPr>
        <w:rFonts w:ascii="C39T30Lfz" w:hAnsi="C39T30Lfz"/>
        <w:sz w:val="56"/>
      </w:rPr>
      <w:t></w:t>
    </w:r>
    <w:r w:rsidRPr="00584BCA">
      <w:rPr>
        <w:rFonts w:ascii="C39T30Lfz" w:hAnsi="C39T30Lfz"/>
        <w:sz w:val="56"/>
      </w:rPr>
      <w:t></w:t>
    </w:r>
    <w:r w:rsidRPr="00584BCA">
      <w:rPr>
        <w:rFonts w:ascii="C39T30Lfz" w:hAnsi="C39T30Lfz"/>
        <w:sz w:val="56"/>
      </w:rPr>
      <w:t></w:t>
    </w:r>
    <w:r w:rsidRPr="00584BCA">
      <w:rPr>
        <w:rFonts w:ascii="C39T30Lfz" w:hAnsi="C39T30Lfz"/>
        <w:sz w:val="56"/>
      </w:rPr>
      <w:t></w:t>
    </w:r>
    <w:r w:rsidRPr="00584BCA">
      <w:rPr>
        <w:rFonts w:ascii="C39T30Lfz" w:hAnsi="C39T30Lfz"/>
        <w:sz w:val="56"/>
      </w:rPr>
      <w:t></w:t>
    </w:r>
    <w:r w:rsidRPr="00584BCA">
      <w:rPr>
        <w:rFonts w:ascii="C39T30Lfz" w:hAnsi="C39T30Lfz"/>
        <w:sz w:val="56"/>
      </w:rPr>
      <w:t></w:t>
    </w:r>
    <w:r w:rsidRPr="00584BCA">
      <w:rPr>
        <w:rFonts w:ascii="C39T30Lfz" w:hAnsi="C39T30Lfz"/>
        <w:sz w:val="56"/>
      </w:rPr>
      <w:t></w:t>
    </w:r>
    <w:r w:rsidRPr="00584BCA">
      <w:rPr>
        <w:rFonts w:ascii="C39T30Lfz" w:hAnsi="C39T30Lfz"/>
        <w:sz w:val="56"/>
      </w:rPr>
      <w:t></w:t>
    </w:r>
    <w:r w:rsidRPr="00584BCA">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1C1F0326" wp14:editId="6CC89B4C">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PE/7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7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733BEC" w:rsidRDefault="001844C7" w:rsidP="00733BEC">
    <w:pPr>
      <w:pStyle w:val="Footer"/>
    </w:pPr>
    <w:r>
      <w:rPr>
        <w:noProof/>
        <w:lang w:val="en-GB" w:eastAsia="en-GB"/>
      </w:rPr>
      <mc:AlternateContent>
        <mc:Choice Requires="wps">
          <w:drawing>
            <wp:anchor distT="0" distB="0" distL="114300" distR="114300" simplePos="0" relativeHeight="251662336" behindDoc="0" locked="0" layoutInCell="1" allowOverlap="1" wp14:anchorId="67246BF2" wp14:editId="7B4E1241">
              <wp:simplePos x="0" y="0"/>
              <wp:positionH relativeFrom="margin">
                <wp:posOffset>-431800</wp:posOffset>
              </wp:positionH>
              <wp:positionV relativeFrom="margin">
                <wp:posOffset>0</wp:posOffset>
              </wp:positionV>
              <wp:extent cx="219075" cy="612457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844C7" w:rsidRPr="00584BCA" w:rsidRDefault="001844C7" w:rsidP="00733BEC">
                          <w:pPr>
                            <w:pStyle w:val="Footer"/>
                            <w:tabs>
                              <w:tab w:val="right" w:pos="9638"/>
                            </w:tabs>
                          </w:pPr>
                          <w:r w:rsidRPr="00584BCA">
                            <w:rPr>
                              <w:b/>
                              <w:sz w:val="18"/>
                            </w:rPr>
                            <w:fldChar w:fldCharType="begin"/>
                          </w:r>
                          <w:r w:rsidRPr="00584BCA">
                            <w:rPr>
                              <w:b/>
                              <w:sz w:val="18"/>
                            </w:rPr>
                            <w:instrText xml:space="preserve"> PAGE  \* MERGEFORMAT </w:instrText>
                          </w:r>
                          <w:r w:rsidRPr="00584BCA">
                            <w:rPr>
                              <w:b/>
                              <w:sz w:val="18"/>
                            </w:rPr>
                            <w:fldChar w:fldCharType="separate"/>
                          </w:r>
                          <w:r w:rsidR="00AA6450">
                            <w:rPr>
                              <w:b/>
                              <w:noProof/>
                              <w:sz w:val="18"/>
                            </w:rPr>
                            <w:t>22</w:t>
                          </w:r>
                          <w:r w:rsidRPr="00584BCA">
                            <w:rPr>
                              <w:b/>
                              <w:sz w:val="18"/>
                            </w:rPr>
                            <w:fldChar w:fldCharType="end"/>
                          </w:r>
                          <w:r>
                            <w:rPr>
                              <w:b/>
                              <w:sz w:val="18"/>
                            </w:rPr>
                            <w:tab/>
                          </w:r>
                          <w:r>
                            <w:t>GE.15-06713</w:t>
                          </w:r>
                        </w:p>
                        <w:p w:rsidR="001844C7" w:rsidRDefault="001844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" fillcolor="#4f81bd [3204]" stroked="f">
              <v:fill opacity="0"/>
              <v:stroke joinstyle="round"/>
              <v:path arrowok="t"/>
              <v:textbox style="layout-flow:vertical" inset="0,0,0,0">
                <w:txbxContent>
                  <w:p w:rsidR="001844C7" w:rsidRPr="00584BCA" w:rsidRDefault="001844C7" w:rsidP="00733BEC">
                    <w:pPr>
                      <w:pStyle w:val="Pieddepage"/>
                      <w:tabs>
                        <w:tab w:val="right" w:pos="9638"/>
                      </w:tabs>
                    </w:pPr>
                    <w:r w:rsidRPr="00584BCA">
                      <w:rPr>
                        <w:b/>
                        <w:sz w:val="18"/>
                      </w:rPr>
                      <w:fldChar w:fldCharType="begin"/>
                    </w:r>
                    <w:r w:rsidRPr="00584BCA">
                      <w:rPr>
                        <w:b/>
                        <w:sz w:val="18"/>
                      </w:rPr>
                      <w:instrText xml:space="preserve"> PAGE  \* MERGEFORMAT </w:instrText>
                    </w:r>
                    <w:r w:rsidRPr="00584BCA">
                      <w:rPr>
                        <w:b/>
                        <w:sz w:val="18"/>
                      </w:rPr>
                      <w:fldChar w:fldCharType="separate"/>
                    </w:r>
                    <w:r w:rsidR="00AA6450">
                      <w:rPr>
                        <w:b/>
                        <w:noProof/>
                        <w:sz w:val="18"/>
                      </w:rPr>
                      <w:t>22</w:t>
                    </w:r>
                    <w:r w:rsidRPr="00584BCA">
                      <w:rPr>
                        <w:b/>
                        <w:sz w:val="18"/>
                      </w:rPr>
                      <w:fldChar w:fldCharType="end"/>
                    </w:r>
                    <w:r>
                      <w:rPr>
                        <w:b/>
                        <w:sz w:val="18"/>
                      </w:rPr>
                      <w:tab/>
                    </w:r>
                    <w:r>
                      <w:t>GE.15-06713</w:t>
                    </w:r>
                  </w:p>
                  <w:p w:rsidR="001844C7" w:rsidRDefault="001844C7"/>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733BEC" w:rsidRDefault="001844C7" w:rsidP="00733BEC">
    <w:pPr>
      <w:pStyle w:val="Footer"/>
    </w:pPr>
    <w:r>
      <w:rPr>
        <w:noProof/>
        <w:lang w:val="en-GB" w:eastAsia="en-GB"/>
      </w:rPr>
      <mc:AlternateContent>
        <mc:Choice Requires="wps">
          <w:drawing>
            <wp:anchor distT="0" distB="0" distL="114300" distR="114300" simplePos="0" relativeHeight="251664384" behindDoc="0" locked="0" layoutInCell="1" allowOverlap="1" wp14:anchorId="7D1F44AA" wp14:editId="339A341B">
              <wp:simplePos x="0" y="0"/>
              <wp:positionH relativeFrom="margin">
                <wp:posOffset>-431800</wp:posOffset>
              </wp:positionH>
              <wp:positionV relativeFrom="margin">
                <wp:posOffset>0</wp:posOffset>
              </wp:positionV>
              <wp:extent cx="219075" cy="612457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844C7" w:rsidRPr="00584BCA" w:rsidRDefault="001844C7" w:rsidP="00733BEC">
                          <w:pPr>
                            <w:pStyle w:val="Footer"/>
                            <w:tabs>
                              <w:tab w:val="right" w:pos="9638"/>
                            </w:tabs>
                            <w:rPr>
                              <w:b/>
                              <w:sz w:val="18"/>
                            </w:rPr>
                          </w:pPr>
                          <w:r>
                            <w:t>GE.15-06713</w:t>
                          </w:r>
                          <w:r>
                            <w:tab/>
                          </w:r>
                          <w:r w:rsidRPr="00584BCA">
                            <w:rPr>
                              <w:b/>
                              <w:sz w:val="18"/>
                            </w:rPr>
                            <w:fldChar w:fldCharType="begin"/>
                          </w:r>
                          <w:r w:rsidRPr="00584BCA">
                            <w:rPr>
                              <w:b/>
                              <w:sz w:val="18"/>
                            </w:rPr>
                            <w:instrText xml:space="preserve"> PAGE  \* MERGEFORMAT </w:instrText>
                          </w:r>
                          <w:r w:rsidRPr="00584BCA">
                            <w:rPr>
                              <w:b/>
                              <w:sz w:val="18"/>
                            </w:rPr>
                            <w:fldChar w:fldCharType="separate"/>
                          </w:r>
                          <w:r w:rsidR="00AA6450">
                            <w:rPr>
                              <w:b/>
                              <w:noProof/>
                              <w:sz w:val="18"/>
                            </w:rPr>
                            <w:t>21</w:t>
                          </w:r>
                          <w:r w:rsidRPr="00584BCA">
                            <w:rPr>
                              <w:b/>
                              <w:sz w:val="18"/>
                            </w:rPr>
                            <w:fldChar w:fldCharType="end"/>
                          </w:r>
                        </w:p>
                        <w:p w:rsidR="001844C7" w:rsidRDefault="001844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" fillcolor="#4f81bd [3204]" stroked="f">
              <v:fill opacity="0"/>
              <v:stroke joinstyle="round"/>
              <v:path arrowok="t"/>
              <v:textbox style="layout-flow:vertical" inset="0,0,0,0">
                <w:txbxContent>
                  <w:p w:rsidR="001844C7" w:rsidRPr="00584BCA" w:rsidRDefault="001844C7" w:rsidP="00733BEC">
                    <w:pPr>
                      <w:pStyle w:val="Pieddepage"/>
                      <w:tabs>
                        <w:tab w:val="right" w:pos="9638"/>
                      </w:tabs>
                      <w:rPr>
                        <w:b/>
                        <w:sz w:val="18"/>
                      </w:rPr>
                    </w:pPr>
                    <w:r>
                      <w:t>GE.15-06713</w:t>
                    </w:r>
                    <w:r>
                      <w:tab/>
                    </w:r>
                    <w:r w:rsidRPr="00584BCA">
                      <w:rPr>
                        <w:b/>
                        <w:sz w:val="18"/>
                      </w:rPr>
                      <w:fldChar w:fldCharType="begin"/>
                    </w:r>
                    <w:r w:rsidRPr="00584BCA">
                      <w:rPr>
                        <w:b/>
                        <w:sz w:val="18"/>
                      </w:rPr>
                      <w:instrText xml:space="preserve"> PAGE  \* MERGEFORMAT </w:instrText>
                    </w:r>
                    <w:r w:rsidRPr="00584BCA">
                      <w:rPr>
                        <w:b/>
                        <w:sz w:val="18"/>
                      </w:rPr>
                      <w:fldChar w:fldCharType="separate"/>
                    </w:r>
                    <w:r w:rsidR="00AA6450">
                      <w:rPr>
                        <w:b/>
                        <w:noProof/>
                        <w:sz w:val="18"/>
                      </w:rPr>
                      <w:t>21</w:t>
                    </w:r>
                    <w:r w:rsidRPr="00584BCA">
                      <w:rPr>
                        <w:b/>
                        <w:sz w:val="18"/>
                      </w:rPr>
                      <w:fldChar w:fldCharType="end"/>
                    </w:r>
                  </w:p>
                  <w:p w:rsidR="001844C7" w:rsidRDefault="001844C7"/>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614E72" w:rsidRDefault="001844C7" w:rsidP="00614E72">
    <w:pPr>
      <w:pStyle w:val="Footer"/>
      <w:tabs>
        <w:tab w:val="right" w:pos="9638"/>
      </w:tabs>
      <w:rPr>
        <w:sz w:val="18"/>
      </w:rPr>
    </w:pPr>
    <w:r w:rsidRPr="00614E72">
      <w:rPr>
        <w:b/>
        <w:sz w:val="18"/>
      </w:rPr>
      <w:fldChar w:fldCharType="begin"/>
    </w:r>
    <w:r w:rsidRPr="00614E72">
      <w:rPr>
        <w:b/>
        <w:sz w:val="18"/>
      </w:rPr>
      <w:instrText xml:space="preserve"> PAGE  \* MERGEFORMAT </w:instrText>
    </w:r>
    <w:r w:rsidRPr="00614E72">
      <w:rPr>
        <w:b/>
        <w:sz w:val="18"/>
      </w:rPr>
      <w:fldChar w:fldCharType="separate"/>
    </w:r>
    <w:r w:rsidR="00AA6450">
      <w:rPr>
        <w:b/>
        <w:noProof/>
        <w:sz w:val="18"/>
      </w:rPr>
      <w:t>30</w:t>
    </w:r>
    <w:r w:rsidRPr="00614E72">
      <w:rPr>
        <w:b/>
        <w:sz w:val="18"/>
      </w:rPr>
      <w:fldChar w:fldCharType="end"/>
    </w:r>
    <w:r>
      <w:rPr>
        <w:b/>
        <w:sz w:val="18"/>
      </w:rPr>
      <w:tab/>
    </w:r>
    <w:r w:rsidRPr="00614E72">
      <w:t>GE.15-06713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614E72" w:rsidRDefault="001844C7" w:rsidP="00614E72">
    <w:pPr>
      <w:pStyle w:val="Footer"/>
      <w:tabs>
        <w:tab w:val="right" w:pos="9638"/>
      </w:tabs>
      <w:rPr>
        <w:b/>
        <w:sz w:val="18"/>
      </w:rPr>
    </w:pPr>
    <w:r>
      <w:t>GE.</w:t>
    </w:r>
    <w:r w:rsidRPr="00614E72">
      <w:t>15</w:t>
    </w:r>
    <w:r>
      <w:t>-</w:t>
    </w:r>
    <w:r w:rsidRPr="00614E72">
      <w:t>06713</w:t>
    </w:r>
    <w:r>
      <w:tab/>
    </w:r>
    <w:r w:rsidRPr="00614E72">
      <w:rPr>
        <w:b/>
        <w:sz w:val="18"/>
      </w:rPr>
      <w:fldChar w:fldCharType="begin"/>
    </w:r>
    <w:r w:rsidRPr="00614E72">
      <w:rPr>
        <w:b/>
        <w:sz w:val="18"/>
      </w:rPr>
      <w:instrText xml:space="preserve"> PAGE  \* MERGEFORMAT </w:instrText>
    </w:r>
    <w:r w:rsidRPr="00614E72">
      <w:rPr>
        <w:b/>
        <w:sz w:val="18"/>
      </w:rPr>
      <w:fldChar w:fldCharType="separate"/>
    </w:r>
    <w:r w:rsidR="00AA6450">
      <w:rPr>
        <w:b/>
        <w:noProof/>
        <w:sz w:val="18"/>
      </w:rPr>
      <w:t>29</w:t>
    </w:r>
    <w:r w:rsidRPr="00614E7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4C7" w:rsidRPr="00AC3823" w:rsidRDefault="001844C7" w:rsidP="00AC3823">
      <w:pPr>
        <w:pStyle w:val="Footer"/>
        <w:tabs>
          <w:tab w:val="right" w:pos="2155"/>
        </w:tabs>
        <w:spacing w:after="80" w:line="240" w:lineRule="atLeast"/>
        <w:ind w:left="680"/>
        <w:rPr>
          <w:u w:val="single"/>
        </w:rPr>
      </w:pPr>
      <w:r>
        <w:rPr>
          <w:u w:val="single"/>
        </w:rPr>
        <w:tab/>
      </w:r>
    </w:p>
  </w:footnote>
  <w:footnote w:type="continuationSeparator" w:id="0">
    <w:p w:rsidR="001844C7" w:rsidRPr="00AC3823" w:rsidRDefault="001844C7" w:rsidP="00AC3823">
      <w:pPr>
        <w:pStyle w:val="Footer"/>
        <w:tabs>
          <w:tab w:val="right" w:pos="2155"/>
        </w:tabs>
        <w:spacing w:after="80" w:line="240" w:lineRule="atLeast"/>
        <w:ind w:left="680"/>
        <w:rPr>
          <w:u w:val="single"/>
        </w:rPr>
      </w:pPr>
      <w:r>
        <w:rPr>
          <w:u w:val="single"/>
        </w:rPr>
        <w:tab/>
      </w:r>
    </w:p>
  </w:footnote>
  <w:footnote w:type="continuationNotice" w:id="1">
    <w:p w:rsidR="001844C7" w:rsidRPr="00AC3823" w:rsidRDefault="001844C7">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584BCA" w:rsidRDefault="001844C7">
    <w:pPr>
      <w:pStyle w:val="Header"/>
    </w:pPr>
    <w:r>
      <w:t>ECE/TRANS/WP.29/GRPE/70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584BCA" w:rsidRDefault="001844C7" w:rsidP="00584BCA">
    <w:pPr>
      <w:pStyle w:val="Header"/>
      <w:jc w:val="right"/>
    </w:pPr>
    <w:r>
      <w:t>ECE/TRANS/WP.29/GRPE/70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733BEC" w:rsidRDefault="001844C7" w:rsidP="00733BEC">
    <w:r>
      <w:rPr>
        <w:noProof/>
        <w:lang w:val="en-GB" w:eastAsia="en-GB"/>
      </w:rPr>
      <mc:AlternateContent>
        <mc:Choice Requires="wps">
          <w:drawing>
            <wp:anchor distT="0" distB="0" distL="114300" distR="114300" simplePos="0" relativeHeight="251661312" behindDoc="0" locked="0" layoutInCell="1" allowOverlap="1" wp14:anchorId="0CD47606" wp14:editId="4DC08D16">
              <wp:simplePos x="0" y="0"/>
              <wp:positionH relativeFrom="page">
                <wp:posOffset>9791700</wp:posOffset>
              </wp:positionH>
              <wp:positionV relativeFrom="margin">
                <wp:posOffset>0</wp:posOffset>
              </wp:positionV>
              <wp:extent cx="219075" cy="612457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844C7" w:rsidRPr="00584BCA" w:rsidRDefault="001844C7" w:rsidP="00733BEC">
                          <w:pPr>
                            <w:pStyle w:val="Header"/>
                          </w:pPr>
                          <w:r>
                            <w:t>ECE/TRANS/WP.29/GRPE/70</w:t>
                          </w:r>
                        </w:p>
                        <w:p w:rsidR="001844C7" w:rsidRDefault="001844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" fillcolor="#4f81bd [3204]" stroked="f">
              <v:fill opacity="0"/>
              <v:stroke joinstyle="round"/>
              <v:path arrowok="t"/>
              <v:textbox style="layout-flow:vertical" inset="0,0,0,0">
                <w:txbxContent>
                  <w:p w:rsidR="001844C7" w:rsidRPr="00584BCA" w:rsidRDefault="001844C7" w:rsidP="00733BEC">
                    <w:pPr>
                      <w:pStyle w:val="En-tte"/>
                    </w:pPr>
                    <w:r>
                      <w:t>ECE/TRANS/WP.29/GRPE/70</w:t>
                    </w:r>
                  </w:p>
                  <w:p w:rsidR="001844C7" w:rsidRDefault="001844C7"/>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733BEC" w:rsidRDefault="001844C7" w:rsidP="00733BEC">
    <w:r>
      <w:rPr>
        <w:noProof/>
        <w:lang w:val="en-GB" w:eastAsia="en-GB"/>
      </w:rPr>
      <mc:AlternateContent>
        <mc:Choice Requires="wps">
          <w:drawing>
            <wp:anchor distT="0" distB="0" distL="114300" distR="114300" simplePos="0" relativeHeight="251663360" behindDoc="0" locked="0" layoutInCell="1" allowOverlap="1" wp14:anchorId="6EF154B7" wp14:editId="3B4BD483">
              <wp:simplePos x="0" y="0"/>
              <wp:positionH relativeFrom="page">
                <wp:posOffset>9791700</wp:posOffset>
              </wp:positionH>
              <wp:positionV relativeFrom="margin">
                <wp:posOffset>0</wp:posOffset>
              </wp:positionV>
              <wp:extent cx="219075" cy="61245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1844C7" w:rsidRPr="00584BCA" w:rsidRDefault="001844C7" w:rsidP="00733BEC">
                          <w:pPr>
                            <w:pStyle w:val="Header"/>
                            <w:jc w:val="right"/>
                          </w:pPr>
                          <w:r>
                            <w:t>ECE/TRANS/WP.29/GRPE/70</w:t>
                          </w:r>
                        </w:p>
                        <w:p w:rsidR="001844C7" w:rsidRDefault="001844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71pt;margin-top:0;width:17.25pt;height:482.2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" fillcolor="#4f81bd [3204]" stroked="f">
              <v:fill opacity="0"/>
              <v:stroke joinstyle="round"/>
              <v:path arrowok="t"/>
              <v:textbox style="layout-flow:vertical" inset="0,0,0,0">
                <w:txbxContent>
                  <w:p w:rsidR="001844C7" w:rsidRPr="00584BCA" w:rsidRDefault="001844C7" w:rsidP="00733BEC">
                    <w:pPr>
                      <w:pStyle w:val="En-tte"/>
                      <w:jc w:val="right"/>
                    </w:pPr>
                    <w:r>
                      <w:t>ECE/TRANS/WP.29/GRPE/70</w:t>
                    </w:r>
                  </w:p>
                  <w:p w:rsidR="001844C7" w:rsidRDefault="001844C7"/>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Default="001844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614E72" w:rsidRDefault="00AA6450" w:rsidP="00614E72">
    <w:pPr>
      <w:pStyle w:val="Header"/>
    </w:pPr>
    <w:fldSimple w:instr=" TITLE  \* MERGEFORMAT ">
      <w:r>
        <w:t>ECE/TRANS/WP.29/GRPE/70</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C7" w:rsidRPr="00614E72" w:rsidRDefault="00AA6450" w:rsidP="00614E72">
    <w:pPr>
      <w:pStyle w:val="Header"/>
      <w:jc w:val="right"/>
    </w:pPr>
    <w:fldSimple w:instr=" TITLE  \* MERGEFORMAT ">
      <w:r>
        <w:t>ECE/TRANS/WP.29/GRPE/70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A3"/>
    <w:rsid w:val="00017F94"/>
    <w:rsid w:val="00022C55"/>
    <w:rsid w:val="00023842"/>
    <w:rsid w:val="000334F9"/>
    <w:rsid w:val="00055E7F"/>
    <w:rsid w:val="0007796D"/>
    <w:rsid w:val="000B7790"/>
    <w:rsid w:val="000E63EE"/>
    <w:rsid w:val="00100141"/>
    <w:rsid w:val="00111F2F"/>
    <w:rsid w:val="0014365E"/>
    <w:rsid w:val="00143C66"/>
    <w:rsid w:val="00176178"/>
    <w:rsid w:val="001844C7"/>
    <w:rsid w:val="00186EC4"/>
    <w:rsid w:val="001B4C6C"/>
    <w:rsid w:val="001E4A3C"/>
    <w:rsid w:val="001F525A"/>
    <w:rsid w:val="0020051F"/>
    <w:rsid w:val="00223272"/>
    <w:rsid w:val="002418A3"/>
    <w:rsid w:val="0024779E"/>
    <w:rsid w:val="00256103"/>
    <w:rsid w:val="00257168"/>
    <w:rsid w:val="00263BEC"/>
    <w:rsid w:val="002744B8"/>
    <w:rsid w:val="002832AC"/>
    <w:rsid w:val="002A2DEB"/>
    <w:rsid w:val="002D7C93"/>
    <w:rsid w:val="00305801"/>
    <w:rsid w:val="003567A6"/>
    <w:rsid w:val="003916DE"/>
    <w:rsid w:val="003F4D9D"/>
    <w:rsid w:val="004209CF"/>
    <w:rsid w:val="00441C3B"/>
    <w:rsid w:val="00446FE5"/>
    <w:rsid w:val="00452396"/>
    <w:rsid w:val="004837D8"/>
    <w:rsid w:val="004E468C"/>
    <w:rsid w:val="005505B7"/>
    <w:rsid w:val="0056187D"/>
    <w:rsid w:val="00573BE5"/>
    <w:rsid w:val="00584BCA"/>
    <w:rsid w:val="00586ED3"/>
    <w:rsid w:val="00596AA9"/>
    <w:rsid w:val="005B4326"/>
    <w:rsid w:val="005C4B30"/>
    <w:rsid w:val="005E67FB"/>
    <w:rsid w:val="00610DC7"/>
    <w:rsid w:val="00614E72"/>
    <w:rsid w:val="00617B25"/>
    <w:rsid w:val="006A6A09"/>
    <w:rsid w:val="006D5AB2"/>
    <w:rsid w:val="0071601D"/>
    <w:rsid w:val="00733BEC"/>
    <w:rsid w:val="007A62E6"/>
    <w:rsid w:val="007C215B"/>
    <w:rsid w:val="007F20FA"/>
    <w:rsid w:val="00804661"/>
    <w:rsid w:val="0080684C"/>
    <w:rsid w:val="00823251"/>
    <w:rsid w:val="00871C75"/>
    <w:rsid w:val="008776DC"/>
    <w:rsid w:val="008973FB"/>
    <w:rsid w:val="009705C8"/>
    <w:rsid w:val="009C1CF4"/>
    <w:rsid w:val="009D67C2"/>
    <w:rsid w:val="009F6B74"/>
    <w:rsid w:val="00A24653"/>
    <w:rsid w:val="00A30353"/>
    <w:rsid w:val="00A318AF"/>
    <w:rsid w:val="00A3477E"/>
    <w:rsid w:val="00A454BB"/>
    <w:rsid w:val="00A53125"/>
    <w:rsid w:val="00AA6450"/>
    <w:rsid w:val="00AC196E"/>
    <w:rsid w:val="00AC3823"/>
    <w:rsid w:val="00AE323C"/>
    <w:rsid w:val="00AF0CB5"/>
    <w:rsid w:val="00B00181"/>
    <w:rsid w:val="00B00B0D"/>
    <w:rsid w:val="00B30198"/>
    <w:rsid w:val="00B765F7"/>
    <w:rsid w:val="00B77A94"/>
    <w:rsid w:val="00BA0CA9"/>
    <w:rsid w:val="00BC4A6F"/>
    <w:rsid w:val="00BD482E"/>
    <w:rsid w:val="00C02897"/>
    <w:rsid w:val="00D241DC"/>
    <w:rsid w:val="00D31E3F"/>
    <w:rsid w:val="00D3439C"/>
    <w:rsid w:val="00DB1831"/>
    <w:rsid w:val="00DD3BFD"/>
    <w:rsid w:val="00DE181B"/>
    <w:rsid w:val="00DF6678"/>
    <w:rsid w:val="00E85C74"/>
    <w:rsid w:val="00EA6547"/>
    <w:rsid w:val="00ED1487"/>
    <w:rsid w:val="00EF2E22"/>
    <w:rsid w:val="00F35BAF"/>
    <w:rsid w:val="00F460B4"/>
    <w:rsid w:val="00F660DF"/>
    <w:rsid w:val="00F94664"/>
    <w:rsid w:val="00F9573C"/>
    <w:rsid w:val="00F95C08"/>
    <w:rsid w:val="00FA4E94"/>
    <w:rsid w:val="00FE17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ED1487"/>
    <w:rPr>
      <w:rFonts w:ascii="Times New Roman" w:hAnsi="Times New Roman" w:cs="Times New Roman"/>
      <w:b/>
      <w:sz w:val="28"/>
      <w:szCs w:val="20"/>
      <w:lang w:eastAsia="en-US"/>
    </w:rPr>
  </w:style>
  <w:style w:type="character" w:customStyle="1" w:styleId="SingleTxtGChar">
    <w:name w:val="_ Single Txt_G Char"/>
    <w:link w:val="SingleTxtG"/>
    <w:rsid w:val="00ED1487"/>
    <w:rPr>
      <w:rFonts w:ascii="Times New Roman" w:hAnsi="Times New Roman" w:cs="Times New Roman"/>
      <w:sz w:val="20"/>
      <w:szCs w:val="20"/>
      <w:lang w:eastAsia="en-US"/>
    </w:rPr>
  </w:style>
  <w:style w:type="character" w:customStyle="1" w:styleId="H23GChar">
    <w:name w:val="_ H_2/3_G Char"/>
    <w:link w:val="H23G"/>
    <w:rsid w:val="00ED1487"/>
    <w:rPr>
      <w:rFonts w:ascii="Times New Roman" w:hAnsi="Times New Roman" w:cs="Times New Roman"/>
      <w:b/>
      <w:sz w:val="20"/>
      <w:szCs w:val="20"/>
      <w:lang w:eastAsia="en-US"/>
    </w:rPr>
  </w:style>
  <w:style w:type="character" w:customStyle="1" w:styleId="H1GChar">
    <w:name w:val="_ H_1_G Char"/>
    <w:link w:val="H1G"/>
    <w:rsid w:val="003F4D9D"/>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ED1487"/>
    <w:rPr>
      <w:rFonts w:ascii="Times New Roman" w:hAnsi="Times New Roman" w:cs="Times New Roman"/>
      <w:b/>
      <w:sz w:val="28"/>
      <w:szCs w:val="20"/>
      <w:lang w:eastAsia="en-US"/>
    </w:rPr>
  </w:style>
  <w:style w:type="character" w:customStyle="1" w:styleId="SingleTxtGChar">
    <w:name w:val="_ Single Txt_G Char"/>
    <w:link w:val="SingleTxtG"/>
    <w:rsid w:val="00ED1487"/>
    <w:rPr>
      <w:rFonts w:ascii="Times New Roman" w:hAnsi="Times New Roman" w:cs="Times New Roman"/>
      <w:sz w:val="20"/>
      <w:szCs w:val="20"/>
      <w:lang w:eastAsia="en-US"/>
    </w:rPr>
  </w:style>
  <w:style w:type="character" w:customStyle="1" w:styleId="H23GChar">
    <w:name w:val="_ H_2/3_G Char"/>
    <w:link w:val="H23G"/>
    <w:rsid w:val="00ED1487"/>
    <w:rPr>
      <w:rFonts w:ascii="Times New Roman" w:hAnsi="Times New Roman" w:cs="Times New Roman"/>
      <w:b/>
      <w:sz w:val="20"/>
      <w:szCs w:val="20"/>
      <w:lang w:eastAsia="en-US"/>
    </w:rPr>
  </w:style>
  <w:style w:type="character" w:customStyle="1" w:styleId="H1GChar">
    <w:name w:val="_ H_1_G Char"/>
    <w:link w:val="H1G"/>
    <w:rsid w:val="003F4D9D"/>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koba@shinsa.ntsel.go.jp"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stephan.redmann@bmvbs.bund.de"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e.couroux@ec.gc.ca"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konrad.kolesa@audi.de"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mailto:t.vercammen@acem.e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noriyuki_ichikawa@mail.toyota.co.jp"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B54A-F626-4113-A55C-CA1B24B3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9239</Words>
  <Characters>52668</Characters>
  <Application>Microsoft Office Word</Application>
  <DocSecurity>4</DocSecurity>
  <Lines>438</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ECE/TRANS/WP.29/GRPE/70</vt:lpstr>
      <vt:lpstr>ECE/TRANS/WP.29/GRPE/70</vt:lpstr>
    </vt:vector>
  </TitlesOfParts>
  <Company>DCM</Company>
  <LinksUpToDate>false</LinksUpToDate>
  <CharactersWithSpaces>61784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ECE/TRANS/WP.29/GRPE/70</dc:title>
  <dc:subject>Final</dc:subject>
  <dc:creator>Crelier</dc:creator>
  <cp:lastModifiedBy>Benedicte Boudol</cp:lastModifiedBy>
  <cp:revision>2</cp:revision>
  <cp:lastPrinted>2015-06-08T10:12:00Z</cp:lastPrinted>
  <dcterms:created xsi:type="dcterms:W3CDTF">2015-06-08T11:58:00Z</dcterms:created>
  <dcterms:modified xsi:type="dcterms:W3CDTF">2015-06-08T11:58:00Z</dcterms:modified>
</cp:coreProperties>
</file>