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D6" w:rsidRPr="00B26EBE" w:rsidRDefault="00C406D6" w:rsidP="00C406D6">
      <w:pPr>
        <w:spacing w:line="60" w:lineRule="exact"/>
        <w:rPr>
          <w:color w:val="010000"/>
          <w:sz w:val="6"/>
        </w:rPr>
        <w:sectPr w:rsidR="00C406D6" w:rsidRPr="00B26EBE" w:rsidSect="00C406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26EBE" w:rsidRPr="00B26EBE" w:rsidRDefault="00B26EBE" w:rsidP="00B26EBE">
      <w:pPr>
        <w:rPr>
          <w:b/>
          <w:sz w:val="28"/>
          <w:szCs w:val="28"/>
        </w:rPr>
      </w:pPr>
      <w:r w:rsidRPr="00B26EBE">
        <w:rPr>
          <w:b/>
          <w:sz w:val="28"/>
          <w:szCs w:val="28"/>
        </w:rPr>
        <w:lastRenderedPageBreak/>
        <w:t>Европейская экономическая комиссия</w:t>
      </w:r>
    </w:p>
    <w:p w:rsidR="00474EB7" w:rsidRPr="00474EB7" w:rsidRDefault="00474EB7" w:rsidP="00474EB7">
      <w:pPr>
        <w:spacing w:line="120" w:lineRule="exact"/>
        <w:rPr>
          <w:sz w:val="10"/>
          <w:szCs w:val="28"/>
        </w:rPr>
      </w:pPr>
    </w:p>
    <w:p w:rsidR="00B26EBE" w:rsidRPr="00B26EBE" w:rsidRDefault="00B26EBE" w:rsidP="00B26EBE">
      <w:pPr>
        <w:rPr>
          <w:sz w:val="28"/>
          <w:szCs w:val="28"/>
        </w:rPr>
      </w:pPr>
      <w:r w:rsidRPr="00B26EBE">
        <w:rPr>
          <w:sz w:val="28"/>
          <w:szCs w:val="28"/>
        </w:rPr>
        <w:t>Комитет по внутреннему транспорту</w:t>
      </w:r>
    </w:p>
    <w:p w:rsidR="00474EB7" w:rsidRPr="00474EB7" w:rsidRDefault="00474EB7" w:rsidP="00474EB7">
      <w:pPr>
        <w:spacing w:line="120" w:lineRule="exact"/>
        <w:rPr>
          <w:b/>
          <w:sz w:val="10"/>
          <w:szCs w:val="24"/>
        </w:rPr>
      </w:pPr>
    </w:p>
    <w:p w:rsidR="00B26EBE" w:rsidRPr="00B26EBE" w:rsidRDefault="00B26EBE" w:rsidP="00B26EBE">
      <w:pPr>
        <w:rPr>
          <w:b/>
          <w:sz w:val="24"/>
          <w:szCs w:val="24"/>
        </w:rPr>
      </w:pPr>
      <w:r w:rsidRPr="00B26EBE">
        <w:rPr>
          <w:b/>
          <w:sz w:val="24"/>
          <w:szCs w:val="24"/>
        </w:rPr>
        <w:t xml:space="preserve">Всемирный форум для согласования правил </w:t>
      </w:r>
      <w:r w:rsidRPr="00B26EBE">
        <w:rPr>
          <w:b/>
          <w:sz w:val="24"/>
          <w:szCs w:val="24"/>
        </w:rPr>
        <w:br/>
        <w:t>в области транспортных средств</w:t>
      </w:r>
    </w:p>
    <w:p w:rsidR="00474EB7" w:rsidRPr="00474EB7" w:rsidRDefault="00474EB7" w:rsidP="00474EB7">
      <w:pPr>
        <w:spacing w:line="120" w:lineRule="exact"/>
        <w:rPr>
          <w:b/>
          <w:sz w:val="10"/>
        </w:rPr>
      </w:pPr>
    </w:p>
    <w:p w:rsidR="00B26EBE" w:rsidRPr="00B26EBE" w:rsidRDefault="00B26EBE" w:rsidP="00B26EBE">
      <w:pPr>
        <w:rPr>
          <w:b/>
        </w:rPr>
      </w:pPr>
      <w:r w:rsidRPr="00B26EBE">
        <w:rPr>
          <w:b/>
        </w:rPr>
        <w:t xml:space="preserve">167-я сессия </w:t>
      </w:r>
    </w:p>
    <w:p w:rsidR="00B26EBE" w:rsidRPr="00B26EBE" w:rsidRDefault="00B26EBE" w:rsidP="00B26EBE">
      <w:r w:rsidRPr="00B26EBE">
        <w:t>Женева, 10–13 ноября 2015 года</w:t>
      </w:r>
    </w:p>
    <w:p w:rsidR="00B26EBE" w:rsidRPr="00B26EBE" w:rsidRDefault="00B26EBE" w:rsidP="00B26EBE">
      <w:r w:rsidRPr="00B26EBE">
        <w:t>Пункт 13 предварительной повестки дня</w:t>
      </w:r>
    </w:p>
    <w:p w:rsidR="00B26EBE" w:rsidRPr="00474EB7" w:rsidRDefault="00B26EBE" w:rsidP="00B26EBE">
      <w:pPr>
        <w:rPr>
          <w:b/>
        </w:rPr>
      </w:pPr>
      <w:r w:rsidRPr="00474EB7">
        <w:rPr>
          <w:b/>
        </w:rPr>
        <w:t xml:space="preserve">Мониторинг Соглашения 1998 года: сообщения </w:t>
      </w:r>
      <w:r w:rsidR="00474EB7">
        <w:rPr>
          <w:b/>
        </w:rPr>
        <w:br/>
      </w:r>
      <w:r w:rsidRPr="00474EB7">
        <w:rPr>
          <w:b/>
        </w:rPr>
        <w:t>Договаривающихся сторон,</w:t>
      </w:r>
      <w:r w:rsidR="00474EB7">
        <w:rPr>
          <w:b/>
        </w:rPr>
        <w:t xml:space="preserve"> </w:t>
      </w:r>
      <w:r w:rsidRPr="00474EB7">
        <w:rPr>
          <w:b/>
        </w:rPr>
        <w:t xml:space="preserve">касающиеся </w:t>
      </w:r>
      <w:r w:rsidR="00474EB7">
        <w:rPr>
          <w:b/>
        </w:rPr>
        <w:br/>
      </w:r>
      <w:r w:rsidRPr="00474EB7">
        <w:rPr>
          <w:b/>
        </w:rPr>
        <w:t xml:space="preserve">транспонирования глобальных технических </w:t>
      </w:r>
      <w:r w:rsidR="00474EB7">
        <w:rPr>
          <w:b/>
        </w:rPr>
        <w:br/>
      </w:r>
      <w:r w:rsidRPr="00474EB7">
        <w:rPr>
          <w:b/>
        </w:rPr>
        <w:t>правил ООН и поправок к ним в их национальное/</w:t>
      </w:r>
      <w:r w:rsidR="00474EB7">
        <w:rPr>
          <w:b/>
        </w:rPr>
        <w:br/>
      </w:r>
      <w:r w:rsidRPr="00474EB7">
        <w:rPr>
          <w:b/>
        </w:rPr>
        <w:t>региональное законодательство</w:t>
      </w: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B26EBE" w:rsidP="00474E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ab/>
      </w:r>
      <w:r w:rsidRPr="00B26EBE">
        <w:tab/>
        <w:t xml:space="preserve">Трехсторонняя Белая книга </w:t>
      </w:r>
      <w:r w:rsidR="00B517CC" w:rsidRPr="00B517CC">
        <w:t>–</w:t>
      </w:r>
      <w:r w:rsidRPr="00B26EBE">
        <w:t xml:space="preserve"> Совершенствование процесса осуществления Глобального соглашения </w:t>
      </w:r>
      <w:r w:rsidR="00474EB7">
        <w:br/>
      </w:r>
      <w:r w:rsidRPr="00B26EBE">
        <w:t>1998 года</w:t>
      </w: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B26EBE" w:rsidP="00474EB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ab/>
      </w:r>
      <w:r w:rsidRPr="00B26EBE">
        <w:tab/>
        <w:t>Представлено представителями Соединенных Штатов Америки, Японии и Европейского союза</w:t>
      </w:r>
      <w:r w:rsidRPr="00B517CC">
        <w:rPr>
          <w:b w:val="0"/>
          <w:color w:val="C0504D" w:themeColor="accent2"/>
          <w:sz w:val="20"/>
        </w:rPr>
        <w:footnoteReference w:customMarkFollows="1" w:id="1"/>
        <w:t>*</w:t>
      </w:r>
    </w:p>
    <w:p w:rsidR="00474EB7" w:rsidRPr="00474EB7" w:rsidRDefault="00474EB7" w:rsidP="00474EB7">
      <w:pPr>
        <w:pStyle w:val="SingleTxt"/>
        <w:spacing w:after="0" w:line="120" w:lineRule="exact"/>
        <w:rPr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sz w:val="10"/>
        </w:rPr>
      </w:pPr>
    </w:p>
    <w:p w:rsidR="00B26EBE" w:rsidRPr="00B26EBE" w:rsidRDefault="00474EB7" w:rsidP="00B26EBE">
      <w:pPr>
        <w:pStyle w:val="SingleTxt"/>
      </w:pPr>
      <w:r>
        <w:tab/>
      </w:r>
      <w:r w:rsidR="00B26EBE" w:rsidRPr="00B26EBE">
        <w:t>Воспроизведенный ниже текст был подготовлен представителями Соед</w:t>
      </w:r>
      <w:r w:rsidR="00B26EBE" w:rsidRPr="00B26EBE">
        <w:t>и</w:t>
      </w:r>
      <w:r w:rsidR="00B26EBE" w:rsidRPr="00B26EBE">
        <w:t xml:space="preserve">ненных Штатов Америки, Японии и Европейского союза. В его основу положен неофициальный документ </w:t>
      </w:r>
      <w:r w:rsidR="00B26EBE" w:rsidRPr="00B26EBE">
        <w:rPr>
          <w:lang w:val="en-US"/>
        </w:rPr>
        <w:t>WP</w:t>
      </w:r>
      <w:r w:rsidR="00B26EBE" w:rsidRPr="00B26EBE">
        <w:t>.29-166-17, распространенный в ходе 166-й сессии (</w:t>
      </w:r>
      <w:r w:rsidR="00B26EBE" w:rsidRPr="00B26EBE">
        <w:rPr>
          <w:lang w:val="en-US"/>
        </w:rPr>
        <w:t>ECE</w:t>
      </w:r>
      <w:r w:rsidR="00B26EBE" w:rsidRPr="00B26EBE">
        <w:t>/</w:t>
      </w:r>
      <w:r w:rsidR="00B26EBE" w:rsidRPr="00B26EBE">
        <w:rPr>
          <w:lang w:val="en-US"/>
        </w:rPr>
        <w:t>TRANS</w:t>
      </w:r>
      <w:r w:rsidR="00B26EBE" w:rsidRPr="00B26EBE">
        <w:t>/</w:t>
      </w:r>
      <w:r w:rsidR="00B26EBE" w:rsidRPr="00B26EBE">
        <w:rPr>
          <w:lang w:val="en-US"/>
        </w:rPr>
        <w:t>WP</w:t>
      </w:r>
      <w:r w:rsidR="00B26EBE" w:rsidRPr="00B26EBE">
        <w:t xml:space="preserve">.29/1116, пункты 78 и 99). Цель настоящего документа состоит в усовершенствовании процесса осуществления Соглашения 1998 года, а не во внесении в него поправок. </w:t>
      </w:r>
    </w:p>
    <w:p w:rsidR="00B26EBE" w:rsidRPr="00B26EBE" w:rsidRDefault="00B26EBE" w:rsidP="00474E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br w:type="page"/>
      </w:r>
      <w:r w:rsidRPr="00B26EBE">
        <w:lastRenderedPageBreak/>
        <w:tab/>
      </w:r>
      <w:r w:rsidRPr="00B26EBE">
        <w:rPr>
          <w:lang w:val="en-US"/>
        </w:rPr>
        <w:t>I</w:t>
      </w:r>
      <w:r w:rsidRPr="00B26EBE">
        <w:t>.</w:t>
      </w:r>
      <w:r w:rsidRPr="00B26EBE">
        <w:tab/>
        <w:t>Введение, резюме и предлагаемый график работы</w:t>
      </w:r>
    </w:p>
    <w:p w:rsidR="00474EB7" w:rsidRPr="00474EB7" w:rsidRDefault="00474EB7" w:rsidP="00474EB7">
      <w:pPr>
        <w:pStyle w:val="SingleTxt"/>
        <w:spacing w:after="0" w:line="120" w:lineRule="exact"/>
        <w:rPr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1.</w:t>
      </w:r>
      <w:r w:rsidRPr="00B26EBE">
        <w:tab/>
        <w:t>Целью настоящего документа является обеспечить рамки, в которых пре</w:t>
      </w:r>
      <w:r w:rsidRPr="00B26EBE">
        <w:t>д</w:t>
      </w:r>
      <w:r w:rsidRPr="00B26EBE">
        <w:t>ставители Всемирного форума для согласования правил в области транспортных средств (</w:t>
      </w:r>
      <w:r w:rsidRPr="00B26EBE">
        <w:rPr>
          <w:lang w:val="en-US"/>
        </w:rPr>
        <w:t>WP</w:t>
      </w:r>
      <w:r w:rsidRPr="00B26EBE">
        <w:t>.29) и другие заинтересованные стороны могли бы изучить опыт, накопленный в контексте Глобального соглашения 1998 года, и достичь догов</w:t>
      </w:r>
      <w:r w:rsidRPr="00B26EBE">
        <w:t>о</w:t>
      </w:r>
      <w:r w:rsidRPr="00B26EBE">
        <w:t>ренности относительно принципов и стратегий усовершенствования процесса его осуществления.</w:t>
      </w:r>
    </w:p>
    <w:p w:rsidR="00B26EBE" w:rsidRPr="00B26EBE" w:rsidRDefault="00B26EBE" w:rsidP="00B26EBE">
      <w:pPr>
        <w:pStyle w:val="SingleTxt"/>
      </w:pPr>
      <w:r w:rsidRPr="00B26EBE">
        <w:t>2.</w:t>
      </w:r>
      <w:r w:rsidRPr="00B26EBE">
        <w:tab/>
        <w:t>Опираясь на имеющийся 15-летний опыт, включая достигнутые успехи, изъяны и полосы неудач, которые подчас встречались на пути, три спонсора С</w:t>
      </w:r>
      <w:r w:rsidRPr="00B26EBE">
        <w:t>о</w:t>
      </w:r>
      <w:r w:rsidRPr="00B26EBE">
        <w:t xml:space="preserve">глашения (Соединенные Штаты Америки, Япония и Европейский союз) провели первоначальные обсуждения в порядке аналитической проработки методом </w:t>
      </w:r>
      <w:r w:rsidR="00474EB7">
        <w:t>«</w:t>
      </w:r>
      <w:r w:rsidRPr="00B26EBE">
        <w:t>мо</w:t>
      </w:r>
      <w:r w:rsidRPr="00B26EBE">
        <w:t>з</w:t>
      </w:r>
      <w:r w:rsidRPr="00B26EBE">
        <w:t>гового штурма</w:t>
      </w:r>
      <w:r w:rsidR="00474EB7">
        <w:t>»</w:t>
      </w:r>
      <w:r w:rsidRPr="00B26EBE">
        <w:t xml:space="preserve"> вопроса усовершенствования его осуществления. Представле</w:t>
      </w:r>
      <w:r w:rsidRPr="00B26EBE">
        <w:t>н</w:t>
      </w:r>
      <w:r w:rsidRPr="00B26EBE">
        <w:t xml:space="preserve">ное в настоящем проекте Белой книги резюме призвано стать отправной точкой для более полного дискурса в рамках </w:t>
      </w:r>
      <w:r w:rsidRPr="00B26EBE">
        <w:rPr>
          <w:lang w:val="en-US"/>
        </w:rPr>
        <w:t>WP</w:t>
      </w:r>
      <w:r w:rsidRPr="00B26EBE">
        <w:t>.29.</w:t>
      </w:r>
    </w:p>
    <w:p w:rsidR="00B26EBE" w:rsidRPr="00B26EBE" w:rsidRDefault="00B26EBE" w:rsidP="00B26EBE">
      <w:pPr>
        <w:pStyle w:val="SingleTxt"/>
      </w:pPr>
      <w:r w:rsidRPr="00B26EBE">
        <w:t>3.</w:t>
      </w:r>
      <w:r w:rsidRPr="00B26EBE">
        <w:tab/>
        <w:t xml:space="preserve">Настоящий документ </w:t>
      </w:r>
      <w:r w:rsidR="00474EB7">
        <w:t>изначально</w:t>
      </w:r>
      <w:r w:rsidRPr="00B26EBE">
        <w:t xml:space="preserve"> был представлен в качестве неофициал</w:t>
      </w:r>
      <w:r w:rsidRPr="00B26EBE">
        <w:t>ь</w:t>
      </w:r>
      <w:r w:rsidRPr="00B26EBE">
        <w:t xml:space="preserve">ного документа на сессии </w:t>
      </w:r>
      <w:r w:rsidRPr="00B26EBE">
        <w:rPr>
          <w:lang w:val="en-US"/>
        </w:rPr>
        <w:t>WP</w:t>
      </w:r>
      <w:r w:rsidRPr="00B26EBE">
        <w:t xml:space="preserve">.29 в июне 2015 года, а затем – в виде документа с полным переводом (на русский и французский языки) на ноябрьской сессии </w:t>
      </w:r>
      <w:r w:rsidR="00B517CC" w:rsidRPr="00B517CC">
        <w:br/>
      </w:r>
      <w:r w:rsidRPr="00B26EBE">
        <w:t>2015 года. С учетом итогов обсуждений и представленных замечаний Админ</w:t>
      </w:r>
      <w:r w:rsidRPr="00B26EBE">
        <w:t>и</w:t>
      </w:r>
      <w:r w:rsidRPr="00B26EBE">
        <w:t>стративный комитет по координации работы (</w:t>
      </w:r>
      <w:r w:rsidRPr="00B26EBE">
        <w:rPr>
          <w:lang w:val="en-US"/>
        </w:rPr>
        <w:t>AC</w:t>
      </w:r>
      <w:r w:rsidRPr="00B26EBE">
        <w:t>.2) и Исполнительный комитет Соглашения 1998 года (</w:t>
      </w:r>
      <w:r w:rsidRPr="00B26EBE">
        <w:rPr>
          <w:lang w:val="en-US"/>
        </w:rPr>
        <w:t>AC</w:t>
      </w:r>
      <w:r w:rsidRPr="00B26EBE">
        <w:t>.3) приступят к работе с целью принятия согласова</w:t>
      </w:r>
      <w:r w:rsidRPr="00B26EBE">
        <w:t>н</w:t>
      </w:r>
      <w:r w:rsidRPr="00B26EBE">
        <w:t>ных рекомендаций.</w:t>
      </w: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B26EBE" w:rsidP="00474E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ab/>
      </w:r>
      <w:r w:rsidRPr="00B26EBE">
        <w:rPr>
          <w:lang w:val="en-US"/>
        </w:rPr>
        <w:t>II</w:t>
      </w:r>
      <w:r w:rsidRPr="00B26EBE">
        <w:t>.</w:t>
      </w:r>
      <w:r w:rsidRPr="00B26EBE">
        <w:tab/>
        <w:t>Справочная информация</w:t>
      </w:r>
    </w:p>
    <w:p w:rsidR="00474EB7" w:rsidRPr="00474EB7" w:rsidRDefault="00474EB7" w:rsidP="00474EB7">
      <w:pPr>
        <w:pStyle w:val="SingleTxt"/>
        <w:spacing w:after="0" w:line="120" w:lineRule="exact"/>
        <w:rPr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4.</w:t>
      </w:r>
      <w:r w:rsidRPr="00B26EBE">
        <w:tab/>
        <w:t>Глобальное соглашение 1998 года, относящееся к ведению Всемирного ф</w:t>
      </w:r>
      <w:r w:rsidRPr="00B26EBE">
        <w:t>о</w:t>
      </w:r>
      <w:r w:rsidRPr="00B26EBE">
        <w:t>рума для согласования правил в области транспортных средств (</w:t>
      </w:r>
      <w:r w:rsidRPr="00B26EBE">
        <w:rPr>
          <w:lang w:val="en-US"/>
        </w:rPr>
        <w:t>WP</w:t>
      </w:r>
      <w:r w:rsidRPr="00B26EBE">
        <w:t>.29), призвано служить двум основным целям. Как указано в преамбуле Соглашения, первая с</w:t>
      </w:r>
      <w:r w:rsidRPr="00B26EBE">
        <w:t>о</w:t>
      </w:r>
      <w:r w:rsidRPr="00B26EBE">
        <w:t xml:space="preserve">стоит в содействии разработке и введению </w:t>
      </w:r>
      <w:r w:rsidRPr="00B26EBE">
        <w:rPr>
          <w:bCs/>
        </w:rPr>
        <w:t>глобальных технических правил ООН (ГТП ООН),</w:t>
      </w:r>
      <w:r w:rsidRPr="00B26EBE">
        <w:t xml:space="preserve"> которые способны стать основой для установления согласованных национальных правил,</w:t>
      </w:r>
      <w:r w:rsidRPr="00B26EBE">
        <w:rPr>
          <w:bCs/>
        </w:rPr>
        <w:t xml:space="preserve"> обеспечивающих высокие уровни в области безопасности транспортных средств, защиты от угона, охраны окружающей среды и эффекти</w:t>
      </w:r>
      <w:r w:rsidRPr="00B26EBE">
        <w:rPr>
          <w:bCs/>
        </w:rPr>
        <w:t>в</w:t>
      </w:r>
      <w:r w:rsidRPr="00B26EBE">
        <w:rPr>
          <w:bCs/>
        </w:rPr>
        <w:t>ного использования энергии.</w:t>
      </w:r>
      <w:r w:rsidRPr="00B26EBE">
        <w:t xml:space="preserve"> Второй целью является стимулирование согласов</w:t>
      </w:r>
      <w:r w:rsidRPr="00B26EBE">
        <w:t>а</w:t>
      </w:r>
      <w:r w:rsidRPr="00B26EBE">
        <w:t>ния существующих технических правил. Помимо обеспечения и даже усиления защиты интересов потребителей, согласование в рамках Соглашения сулит также экономические выгоды за счет сокращения связанных с соблюдением нормати</w:t>
      </w:r>
      <w:r w:rsidRPr="00B26EBE">
        <w:t>в</w:t>
      </w:r>
      <w:r w:rsidRPr="00B26EBE">
        <w:t>ных требований издержек и излишне обременительных процедур сертификации.</w:t>
      </w: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B26EBE" w:rsidP="00474E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ab/>
      </w:r>
      <w:r w:rsidRPr="00B26EBE">
        <w:rPr>
          <w:lang w:val="en-US"/>
        </w:rPr>
        <w:t>III</w:t>
      </w:r>
      <w:r w:rsidRPr="00B26EBE">
        <w:t>.</w:t>
      </w:r>
      <w:r w:rsidRPr="00B26EBE">
        <w:tab/>
        <w:t>Выдержки из Соглашения 1998 года</w:t>
      </w:r>
    </w:p>
    <w:p w:rsidR="00474EB7" w:rsidRPr="00474EB7" w:rsidRDefault="00474EB7" w:rsidP="00474EB7">
      <w:pPr>
        <w:pStyle w:val="SingleTxt"/>
        <w:spacing w:after="0" w:line="120" w:lineRule="exact"/>
        <w:rPr>
          <w:i/>
          <w:sz w:val="10"/>
        </w:rPr>
      </w:pPr>
    </w:p>
    <w:p w:rsidR="00474EB7" w:rsidRPr="00474EB7" w:rsidRDefault="00474EB7" w:rsidP="00474EB7">
      <w:pPr>
        <w:pStyle w:val="SingleTxt"/>
        <w:spacing w:after="0" w:line="120" w:lineRule="exact"/>
        <w:rPr>
          <w:i/>
          <w:sz w:val="10"/>
        </w:rPr>
      </w:pPr>
    </w:p>
    <w:p w:rsidR="00B26EBE" w:rsidRPr="00B26EBE" w:rsidRDefault="00474EB7" w:rsidP="00474EB7">
      <w:pPr>
        <w:pStyle w:val="SingleTxt"/>
        <w:ind w:left="1742"/>
        <w:rPr>
          <w:i/>
        </w:rPr>
      </w:pPr>
      <w:r>
        <w:rPr>
          <w:i/>
        </w:rPr>
        <w:t>«</w:t>
      </w:r>
      <w:r w:rsidR="00B26EBE" w:rsidRPr="00B26EBE">
        <w:rPr>
          <w:i/>
        </w:rPr>
        <w:t>Преамбула</w:t>
      </w:r>
    </w:p>
    <w:p w:rsidR="00B26EBE" w:rsidRPr="00B26EBE" w:rsidRDefault="00B26EBE" w:rsidP="00474EB7">
      <w:pPr>
        <w:pStyle w:val="SingleTxt"/>
        <w:ind w:left="1742"/>
      </w:pPr>
      <w:r w:rsidRPr="00B26EBE">
        <w:t>ДОГОВАРИВАЮЩИЕСЯ СТОРОНЫ,</w:t>
      </w:r>
    </w:p>
    <w:p w:rsidR="00B26EBE" w:rsidRPr="00B26EBE" w:rsidRDefault="00B26EBE" w:rsidP="00474EB7">
      <w:pPr>
        <w:pStyle w:val="SingleTxt"/>
        <w:ind w:left="1742"/>
        <w:rPr>
          <w:bCs/>
        </w:rPr>
      </w:pPr>
      <w:r w:rsidRPr="00B26EBE">
        <w:t>РЕШИВ принять Соглашение с целью инициировать процесс стимулиров</w:t>
      </w:r>
      <w:r w:rsidRPr="00B26EBE">
        <w:t>а</w:t>
      </w:r>
      <w:r w:rsidRPr="00B26EBE">
        <w:t xml:space="preserve">ния разработки </w:t>
      </w:r>
      <w:r w:rsidRPr="00B26EBE">
        <w:rPr>
          <w:bCs/>
        </w:rPr>
        <w:t>глобальных технических правил, обеспечивающих высокие уровни рабочих характеристик колесных транспортных средств, предметов оборудования и частей, которые могут быть установлены и/или использов</w:t>
      </w:r>
      <w:r w:rsidRPr="00B26EBE">
        <w:rPr>
          <w:bCs/>
        </w:rPr>
        <w:t>а</w:t>
      </w:r>
      <w:r w:rsidRPr="00B26EBE">
        <w:rPr>
          <w:bCs/>
        </w:rPr>
        <w:t>ны на колесных транспортных средствах, в области безопасности, охраны окружающей среды, эффективного использования энергии и защиты от уг</w:t>
      </w:r>
      <w:r w:rsidRPr="00B26EBE">
        <w:rPr>
          <w:bCs/>
        </w:rPr>
        <w:t>о</w:t>
      </w:r>
      <w:r w:rsidRPr="00B26EBE">
        <w:rPr>
          <w:bCs/>
        </w:rPr>
        <w:t>на;</w:t>
      </w:r>
    </w:p>
    <w:p w:rsidR="00B26EBE" w:rsidRPr="00B26EBE" w:rsidRDefault="00B26EBE" w:rsidP="00474EB7">
      <w:pPr>
        <w:pStyle w:val="SingleTxt"/>
        <w:ind w:left="1742"/>
        <w:rPr>
          <w:bCs/>
        </w:rPr>
      </w:pPr>
      <w:r w:rsidRPr="00B26EBE">
        <w:lastRenderedPageBreak/>
        <w:t>РЕШИВ, что такой процесс должен также способствовать согласованию существующих технических правил, признавая право наднациональных, национальных и региональных органов власти принимать и обновлять те</w:t>
      </w:r>
      <w:r w:rsidRPr="00B26EBE">
        <w:t>х</w:t>
      </w:r>
      <w:r w:rsidRPr="00B26EBE">
        <w:t xml:space="preserve">нические правила в области охраны здоровья, </w:t>
      </w:r>
      <w:r w:rsidRPr="00B26EBE">
        <w:rPr>
          <w:bCs/>
        </w:rPr>
        <w:t>безопасности, окружающей среды, эффективного использования энергии и защиты от угона, которые имеют более жесткий характер, чем правила, введенные на глобальном уровне;</w:t>
      </w:r>
    </w:p>
    <w:p w:rsidR="00B26EBE" w:rsidRPr="00B26EBE" w:rsidRDefault="00B26EBE" w:rsidP="00474EB7">
      <w:pPr>
        <w:pStyle w:val="SingleTxt"/>
        <w:ind w:left="1742"/>
      </w:pPr>
      <w:r w:rsidRPr="00B26EBE">
        <w:t>…</w:t>
      </w:r>
    </w:p>
    <w:p w:rsidR="00B26EBE" w:rsidRPr="00B26EBE" w:rsidRDefault="00B26EBE" w:rsidP="00474EB7">
      <w:pPr>
        <w:pStyle w:val="SingleTxt"/>
        <w:ind w:left="1742"/>
        <w:rPr>
          <w:i/>
        </w:rPr>
      </w:pPr>
      <w:r w:rsidRPr="00B26EBE">
        <w:rPr>
          <w:i/>
        </w:rPr>
        <w:t>Статья 1.</w:t>
      </w:r>
      <w:r w:rsidR="00474EB7">
        <w:rPr>
          <w:i/>
        </w:rPr>
        <w:t xml:space="preserve"> </w:t>
      </w:r>
      <w:r w:rsidRPr="00B26EBE">
        <w:rPr>
          <w:i/>
        </w:rPr>
        <w:t>Цель</w:t>
      </w:r>
    </w:p>
    <w:p w:rsidR="00B26EBE" w:rsidRPr="00B26EBE" w:rsidRDefault="00B26EBE" w:rsidP="00474EB7">
      <w:pPr>
        <w:pStyle w:val="SingleTxt"/>
        <w:ind w:left="1742"/>
      </w:pPr>
      <w:r w:rsidRPr="00B26EBE">
        <w:t>1.1</w:t>
      </w:r>
      <w:r w:rsidRPr="00B26EBE">
        <w:tab/>
        <w:t xml:space="preserve">Цель настоящего Соглашения состоит </w:t>
      </w:r>
      <w:proofErr w:type="gramStart"/>
      <w:r w:rsidRPr="00B26EBE">
        <w:t>в</w:t>
      </w:r>
      <w:proofErr w:type="gramEnd"/>
      <w:r w:rsidRPr="00B26EBE">
        <w:t>:</w:t>
      </w:r>
    </w:p>
    <w:p w:rsidR="00B26EBE" w:rsidRPr="00B26EBE" w:rsidRDefault="00B26EBE" w:rsidP="00474EB7">
      <w:pPr>
        <w:pStyle w:val="SingleTxt"/>
        <w:ind w:left="1742"/>
      </w:pPr>
      <w:proofErr w:type="gramStart"/>
      <w:r w:rsidRPr="00B26EBE">
        <w:t>1.1.1</w:t>
      </w:r>
      <w:r w:rsidRPr="00B26EBE">
        <w:tab/>
        <w:t>обеспечении глобального процесса, в рамках которого Договарива</w:t>
      </w:r>
      <w:r w:rsidRPr="00B26EBE">
        <w:t>ю</w:t>
      </w:r>
      <w:r w:rsidRPr="00B26EBE">
        <w:t xml:space="preserve">щиеся стороны из всех регионов мира могли бы совместно разрабатывать </w:t>
      </w:r>
      <w:r w:rsidRPr="00B26EBE">
        <w:rPr>
          <w:bCs/>
        </w:rPr>
        <w:t>глобальные технические правила, касающиеся рабочих характеристик к</w:t>
      </w:r>
      <w:r w:rsidRPr="00B26EBE">
        <w:rPr>
          <w:bCs/>
        </w:rPr>
        <w:t>о</w:t>
      </w:r>
      <w:r w:rsidRPr="00B26EBE">
        <w:rPr>
          <w:bCs/>
        </w:rPr>
        <w:t>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</w:t>
      </w:r>
      <w:r w:rsidRPr="00B26EBE">
        <w:rPr>
          <w:bCs/>
        </w:rPr>
        <w:t>в</w:t>
      </w:r>
      <w:r w:rsidRPr="00B26EBE">
        <w:rPr>
          <w:bCs/>
        </w:rPr>
        <w:t>ного использования энергии и защиты от угона;</w:t>
      </w:r>
      <w:proofErr w:type="gramEnd"/>
    </w:p>
    <w:p w:rsidR="00B26EBE" w:rsidRPr="00B26EBE" w:rsidRDefault="00B26EBE" w:rsidP="00474EB7">
      <w:pPr>
        <w:pStyle w:val="SingleTxt"/>
        <w:ind w:left="1742"/>
      </w:pPr>
      <w:r w:rsidRPr="00B26EBE">
        <w:t>1.1.2</w:t>
      </w:r>
      <w:r w:rsidRPr="00B26EBE">
        <w:tab/>
      </w:r>
      <w:proofErr w:type="gramStart"/>
      <w:r w:rsidRPr="00B26EBE">
        <w:t>обеспечении</w:t>
      </w:r>
      <w:proofErr w:type="gramEnd"/>
      <w:r w:rsidRPr="00B26EBE">
        <w:t xml:space="preserve"> при разработке </w:t>
      </w:r>
      <w:r w:rsidRPr="00B26EBE">
        <w:rPr>
          <w:bCs/>
        </w:rPr>
        <w:t>глобальных технических правил надл</w:t>
      </w:r>
      <w:r w:rsidRPr="00B26EBE">
        <w:rPr>
          <w:bCs/>
        </w:rPr>
        <w:t>е</w:t>
      </w:r>
      <w:r w:rsidRPr="00B26EBE">
        <w:rPr>
          <w:bCs/>
        </w:rPr>
        <w:t xml:space="preserve">жащего и объективного учета </w:t>
      </w:r>
      <w:r w:rsidRPr="00B26EBE">
        <w:t>существующих технических правил, прим</w:t>
      </w:r>
      <w:r w:rsidRPr="00B26EBE">
        <w:t>е</w:t>
      </w:r>
      <w:r w:rsidRPr="00B26EBE">
        <w:t>няемых Договаривающимися сторонами, а также правил ЕЭК ООН;</w:t>
      </w:r>
    </w:p>
    <w:p w:rsidR="00B26EBE" w:rsidRPr="00B26EBE" w:rsidRDefault="00B26EBE" w:rsidP="00474EB7">
      <w:pPr>
        <w:pStyle w:val="SingleTxt"/>
        <w:ind w:left="1742"/>
      </w:pPr>
      <w:proofErr w:type="gramStart"/>
      <w:r w:rsidRPr="00B26EBE">
        <w:t>1.1.3</w:t>
      </w:r>
      <w:r w:rsidRPr="00B26EBE">
        <w:tab/>
        <w:t xml:space="preserve">обеспечении, в соответствующих случаях, при разработке </w:t>
      </w:r>
      <w:r w:rsidRPr="00B26EBE">
        <w:rPr>
          <w:bCs/>
        </w:rPr>
        <w:t>глобальных технических правил объективного учета оценки наилучшей имеющейся технологии, относительных преимуществ и эффективности затрат;</w:t>
      </w:r>
      <w:proofErr w:type="gramEnd"/>
    </w:p>
    <w:p w:rsidR="00B26EBE" w:rsidRPr="00B26EBE" w:rsidRDefault="00B26EBE" w:rsidP="00474EB7">
      <w:pPr>
        <w:pStyle w:val="SingleTxt"/>
        <w:ind w:left="1742"/>
      </w:pPr>
      <w:r w:rsidRPr="00B26EBE">
        <w:t>1.1.4</w:t>
      </w:r>
      <w:r w:rsidRPr="00B26EBE">
        <w:tab/>
      </w:r>
      <w:proofErr w:type="gramStart"/>
      <w:r w:rsidRPr="00B26EBE">
        <w:t>обеспечении</w:t>
      </w:r>
      <w:proofErr w:type="gramEnd"/>
      <w:r w:rsidRPr="00B26EBE">
        <w:t xml:space="preserve"> </w:t>
      </w:r>
      <w:proofErr w:type="spellStart"/>
      <w:r w:rsidRPr="00B26EBE">
        <w:t>транспарентности</w:t>
      </w:r>
      <w:proofErr w:type="spellEnd"/>
      <w:r w:rsidRPr="00B26EBE">
        <w:t xml:space="preserve"> процедур, используемых при разрабо</w:t>
      </w:r>
      <w:r w:rsidRPr="00B26EBE">
        <w:t>т</w:t>
      </w:r>
      <w:r w:rsidRPr="00B26EBE">
        <w:t xml:space="preserve">ке </w:t>
      </w:r>
      <w:r w:rsidRPr="00B26EBE">
        <w:rPr>
          <w:bCs/>
        </w:rPr>
        <w:t>глобальных технических правил;</w:t>
      </w:r>
    </w:p>
    <w:p w:rsidR="00B26EBE" w:rsidRPr="00B26EBE" w:rsidRDefault="00B26EBE" w:rsidP="00474EB7">
      <w:pPr>
        <w:pStyle w:val="SingleTxt"/>
        <w:ind w:left="1742"/>
      </w:pPr>
      <w:proofErr w:type="gramStart"/>
      <w:r w:rsidRPr="00B26EBE">
        <w:t>1.1.5</w:t>
      </w:r>
      <w:r w:rsidRPr="00B26EBE">
        <w:tab/>
        <w:t xml:space="preserve">достижении высоких </w:t>
      </w:r>
      <w:r w:rsidRPr="00B26EBE">
        <w:rPr>
          <w:bCs/>
        </w:rPr>
        <w:t>уровней рабочих характеристик в области бе</w:t>
      </w:r>
      <w:r w:rsidRPr="00B26EBE">
        <w:rPr>
          <w:bCs/>
        </w:rPr>
        <w:t>з</w:t>
      </w:r>
      <w:r w:rsidRPr="00B26EBE">
        <w:rPr>
          <w:bCs/>
        </w:rPr>
        <w:t>опасности, охраны окружающей среды, эффективного использования эне</w:t>
      </w:r>
      <w:r w:rsidRPr="00B26EBE">
        <w:rPr>
          <w:bCs/>
        </w:rPr>
        <w:t>р</w:t>
      </w:r>
      <w:r w:rsidRPr="00B26EBE">
        <w:rPr>
          <w:bCs/>
        </w:rPr>
        <w:t xml:space="preserve">гии и защиты от угона в рамках мирового сообщества и обеспечении того, чтобы меры, принимаемые в соответствии с настоящим Соглашением, не стимулировали либо не влекли за собой снижения этих уровней в рамках юрисдикции </w:t>
      </w:r>
      <w:r w:rsidRPr="00B26EBE">
        <w:t>Договаривающихся сторон, в том числе на наднациональном уровне;</w:t>
      </w:r>
      <w:proofErr w:type="gramEnd"/>
    </w:p>
    <w:p w:rsidR="00B26EBE" w:rsidRPr="00B26EBE" w:rsidRDefault="00B26EBE" w:rsidP="00474EB7">
      <w:pPr>
        <w:pStyle w:val="SingleTxt"/>
        <w:ind w:left="1742"/>
      </w:pPr>
      <w:proofErr w:type="gramStart"/>
      <w:r w:rsidRPr="00B26EBE">
        <w:t>1.1.6</w:t>
      </w:r>
      <w:r w:rsidRPr="00B26EBE">
        <w:tab/>
        <w:t>снижении технических барьеров в международной торговле посре</w:t>
      </w:r>
      <w:r w:rsidRPr="00B26EBE">
        <w:t>д</w:t>
      </w:r>
      <w:r w:rsidRPr="00B26EBE">
        <w:t>ством согласования существующих технических правил, применяемых Д</w:t>
      </w:r>
      <w:r w:rsidRPr="00B26EBE">
        <w:t>о</w:t>
      </w:r>
      <w:r w:rsidRPr="00B26EBE">
        <w:t xml:space="preserve">говаривающимися сторонами, и правил ЕЭК ООН и разработки новых </w:t>
      </w:r>
      <w:r w:rsidRPr="00B26EBE">
        <w:rPr>
          <w:bCs/>
        </w:rPr>
        <w:t>гл</w:t>
      </w:r>
      <w:r w:rsidRPr="00B26EBE">
        <w:rPr>
          <w:bCs/>
        </w:rPr>
        <w:t>о</w:t>
      </w:r>
      <w:r w:rsidRPr="00B26EBE">
        <w:rPr>
          <w:bCs/>
        </w:rPr>
        <w:t>бальных технических правил, регулирующих рабочие характеристики к</w:t>
      </w:r>
      <w:r w:rsidRPr="00B26EBE">
        <w:rPr>
          <w:bCs/>
        </w:rPr>
        <w:t>о</w:t>
      </w:r>
      <w:r w:rsidRPr="00B26EBE">
        <w:rPr>
          <w:bCs/>
        </w:rPr>
        <w:t>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</w:t>
      </w:r>
      <w:r w:rsidRPr="00B26EBE">
        <w:rPr>
          <w:bCs/>
        </w:rPr>
        <w:t>в</w:t>
      </w:r>
      <w:r w:rsidRPr="00B26EBE">
        <w:rPr>
          <w:bCs/>
        </w:rPr>
        <w:t>ного использования энергии и защиты от угона и</w:t>
      </w:r>
      <w:proofErr w:type="gramEnd"/>
      <w:r w:rsidRPr="00B26EBE">
        <w:rPr>
          <w:bCs/>
        </w:rPr>
        <w:t xml:space="preserve"> отвечающих целям дост</w:t>
      </w:r>
      <w:r w:rsidRPr="00B26EBE">
        <w:rPr>
          <w:bCs/>
        </w:rPr>
        <w:t>и</w:t>
      </w:r>
      <w:r w:rsidRPr="00B26EBE">
        <w:rPr>
          <w:bCs/>
        </w:rPr>
        <w:t>жения высоких уровней безопасности и охраны окружающей среды, а также другим перечисленным выше целям; и</w:t>
      </w:r>
    </w:p>
    <w:p w:rsidR="00B26EBE" w:rsidRPr="00B26EBE" w:rsidRDefault="00B26EBE" w:rsidP="00474EB7">
      <w:pPr>
        <w:pStyle w:val="SingleTxt"/>
        <w:ind w:left="1742"/>
      </w:pPr>
      <w:proofErr w:type="gramStart"/>
      <w:r w:rsidRPr="00B26EBE">
        <w:t>1.1.7</w:t>
      </w:r>
      <w:r w:rsidRPr="00B26EBE">
        <w:tab/>
        <w:t>обеспечении в тех случаях, когда для облегчения нормативной де</w:t>
      </w:r>
      <w:r w:rsidRPr="00B26EBE">
        <w:t>я</w:t>
      </w:r>
      <w:r w:rsidRPr="00B26EBE">
        <w:t>тельности некоторых стран необходимы альтернативные уровни обязател</w:t>
      </w:r>
      <w:r w:rsidRPr="00B26EBE">
        <w:t>ь</w:t>
      </w:r>
      <w:r w:rsidRPr="00B26EBE">
        <w:t xml:space="preserve">ных требований, учета таких потребностей при разработке и введении </w:t>
      </w:r>
      <w:r w:rsidRPr="00B26EBE">
        <w:rPr>
          <w:bCs/>
        </w:rPr>
        <w:t>гл</w:t>
      </w:r>
      <w:r w:rsidRPr="00B26EBE">
        <w:rPr>
          <w:bCs/>
        </w:rPr>
        <w:t>о</w:t>
      </w:r>
      <w:r w:rsidRPr="00B26EBE">
        <w:rPr>
          <w:bCs/>
        </w:rPr>
        <w:t>бальных технических правил</w:t>
      </w:r>
      <w:r w:rsidR="00B517CC">
        <w:rPr>
          <w:bCs/>
        </w:rPr>
        <w:t>»</w:t>
      </w:r>
      <w:r w:rsidRPr="00B26EBE">
        <w:rPr>
          <w:bCs/>
        </w:rPr>
        <w:t>.</w:t>
      </w:r>
      <w:proofErr w:type="gramEnd"/>
    </w:p>
    <w:p w:rsidR="00B26EBE" w:rsidRPr="00B26EBE" w:rsidRDefault="00B26EBE" w:rsidP="00B26EBE">
      <w:pPr>
        <w:pStyle w:val="SingleTxt"/>
      </w:pPr>
      <w:r w:rsidRPr="00B26EBE">
        <w:t>5.</w:t>
      </w:r>
      <w:r w:rsidRPr="00B26EBE">
        <w:tab/>
        <w:t>Вскоре после вступления Соглашения в силу Исполнительный комитет С</w:t>
      </w:r>
      <w:r w:rsidRPr="00B26EBE">
        <w:t>о</w:t>
      </w:r>
      <w:r w:rsidRPr="00B26EBE">
        <w:t>глашения 1998 года (АС.3) утвердил первоначальную программу работы (</w:t>
      </w:r>
      <w:proofErr w:type="gramStart"/>
      <w:r w:rsidRPr="00B26EBE">
        <w:t>ПР</w:t>
      </w:r>
      <w:proofErr w:type="gramEnd"/>
      <w:r w:rsidRPr="00B26EBE">
        <w:t xml:space="preserve">), охватывающую существующие национальные правила, добиться согласования </w:t>
      </w:r>
      <w:r w:rsidRPr="00B26EBE">
        <w:lastRenderedPageBreak/>
        <w:t xml:space="preserve">которых представлялось несложным. К их числу относятся, например, правила по безопасности транспортных средств, касающиеся дверных замков, освещения, </w:t>
      </w:r>
      <w:proofErr w:type="spellStart"/>
      <w:r w:rsidRPr="00B26EBE">
        <w:t>стекловых</w:t>
      </w:r>
      <w:proofErr w:type="spellEnd"/>
      <w:r w:rsidRPr="00B26EBE">
        <w:t xml:space="preserve"> материалов и торможения (полный перечень см. в добавлении </w:t>
      </w:r>
      <w:r w:rsidRPr="00B26EBE">
        <w:rPr>
          <w:lang w:val="en-US"/>
        </w:rPr>
        <w:t>I</w:t>
      </w:r>
      <w:r w:rsidRPr="00B26EBE">
        <w:t>). В</w:t>
      </w:r>
      <w:r w:rsidRPr="00B26EBE">
        <w:t>ы</w:t>
      </w:r>
      <w:r w:rsidRPr="00B26EBE">
        <w:t>бор этих правил был продиктован главным образом стремлением предоставить Договаривающимся сторонам (ДС) возможность накопить определенный практ</w:t>
      </w:r>
      <w:r w:rsidRPr="00B26EBE">
        <w:t>и</w:t>
      </w:r>
      <w:r w:rsidRPr="00B26EBE">
        <w:t>ческий опыт задействования процедур в рамках нового Соглашения, диктующего необходимость использования – при разработке и введении правил – подхода на базе процесса, основанного на полученных данных и подкрепленного результ</w:t>
      </w:r>
      <w:r w:rsidRPr="00B26EBE">
        <w:t>а</w:t>
      </w:r>
      <w:r w:rsidRPr="00B26EBE">
        <w:t>тами анализа.</w:t>
      </w:r>
    </w:p>
    <w:p w:rsidR="00B26EBE" w:rsidRPr="00B26EBE" w:rsidRDefault="00B26EBE" w:rsidP="00B26EBE">
      <w:pPr>
        <w:pStyle w:val="SingleTxt"/>
      </w:pPr>
      <w:r w:rsidRPr="00B26EBE">
        <w:t>6.</w:t>
      </w:r>
      <w:r w:rsidRPr="00B26EBE">
        <w:tab/>
        <w:t>К 2014 году многие из этих правил были успешно согласованы. Однако со временем возник ряд непредвиденных затруднений. В основе многих предлож</w:t>
      </w:r>
      <w:r w:rsidRPr="00B26EBE">
        <w:t>е</w:t>
      </w:r>
      <w:r w:rsidRPr="00B26EBE">
        <w:t xml:space="preserve">ний, фигурировавших в первоначальной </w:t>
      </w:r>
      <w:proofErr w:type="gramStart"/>
      <w:r w:rsidRPr="00B26EBE">
        <w:t>ПР</w:t>
      </w:r>
      <w:proofErr w:type="gramEnd"/>
      <w:r w:rsidRPr="00B26EBE">
        <w:t xml:space="preserve">, лежали уже давно действующие национальные правила, предписания которых и предусматриваемые процедуры испытаний было трудно изменить </w:t>
      </w:r>
      <w:proofErr w:type="spellStart"/>
      <w:r w:rsidRPr="00B26EBE">
        <w:t>затратоэффективным</w:t>
      </w:r>
      <w:proofErr w:type="spellEnd"/>
      <w:r w:rsidRPr="00B26EBE">
        <w:t xml:space="preserve"> образом. В других же случаях соответствующие предложения не были сочтены актуальными или особо значимыми в плане их приоритетности для ДС, а посему они не </w:t>
      </w:r>
      <w:proofErr w:type="gramStart"/>
      <w:r w:rsidRPr="00B26EBE">
        <w:t>встретили надлежащей поддержки и на их проработку не было</w:t>
      </w:r>
      <w:proofErr w:type="gramEnd"/>
      <w:r w:rsidRPr="00B26EBE">
        <w:t xml:space="preserve"> выделено достаточных р</w:t>
      </w:r>
      <w:r w:rsidRPr="00B26EBE">
        <w:t>е</w:t>
      </w:r>
      <w:r w:rsidRPr="00B26EBE">
        <w:t>сурсов. По указанным причинам некоторые из пунктов были либо изъяты, либо на завершение процесса их согласования понадобилось намного больше лет, чем это планировалось изначально. Ниже приводится соответствующий перечень.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t>Рабочая группа по вопросам освещения и световой сигнализации (</w:t>
      </w:r>
      <w:r w:rsidR="00B26EBE" w:rsidRPr="00B26EBE">
        <w:rPr>
          <w:lang w:val="en-US"/>
        </w:rPr>
        <w:t>GRE</w:t>
      </w:r>
      <w:r w:rsidR="00B26EBE"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 xml:space="preserve">Установка устройств освещения и световой сигнализации – (изъят из </w:t>
      </w:r>
      <w:proofErr w:type="gramStart"/>
      <w:r w:rsidRPr="00B26EBE">
        <w:t>ПР</w:t>
      </w:r>
      <w:proofErr w:type="gramEnd"/>
      <w:r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t>Рабочая группа по вопросам торможения и ходовой части (</w:t>
      </w:r>
      <w:r w:rsidR="00B26EBE" w:rsidRPr="00B26EBE">
        <w:rPr>
          <w:lang w:val="en-US"/>
        </w:rPr>
        <w:t>GRRF</w:t>
      </w:r>
      <w:r w:rsidR="00B26EBE"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Тормозные системы мотоциклов – согласование завершено в ноябре 2006 года</w:t>
      </w:r>
    </w:p>
    <w:p w:rsidR="00B26EBE" w:rsidRPr="00B26EBE" w:rsidRDefault="00B26EBE" w:rsidP="00B26EBE">
      <w:pPr>
        <w:pStyle w:val="SingleTxt"/>
      </w:pPr>
      <w:r w:rsidRPr="00B26EBE">
        <w:t xml:space="preserve">Тормозные системы пассажирских транспортных средств – (изъят из </w:t>
      </w:r>
      <w:proofErr w:type="gramStart"/>
      <w:r w:rsidRPr="00B26EBE">
        <w:t>ПР</w:t>
      </w:r>
      <w:proofErr w:type="gramEnd"/>
      <w:r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t>Рабочая группа по пассивной безопасности (</w:t>
      </w:r>
      <w:r w:rsidR="00B26EBE" w:rsidRPr="00B26EBE">
        <w:rPr>
          <w:lang w:val="en-US"/>
        </w:rPr>
        <w:t>GRSG</w:t>
      </w:r>
      <w:r w:rsidR="00B26EBE"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 xml:space="preserve">Безопасные </w:t>
      </w:r>
      <w:proofErr w:type="spellStart"/>
      <w:r w:rsidRPr="00B26EBE">
        <w:t>стекловые</w:t>
      </w:r>
      <w:proofErr w:type="spellEnd"/>
      <w:r w:rsidRPr="00B26EBE">
        <w:t xml:space="preserve"> материалы – март 2008 года</w:t>
      </w:r>
    </w:p>
    <w:p w:rsidR="00B26EBE" w:rsidRPr="00B26EBE" w:rsidRDefault="00B26EBE" w:rsidP="00B26EBE">
      <w:pPr>
        <w:pStyle w:val="SingleTxt"/>
      </w:pPr>
      <w:r w:rsidRPr="00B26EBE">
        <w:t xml:space="preserve">Органы управления и индикаторы – (изъят из </w:t>
      </w:r>
      <w:proofErr w:type="gramStart"/>
      <w:r w:rsidRPr="00B26EBE">
        <w:t>ПР</w:t>
      </w:r>
      <w:proofErr w:type="gramEnd"/>
      <w:r w:rsidRPr="00B26EBE">
        <w:t>)</w:t>
      </w:r>
    </w:p>
    <w:p w:rsidR="00B26EBE" w:rsidRPr="00B26EBE" w:rsidRDefault="00B26EBE" w:rsidP="00B26EBE">
      <w:pPr>
        <w:pStyle w:val="SingleTxt"/>
      </w:pPr>
      <w:r w:rsidRPr="00B26EBE">
        <w:t>Классификация транспортных средств, массы и размеры – июнь 2005 года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t>Рабочая группа по пассивной безопасности (</w:t>
      </w:r>
      <w:r w:rsidR="00B26EBE" w:rsidRPr="00B26EBE">
        <w:rPr>
          <w:lang w:val="en-US"/>
        </w:rPr>
        <w:t>GRSP</w:t>
      </w:r>
      <w:r w:rsidR="00B26EBE"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Безопасность пешеходов – ноябрь 2008 года</w:t>
      </w:r>
    </w:p>
    <w:p w:rsidR="00B26EBE" w:rsidRPr="00B26EBE" w:rsidRDefault="00B26EBE" w:rsidP="00B26EBE">
      <w:pPr>
        <w:pStyle w:val="SingleTxt"/>
      </w:pPr>
      <w:r w:rsidRPr="00B26EBE">
        <w:t xml:space="preserve">Нижние крепления и ремни для детских удерживающих сидений – (изъят из </w:t>
      </w:r>
      <w:proofErr w:type="gramStart"/>
      <w:r w:rsidRPr="00B26EBE">
        <w:t>ПР</w:t>
      </w:r>
      <w:proofErr w:type="gramEnd"/>
      <w:r w:rsidRPr="00B26EBE">
        <w:t>)</w:t>
      </w:r>
    </w:p>
    <w:p w:rsidR="00B26EBE" w:rsidRPr="00B26EBE" w:rsidRDefault="00B26EBE" w:rsidP="00B26EBE">
      <w:pPr>
        <w:pStyle w:val="SingleTxt"/>
      </w:pPr>
      <w:r w:rsidRPr="00B26EBE">
        <w:t>Элементы крепления дверей – ноябрь 2004 года</w:t>
      </w:r>
    </w:p>
    <w:p w:rsidR="00B26EBE" w:rsidRPr="00B26EBE" w:rsidRDefault="00B26EBE" w:rsidP="00B26EBE">
      <w:pPr>
        <w:pStyle w:val="SingleTxt"/>
      </w:pPr>
      <w:r w:rsidRPr="00B26EBE">
        <w:t>Подголовники – март 2008 года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t>Рабочая группа по проблемам энергии и загрязнения окружающей среды (</w:t>
      </w:r>
      <w:r w:rsidR="00B26EBE" w:rsidRPr="00B26EBE">
        <w:rPr>
          <w:lang w:val="en-US"/>
        </w:rPr>
        <w:t>GRPE</w:t>
      </w:r>
      <w:r w:rsidR="00B26EBE"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Всемирная процедура сертификации двигателей большой мощности (ВСДБ) – ноябрь 2006 года</w:t>
      </w:r>
    </w:p>
    <w:p w:rsidR="00B26EBE" w:rsidRPr="00B26EBE" w:rsidRDefault="00B26EBE" w:rsidP="00B26EBE">
      <w:pPr>
        <w:pStyle w:val="SingleTxt"/>
      </w:pPr>
      <w:r w:rsidRPr="00B26EBE">
        <w:t>Всемирный цикл испытаний мотоциклов на выбросы загрязняющих веществ (ВЦИМ) – июнь 1998 года</w:t>
      </w:r>
    </w:p>
    <w:p w:rsidR="00B26EBE" w:rsidRPr="00B26EBE" w:rsidRDefault="00B26EBE" w:rsidP="00B26EBE">
      <w:pPr>
        <w:pStyle w:val="SingleTxt"/>
      </w:pPr>
      <w:r w:rsidRPr="00B26EBE">
        <w:t>БД (двигатели большой мощности) – ноябрь 2006 года</w:t>
      </w:r>
    </w:p>
    <w:p w:rsidR="00B26EBE" w:rsidRPr="00B26EBE" w:rsidRDefault="00B517CC" w:rsidP="00B26EBE">
      <w:pPr>
        <w:pStyle w:val="SingleTxt"/>
      </w:pPr>
      <w:r>
        <w:br w:type="page"/>
      </w:r>
      <w:r w:rsidR="00B26EBE" w:rsidRPr="00B26EBE">
        <w:lastRenderedPageBreak/>
        <w:t>Выбросы вне цикла испытаний – июнь 2009 года</w:t>
      </w:r>
    </w:p>
    <w:p w:rsidR="00B26EBE" w:rsidRPr="00B26EBE" w:rsidRDefault="00B26EBE" w:rsidP="00B26EBE">
      <w:pPr>
        <w:pStyle w:val="SingleTxt"/>
      </w:pPr>
      <w:r w:rsidRPr="00B26EBE">
        <w:t>Внедорожная подвижная техника (испытание на выбросы ТЧ) – ноябрь 2009 года</w:t>
      </w:r>
    </w:p>
    <w:p w:rsidR="00B26EBE" w:rsidRPr="00B26EBE" w:rsidRDefault="00B26EBE" w:rsidP="00B26EBE">
      <w:pPr>
        <w:pStyle w:val="SingleTxt"/>
      </w:pPr>
      <w:r w:rsidRPr="00B26EBE">
        <w:tab/>
        <w:t xml:space="preserve">Примерно в 2007 году </w:t>
      </w:r>
      <w:r w:rsidRPr="00B26EBE">
        <w:rPr>
          <w:lang w:val="en-US"/>
        </w:rPr>
        <w:t>WP</w:t>
      </w:r>
      <w:r w:rsidRPr="00B26EBE">
        <w:t>.29, опираясь на опыт рассмотрения пунктов, от</w:t>
      </w:r>
      <w:r w:rsidRPr="00B26EBE">
        <w:t>о</w:t>
      </w:r>
      <w:r w:rsidRPr="00B26EBE">
        <w:t>бранных для включения в первоначальную программу работы, и движимый стремлением избежать аналогичных трудностей и обеспечить более полный учет текущих приоритетов ДС в области нормативных положений, приступил к д</w:t>
      </w:r>
      <w:r w:rsidRPr="00B26EBE">
        <w:t>о</w:t>
      </w:r>
      <w:r w:rsidRPr="00B26EBE">
        <w:t xml:space="preserve">бавлению в </w:t>
      </w:r>
      <w:proofErr w:type="gramStart"/>
      <w:r w:rsidRPr="00B26EBE">
        <w:t>ПР</w:t>
      </w:r>
      <w:proofErr w:type="gramEnd"/>
      <w:r w:rsidRPr="00B26EBE">
        <w:t xml:space="preserve"> новых пунктов. Эти пункты перечислены ниже.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GRRF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Электронный контроль устойчивости – добавлен в 2007 году; утвержден в июне 2008 года</w:t>
      </w:r>
    </w:p>
    <w:p w:rsidR="00B26EBE" w:rsidRPr="00B26EBE" w:rsidRDefault="00B26EBE" w:rsidP="00B26EBE">
      <w:pPr>
        <w:pStyle w:val="SingleTxt"/>
      </w:pPr>
      <w:r w:rsidRPr="00B26EBE">
        <w:t>Органы управления и индикаторы для мотоциклов – добавлен в 2009 году; утвержден в ноябре 2011 года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GRSP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 xml:space="preserve">Водородные транспортные средства – </w:t>
      </w:r>
      <w:proofErr w:type="gramStart"/>
      <w:r w:rsidRPr="00B26EBE">
        <w:t>добавлен</w:t>
      </w:r>
      <w:proofErr w:type="gramEnd"/>
      <w:r w:rsidRPr="00B26EBE">
        <w:t xml:space="preserve"> в 2004 году; согласование заве</w:t>
      </w:r>
      <w:r w:rsidRPr="00B26EBE">
        <w:t>р</w:t>
      </w:r>
      <w:r w:rsidRPr="00B26EBE">
        <w:t>шено в июне 2013 года</w:t>
      </w:r>
    </w:p>
    <w:p w:rsidR="00B26EBE" w:rsidRPr="00B26EBE" w:rsidRDefault="00B26EBE" w:rsidP="00B26EBE">
      <w:pPr>
        <w:pStyle w:val="SingleTxt"/>
      </w:pPr>
      <w:r w:rsidRPr="00B26EBE">
        <w:t>Боковой удар о столб – добавлен в 2010 году; согласование завершено в ноябре 2013 года</w:t>
      </w:r>
    </w:p>
    <w:p w:rsidR="00B26EBE" w:rsidRPr="00B26EBE" w:rsidRDefault="00B26EBE" w:rsidP="00B26EBE">
      <w:pPr>
        <w:pStyle w:val="SingleTxt"/>
      </w:pPr>
      <w:r w:rsidRPr="00B26EBE">
        <w:t xml:space="preserve">Электромобили – </w:t>
      </w:r>
      <w:proofErr w:type="gramStart"/>
      <w:r w:rsidRPr="00B26EBE">
        <w:t>добавлен</w:t>
      </w:r>
      <w:proofErr w:type="gramEnd"/>
      <w:r w:rsidRPr="00B26EBE">
        <w:t xml:space="preserve"> в 2013 году; в настоящее время ведется работа</w:t>
      </w:r>
    </w:p>
    <w:p w:rsidR="00B26EBE" w:rsidRPr="00B26EBE" w:rsidRDefault="00B26EBE" w:rsidP="00B26EBE">
      <w:pPr>
        <w:pStyle w:val="SingleTxt"/>
      </w:pPr>
      <w:r w:rsidRPr="00B26EBE">
        <w:t>Подголовники, этап 2 – в настоящее время ведется работа</w:t>
      </w:r>
    </w:p>
    <w:p w:rsidR="00B26EBE" w:rsidRPr="00B26EBE" w:rsidRDefault="00B26EBE" w:rsidP="00B26EBE">
      <w:pPr>
        <w:pStyle w:val="SingleTxt"/>
      </w:pPr>
      <w:r w:rsidRPr="00B26EBE">
        <w:t>Безопасность пешеходов, этап 2 – в настоящее время ведется работа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GRPE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 xml:space="preserve">Всемирные согласованные процедуры испытания транспортных средств малой грузоподъемности – </w:t>
      </w:r>
      <w:proofErr w:type="gramStart"/>
      <w:r w:rsidRPr="00B26EBE">
        <w:t>добавлен</w:t>
      </w:r>
      <w:proofErr w:type="gramEnd"/>
      <w:r w:rsidRPr="00B26EBE">
        <w:t xml:space="preserve"> в 2007 году; согласование завершено в марте </w:t>
      </w:r>
      <w:r w:rsidR="002B1521">
        <w:br/>
      </w:r>
      <w:r w:rsidRPr="00B26EBE">
        <w:t>2014 года</w:t>
      </w:r>
    </w:p>
    <w:p w:rsidR="00B26EBE" w:rsidRPr="00B26EBE" w:rsidRDefault="00B26EBE" w:rsidP="00B26EBE">
      <w:pPr>
        <w:pStyle w:val="SingleTxt"/>
      </w:pPr>
      <w:r w:rsidRPr="00B26EBE">
        <w:t>Электромобили (экологические факторы) – в настоящее время ведется работа</w:t>
      </w:r>
    </w:p>
    <w:p w:rsidR="00B26EBE" w:rsidRPr="00B26EBE" w:rsidRDefault="00B26EBE" w:rsidP="00B26EBE">
      <w:pPr>
        <w:pStyle w:val="SingleTxt"/>
      </w:pPr>
      <w:r w:rsidRPr="00B26EBE">
        <w:t xml:space="preserve">Три поправки к </w:t>
      </w:r>
      <w:proofErr w:type="gramStart"/>
      <w:r w:rsidRPr="00B26EBE">
        <w:t>существующим</w:t>
      </w:r>
      <w:proofErr w:type="gramEnd"/>
      <w:r w:rsidRPr="00B26EBE">
        <w:t xml:space="preserve"> ГТП, касающимся экологических аспектов – </w:t>
      </w:r>
      <w:r w:rsidR="002B1521">
        <w:br/>
      </w:r>
      <w:r w:rsidRPr="00B26EBE">
        <w:t>в настоящее время ведется работа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t>Рабочая группа по вопросам шума (</w:t>
      </w:r>
      <w:r w:rsidR="00B26EBE" w:rsidRPr="00B26EBE">
        <w:rPr>
          <w:lang w:val="en-US"/>
        </w:rPr>
        <w:t>GRB</w:t>
      </w:r>
      <w:r w:rsidR="00B26EBE" w:rsidRPr="00B26EBE">
        <w:t>)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 xml:space="preserve">Бесшумные транспортные средства – </w:t>
      </w:r>
      <w:proofErr w:type="gramStart"/>
      <w:r w:rsidRPr="00B26EBE">
        <w:t>добавлен</w:t>
      </w:r>
      <w:proofErr w:type="gramEnd"/>
      <w:r w:rsidRPr="00B26EBE">
        <w:t xml:space="preserve"> в 2013 году; в настоящее время ведется работа</w:t>
      </w:r>
    </w:p>
    <w:p w:rsidR="00B26EBE" w:rsidRPr="00B26EBE" w:rsidRDefault="00B26EBE" w:rsidP="00B26EBE">
      <w:pPr>
        <w:pStyle w:val="SingleTxt"/>
      </w:pPr>
      <w:r w:rsidRPr="00B26EBE">
        <w:t>7.</w:t>
      </w:r>
      <w:r w:rsidRPr="00B26EBE">
        <w:tab/>
        <w:t xml:space="preserve">Несмотря на ускорение – после добавления отобранных для включения в </w:t>
      </w:r>
      <w:proofErr w:type="gramStart"/>
      <w:r w:rsidRPr="00B26EBE">
        <w:t>ПР</w:t>
      </w:r>
      <w:proofErr w:type="gramEnd"/>
      <w:r w:rsidRPr="00B26EBE">
        <w:t xml:space="preserve"> новых пунктов – темпов разработки ГТП ООН, все же необходим дальне</w:t>
      </w:r>
      <w:r w:rsidRPr="00B26EBE">
        <w:t>й</w:t>
      </w:r>
      <w:r w:rsidRPr="00B26EBE">
        <w:t>ший прогресс. На сегодняшний день, спустя более 15 лет после принятия Согл</w:t>
      </w:r>
      <w:r w:rsidRPr="00B26EBE">
        <w:t>а</w:t>
      </w:r>
      <w:r w:rsidRPr="00B26EBE">
        <w:t>шения 1998 года, были введены лишь 16 ГТП ООН. Кроме того, как было пр</w:t>
      </w:r>
      <w:r w:rsidRPr="00B26EBE">
        <w:t>и</w:t>
      </w:r>
      <w:r w:rsidRPr="00B26EBE">
        <w:t xml:space="preserve">знано на сессии </w:t>
      </w:r>
      <w:r w:rsidRPr="00B26EBE">
        <w:rPr>
          <w:lang w:val="en-US"/>
        </w:rPr>
        <w:t>WP</w:t>
      </w:r>
      <w:r w:rsidRPr="00B26EBE">
        <w:t>.29 в марте 2014 года, значительное большинство ДС Согл</w:t>
      </w:r>
      <w:r w:rsidRPr="00B26EBE">
        <w:t>а</w:t>
      </w:r>
      <w:r w:rsidRPr="00B26EBE">
        <w:t>шения не выполняет своих обязательств по уведомлению о включении ГТП ООН в их национальное законодательство. Это свидетельствует о том, что фактически ГТП ООН, как правило, не включаются в национальное законодательство всех Договаривающихся сторон Соглашения.</w:t>
      </w:r>
    </w:p>
    <w:p w:rsidR="00B26EBE" w:rsidRPr="00B26EBE" w:rsidRDefault="00B26EBE" w:rsidP="00B26EBE">
      <w:pPr>
        <w:pStyle w:val="SingleTxt"/>
      </w:pPr>
      <w:r w:rsidRPr="00B26EBE">
        <w:t>8.</w:t>
      </w:r>
      <w:r w:rsidRPr="00B26EBE">
        <w:tab/>
        <w:t>В настоящем документе излагаются соображения Соединенных Штатов Америки, Японии и ЕС относительно стимулирования обсуждения и истребов</w:t>
      </w:r>
      <w:r w:rsidRPr="00B26EBE">
        <w:t>а</w:t>
      </w:r>
      <w:r w:rsidRPr="00B26EBE">
        <w:t>ния отдачи со стороны всех заинтересованных субъектов в порядке обеспечения реальных подвижек в деле осуществления Глобального соглашения 1998 года.</w:t>
      </w:r>
    </w:p>
    <w:p w:rsidR="00B26EBE" w:rsidRPr="00B26EBE" w:rsidRDefault="00B26EBE" w:rsidP="002B15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lastRenderedPageBreak/>
        <w:tab/>
      </w:r>
      <w:r w:rsidRPr="00B26EBE">
        <w:rPr>
          <w:lang w:val="en-US"/>
        </w:rPr>
        <w:t>IV</w:t>
      </w:r>
      <w:r w:rsidRPr="00B26EBE">
        <w:t>.</w:t>
      </w:r>
      <w:r w:rsidRPr="00B26EBE">
        <w:tab/>
        <w:t>Совершенствование процесса осуществления Соглашения 1998 года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9.</w:t>
      </w:r>
      <w:r w:rsidRPr="00B26EBE">
        <w:tab/>
        <w:t>Темпы разработки ГТП являются удручающими, а отдельные ДС не в с</w:t>
      </w:r>
      <w:r w:rsidRPr="00B26EBE">
        <w:t>о</w:t>
      </w:r>
      <w:r w:rsidRPr="00B26EBE">
        <w:t>стоянии обеспечить быстрое принятие ГТП ООН на национальном уровне. Вм</w:t>
      </w:r>
      <w:r w:rsidRPr="00B26EBE">
        <w:t>е</w:t>
      </w:r>
      <w:r w:rsidRPr="00B26EBE">
        <w:t>сте с тем, ДС сталкиваются с существенным дефицитом ресурсов в плане нал</w:t>
      </w:r>
      <w:r w:rsidRPr="00B26EBE">
        <w:t>и</w:t>
      </w:r>
      <w:r w:rsidRPr="00B26EBE">
        <w:t>чия персонала для работы над ГТП ООН и фондов путевых расходов, необход</w:t>
      </w:r>
      <w:r w:rsidRPr="00B26EBE">
        <w:t>и</w:t>
      </w:r>
      <w:r w:rsidRPr="00B26EBE">
        <w:t xml:space="preserve">мых для обслуживания соответствующих поездок. Одним из ключевых аспектов, как представляется, является обеспечение увязки </w:t>
      </w:r>
      <w:proofErr w:type="gramStart"/>
      <w:r w:rsidRPr="00B26EBE">
        <w:t>ПР</w:t>
      </w:r>
      <w:proofErr w:type="gramEnd"/>
      <w:r w:rsidRPr="00B26EBE">
        <w:t xml:space="preserve"> </w:t>
      </w:r>
      <w:r w:rsidRPr="00B26EBE">
        <w:rPr>
          <w:lang w:val="en-US"/>
        </w:rPr>
        <w:t>WP</w:t>
      </w:r>
      <w:r w:rsidRPr="00B26EBE">
        <w:t>.29 с приоритетами ДС и испытываемым ими дефицитом ресурсов, а также более тесная смычка между национальным механизмом введения нормативных положений и процессом пр</w:t>
      </w:r>
      <w:r w:rsidRPr="00B26EBE">
        <w:t>и</w:t>
      </w:r>
      <w:r w:rsidRPr="00B26EBE">
        <w:t xml:space="preserve">нятия ГТП ООН. В контексте работы по усовершенствованию важно напомнить, что Соглашение ориентировано на </w:t>
      </w:r>
      <w:r w:rsidR="002B1521">
        <w:t>«</w:t>
      </w:r>
      <w:r w:rsidRPr="00B26EBE">
        <w:t>достижение высоких уровней рабочих хара</w:t>
      </w:r>
      <w:r w:rsidRPr="00B26EBE">
        <w:t>к</w:t>
      </w:r>
      <w:r w:rsidRPr="00B26EBE">
        <w:t>теристик в области безопасности, охраны окружающей среды, эффективного и</w:t>
      </w:r>
      <w:r w:rsidRPr="00B26EBE">
        <w:t>с</w:t>
      </w:r>
      <w:r w:rsidRPr="00B26EBE">
        <w:t>пользования энергии и защиты от угона в рамках мирового сообщества</w:t>
      </w:r>
      <w:r w:rsidR="002B1521">
        <w:t>»</w:t>
      </w:r>
      <w:r w:rsidRPr="00B26EBE">
        <w:t>. Кроме того, необходимо признать, что условия, существующие в некоторых ДС, выну</w:t>
      </w:r>
      <w:r w:rsidRPr="00B26EBE">
        <w:t>ж</w:t>
      </w:r>
      <w:r w:rsidRPr="00B26EBE">
        <w:t>дают их отдавать приоритет тем ГТП ООН, которые сулят ощутимые отечестве</w:t>
      </w:r>
      <w:r w:rsidRPr="00B26EBE">
        <w:t>н</w:t>
      </w:r>
      <w:r w:rsidRPr="00B26EBE">
        <w:t>ные преимущества в плане безопасности и охраны окружающей среды, равно как потенциальные экономические выгоды от согласования. Обеспечение баланса между этими приоритетами и наличными ресурсами может потребовать дост</w:t>
      </w:r>
      <w:r w:rsidRPr="00B26EBE">
        <w:t>и</w:t>
      </w:r>
      <w:r w:rsidRPr="00B26EBE">
        <w:t xml:space="preserve">жения договоренности относительно сокращения </w:t>
      </w:r>
      <w:proofErr w:type="gramStart"/>
      <w:r w:rsidRPr="00B26EBE">
        <w:t>ПР</w:t>
      </w:r>
      <w:proofErr w:type="gramEnd"/>
      <w:r w:rsidRPr="00B26EBE">
        <w:t xml:space="preserve"> с исключением из нее ряда нынешних направлений деятельности в ответ на усиление акцента на небольшом круге важных областей.</w:t>
      </w:r>
    </w:p>
    <w:p w:rsidR="00B26EBE" w:rsidRDefault="00B26EBE" w:rsidP="00B26EBE">
      <w:pPr>
        <w:pStyle w:val="SingleTxt"/>
      </w:pPr>
      <w:r w:rsidRPr="00B26EBE">
        <w:t>10.</w:t>
      </w:r>
      <w:r w:rsidRPr="00B26EBE">
        <w:tab/>
        <w:t>Были выявлены три области, необходимость усовершенствования в которых особенно назрела. Эти области – с указанием возможных решений – перечисл</w:t>
      </w:r>
      <w:r w:rsidRPr="00B26EBE">
        <w:t>я</w:t>
      </w:r>
      <w:r w:rsidRPr="00B26EBE">
        <w:t>ются и рассматриваются ниже.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2B15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ab/>
      </w:r>
      <w:r w:rsidRPr="00B26EBE">
        <w:rPr>
          <w:lang w:val="en-US"/>
        </w:rPr>
        <w:t>A</w:t>
      </w:r>
      <w:r w:rsidRPr="00B26EBE">
        <w:t>.</w:t>
      </w:r>
      <w:r w:rsidRPr="00B26EBE">
        <w:tab/>
        <w:t>Совершенствование методики отбора проектов для целей ПР</w:t>
      </w:r>
    </w:p>
    <w:p w:rsidR="002B1521" w:rsidRPr="00B517CC" w:rsidRDefault="002B1521" w:rsidP="002B1521">
      <w:pPr>
        <w:pStyle w:val="SingleTxt"/>
        <w:spacing w:after="0" w:line="120" w:lineRule="exact"/>
        <w:rPr>
          <w:sz w:val="10"/>
        </w:rPr>
      </w:pPr>
    </w:p>
    <w:p w:rsidR="002B1521" w:rsidRPr="00B517CC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a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при</w:t>
      </w:r>
      <w:proofErr w:type="gramEnd"/>
      <w:r w:rsidR="00B26EBE" w:rsidRPr="00B26EBE">
        <w:t xml:space="preserve"> добавлении в ПР новых пунктов делать акцент на тех, которые я</w:t>
      </w:r>
      <w:r w:rsidR="00B26EBE" w:rsidRPr="00B26EBE">
        <w:t>в</w:t>
      </w:r>
      <w:r w:rsidR="00B26EBE" w:rsidRPr="00B26EBE">
        <w:t>ляются высокоприоритетными для ДС, исходя главным образом из объема п</w:t>
      </w:r>
      <w:r w:rsidR="00B26EBE" w:rsidRPr="00B26EBE">
        <w:t>о</w:t>
      </w:r>
      <w:r w:rsidR="00B26EBE" w:rsidRPr="00B26EBE">
        <w:t xml:space="preserve">тенциальных преимуществ в плане обеспечения безопасности и охраны </w:t>
      </w:r>
      <w:r w:rsidR="00B26EBE" w:rsidRPr="00B26EBE">
        <w:rPr>
          <w:bCs/>
        </w:rPr>
        <w:t>окруж</w:t>
      </w:r>
      <w:r w:rsidR="00B26EBE" w:rsidRPr="00B26EBE">
        <w:rPr>
          <w:bCs/>
        </w:rPr>
        <w:t>а</w:t>
      </w:r>
      <w:r w:rsidR="00B26EBE" w:rsidRPr="00B26EBE">
        <w:rPr>
          <w:bCs/>
        </w:rPr>
        <w:t>ющей среды;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b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обмениваться</w:t>
      </w:r>
      <w:proofErr w:type="gramEnd"/>
      <w:r w:rsidR="00B26EBE" w:rsidRPr="00B26EBE">
        <w:t xml:space="preserve"> информацией между ДС относительно соответствующ</w:t>
      </w:r>
      <w:r w:rsidR="00B26EBE" w:rsidRPr="00B26EBE">
        <w:t>е</w:t>
      </w:r>
      <w:r w:rsidR="00B26EBE" w:rsidRPr="00B26EBE">
        <w:t>го планирования на национальном уровне деятельности по составлению пр</w:t>
      </w:r>
      <w:r w:rsidR="00B26EBE" w:rsidRPr="00B26EBE">
        <w:t>о</w:t>
      </w:r>
      <w:r w:rsidR="00B26EBE" w:rsidRPr="00B26EBE">
        <w:t>грамм нормотворческой и исследовательской работы для выявления общих черт;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c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ежегодно</w:t>
      </w:r>
      <w:proofErr w:type="gramEnd"/>
      <w:r w:rsidR="00B26EBE" w:rsidRPr="00B26EBE">
        <w:t xml:space="preserve"> организовывать в рамках одной из сессий </w:t>
      </w:r>
      <w:r w:rsidR="00B26EBE" w:rsidRPr="00B26EBE">
        <w:rPr>
          <w:lang w:val="en-US"/>
        </w:rPr>
        <w:t>WP</w:t>
      </w:r>
      <w:r w:rsidR="00B26EBE" w:rsidRPr="00B26EBE">
        <w:t>.29 обстоятел</w:t>
      </w:r>
      <w:r w:rsidR="00B26EBE" w:rsidRPr="00B26EBE">
        <w:t>ь</w:t>
      </w:r>
      <w:r w:rsidR="00B26EBE" w:rsidRPr="00B26EBE">
        <w:t>ное обсуждение с участием всех соответствующих заинтересованных сторон с особым упором на выявлении среднесрочных и долгосрочных приоритетов;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d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добавлять</w:t>
      </w:r>
      <w:proofErr w:type="gramEnd"/>
      <w:r w:rsidR="00B26EBE" w:rsidRPr="00B26EBE">
        <w:t xml:space="preserve"> пункты, относящиеся к новым областям работы, особенно что касается новейших технологий обеспечения безопасности и охраны </w:t>
      </w:r>
      <w:r w:rsidR="00B26EBE" w:rsidRPr="00B26EBE">
        <w:rPr>
          <w:bCs/>
        </w:rPr>
        <w:t>окруж</w:t>
      </w:r>
      <w:r w:rsidR="00B26EBE" w:rsidRPr="00B26EBE">
        <w:rPr>
          <w:bCs/>
        </w:rPr>
        <w:t>а</w:t>
      </w:r>
      <w:r w:rsidR="00B26EBE" w:rsidRPr="00B26EBE">
        <w:rPr>
          <w:bCs/>
        </w:rPr>
        <w:t>ющей среды;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e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обеспечивать</w:t>
      </w:r>
      <w:proofErr w:type="gramEnd"/>
      <w:r w:rsidR="00B26EBE" w:rsidRPr="00B26EBE">
        <w:t xml:space="preserve"> выявление и учет базовых потребностей в научно-исследовательской работе и завершать исследования до начала разработки но</w:t>
      </w:r>
      <w:r w:rsidR="00B26EBE" w:rsidRPr="00B26EBE">
        <w:t>р</w:t>
      </w:r>
      <w:r w:rsidR="00B26EBE" w:rsidRPr="00B26EBE">
        <w:t>мативного текста (часть В) любых ГТП ООН;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f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избегать</w:t>
      </w:r>
      <w:proofErr w:type="gramEnd"/>
      <w:r w:rsidR="00B26EBE" w:rsidRPr="00B26EBE">
        <w:t xml:space="preserve"> в целом инициирования работы над такими ГТП ООН, кот</w:t>
      </w:r>
      <w:r w:rsidR="00B26EBE" w:rsidRPr="00B26EBE">
        <w:t>о</w:t>
      </w:r>
      <w:r w:rsidR="00B26EBE" w:rsidRPr="00B26EBE">
        <w:t>рые сулят лишь незначительные преимущества или могут считаться низкопри</w:t>
      </w:r>
      <w:r w:rsidR="00B26EBE" w:rsidRPr="00B26EBE">
        <w:t>о</w:t>
      </w:r>
      <w:r w:rsidR="00B26EBE" w:rsidRPr="00B26EBE">
        <w:t>ритетными, которые могут не встретить поддержки со стороны одной или более ДС ввиду ограниченности ресурсов, либо которые способны утратить актуал</w:t>
      </w:r>
      <w:r w:rsidR="00B26EBE" w:rsidRPr="00B26EBE">
        <w:t>ь</w:t>
      </w:r>
      <w:r w:rsidR="00B26EBE" w:rsidRPr="00B26EBE">
        <w:t>ность в краткосрочной перспективе;</w:t>
      </w:r>
    </w:p>
    <w:p w:rsidR="00B26EBE" w:rsidRPr="00B26EBE" w:rsidRDefault="002B1521" w:rsidP="00B26EBE">
      <w:pPr>
        <w:pStyle w:val="SingleTxt"/>
      </w:pPr>
      <w:r>
        <w:lastRenderedPageBreak/>
        <w:tab/>
      </w:r>
      <w:r w:rsidR="00B26EBE" w:rsidRPr="00B26EBE">
        <w:rPr>
          <w:lang w:val="en-US"/>
        </w:rPr>
        <w:t>g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несмотря</w:t>
      </w:r>
      <w:proofErr w:type="gramEnd"/>
      <w:r w:rsidR="00B26EBE" w:rsidRPr="00B26EBE">
        <w:t xml:space="preserve"> на вышесказанное, признать необходимость поддержки и участия в работе, которая представляется низкоприоритетной для некоторых ДС, но имеет большую значимость для других.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B26EBE" w:rsidP="002B15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ab/>
      </w:r>
      <w:r w:rsidRPr="00B26EBE">
        <w:rPr>
          <w:lang w:val="en-US"/>
        </w:rPr>
        <w:t>B</w:t>
      </w:r>
      <w:r w:rsidRPr="00B26EBE">
        <w:t>.</w:t>
      </w:r>
      <w:r w:rsidRPr="00B26EBE">
        <w:tab/>
        <w:t>Совершенствование механизма управления процессом разработки ГТП ООН:</w:t>
      </w:r>
    </w:p>
    <w:p w:rsidR="002B1521" w:rsidRPr="00B517CC" w:rsidRDefault="002B1521" w:rsidP="002B1521">
      <w:pPr>
        <w:pStyle w:val="SingleTxt"/>
        <w:spacing w:after="0" w:line="120" w:lineRule="exact"/>
        <w:rPr>
          <w:sz w:val="10"/>
        </w:rPr>
      </w:pPr>
    </w:p>
    <w:p w:rsidR="002B1521" w:rsidRPr="00B517CC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a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устанавливать</w:t>
      </w:r>
      <w:proofErr w:type="gramEnd"/>
      <w:r w:rsidR="00B26EBE" w:rsidRPr="00B26EBE">
        <w:t xml:space="preserve"> четкие и предварительно согласованные положения о круге ведения (КВ), сроки и намечаемые результаты;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b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обеспечивать</w:t>
      </w:r>
      <w:proofErr w:type="gramEnd"/>
      <w:r w:rsidR="00B26EBE" w:rsidRPr="00B26EBE">
        <w:t xml:space="preserve"> выделение достаточных ресурсов, необходимых для з</w:t>
      </w:r>
      <w:r w:rsidR="00B26EBE" w:rsidRPr="00B26EBE">
        <w:t>а</w:t>
      </w:r>
      <w:r w:rsidR="00B26EBE" w:rsidRPr="00B26EBE">
        <w:t>вершения работы;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c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учитывать</w:t>
      </w:r>
      <w:proofErr w:type="gramEnd"/>
      <w:r w:rsidR="00B26EBE" w:rsidRPr="00B26EBE">
        <w:t xml:space="preserve"> и согласовывать законодательные ограничения, в том что касается стратегии и/или сроков;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d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регулярно</w:t>
      </w:r>
      <w:proofErr w:type="gramEnd"/>
      <w:r w:rsidR="00B26EBE" w:rsidRPr="00B26EBE">
        <w:t xml:space="preserve"> проводить совещания высокого уровня для оценки дости</w:t>
      </w:r>
      <w:r w:rsidR="00B26EBE" w:rsidRPr="00B26EBE">
        <w:t>г</w:t>
      </w:r>
      <w:r w:rsidR="00B26EBE" w:rsidRPr="00B26EBE">
        <w:t>нутого прогресса и решения возникающих проблем;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e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обеспечивать</w:t>
      </w:r>
      <w:proofErr w:type="gramEnd"/>
      <w:r w:rsidR="00B26EBE" w:rsidRPr="00B26EBE">
        <w:t xml:space="preserve"> соблюдение предусмотренных Соглашением 1998 года требований в отношении основанных на полученных данных и подкрепленных результатами анализа преамбул, надежных вспомогательных да</w:t>
      </w:r>
      <w:r w:rsidR="00B26EBE" w:rsidRPr="00B26EBE">
        <w:t>н</w:t>
      </w:r>
      <w:r w:rsidR="00B26EBE" w:rsidRPr="00B26EBE">
        <w:t>ных/исследований и анализов эффективности затрат;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f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прилагать</w:t>
      </w:r>
      <w:proofErr w:type="gramEnd"/>
      <w:r w:rsidR="00B26EBE" w:rsidRPr="00B26EBE">
        <w:t xml:space="preserve"> особые усилия по содействию проведению заседаний раб</w:t>
      </w:r>
      <w:r w:rsidR="00B26EBE" w:rsidRPr="00B26EBE">
        <w:t>о</w:t>
      </w:r>
      <w:r w:rsidR="00B26EBE" w:rsidRPr="00B26EBE">
        <w:t xml:space="preserve">чей группы и совещаний экспертов за счет обеспечения </w:t>
      </w:r>
      <w:proofErr w:type="spellStart"/>
      <w:r w:rsidR="00B26EBE" w:rsidRPr="00B26EBE">
        <w:t>видеоконференционной</w:t>
      </w:r>
      <w:proofErr w:type="spellEnd"/>
      <w:r w:rsidR="00B26EBE" w:rsidRPr="00B26EBE">
        <w:t xml:space="preserve"> связи в целях сокращения путевых расходов и времени проезда, а также ускор</w:t>
      </w:r>
      <w:r w:rsidR="00B26EBE" w:rsidRPr="00B26EBE">
        <w:t>е</w:t>
      </w:r>
      <w:r w:rsidR="00B26EBE" w:rsidRPr="00B26EBE">
        <w:t>ния процесса решения возникающих проблем;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g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добиваться</w:t>
      </w:r>
      <w:proofErr w:type="gramEnd"/>
      <w:r w:rsidR="00B26EBE" w:rsidRPr="00B26EBE">
        <w:t xml:space="preserve"> достижения договоренности относительно приостановл</w:t>
      </w:r>
      <w:r w:rsidR="00B26EBE" w:rsidRPr="00B26EBE">
        <w:t>е</w:t>
      </w:r>
      <w:r w:rsidR="00B26EBE" w:rsidRPr="00B26EBE">
        <w:t>ния работы над такими ГТП ООН, которые стали низкоприоритетными и менее значимыми либо которые могут не встретить поддержки со стороны ДС ввиду ограниченности ресурсов;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h</w:t>
      </w:r>
      <w:r w:rsidR="00B26EBE" w:rsidRPr="00B26EBE">
        <w:t>)</w:t>
      </w:r>
      <w:r w:rsidR="00B26EBE" w:rsidRPr="00B26EBE">
        <w:tab/>
        <w:t>добиваться сведения использования вариантов и/или модулей в ГТП ООН к минимуму с целью ограничения, по возможности, вариантов собл</w:t>
      </w:r>
      <w:r w:rsidR="00B26EBE" w:rsidRPr="00B26EBE">
        <w:t>ю</w:t>
      </w:r>
      <w:r w:rsidR="00B26EBE" w:rsidRPr="00B26EBE">
        <w:t>дения, не исключая, однако, их необходимости в весьма ограниченном числе случаев, включая учет различий в испытательном оборудовании или наличии и</w:t>
      </w:r>
      <w:r w:rsidR="00B26EBE" w:rsidRPr="00B26EBE">
        <w:t>с</w:t>
      </w:r>
      <w:r w:rsidR="00B26EBE" w:rsidRPr="00B26EBE">
        <w:t>пытательных объектов;</w:t>
      </w:r>
    </w:p>
    <w:p w:rsidR="00B26EBE" w:rsidRPr="00B26EBE" w:rsidRDefault="002B1521" w:rsidP="00B26EBE">
      <w:pPr>
        <w:pStyle w:val="SingleTxt"/>
      </w:pPr>
      <w:r>
        <w:tab/>
      </w:r>
      <w:proofErr w:type="spellStart"/>
      <w:r w:rsidR="00B26EBE" w:rsidRPr="00B26EBE">
        <w:rPr>
          <w:lang w:val="en-US"/>
        </w:rPr>
        <w:t>i</w:t>
      </w:r>
      <w:proofErr w:type="spellEnd"/>
      <w:r w:rsidR="00B26EBE" w:rsidRPr="00B26EBE">
        <w:t>)</w:t>
      </w:r>
      <w:r w:rsidR="00B26EBE" w:rsidRPr="00B26EBE">
        <w:tab/>
      </w:r>
      <w:proofErr w:type="gramStart"/>
      <w:r w:rsidR="00B26EBE" w:rsidRPr="00B26EBE">
        <w:t>признать</w:t>
      </w:r>
      <w:proofErr w:type="gramEnd"/>
      <w:r w:rsidR="00B26EBE" w:rsidRPr="00B26EBE">
        <w:t xml:space="preserve"> необходимость введения альтернативных уровней жесткости.</w:t>
      </w: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2B1521" w:rsidRPr="002B1521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B26EBE" w:rsidP="002B152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ab/>
      </w:r>
      <w:r w:rsidRPr="00B26EBE">
        <w:rPr>
          <w:lang w:val="en-US"/>
        </w:rPr>
        <w:t>C</w:t>
      </w:r>
      <w:r w:rsidRPr="00B26EBE">
        <w:t>.</w:t>
      </w:r>
      <w:r w:rsidRPr="00B26EBE">
        <w:tab/>
        <w:t xml:space="preserve">Совершенствование процесса принятия ГТП ООН </w:t>
      </w:r>
      <w:r w:rsidR="002B1521">
        <w:br/>
      </w:r>
      <w:r w:rsidRPr="00B26EBE">
        <w:t>на национальном/региональном уровне:</w:t>
      </w:r>
    </w:p>
    <w:p w:rsidR="002B1521" w:rsidRPr="00B517CC" w:rsidRDefault="002B1521" w:rsidP="002B1521">
      <w:pPr>
        <w:pStyle w:val="SingleTxt"/>
        <w:spacing w:after="0" w:line="120" w:lineRule="exact"/>
        <w:rPr>
          <w:sz w:val="10"/>
        </w:rPr>
      </w:pPr>
    </w:p>
    <w:p w:rsidR="002B1521" w:rsidRPr="00B517CC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a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привлекать</w:t>
      </w:r>
      <w:proofErr w:type="gramEnd"/>
      <w:r w:rsidR="00B26EBE" w:rsidRPr="00B26EBE">
        <w:t xml:space="preserve"> к процессу разработки ГТП ООН на всех этапах все заи</w:t>
      </w:r>
      <w:r w:rsidR="00B26EBE" w:rsidRPr="00B26EBE">
        <w:t>н</w:t>
      </w:r>
      <w:r w:rsidR="00B26EBE" w:rsidRPr="00B26EBE">
        <w:t>тересованные стороны (включая общественность);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b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обеспечивать</w:t>
      </w:r>
      <w:proofErr w:type="gramEnd"/>
      <w:r w:rsidR="00B26EBE" w:rsidRPr="00B26EBE">
        <w:t xml:space="preserve"> выделение достаточных ресурсов, необходимых для з</w:t>
      </w:r>
      <w:r w:rsidR="00B26EBE" w:rsidRPr="00B26EBE">
        <w:t>а</w:t>
      </w:r>
      <w:r w:rsidR="00B26EBE" w:rsidRPr="00B26EBE">
        <w:t>вершения процесса принятия;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c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своевременно</w:t>
      </w:r>
      <w:proofErr w:type="gramEnd"/>
      <w:r w:rsidR="00B26EBE" w:rsidRPr="00B26EBE">
        <w:t xml:space="preserve"> представлять годовые доклады о ходе работы, включая описание принятых мер по включению ГТП ООН в национальное законодател</w:t>
      </w:r>
      <w:r w:rsidR="00B26EBE" w:rsidRPr="00B26EBE">
        <w:t>ь</w:t>
      </w:r>
      <w:r w:rsidR="00B26EBE" w:rsidRPr="00B26EBE">
        <w:t>ство;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d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согласовать</w:t>
      </w:r>
      <w:proofErr w:type="gramEnd"/>
      <w:r w:rsidR="00B26EBE" w:rsidRPr="00B26EBE">
        <w:t xml:space="preserve"> общую цель обеспечения максимального уровня включ</w:t>
      </w:r>
      <w:r w:rsidR="00B26EBE" w:rsidRPr="00B26EBE">
        <w:t>е</w:t>
      </w:r>
      <w:r w:rsidR="00B26EBE" w:rsidRPr="00B26EBE">
        <w:t>ния ГТП и твердо придерживаться этой цели;</w:t>
      </w:r>
    </w:p>
    <w:p w:rsidR="00B26EBE" w:rsidRPr="00B26EBE" w:rsidRDefault="002B1521" w:rsidP="00B26EBE">
      <w:pPr>
        <w:pStyle w:val="SingleTxt"/>
      </w:pPr>
      <w:r>
        <w:lastRenderedPageBreak/>
        <w:tab/>
      </w:r>
      <w:r w:rsidR="00B26EBE" w:rsidRPr="00B26EBE">
        <w:rPr>
          <w:lang w:val="en-US"/>
        </w:rPr>
        <w:t>e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проанализировать</w:t>
      </w:r>
      <w:proofErr w:type="gramEnd"/>
      <w:r w:rsidR="00B26EBE" w:rsidRPr="00B26EBE">
        <w:t xml:space="preserve"> меры по обеспечению более тесной привязки нац</w:t>
      </w:r>
      <w:r w:rsidR="00B26EBE" w:rsidRPr="00B26EBE">
        <w:t>и</w:t>
      </w:r>
      <w:r w:rsidR="00B26EBE" w:rsidRPr="00B26EBE">
        <w:t>онального механизма введения нормативных положений к достижению выш</w:t>
      </w:r>
      <w:r w:rsidR="00B26EBE" w:rsidRPr="00B26EBE">
        <w:t>е</w:t>
      </w:r>
      <w:r w:rsidR="00B26EBE" w:rsidRPr="00B26EBE">
        <w:t>упомянутой цели;</w:t>
      </w:r>
    </w:p>
    <w:p w:rsidR="00B26EBE" w:rsidRPr="00B26EBE" w:rsidRDefault="002B1521" w:rsidP="00B26EBE">
      <w:pPr>
        <w:pStyle w:val="SingleTxt"/>
      </w:pPr>
      <w:r>
        <w:tab/>
      </w:r>
      <w:r w:rsidR="00B26EBE" w:rsidRPr="00B26EBE">
        <w:rPr>
          <w:lang w:val="en-US"/>
        </w:rPr>
        <w:t>f</w:t>
      </w:r>
      <w:r w:rsidR="00B26EBE" w:rsidRPr="00B26EBE">
        <w:t>)</w:t>
      </w:r>
      <w:r w:rsidR="00B26EBE" w:rsidRPr="00B26EBE">
        <w:tab/>
      </w:r>
      <w:proofErr w:type="gramStart"/>
      <w:r w:rsidR="00B26EBE" w:rsidRPr="00B26EBE">
        <w:t>признать</w:t>
      </w:r>
      <w:proofErr w:type="gramEnd"/>
      <w:r w:rsidR="00B26EBE" w:rsidRPr="00B26EBE">
        <w:t xml:space="preserve"> необходимость введения альтернативных уровней жесткости применительно к национальному законодательству.</w:t>
      </w:r>
    </w:p>
    <w:p w:rsidR="00B26EBE" w:rsidRPr="00B26EBE" w:rsidRDefault="00B26EBE" w:rsidP="002B15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br w:type="page"/>
      </w:r>
      <w:r w:rsidRPr="00B26EBE">
        <w:lastRenderedPageBreak/>
        <w:tab/>
        <w:t xml:space="preserve">Добавление </w:t>
      </w:r>
      <w:r w:rsidRPr="00B26EBE">
        <w:rPr>
          <w:lang w:val="en-US"/>
        </w:rPr>
        <w:t>I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Первоначальная программа работы в рамках Соглашения 1998 года (утверждена в марте 2002 года):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GRE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Установка устройств освещения и световой сигнализации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GRRF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Тормозные системы мотоциклов</w:t>
      </w:r>
    </w:p>
    <w:p w:rsidR="00B26EBE" w:rsidRPr="00B26EBE" w:rsidRDefault="00B26EBE" w:rsidP="00B26EBE">
      <w:pPr>
        <w:pStyle w:val="SingleTxt"/>
      </w:pPr>
      <w:r w:rsidRPr="00B26EBE">
        <w:t>Тормозные системы пассажирских транспортных средств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GRSG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 xml:space="preserve">Безопасные </w:t>
      </w:r>
      <w:proofErr w:type="spellStart"/>
      <w:r w:rsidRPr="00B26EBE">
        <w:t>стекловые</w:t>
      </w:r>
      <w:proofErr w:type="spellEnd"/>
      <w:r w:rsidRPr="00B26EBE">
        <w:t xml:space="preserve"> материалы</w:t>
      </w:r>
    </w:p>
    <w:p w:rsidR="00B26EBE" w:rsidRPr="00B26EBE" w:rsidRDefault="00B26EBE" w:rsidP="00B26EBE">
      <w:pPr>
        <w:pStyle w:val="SingleTxt"/>
      </w:pPr>
      <w:r w:rsidRPr="00B26EBE">
        <w:t>Органы управления и индикаторы</w:t>
      </w:r>
    </w:p>
    <w:p w:rsidR="00B26EBE" w:rsidRPr="00B26EBE" w:rsidRDefault="00B26EBE" w:rsidP="00B26EBE">
      <w:pPr>
        <w:pStyle w:val="SingleTxt"/>
      </w:pPr>
      <w:r w:rsidRPr="00B26EBE">
        <w:t>Классификация транспортных средств, массы и размеры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GRSP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 xml:space="preserve">Безопасность пешеходов </w:t>
      </w:r>
    </w:p>
    <w:p w:rsidR="00B26EBE" w:rsidRPr="00B26EBE" w:rsidRDefault="00B26EBE" w:rsidP="00B26EBE">
      <w:pPr>
        <w:pStyle w:val="SingleTxt"/>
      </w:pPr>
      <w:r w:rsidRPr="00B26EBE">
        <w:t>Нижние крепления и ремни для детских удерживающих сидений</w:t>
      </w:r>
    </w:p>
    <w:p w:rsidR="00B26EBE" w:rsidRPr="00B26EBE" w:rsidRDefault="00B26EBE" w:rsidP="00B26EBE">
      <w:pPr>
        <w:pStyle w:val="SingleTxt"/>
      </w:pPr>
      <w:r w:rsidRPr="00B26EBE">
        <w:t xml:space="preserve">Элементы крепления дверей </w:t>
      </w:r>
    </w:p>
    <w:p w:rsidR="00B26EBE" w:rsidRPr="00B26EBE" w:rsidRDefault="00B26EBE" w:rsidP="00B26EBE">
      <w:pPr>
        <w:pStyle w:val="SingleTxt"/>
      </w:pPr>
      <w:r w:rsidRPr="00B26EBE">
        <w:t>Подголовники</w:t>
      </w:r>
    </w:p>
    <w:p w:rsidR="002B1521" w:rsidRPr="00B517CC" w:rsidRDefault="002B1521" w:rsidP="002B1521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2B1521" w:rsidP="002B1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GRPE</w:t>
      </w:r>
    </w:p>
    <w:p w:rsidR="002B1521" w:rsidRPr="002B1521" w:rsidRDefault="002B1521" w:rsidP="002B1521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Всемирная процедура сертификации двигателей большой мощности (ВСДБ)</w:t>
      </w:r>
    </w:p>
    <w:p w:rsidR="00B26EBE" w:rsidRPr="00B26EBE" w:rsidRDefault="00B26EBE" w:rsidP="00B26EBE">
      <w:pPr>
        <w:pStyle w:val="SingleTxt"/>
      </w:pPr>
      <w:r w:rsidRPr="00B26EBE">
        <w:t xml:space="preserve">Всемирный цикл испытаний мотоциклов на выбросы загрязняющих веществ (ВЦИМ) </w:t>
      </w:r>
    </w:p>
    <w:p w:rsidR="00B26EBE" w:rsidRPr="00B26EBE" w:rsidRDefault="00B26EBE" w:rsidP="00B26EBE">
      <w:pPr>
        <w:pStyle w:val="SingleTxt"/>
      </w:pPr>
      <w:r w:rsidRPr="00B26EBE">
        <w:t xml:space="preserve">БД (двигатели большой мощности) </w:t>
      </w:r>
    </w:p>
    <w:p w:rsidR="00B26EBE" w:rsidRPr="00B26EBE" w:rsidRDefault="00B26EBE" w:rsidP="00B26EBE">
      <w:pPr>
        <w:pStyle w:val="SingleTxt"/>
      </w:pPr>
      <w:r w:rsidRPr="00B26EBE">
        <w:t xml:space="preserve">Выбросы вне цикла испытаний  </w:t>
      </w:r>
    </w:p>
    <w:p w:rsidR="00B26EBE" w:rsidRPr="00B26EBE" w:rsidRDefault="00B26EBE" w:rsidP="00B26EBE">
      <w:pPr>
        <w:pStyle w:val="SingleTxt"/>
      </w:pPr>
      <w:r w:rsidRPr="00B26EBE">
        <w:t xml:space="preserve">Внедорожная подвижная техника  (испытание на выбросы ТЧ) </w:t>
      </w:r>
    </w:p>
    <w:p w:rsidR="00B26EBE" w:rsidRPr="00B26EBE" w:rsidRDefault="00B26EBE" w:rsidP="00B26EBE">
      <w:pPr>
        <w:pStyle w:val="SingleTxt"/>
      </w:pPr>
      <w:r w:rsidRPr="00B26EBE">
        <w:t>Пункты для обмена мнениями и данными</w:t>
      </w:r>
    </w:p>
    <w:p w:rsidR="002B1521" w:rsidRPr="005A5915" w:rsidRDefault="002B1521" w:rsidP="005A5915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5A5915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GRRF</w:t>
      </w:r>
    </w:p>
    <w:p w:rsidR="002B1521" w:rsidRPr="005A5915" w:rsidRDefault="002B1521" w:rsidP="005A5915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Шины</w:t>
      </w:r>
    </w:p>
    <w:p w:rsidR="002B1521" w:rsidRPr="005A5915" w:rsidRDefault="002B1521" w:rsidP="005A5915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5A5915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GRSG</w:t>
      </w:r>
    </w:p>
    <w:p w:rsidR="002B1521" w:rsidRPr="005A5915" w:rsidRDefault="002B1521" w:rsidP="005A5915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Поле обзора</w:t>
      </w:r>
    </w:p>
    <w:p w:rsidR="002B1521" w:rsidRPr="005A5915" w:rsidRDefault="002B1521" w:rsidP="005A5915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5A5915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GRSP</w:t>
      </w:r>
    </w:p>
    <w:p w:rsidR="002B1521" w:rsidRPr="005A5915" w:rsidRDefault="002B1521" w:rsidP="005A5915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Манекен, предназначенный для испытания на боковой удар</w:t>
      </w:r>
    </w:p>
    <w:p w:rsidR="00B26EBE" w:rsidRPr="00B26EBE" w:rsidRDefault="00B26EBE" w:rsidP="00B26EBE">
      <w:pPr>
        <w:pStyle w:val="SingleTxt"/>
      </w:pPr>
      <w:r w:rsidRPr="00B26EBE">
        <w:t>Совместимость</w:t>
      </w:r>
    </w:p>
    <w:p w:rsidR="002B1521" w:rsidRPr="005A5915" w:rsidRDefault="002B1521" w:rsidP="005A5915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B517CC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5A5915">
        <w:lastRenderedPageBreak/>
        <w:tab/>
      </w:r>
      <w:r w:rsidR="005A5915">
        <w:tab/>
      </w:r>
      <w:r w:rsidR="00B26EBE" w:rsidRPr="00B26EBE">
        <w:rPr>
          <w:lang w:val="en-US"/>
        </w:rPr>
        <w:t>GRPE</w:t>
      </w:r>
    </w:p>
    <w:p w:rsidR="005A5915" w:rsidRPr="005A5915" w:rsidRDefault="005A5915" w:rsidP="005A5915">
      <w:pPr>
        <w:pStyle w:val="SingleTxt"/>
        <w:spacing w:after="0" w:line="120" w:lineRule="exact"/>
        <w:rPr>
          <w:sz w:val="10"/>
        </w:rPr>
      </w:pPr>
    </w:p>
    <w:p w:rsidR="00B26EBE" w:rsidRPr="00B26EBE" w:rsidRDefault="005A5915" w:rsidP="00B26EBE">
      <w:pPr>
        <w:pStyle w:val="SingleTxt"/>
      </w:pPr>
      <w:r>
        <w:t>Т</w:t>
      </w:r>
      <w:r w:rsidR="00B26EBE" w:rsidRPr="00B26EBE">
        <w:t>опливные элементы</w:t>
      </w:r>
    </w:p>
    <w:p w:rsidR="00B26EBE" w:rsidRPr="00B26EBE" w:rsidRDefault="00B26EBE" w:rsidP="00B26EBE">
      <w:pPr>
        <w:pStyle w:val="SingleTxt"/>
      </w:pPr>
      <w:r w:rsidRPr="00B26EBE">
        <w:t>Всемирные процедуры испытания транспортных средств малой грузоподъемн</w:t>
      </w:r>
      <w:r w:rsidRPr="00B26EBE">
        <w:t>о</w:t>
      </w:r>
      <w:r w:rsidRPr="00B26EBE">
        <w:t>сти (ВПИМ)</w:t>
      </w:r>
    </w:p>
    <w:p w:rsidR="002B1521" w:rsidRPr="005A5915" w:rsidRDefault="002B1521" w:rsidP="005A5915">
      <w:pPr>
        <w:pStyle w:val="SingleTxt"/>
        <w:spacing w:after="0" w:line="120" w:lineRule="exact"/>
        <w:rPr>
          <w:b/>
          <w:sz w:val="10"/>
        </w:rPr>
      </w:pPr>
    </w:p>
    <w:p w:rsidR="00B26EBE" w:rsidRPr="00B26EBE" w:rsidRDefault="005A5915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26EBE" w:rsidRPr="00B26EBE">
        <w:rPr>
          <w:lang w:val="en-US"/>
        </w:rPr>
        <w:t>WP</w:t>
      </w:r>
      <w:r w:rsidR="00B26EBE" w:rsidRPr="00B26EBE">
        <w:t>.29</w:t>
      </w:r>
    </w:p>
    <w:p w:rsidR="002B1521" w:rsidRPr="005A5915" w:rsidRDefault="002B1521" w:rsidP="005A5915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B26EBE">
      <w:pPr>
        <w:pStyle w:val="SingleTxt"/>
      </w:pPr>
      <w:r w:rsidRPr="00B26EBE">
        <w:t>Интеллектуальные системы управления движением</w:t>
      </w:r>
    </w:p>
    <w:p w:rsidR="00B26EBE" w:rsidRPr="00B26EBE" w:rsidRDefault="002B1521" w:rsidP="005A59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26EBE" w:rsidRPr="00B26EBE">
        <w:lastRenderedPageBreak/>
        <w:tab/>
        <w:t xml:space="preserve">Добавление </w:t>
      </w:r>
      <w:r w:rsidR="00B26EBE" w:rsidRPr="00B26EBE">
        <w:rPr>
          <w:lang w:val="en-US"/>
        </w:rPr>
        <w:t>II</w:t>
      </w:r>
      <w:r w:rsidR="00B26EBE" w:rsidRPr="00B26EBE">
        <w:t xml:space="preserve"> </w:t>
      </w:r>
    </w:p>
    <w:p w:rsidR="005A5915" w:rsidRPr="005A5915" w:rsidRDefault="005A5915" w:rsidP="005A5915">
      <w:pPr>
        <w:pStyle w:val="SingleTxt"/>
        <w:spacing w:after="0" w:line="120" w:lineRule="exact"/>
        <w:rPr>
          <w:sz w:val="10"/>
        </w:rPr>
      </w:pPr>
    </w:p>
    <w:p w:rsidR="005A5915" w:rsidRPr="005A5915" w:rsidRDefault="005A5915" w:rsidP="005A5915">
      <w:pPr>
        <w:pStyle w:val="SingleTxt"/>
        <w:spacing w:after="0" w:line="120" w:lineRule="exact"/>
        <w:rPr>
          <w:sz w:val="10"/>
        </w:rPr>
      </w:pPr>
    </w:p>
    <w:p w:rsidR="00B26EBE" w:rsidRPr="00B26EBE" w:rsidRDefault="005A5915" w:rsidP="00B26EBE">
      <w:pPr>
        <w:pStyle w:val="SingleTxt"/>
      </w:pPr>
      <w:r>
        <w:tab/>
      </w:r>
      <w:r w:rsidR="00B26EBE" w:rsidRPr="00B26EBE">
        <w:t>Нынешняя программа работы в рамках Соглашения 1998 года охватывает следующие направления деятельности (по состоянию на 26 июня 2014 года):</w:t>
      </w:r>
    </w:p>
    <w:p w:rsidR="005A5915" w:rsidRPr="00B517CC" w:rsidRDefault="005A5915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26EBE" w:rsidRDefault="00B26EBE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rPr>
          <w:lang w:val="en-GB"/>
        </w:rPr>
        <w:t>GRRF</w:t>
      </w:r>
      <w:r w:rsidRPr="00B26EBE">
        <w:t xml:space="preserve"> </w:t>
      </w:r>
    </w:p>
    <w:p w:rsidR="005A5915" w:rsidRPr="005A5915" w:rsidRDefault="005A5915" w:rsidP="005A5915">
      <w:pPr>
        <w:pStyle w:val="SingleTxt"/>
        <w:spacing w:after="0" w:line="120" w:lineRule="exact"/>
        <w:rPr>
          <w:sz w:val="10"/>
        </w:rPr>
      </w:pP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080"/>
        <w:gridCol w:w="1800"/>
        <w:gridCol w:w="1710"/>
        <w:gridCol w:w="2940"/>
      </w:tblGrid>
      <w:tr w:rsidR="00B26EBE" w:rsidTr="00DB30FA">
        <w:trPr>
          <w:trHeight w:val="603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Пункт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Неофициал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 xml:space="preserve">ная группа </w:t>
            </w:r>
            <w:r w:rsidR="00DB30F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(Да-Нет)/</w:t>
            </w:r>
            <w:r>
              <w:rPr>
                <w:i/>
                <w:sz w:val="16"/>
                <w:szCs w:val="16"/>
              </w:rPr>
              <w:br/>
              <w:t>Председатель и заместитель Председателя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DB30FA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Технический спонсор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Официальное </w:t>
            </w:r>
            <w:r w:rsidR="005A5915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пред</w:t>
            </w:r>
            <w:r w:rsidR="005A5915">
              <w:rPr>
                <w:i/>
                <w:sz w:val="16"/>
                <w:szCs w:val="16"/>
              </w:rPr>
              <w:t>ложение (ECE/TRANS/</w:t>
            </w:r>
            <w:r>
              <w:rPr>
                <w:i/>
                <w:sz w:val="16"/>
                <w:szCs w:val="16"/>
              </w:rPr>
              <w:t>WP.29/…)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Предложение </w:t>
            </w:r>
            <w:r w:rsidR="00B517C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по проекту ГТП ООН (ECE/TRANS/WP.29/.</w:t>
            </w:r>
            <w:r w:rsidR="005A5915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5A5915" w:rsidRDefault="00B26EBE" w:rsidP="00DB30F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Состояние дел/Замечания</w:t>
            </w:r>
          </w:p>
        </w:tc>
      </w:tr>
      <w:tr w:rsidR="00B26EBE" w:rsidTr="00DB30FA"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Поправка 2 </w:t>
            </w:r>
            <w:r>
              <w:rPr>
                <w:spacing w:val="-2"/>
                <w:sz w:val="18"/>
                <w:szCs w:val="18"/>
              </w:rPr>
              <w:t xml:space="preserve">к ГТП № 3 ООН </w:t>
            </w:r>
            <w:r>
              <w:rPr>
                <w:sz w:val="18"/>
                <w:szCs w:val="18"/>
              </w:rPr>
              <w:t>(тормозные системы мот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циклов)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Pr="005A591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2015/38 </w:t>
            </w:r>
          </w:p>
          <w:p w:rsidR="00B26EBE" w:rsidRPr="005A591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2015/39 (доклад)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 w:rsidP="00937D75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своей сессии в марте 2015 года AC.3 ввел поправку 2 </w:t>
            </w:r>
            <w:r>
              <w:rPr>
                <w:spacing w:val="-2"/>
                <w:sz w:val="18"/>
                <w:szCs w:val="18"/>
              </w:rPr>
              <w:t>к ГТП № 3 ООН</w:t>
            </w:r>
            <w:r>
              <w:rPr>
                <w:sz w:val="18"/>
                <w:szCs w:val="18"/>
              </w:rPr>
              <w:t xml:space="preserve"> в Глобальный регистр.</w:t>
            </w:r>
          </w:p>
        </w:tc>
      </w:tr>
    </w:tbl>
    <w:p w:rsidR="00B26EBE" w:rsidRPr="005A5915" w:rsidRDefault="00B26EBE" w:rsidP="005A5915">
      <w:pPr>
        <w:pStyle w:val="SingleTxt"/>
        <w:spacing w:after="0" w:line="120" w:lineRule="exact"/>
        <w:rPr>
          <w:sz w:val="10"/>
        </w:rPr>
      </w:pPr>
    </w:p>
    <w:p w:rsidR="005A5915" w:rsidRPr="005A5915" w:rsidRDefault="005A5915" w:rsidP="005A5915">
      <w:pPr>
        <w:pStyle w:val="SingleTxt"/>
        <w:spacing w:after="0" w:line="120" w:lineRule="exact"/>
        <w:rPr>
          <w:sz w:val="10"/>
        </w:rPr>
      </w:pPr>
    </w:p>
    <w:p w:rsidR="00B26EBE" w:rsidRDefault="00B26EBE" w:rsidP="005A5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>GRSP</w:t>
      </w:r>
    </w:p>
    <w:p w:rsidR="005A5915" w:rsidRPr="005A5915" w:rsidRDefault="005A5915" w:rsidP="005A5915">
      <w:pPr>
        <w:pStyle w:val="SingleTxt"/>
        <w:spacing w:after="0" w:line="120" w:lineRule="exact"/>
        <w:rPr>
          <w:sz w:val="10"/>
        </w:rPr>
      </w:pP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080"/>
        <w:gridCol w:w="1800"/>
        <w:gridCol w:w="1710"/>
        <w:gridCol w:w="2940"/>
      </w:tblGrid>
      <w:tr w:rsidR="00B26EBE" w:rsidTr="00DB30FA">
        <w:trPr>
          <w:trHeight w:val="1012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Пункт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Неофициал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 xml:space="preserve">ная группа </w:t>
            </w:r>
            <w:r w:rsidR="00DB30F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(Да-Нет)/</w:t>
            </w:r>
            <w:r>
              <w:rPr>
                <w:i/>
                <w:sz w:val="16"/>
                <w:szCs w:val="16"/>
              </w:rPr>
              <w:br/>
              <w:t>Председатель и заместитель Председателя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DB30FA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Технический спонсор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Официальное </w:t>
            </w:r>
            <w:r w:rsidR="00937D75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предло</w:t>
            </w:r>
            <w:r w:rsidR="00937D75">
              <w:rPr>
                <w:i/>
                <w:sz w:val="16"/>
                <w:szCs w:val="16"/>
              </w:rPr>
              <w:t>жение (ECE/TRANS/</w:t>
            </w:r>
            <w:r>
              <w:rPr>
                <w:i/>
                <w:sz w:val="16"/>
                <w:szCs w:val="16"/>
              </w:rPr>
              <w:t>WP.29/…)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Предложение </w:t>
            </w:r>
            <w:r w:rsidR="00B517C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по проекту ГТП ООН (ECE/TRANS/WP.29/.</w:t>
            </w:r>
            <w:r w:rsidR="005A5915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5A5915" w:rsidRDefault="00B26EBE" w:rsidP="00DB30F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Состояние дел/Замечания</w:t>
            </w:r>
          </w:p>
        </w:tc>
      </w:tr>
      <w:tr w:rsidR="00B26EBE" w:rsidTr="00DB30FA">
        <w:trPr>
          <w:trHeight w:val="642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2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ботки ГТП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№ 7 ООН</w:t>
            </w:r>
            <w:r>
              <w:rPr>
                <w:sz w:val="18"/>
                <w:szCs w:val="18"/>
              </w:rPr>
              <w:br/>
              <w:t>(подголовн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Pr="005A591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</w:t>
            </w:r>
            <w:r w:rsidR="00937D7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Соединенное Королевство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Япония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AC.3/25/Rev.1</w:t>
            </w:r>
          </w:p>
          <w:p w:rsidR="00B26EBE" w:rsidRPr="005A591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2014/86</w:t>
            </w:r>
          </w:p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(четвертый доклад о ходе работы)</w:t>
            </w:r>
          </w:p>
          <w:p w:rsidR="00B26EBE" w:rsidRPr="00DB30FA" w:rsidRDefault="00B26EBE">
            <w:pPr>
              <w:spacing w:before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GRSP/2013/24</w:t>
            </w:r>
          </w:p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(проект ГТП ООН)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Default="00B26EBE" w:rsidP="00937D75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GRSP, как ожидается, рассмотрит неофициальное предложение, охватывающее все вопросы, вкл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чая проект добавления 1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ОР.1, </w:t>
            </w:r>
            <w:r w:rsidR="00937D7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на своей сессии в декабре 2015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да. AC.3 решил продлить мандат НРГ до декабря 2016 года.</w:t>
            </w:r>
          </w:p>
        </w:tc>
      </w:tr>
      <w:tr w:rsidR="00B26EBE" w:rsidTr="00DB30FA">
        <w:trPr>
          <w:cantSplit/>
          <w:trHeight w:val="8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937D75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2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ботки ГТП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№ 9 ООН (</w:t>
            </w:r>
            <w:proofErr w:type="spellStart"/>
            <w:r>
              <w:rPr>
                <w:sz w:val="18"/>
                <w:szCs w:val="18"/>
              </w:rPr>
              <w:t>Flex</w:t>
            </w:r>
            <w:proofErr w:type="spellEnd"/>
            <w:r>
              <w:rPr>
                <w:sz w:val="18"/>
                <w:szCs w:val="18"/>
              </w:rPr>
              <w:t>-PLI)</w:t>
            </w:r>
            <w:r w:rsidR="00937D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ность пеш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ходов)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</w:t>
            </w:r>
            <w:r>
              <w:rPr>
                <w:sz w:val="18"/>
                <w:szCs w:val="18"/>
              </w:rPr>
              <w:br/>
              <w:t>Германия/</w:t>
            </w:r>
            <w:r>
              <w:rPr>
                <w:sz w:val="18"/>
                <w:szCs w:val="18"/>
              </w:rPr>
              <w:br/>
              <w:t>Япония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Германия/</w:t>
            </w:r>
            <w:r>
              <w:rPr>
                <w:sz w:val="18"/>
                <w:szCs w:val="18"/>
              </w:rPr>
              <w:br/>
              <w:t>Япония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fr-FR"/>
              </w:rPr>
              <w:t>GRSP</w:t>
            </w:r>
            <w:r>
              <w:rPr>
                <w:bCs/>
                <w:sz w:val="18"/>
                <w:szCs w:val="18"/>
              </w:rPr>
              <w:t>/2014/15</w:t>
            </w:r>
            <w:r>
              <w:rPr>
                <w:bCs/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>проект ГТП ООН</w:t>
            </w:r>
            <w:r>
              <w:rPr>
                <w:bCs/>
                <w:sz w:val="18"/>
                <w:szCs w:val="18"/>
              </w:rPr>
              <w:t>)</w:t>
            </w:r>
          </w:p>
          <w:p w:rsidR="00B26EBE" w:rsidRDefault="00B26EBE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GRSP</w:t>
            </w:r>
            <w:r>
              <w:t>/2015/2</w:t>
            </w:r>
          </w:p>
          <w:p w:rsidR="00B26EBE" w:rsidRDefault="00B26EBE">
            <w:pPr>
              <w:spacing w:before="40" w:after="120" w:line="22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GRSP/2014/16</w:t>
            </w:r>
            <w:r>
              <w:rPr>
                <w:bCs/>
                <w:sz w:val="18"/>
                <w:szCs w:val="18"/>
              </w:rPr>
              <w:br/>
              <w:t xml:space="preserve">(пятый </w:t>
            </w:r>
            <w:r>
              <w:rPr>
                <w:sz w:val="18"/>
                <w:szCs w:val="18"/>
              </w:rPr>
              <w:t xml:space="preserve">доклад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 ходе работы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937D75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своей сессии в декабре 2015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да </w:t>
            </w:r>
            <w:r>
              <w:rPr>
                <w:bCs/>
                <w:sz w:val="18"/>
                <w:szCs w:val="18"/>
                <w:lang w:val="fr-FR"/>
              </w:rPr>
              <w:t>GRSP</w:t>
            </w:r>
            <w:r>
              <w:rPr>
                <w:bCs/>
                <w:sz w:val="18"/>
                <w:szCs w:val="18"/>
              </w:rPr>
              <w:t xml:space="preserve"> возобновит обсуждение вопроса о КЗОТ и проекта ГТП ООН, а также предложений, кас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 xml:space="preserve">ющихся испытания бампера. </w:t>
            </w:r>
            <w:r>
              <w:rPr>
                <w:sz w:val="18"/>
                <w:szCs w:val="18"/>
              </w:rPr>
              <w:t xml:space="preserve">AC.3 решил продлить мандат НРГ до декабря 2016 года. </w:t>
            </w:r>
          </w:p>
        </w:tc>
      </w:tr>
      <w:tr w:rsidR="00B26EBE" w:rsidTr="00DB30FA">
        <w:trPr>
          <w:trHeight w:val="71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937D75" w:rsidP="00937D75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Поправка</w:t>
            </w:r>
            <w:r w:rsidR="00B26EBE" w:rsidRPr="00DB30FA">
              <w:rPr>
                <w:sz w:val="18"/>
                <w:szCs w:val="18"/>
              </w:rPr>
              <w:t xml:space="preserve"> </w:t>
            </w:r>
            <w:r w:rsidR="00DB30FA">
              <w:rPr>
                <w:sz w:val="18"/>
                <w:szCs w:val="18"/>
              </w:rPr>
              <w:br/>
            </w:r>
            <w:r w:rsidR="00B26EBE">
              <w:rPr>
                <w:sz w:val="18"/>
                <w:szCs w:val="18"/>
              </w:rPr>
              <w:t>№</w:t>
            </w:r>
            <w:r w:rsidR="00B26EBE" w:rsidRPr="00DB30FA">
              <w:rPr>
                <w:sz w:val="18"/>
                <w:szCs w:val="18"/>
              </w:rPr>
              <w:t xml:space="preserve"> [3] к ГТП № 9 ООН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Нидерла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GRSP/2014/2</w:t>
            </w:r>
            <w:r>
              <w:rPr>
                <w:sz w:val="18"/>
                <w:szCs w:val="18"/>
              </w:rPr>
              <w:br/>
              <w:t>GRSP/2014/5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DB30FA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 рассмотрит пересмотренное предложение о точках соприкосн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вения ударных элементов модели головы на своей сессии в декабре 2015 года, которое касается эт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пов</w:t>
            </w:r>
            <w:r w:rsidR="00DB30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 и 2 ГТП ООН.</w:t>
            </w:r>
          </w:p>
        </w:tc>
      </w:tr>
      <w:tr w:rsidR="00B26EBE" w:rsidTr="00DB30FA">
        <w:trPr>
          <w:trHeight w:val="55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2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ботки ГТП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№ 13 ООН (ТСВТЭ)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26EBE" w:rsidRDefault="00B26EBE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937D75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сессии AC.3 в июне 2015 года не было представлено никакой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информации.</w:t>
            </w:r>
          </w:p>
        </w:tc>
      </w:tr>
      <w:tr w:rsidR="00B26EBE" w:rsidTr="00DB30FA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937D75" w:rsidRDefault="00B26EBE" w:rsidP="00DB30FA">
            <w:pPr>
              <w:pageBreakBefore/>
              <w:spacing w:before="40" w:after="120" w:line="220" w:lineRule="exact"/>
              <w:ind w:righ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ГТП № 14 ООН </w:t>
            </w:r>
            <w:r w:rsidR="00937D7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(БУС)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Австралия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Австралия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AC.3/28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937D75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сессии AC.3 в июне 2015 года не было представлено никакой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информации.</w:t>
            </w:r>
          </w:p>
        </w:tc>
      </w:tr>
      <w:tr w:rsidR="00B26EBE" w:rsidTr="00DB30FA">
        <w:trPr>
          <w:trHeight w:val="723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ГТП ООН, </w:t>
            </w:r>
            <w:proofErr w:type="gramStart"/>
            <w:r>
              <w:rPr>
                <w:sz w:val="18"/>
                <w:szCs w:val="18"/>
              </w:rPr>
              <w:t>касающиеся</w:t>
            </w:r>
            <w:proofErr w:type="gramEnd"/>
            <w:r>
              <w:rPr>
                <w:sz w:val="18"/>
                <w:szCs w:val="18"/>
              </w:rPr>
              <w:t xml:space="preserve"> БЭМ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Да/США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ЕС/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Япония/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Китай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ЕС/</w:t>
            </w:r>
            <w:r w:rsidR="00937D7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Япония/</w:t>
            </w:r>
            <w:r>
              <w:rPr>
                <w:sz w:val="18"/>
                <w:szCs w:val="18"/>
              </w:rPr>
              <w:br/>
              <w:t>США/</w:t>
            </w:r>
            <w:r w:rsidR="00937D7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Китай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Pr="00937D75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2012/121</w:t>
            </w:r>
            <w:r>
              <w:rPr>
                <w:bCs/>
                <w:sz w:val="18"/>
                <w:szCs w:val="18"/>
              </w:rPr>
              <w:br/>
              <w:t>(КВ)</w:t>
            </w:r>
          </w:p>
          <w:p w:rsidR="00B26EBE" w:rsidRDefault="00B26EBE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2012/122</w:t>
            </w:r>
            <w:r>
              <w:rPr>
                <w:bCs/>
                <w:sz w:val="18"/>
                <w:szCs w:val="18"/>
              </w:rPr>
              <w:br/>
              <w:t xml:space="preserve">(первый доклад </w:t>
            </w:r>
            <w:r w:rsidR="00DB30FA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о ходе работы)</w:t>
            </w:r>
          </w:p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2014/87</w:t>
            </w:r>
            <w:r>
              <w:rPr>
                <w:bCs/>
                <w:sz w:val="18"/>
                <w:szCs w:val="18"/>
              </w:rPr>
              <w:br/>
              <w:t xml:space="preserve">(второй доклад </w:t>
            </w:r>
            <w:r w:rsidR="00DB30FA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о ходе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 w:rsidP="00937D75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отметил, что НРГ также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судила вопрос о разработке дву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этапного подхода в ожидании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гласия со стороны эксперта от 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тая; это позволило бы завершить разработку ГТП ООН на этапе 1 и рассмотреть аспекты долгосро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исследований на этапе</w:t>
            </w:r>
            <w:r w:rsidR="00937D7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2; для завершения этапа 1, возможно,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требуется продлить мандат на один дополнительный год.</w:t>
            </w:r>
          </w:p>
        </w:tc>
      </w:tr>
    </w:tbl>
    <w:p w:rsidR="00B26EBE" w:rsidRPr="00937D75" w:rsidRDefault="00B26EBE" w:rsidP="00937D75">
      <w:pPr>
        <w:pStyle w:val="SingleTxt"/>
        <w:spacing w:after="0" w:line="120" w:lineRule="exact"/>
        <w:rPr>
          <w:sz w:val="10"/>
        </w:rPr>
      </w:pPr>
    </w:p>
    <w:p w:rsidR="00937D75" w:rsidRPr="00937D75" w:rsidRDefault="00937D75" w:rsidP="00937D75">
      <w:pPr>
        <w:pStyle w:val="SingleTxt"/>
        <w:spacing w:after="0" w:line="120" w:lineRule="exact"/>
        <w:rPr>
          <w:sz w:val="10"/>
        </w:rPr>
      </w:pPr>
    </w:p>
    <w:p w:rsidR="00B26EBE" w:rsidRDefault="00B26EBE" w:rsidP="00937D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>GRPE</w:t>
      </w:r>
    </w:p>
    <w:p w:rsidR="00B26EBE" w:rsidRPr="00937D75" w:rsidRDefault="00B26EBE" w:rsidP="00937D75">
      <w:pPr>
        <w:pStyle w:val="SingleTxt"/>
        <w:spacing w:after="0" w:line="120" w:lineRule="exact"/>
        <w:rPr>
          <w:sz w:val="10"/>
        </w:rPr>
      </w:pP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080"/>
        <w:gridCol w:w="1800"/>
        <w:gridCol w:w="1710"/>
        <w:gridCol w:w="2940"/>
      </w:tblGrid>
      <w:tr w:rsidR="00B26EBE" w:rsidTr="00DB30FA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Пункт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Неофициал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 xml:space="preserve">ная группа </w:t>
            </w:r>
            <w:r w:rsidR="00DB30F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(Да-Нет)/</w:t>
            </w:r>
            <w:r>
              <w:rPr>
                <w:i/>
                <w:sz w:val="16"/>
                <w:szCs w:val="16"/>
              </w:rPr>
              <w:br/>
              <w:t>Председатель и заместитель Председателя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DB30FA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Технический спонсор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Официальное </w:t>
            </w:r>
            <w:r w:rsidR="00937D75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предложение </w:t>
            </w:r>
            <w:r w:rsidR="00937D75">
              <w:rPr>
                <w:i/>
                <w:sz w:val="16"/>
                <w:szCs w:val="16"/>
              </w:rPr>
              <w:br/>
              <w:t>(ECE/TRANS/</w:t>
            </w:r>
            <w:r>
              <w:rPr>
                <w:i/>
                <w:sz w:val="16"/>
                <w:szCs w:val="16"/>
              </w:rPr>
              <w:t>WP.29/…)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Предложение </w:t>
            </w:r>
            <w:r w:rsidR="00B517C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по проекту ГТП ООН (ECE/TRANS/WP.29/..)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937D75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Состояние дел/Замечания</w:t>
            </w:r>
          </w:p>
        </w:tc>
      </w:tr>
      <w:tr w:rsidR="00B26EBE" w:rsidTr="00DB30F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DB30FA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Поправка 4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к ГТП № 2 ООН (ВЦИМ) и 4 </w:t>
            </w:r>
            <w:proofErr w:type="gramStart"/>
            <w:r>
              <w:rPr>
                <w:sz w:val="18"/>
                <w:szCs w:val="18"/>
              </w:rPr>
              <w:t>новых</w:t>
            </w:r>
            <w:proofErr w:type="gramEnd"/>
            <w:r>
              <w:rPr>
                <w:sz w:val="18"/>
                <w:szCs w:val="18"/>
              </w:rPr>
              <w:t xml:space="preserve"> ГТП ООН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Да/Швеция</w:t>
            </w:r>
            <w:r>
              <w:rPr>
                <w:sz w:val="18"/>
                <w:szCs w:val="18"/>
              </w:rPr>
              <w:br/>
              <w:t>(ТТЭХ)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AC.3/36 (на основе 2013/127)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E63B30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марте 2015 года AC.3 рекоме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довал НРГ продолжить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ность по разработке </w:t>
            </w:r>
            <w:proofErr w:type="gramStart"/>
            <w:r>
              <w:rPr>
                <w:sz w:val="18"/>
                <w:szCs w:val="18"/>
              </w:rPr>
              <w:t>новых</w:t>
            </w:r>
            <w:proofErr w:type="gramEnd"/>
            <w:r>
              <w:rPr>
                <w:sz w:val="18"/>
                <w:szCs w:val="18"/>
              </w:rPr>
              <w:t xml:space="preserve">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кретных ГТП. </w:t>
            </w:r>
          </w:p>
          <w:p w:rsidR="00B26EBE" w:rsidRPr="00E63B30" w:rsidRDefault="00B26EBE" w:rsidP="00DB30FA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отметил проводящую работу по положениям, касающимся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пытаний типов I, II, III, IV и V, а также максимальной скорости транспортного средства, макс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мального крутящего момента </w:t>
            </w:r>
            <w:r w:rsidR="00E63B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 мощности силовой установки.</w:t>
            </w:r>
          </w:p>
        </w:tc>
      </w:tr>
      <w:tr w:rsidR="00B26EBE" w:rsidTr="00DB30F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DB30FA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Поправка 3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 ГТП № 4 ООН (ВСБМ)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Да/ЕС</w:t>
            </w:r>
            <w:r>
              <w:rPr>
                <w:sz w:val="18"/>
                <w:szCs w:val="18"/>
              </w:rPr>
              <w:br/>
              <w:t>(БГТС)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ЕС/</w:t>
            </w:r>
            <w:r>
              <w:rPr>
                <w:sz w:val="18"/>
                <w:szCs w:val="18"/>
              </w:rPr>
              <w:br/>
              <w:t>Япония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AC.3/29</w:t>
            </w:r>
          </w:p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AC.3/38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2014/84</w:t>
            </w:r>
          </w:p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2014/85 (доклад)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E63B30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своей сессии в марте 2015 года AC.3 ввел поправку 3 </w:t>
            </w:r>
            <w:r w:rsidRPr="00E63B30">
              <w:rPr>
                <w:sz w:val="18"/>
                <w:szCs w:val="18"/>
              </w:rPr>
              <w:t>к ГТП № 4 ООН</w:t>
            </w:r>
            <w:r>
              <w:rPr>
                <w:sz w:val="18"/>
                <w:szCs w:val="18"/>
              </w:rPr>
              <w:t xml:space="preserve"> в Глобальный регистр.</w:t>
            </w:r>
          </w:p>
        </w:tc>
      </w:tr>
      <w:tr w:rsidR="00B26EBE" w:rsidTr="00DB30F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Default="00B26EBE" w:rsidP="00DB30FA">
            <w:pPr>
              <w:spacing w:before="40" w:after="120" w:line="220" w:lineRule="exac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Поправка 1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 ГТП № 15 ООН (ВПИМ)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Да/</w:t>
            </w:r>
            <w:r>
              <w:rPr>
                <w:sz w:val="18"/>
                <w:szCs w:val="18"/>
              </w:rPr>
              <w:br/>
              <w:t>Германия</w:t>
            </w:r>
            <w:r>
              <w:rPr>
                <w:sz w:val="18"/>
                <w:szCs w:val="18"/>
              </w:rPr>
              <w:br/>
              <w:t>(ВПИМ)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ЕС/</w:t>
            </w:r>
            <w:r>
              <w:rPr>
                <w:sz w:val="18"/>
                <w:szCs w:val="18"/>
              </w:rPr>
              <w:br/>
              <w:t>Япония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2014/30</w:t>
            </w:r>
            <w:r>
              <w:rPr>
                <w:sz w:val="18"/>
                <w:szCs w:val="18"/>
              </w:rPr>
              <w:br/>
              <w:t>AC.3/39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Default="00B26EBE" w:rsidP="00DB30FA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АС.3 принял к сведению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таты работы НРГ по этапу</w:t>
            </w:r>
            <w:r w:rsidR="00E63B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1b и, как ожидается, рассмотрит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предложение о поправке 1 к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ГТП № 15 ООН в июне 2016 года.</w:t>
            </w:r>
          </w:p>
        </w:tc>
      </w:tr>
      <w:tr w:rsidR="00B26EBE" w:rsidTr="00DB30FA">
        <w:trPr>
          <w:cantSplit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Default="00B26EBE" w:rsidP="006B310A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били и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щая среда (ЭМОС)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Да/США/ Китай/</w:t>
            </w:r>
            <w:r w:rsidR="006B310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Япония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Default="00B26EBE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Канада/</w:t>
            </w:r>
            <w:r>
              <w:rPr>
                <w:sz w:val="18"/>
                <w:szCs w:val="18"/>
              </w:rPr>
              <w:br/>
              <w:t>Китай/ЕС/</w:t>
            </w:r>
            <w:r>
              <w:rPr>
                <w:sz w:val="18"/>
                <w:szCs w:val="18"/>
              </w:rPr>
              <w:br/>
              <w:t>Япония/</w:t>
            </w:r>
            <w:r>
              <w:rPr>
                <w:sz w:val="18"/>
                <w:szCs w:val="18"/>
              </w:rPr>
              <w:br/>
              <w:t>США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AC.3/32</w:t>
            </w:r>
            <w:r>
              <w:rPr>
                <w:sz w:val="18"/>
                <w:szCs w:val="18"/>
              </w:rPr>
              <w:br/>
              <w:t>WP.29-163-13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6EBE" w:rsidRDefault="00B26EBE" w:rsidP="00E63B30">
            <w:pPr>
              <w:widowControl w:val="0"/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принял к сведению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таты работы по части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мандата.</w:t>
            </w:r>
          </w:p>
        </w:tc>
      </w:tr>
    </w:tbl>
    <w:p w:rsidR="00B26EBE" w:rsidRPr="00E63B30" w:rsidRDefault="00B26EBE" w:rsidP="00E63B30">
      <w:pPr>
        <w:pStyle w:val="SingleTxt"/>
        <w:spacing w:after="0" w:line="120" w:lineRule="exact"/>
        <w:rPr>
          <w:sz w:val="10"/>
        </w:rPr>
      </w:pPr>
    </w:p>
    <w:p w:rsidR="00E63B30" w:rsidRPr="00E63B30" w:rsidRDefault="00E63B30" w:rsidP="00E63B30">
      <w:pPr>
        <w:pStyle w:val="SingleTxt"/>
        <w:spacing w:after="0" w:line="120" w:lineRule="exact"/>
        <w:rPr>
          <w:sz w:val="10"/>
        </w:rPr>
      </w:pPr>
    </w:p>
    <w:p w:rsidR="00B26EBE" w:rsidRPr="00B26EBE" w:rsidRDefault="00B26EBE" w:rsidP="00E63B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lastRenderedPageBreak/>
        <w:t>GRB</w:t>
      </w:r>
    </w:p>
    <w:p w:rsidR="00B26EBE" w:rsidRPr="00E63B30" w:rsidRDefault="00B26EBE" w:rsidP="00E63B30">
      <w:pPr>
        <w:pStyle w:val="SingleTxt"/>
        <w:spacing w:after="0" w:line="120" w:lineRule="exact"/>
        <w:rPr>
          <w:sz w:val="10"/>
        </w:rPr>
      </w:pP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080"/>
        <w:gridCol w:w="1800"/>
        <w:gridCol w:w="1710"/>
        <w:gridCol w:w="2940"/>
      </w:tblGrid>
      <w:tr w:rsidR="00B26EBE" w:rsidTr="006B310A">
        <w:trPr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Пункт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Неофициал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 xml:space="preserve">ная группа </w:t>
            </w:r>
            <w:r w:rsidR="006B310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(Да-Нет)/</w:t>
            </w:r>
            <w:r>
              <w:rPr>
                <w:i/>
                <w:sz w:val="16"/>
                <w:szCs w:val="16"/>
              </w:rPr>
              <w:br/>
              <w:t>Председатель и заместитель Председателя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6B310A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Технический спонсор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Официальное </w:t>
            </w:r>
            <w:r w:rsidR="00E63B30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предло</w:t>
            </w:r>
            <w:r w:rsidR="00E63B30">
              <w:rPr>
                <w:i/>
                <w:sz w:val="16"/>
                <w:szCs w:val="16"/>
              </w:rPr>
              <w:t>жение (ECE/TRANS/</w:t>
            </w:r>
            <w:r>
              <w:rPr>
                <w:i/>
                <w:sz w:val="16"/>
                <w:szCs w:val="16"/>
              </w:rPr>
              <w:t>WP.29/…)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Предложение </w:t>
            </w:r>
            <w:r w:rsidR="00E63B30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по проекту ГТП ООН (ECE/TRANS/WP.29/..)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E63B30" w:rsidRDefault="00B26EBE" w:rsidP="006B310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Состояние дел/Замечания</w:t>
            </w:r>
          </w:p>
        </w:tc>
      </w:tr>
      <w:tr w:rsidR="00B26EBE" w:rsidTr="006B310A"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Pr="00E63B30" w:rsidRDefault="00B26EBE" w:rsidP="00E63B30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Бесшумные </w:t>
            </w:r>
            <w:r w:rsidR="00E63B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автотран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портные средства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Да/США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  <w:t>Япония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Pr="00E63B30" w:rsidRDefault="00B26EBE">
            <w:pPr>
              <w:spacing w:before="40" w:after="120" w:line="220" w:lineRule="exact"/>
              <w:ind w:right="1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ЕС/Япония/ США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AC.3/33</w:t>
            </w:r>
            <w:r>
              <w:rPr>
                <w:sz w:val="18"/>
                <w:szCs w:val="18"/>
              </w:rPr>
              <w:br/>
              <w:t>(включая КВ)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 w:rsidP="006B310A">
            <w:pPr>
              <w:widowControl w:val="0"/>
              <w:spacing w:before="40" w:after="120" w:line="22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НРГ занимается рассмотрением проекта ГТП ООН на основе ма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дата, продленного до ноября </w:t>
            </w:r>
            <w:r w:rsidR="00E63B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2015 года. </w:t>
            </w:r>
          </w:p>
        </w:tc>
      </w:tr>
    </w:tbl>
    <w:p w:rsidR="00B26EBE" w:rsidRPr="00E63B30" w:rsidRDefault="00B26EBE" w:rsidP="00E63B30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E63B30" w:rsidRPr="00E63B30" w:rsidRDefault="00E63B30" w:rsidP="00E63B30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 w:line="120" w:lineRule="exact"/>
        <w:rPr>
          <w:sz w:val="10"/>
        </w:rPr>
      </w:pPr>
    </w:p>
    <w:p w:rsidR="00B26EBE" w:rsidRDefault="00B26EBE" w:rsidP="00E63B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>GRSG</w:t>
      </w:r>
    </w:p>
    <w:p w:rsidR="00B26EBE" w:rsidRPr="00E63B30" w:rsidRDefault="00B26EBE" w:rsidP="00E63B30">
      <w:pPr>
        <w:pStyle w:val="SingleTxt"/>
        <w:spacing w:after="0" w:line="120" w:lineRule="exact"/>
        <w:rPr>
          <w:sz w:val="10"/>
        </w:rPr>
      </w:pP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080"/>
        <w:gridCol w:w="1800"/>
        <w:gridCol w:w="1710"/>
        <w:gridCol w:w="2940"/>
      </w:tblGrid>
      <w:tr w:rsidR="00B26EBE" w:rsidTr="006B310A">
        <w:trPr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E63B30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Пункт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Неофициал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 xml:space="preserve">ная группа </w:t>
            </w:r>
            <w:r w:rsidR="006B310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(Да-Нет)/</w:t>
            </w:r>
            <w:r>
              <w:rPr>
                <w:i/>
                <w:sz w:val="16"/>
                <w:szCs w:val="16"/>
              </w:rPr>
              <w:br/>
              <w:t>Председатель и заместитель Председателя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E63B30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Технический спонсор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Официальное </w:t>
            </w:r>
            <w:r w:rsidR="006B310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предло</w:t>
            </w:r>
            <w:r w:rsidR="006B310A">
              <w:rPr>
                <w:i/>
                <w:sz w:val="16"/>
                <w:szCs w:val="16"/>
              </w:rPr>
              <w:t>жение (ECE/TRANS/</w:t>
            </w:r>
            <w:r>
              <w:rPr>
                <w:i/>
                <w:sz w:val="16"/>
                <w:szCs w:val="16"/>
              </w:rPr>
              <w:t>WP.29/…)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Предложение </w:t>
            </w:r>
            <w:r w:rsidR="00E63B30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по проекту ГТП ООН (ECE/TRANS/WP.29/..)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E63B30" w:rsidRDefault="00B26EBE" w:rsidP="006B310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Состояние дел/Замечания</w:t>
            </w:r>
          </w:p>
        </w:tc>
      </w:tr>
      <w:tr w:rsidR="00B26EBE" w:rsidTr="006B310A"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Стекла для панорамных люков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мобилей (СПЛА)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E63B30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Да/Корея/</w:t>
            </w:r>
            <w:r>
              <w:rPr>
                <w:sz w:val="18"/>
                <w:szCs w:val="18"/>
              </w:rPr>
              <w:br/>
            </w:r>
            <w:r w:rsidR="00B26EBE">
              <w:rPr>
                <w:sz w:val="18"/>
                <w:szCs w:val="18"/>
              </w:rPr>
              <w:t>Германия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Корея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AC.3/41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одобрил данную инициат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ву НРГ о расширении надлеж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щим образом области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ГТП № 6. АС.3 рассчитывает утвердить КВ НРГ на своей се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 в ноябре 2015 года.</w:t>
            </w:r>
          </w:p>
        </w:tc>
      </w:tr>
    </w:tbl>
    <w:p w:rsidR="00B26EBE" w:rsidRPr="00E63B30" w:rsidRDefault="00B26EBE" w:rsidP="00E63B30">
      <w:pPr>
        <w:pStyle w:val="SingleTxt"/>
        <w:spacing w:after="0" w:line="120" w:lineRule="exact"/>
        <w:rPr>
          <w:sz w:val="10"/>
        </w:rPr>
      </w:pPr>
    </w:p>
    <w:p w:rsidR="00E63B30" w:rsidRPr="00E63B30" w:rsidRDefault="00E63B30" w:rsidP="00E63B30">
      <w:pPr>
        <w:pStyle w:val="SingleTxt"/>
        <w:spacing w:after="0" w:line="120" w:lineRule="exact"/>
        <w:rPr>
          <w:sz w:val="10"/>
        </w:rPr>
      </w:pPr>
    </w:p>
    <w:p w:rsidR="00B26EBE" w:rsidRDefault="00B26EBE" w:rsidP="00E63B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EBE">
        <w:t>Положение в связи с темами для обмена мнениями</w:t>
      </w:r>
    </w:p>
    <w:p w:rsidR="00B26EBE" w:rsidRPr="00E63B30" w:rsidRDefault="00B26EBE" w:rsidP="00E63B30">
      <w:pPr>
        <w:pStyle w:val="SingleTxt"/>
        <w:spacing w:after="0" w:line="120" w:lineRule="exact"/>
        <w:rPr>
          <w:sz w:val="10"/>
        </w:rPr>
      </w:pPr>
    </w:p>
    <w:p w:rsidR="00E63B30" w:rsidRPr="00E63B30" w:rsidRDefault="00E63B30" w:rsidP="00E63B30">
      <w:pPr>
        <w:pStyle w:val="SingleTxt"/>
        <w:spacing w:after="0" w:line="120" w:lineRule="exact"/>
        <w:rPr>
          <w:sz w:val="10"/>
        </w:rPr>
      </w:pP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530"/>
        <w:gridCol w:w="1377"/>
        <w:gridCol w:w="1143"/>
        <w:gridCol w:w="1710"/>
        <w:gridCol w:w="3390"/>
      </w:tblGrid>
      <w:tr w:rsidR="00B26EBE" w:rsidTr="006B310A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Рабочая группа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Пункт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Неофициальная группа </w:t>
            </w:r>
            <w:r w:rsidR="006B310A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(Да-Нет)/</w:t>
            </w:r>
            <w:r>
              <w:rPr>
                <w:i/>
                <w:sz w:val="16"/>
                <w:szCs w:val="16"/>
              </w:rPr>
              <w:br/>
              <w:t>Председатель и заместитель Председателя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Pr="006B310A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Технический спонсор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Официальное </w:t>
            </w:r>
            <w:r w:rsidR="00E63B30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предложение </w:t>
            </w:r>
            <w:r w:rsidR="00E63B30">
              <w:rPr>
                <w:i/>
                <w:sz w:val="16"/>
                <w:szCs w:val="16"/>
              </w:rPr>
              <w:br/>
              <w:t>ECE/TRANS/</w:t>
            </w:r>
            <w:r>
              <w:rPr>
                <w:i/>
                <w:sz w:val="16"/>
                <w:szCs w:val="16"/>
              </w:rPr>
              <w:t>WP.29/…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26EBE" w:rsidRDefault="00B26EB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Состояние дел</w:t>
            </w:r>
          </w:p>
        </w:tc>
      </w:tr>
      <w:tr w:rsidR="00B26EBE" w:rsidTr="006B310A">
        <w:trPr>
          <w:cantSplit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Pr="00E63B30" w:rsidRDefault="00B26EBE" w:rsidP="00E63B30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Сопоставимость </w:t>
            </w:r>
            <w:proofErr w:type="spellStart"/>
            <w:r>
              <w:rPr>
                <w:sz w:val="18"/>
                <w:szCs w:val="18"/>
              </w:rPr>
              <w:t>краш</w:t>
            </w:r>
            <w:proofErr w:type="spellEnd"/>
            <w:r w:rsidR="006B31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тестов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keepNext/>
              <w:keepLines/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keepNext/>
              <w:keepLines/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Pr="00E63B30" w:rsidRDefault="00B26EB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 представлено никакой новой информации.</w:t>
            </w:r>
          </w:p>
        </w:tc>
      </w:tr>
      <w:tr w:rsidR="00B26EBE" w:rsidTr="006B310A">
        <w:trPr>
          <w:cantSplit/>
          <w:trHeight w:val="88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E63B30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E63B30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Согласованные манекены для испытания на боковой удар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2010/88</w:t>
            </w:r>
            <w:r>
              <w:rPr>
                <w:sz w:val="18"/>
                <w:szCs w:val="18"/>
              </w:rPr>
              <w:br/>
              <w:t>(второй доклад о ходе работы)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 ожидает предложения по доба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лению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ОР.1 для включения полож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о манекене </w:t>
            </w:r>
            <w:proofErr w:type="spellStart"/>
            <w:r>
              <w:rPr>
                <w:sz w:val="18"/>
                <w:szCs w:val="18"/>
              </w:rPr>
              <w:t>WorldSID</w:t>
            </w:r>
            <w:proofErr w:type="spellEnd"/>
            <w:r>
              <w:rPr>
                <w:sz w:val="18"/>
                <w:szCs w:val="18"/>
              </w:rPr>
              <w:t xml:space="preserve"> 50-го </w:t>
            </w:r>
            <w:proofErr w:type="spell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центиля</w:t>
            </w:r>
            <w:proofErr w:type="spellEnd"/>
            <w:r>
              <w:rPr>
                <w:sz w:val="18"/>
                <w:szCs w:val="18"/>
              </w:rPr>
              <w:t>, которые будут подготовлены совместно с НРГ по боковому удару о столб.</w:t>
            </w:r>
          </w:p>
        </w:tc>
      </w:tr>
      <w:tr w:rsidR="00B26EBE" w:rsidTr="006B310A">
        <w:trPr>
          <w:cantSplit/>
          <w:trHeight w:val="55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GRSP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Объемный 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низм определ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точки Н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GRSP планирует обсудить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по КВ на своей сессии в декабре </w:t>
            </w:r>
            <w:r w:rsidR="00DB30F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2015 года.</w:t>
            </w:r>
          </w:p>
        </w:tc>
      </w:tr>
      <w:tr w:rsidR="00B26EBE" w:rsidTr="006B310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освещения дорог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 представлено никакой новой информации.</w:t>
            </w:r>
          </w:p>
        </w:tc>
      </w:tr>
      <w:tr w:rsidR="00B26EBE" w:rsidTr="006B310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DB30F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GRRF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6B310A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мобильных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лонн и другие системы автом</w:t>
            </w:r>
            <w:r w:rsidR="006B310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тического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ждения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Эксперты GRRF проводили работу по повышению осведомленности об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новационных решениях в области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томатического вождения.</w:t>
            </w:r>
          </w:p>
        </w:tc>
      </w:tr>
      <w:tr w:rsidR="00B26EBE" w:rsidTr="006B310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WP.29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ИТС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AC.3 не было представлено никакой новой информации.</w:t>
            </w:r>
          </w:p>
        </w:tc>
      </w:tr>
      <w:tr w:rsidR="00B26EBE" w:rsidTr="006B310A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WP.29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 w:rsidP="006B310A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Электромобили и окружающая среда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</w:rPr>
              <w:t>Да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line="220" w:lineRule="exact"/>
              <w:ind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США, </w:t>
            </w:r>
            <w:r w:rsidR="006B310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Канада, </w:t>
            </w:r>
            <w:r w:rsidR="006B310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Китай, ЕС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Pr="006B310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AC.3 получил доклад НРГ по ЭМОС о ходе работы. </w:t>
            </w:r>
          </w:p>
        </w:tc>
      </w:tr>
      <w:tr w:rsidR="00B26EBE" w:rsidTr="006B310A">
        <w:trPr>
          <w:cantSplit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Pr="006B310A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Новые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гии, которые еще не являются объектом рег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Pr="006B310A" w:rsidRDefault="00B26EBE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left="-26" w:right="50" w:firstLine="48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6EBE" w:rsidRDefault="00B26EB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Обсуждение следует продолжить на сессии АС.3 в ноябре 2015 года.</w:t>
            </w:r>
          </w:p>
        </w:tc>
      </w:tr>
    </w:tbl>
    <w:p w:rsidR="00B26EBE" w:rsidRPr="00B26EBE" w:rsidRDefault="00B26EBE" w:rsidP="00B26EB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26EBE" w:rsidRPr="00B26EBE" w:rsidSect="00C406D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30" w:rsidRDefault="00E63B30" w:rsidP="008A1A7A">
      <w:pPr>
        <w:spacing w:line="240" w:lineRule="auto"/>
      </w:pPr>
      <w:r>
        <w:separator/>
      </w:r>
    </w:p>
  </w:endnote>
  <w:endnote w:type="continuationSeparator" w:id="0">
    <w:p w:rsidR="00E63B30" w:rsidRDefault="00E63B3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63B30" w:rsidTr="00C406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63B30" w:rsidRPr="00C406D6" w:rsidRDefault="00E63B30" w:rsidP="00C406D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5D6E">
            <w:rPr>
              <w:noProof/>
            </w:rPr>
            <w:t>14</w:t>
          </w:r>
          <w:r>
            <w:fldChar w:fldCharType="end"/>
          </w:r>
          <w:r>
            <w:t>/</w:t>
          </w:r>
          <w:fldSimple w:instr=" NUMPAGES  \* Arabic  \* MERGEFORMAT ">
            <w:r w:rsidR="00385D6E">
              <w:rPr>
                <w:noProof/>
              </w:rPr>
              <w:t>14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63B30" w:rsidRPr="00C406D6" w:rsidRDefault="00E63B30" w:rsidP="00C406D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61C35">
            <w:rPr>
              <w:b w:val="0"/>
              <w:color w:val="000000"/>
              <w:sz w:val="14"/>
            </w:rPr>
            <w:t>GE.15-14285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63B30" w:rsidRPr="00C406D6" w:rsidRDefault="00E63B30" w:rsidP="00C40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63B30" w:rsidTr="00C406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63B30" w:rsidRPr="00C406D6" w:rsidRDefault="00E63B30" w:rsidP="00C406D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61C35">
            <w:rPr>
              <w:b w:val="0"/>
              <w:color w:val="000000"/>
              <w:sz w:val="14"/>
            </w:rPr>
            <w:t>GE.15-14285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63B30" w:rsidRPr="00C406D6" w:rsidRDefault="00E63B30" w:rsidP="00C406D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5D6E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385D6E">
              <w:rPr>
                <w:noProof/>
              </w:rPr>
              <w:t>13</w:t>
            </w:r>
          </w:fldSimple>
        </w:p>
      </w:tc>
    </w:tr>
  </w:tbl>
  <w:p w:rsidR="00E63B30" w:rsidRPr="00C406D6" w:rsidRDefault="00E63B30" w:rsidP="00C40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63B30" w:rsidTr="00C406D6">
      <w:tc>
        <w:tcPr>
          <w:tcW w:w="3873" w:type="dxa"/>
        </w:tcPr>
        <w:p w:rsidR="00E63B30" w:rsidRDefault="00E63B30" w:rsidP="00C406D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B15C427" wp14:editId="3D13084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GE.15-14285 (R)</w:t>
          </w:r>
          <w:r>
            <w:rPr>
              <w:color w:val="010000"/>
            </w:rPr>
            <w:t xml:space="preserve">    051015    051015</w:t>
          </w:r>
        </w:p>
        <w:p w:rsidR="00E63B30" w:rsidRPr="00C406D6" w:rsidRDefault="00E63B30" w:rsidP="00C406D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*1514285*</w:t>
          </w:r>
        </w:p>
      </w:tc>
      <w:tc>
        <w:tcPr>
          <w:tcW w:w="5127" w:type="dxa"/>
        </w:tcPr>
        <w:p w:rsidR="00E63B30" w:rsidRDefault="00E63B30" w:rsidP="00C406D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E30514D" wp14:editId="3EABA67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B30" w:rsidRPr="00C406D6" w:rsidRDefault="00E63B30" w:rsidP="00C406D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30" w:rsidRPr="00474EB7" w:rsidRDefault="00E63B30" w:rsidP="00474EB7">
      <w:pPr>
        <w:pStyle w:val="Footer"/>
        <w:spacing w:after="80"/>
        <w:ind w:left="792"/>
        <w:rPr>
          <w:sz w:val="16"/>
        </w:rPr>
      </w:pPr>
      <w:r w:rsidRPr="00474EB7">
        <w:rPr>
          <w:sz w:val="16"/>
        </w:rPr>
        <w:t>__________________</w:t>
      </w:r>
    </w:p>
  </w:footnote>
  <w:footnote w:type="continuationSeparator" w:id="0">
    <w:p w:rsidR="00E63B30" w:rsidRPr="00474EB7" w:rsidRDefault="00E63B30" w:rsidP="00474EB7">
      <w:pPr>
        <w:pStyle w:val="Footer"/>
        <w:spacing w:after="80"/>
        <w:ind w:left="792"/>
        <w:rPr>
          <w:sz w:val="16"/>
        </w:rPr>
      </w:pPr>
      <w:r w:rsidRPr="00474EB7">
        <w:rPr>
          <w:sz w:val="16"/>
        </w:rPr>
        <w:t>__________________</w:t>
      </w:r>
    </w:p>
  </w:footnote>
  <w:footnote w:id="1">
    <w:p w:rsidR="00E63B30" w:rsidRPr="00474EB7" w:rsidRDefault="00E63B30" w:rsidP="00474EB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 w:rsidRPr="00474EB7">
        <w:rPr>
          <w:rStyle w:val="FootnoteReference"/>
          <w:szCs w:val="17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 xml:space="preserve">В соответствии с программой работы Комитета по внутреннему транспорту на </w:t>
      </w:r>
      <w:r>
        <w:rPr>
          <w:szCs w:val="18"/>
        </w:rPr>
        <w:br/>
        <w:t>2012−2016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/224, пункт 94,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/2012/12, подпрограмма</w:t>
      </w:r>
      <w:r>
        <w:rPr>
          <w:szCs w:val="18"/>
          <w:lang w:val="en-US"/>
        </w:rPr>
        <w:t> </w:t>
      </w:r>
      <w:r>
        <w:rPr>
          <w:szCs w:val="18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474EB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63B30" w:rsidTr="00C406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63B30" w:rsidRPr="00C406D6" w:rsidRDefault="00E63B30" w:rsidP="00C406D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61C35">
            <w:rPr>
              <w:b/>
            </w:rPr>
            <w:t>ECE/TRANS/WP.29/2015/108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63B30" w:rsidRDefault="00E63B30" w:rsidP="00C406D6">
          <w:pPr>
            <w:pStyle w:val="Header"/>
          </w:pPr>
        </w:p>
      </w:tc>
    </w:tr>
  </w:tbl>
  <w:p w:rsidR="00E63B30" w:rsidRPr="00C406D6" w:rsidRDefault="00E63B30" w:rsidP="00C40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63B30" w:rsidTr="00C406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63B30" w:rsidRDefault="00E63B30" w:rsidP="00C406D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63B30" w:rsidRPr="00C406D6" w:rsidRDefault="00E63B30" w:rsidP="00C406D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61C35">
            <w:rPr>
              <w:b/>
            </w:rPr>
            <w:t>ECE/TRANS/WP.29/2015/108</w:t>
          </w:r>
          <w:r>
            <w:rPr>
              <w:b/>
            </w:rPr>
            <w:fldChar w:fldCharType="end"/>
          </w:r>
        </w:p>
      </w:tc>
    </w:tr>
  </w:tbl>
  <w:p w:rsidR="00E63B30" w:rsidRPr="00C406D6" w:rsidRDefault="00E63B30" w:rsidP="00C40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63B30" w:rsidTr="00C406D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63B30" w:rsidRPr="00C406D6" w:rsidRDefault="00E63B30" w:rsidP="00C406D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63B30" w:rsidRDefault="00E63B30" w:rsidP="00C406D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63B30" w:rsidRPr="00C406D6" w:rsidRDefault="00E63B30" w:rsidP="00C406D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/TRANS/WP.29/2015/108</w:t>
          </w:r>
        </w:p>
      </w:tc>
    </w:tr>
    <w:tr w:rsidR="00E63B30" w:rsidRPr="00B517CC" w:rsidTr="00C406D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3B30" w:rsidRPr="00C406D6" w:rsidRDefault="00E63B30" w:rsidP="00C406D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6FCC337" wp14:editId="69D9FEE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3B30" w:rsidRPr="00C406D6" w:rsidRDefault="00E63B30" w:rsidP="00C406D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3B30" w:rsidRPr="00C406D6" w:rsidRDefault="00E63B30" w:rsidP="00C406D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63B30" w:rsidRPr="00B26EBE" w:rsidRDefault="00E63B30" w:rsidP="00C406D6">
          <w:pPr>
            <w:pStyle w:val="Distribution"/>
            <w:rPr>
              <w:color w:val="000000"/>
              <w:lang w:val="en-US"/>
            </w:rPr>
          </w:pPr>
          <w:r w:rsidRPr="00B26EBE">
            <w:rPr>
              <w:color w:val="000000"/>
              <w:lang w:val="en-US"/>
            </w:rPr>
            <w:t>Distr.: General</w:t>
          </w:r>
        </w:p>
        <w:p w:rsidR="00E63B30" w:rsidRPr="00B26EBE" w:rsidRDefault="00E63B30" w:rsidP="00C406D6">
          <w:pPr>
            <w:pStyle w:val="Publication"/>
            <w:rPr>
              <w:color w:val="000000"/>
              <w:lang w:val="en-US"/>
            </w:rPr>
          </w:pPr>
          <w:r w:rsidRPr="00B26EBE">
            <w:rPr>
              <w:color w:val="000000"/>
              <w:lang w:val="en-US"/>
            </w:rPr>
            <w:t>24 August 2015</w:t>
          </w:r>
        </w:p>
        <w:p w:rsidR="00E63B30" w:rsidRPr="00B26EBE" w:rsidRDefault="00E63B30" w:rsidP="00C406D6">
          <w:pPr>
            <w:rPr>
              <w:color w:val="000000"/>
              <w:lang w:val="en-US"/>
            </w:rPr>
          </w:pPr>
          <w:r w:rsidRPr="00B26EBE">
            <w:rPr>
              <w:color w:val="000000"/>
              <w:lang w:val="en-US"/>
            </w:rPr>
            <w:t>Russian</w:t>
          </w:r>
        </w:p>
        <w:p w:rsidR="00E63B30" w:rsidRPr="00B26EBE" w:rsidRDefault="00E63B30" w:rsidP="00C406D6">
          <w:pPr>
            <w:pStyle w:val="Original"/>
            <w:rPr>
              <w:color w:val="000000"/>
              <w:lang w:val="en-US"/>
            </w:rPr>
          </w:pPr>
          <w:r w:rsidRPr="00B26EBE">
            <w:rPr>
              <w:color w:val="000000"/>
              <w:lang w:val="en-US"/>
            </w:rPr>
            <w:t>Original: English</w:t>
          </w:r>
        </w:p>
        <w:p w:rsidR="00E63B30" w:rsidRPr="00B26EBE" w:rsidRDefault="00E63B30" w:rsidP="00C406D6">
          <w:pPr>
            <w:rPr>
              <w:lang w:val="en-US"/>
            </w:rPr>
          </w:pPr>
        </w:p>
      </w:tc>
    </w:tr>
  </w:tbl>
  <w:p w:rsidR="00E63B30" w:rsidRPr="00B26EBE" w:rsidRDefault="00E63B30" w:rsidP="00C406D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85*"/>
    <w:docVar w:name="CreationDt" w:val="10/5/2015 1:53: PM"/>
    <w:docVar w:name="DocCategory" w:val="Doc"/>
    <w:docVar w:name="DocType" w:val="Final"/>
    <w:docVar w:name="DutyStation" w:val="Geneva"/>
    <w:docVar w:name="FooterJN" w:val="GE.15-14285"/>
    <w:docVar w:name="jobn" w:val="GE.15-14285 (R)"/>
    <w:docVar w:name="jobnDT" w:val="GE.15-14285 (R)   051015"/>
    <w:docVar w:name="jobnDTDT" w:val="GE.15-14285 (R)   051015   051015"/>
    <w:docVar w:name="JobNo" w:val="GE.1514285R"/>
    <w:docVar w:name="JobNo2" w:val="1519039R"/>
    <w:docVar w:name="LocalDrive" w:val="0"/>
    <w:docVar w:name="OandT" w:val=" "/>
    <w:docVar w:name="PaperSize" w:val="A4"/>
    <w:docVar w:name="sss1" w:val="ECE/TRANS/WP.29/2015/108"/>
    <w:docVar w:name="sss2" w:val="-"/>
    <w:docVar w:name="Symbol1" w:val="ECE/TRANS/WP.29/2015/108"/>
    <w:docVar w:name="Symbol2" w:val="-"/>
  </w:docVars>
  <w:rsids>
    <w:rsidRoot w:val="001F073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3E3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0B04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3835"/>
    <w:rsid w:val="001D502D"/>
    <w:rsid w:val="001D60ED"/>
    <w:rsid w:val="001E21CE"/>
    <w:rsid w:val="001E25A2"/>
    <w:rsid w:val="001E61AD"/>
    <w:rsid w:val="001E639C"/>
    <w:rsid w:val="001F073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1521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2CC4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5D6E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0ADE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6343"/>
    <w:rsid w:val="00460D23"/>
    <w:rsid w:val="004645DD"/>
    <w:rsid w:val="0046710A"/>
    <w:rsid w:val="00474EB7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39A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5915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10A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056BB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61C35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37D75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07BD3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6EBE"/>
    <w:rsid w:val="00B2753B"/>
    <w:rsid w:val="00B30444"/>
    <w:rsid w:val="00B33139"/>
    <w:rsid w:val="00B36652"/>
    <w:rsid w:val="00B44E4D"/>
    <w:rsid w:val="00B47187"/>
    <w:rsid w:val="00B5129B"/>
    <w:rsid w:val="00B517CC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6D6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0FA"/>
    <w:rsid w:val="00DB326E"/>
    <w:rsid w:val="00DC1E7E"/>
    <w:rsid w:val="00DC31D2"/>
    <w:rsid w:val="00DC7A5F"/>
    <w:rsid w:val="00DD29EB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3B30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4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D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D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6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4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D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D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6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ED5B-7D56-4297-8E02-29A14852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UNECE</cp:lastModifiedBy>
  <cp:revision>2</cp:revision>
  <cp:lastPrinted>2015-10-05T14:07:00Z</cp:lastPrinted>
  <dcterms:created xsi:type="dcterms:W3CDTF">2015-11-09T07:00:00Z</dcterms:created>
  <dcterms:modified xsi:type="dcterms:W3CDTF">2015-11-09T07:00:00Z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1514285R</vt:lpwstr>
  </property>
  <property fmtid="{D5CDD505-2E9C-101B-9397-08002B2CF9AE}" pid="3" name="ODSRefJobNo">
    <vt:lpwstr>1519039R</vt:lpwstr>
  </property>
  <property fmtid="{D5CDD505-2E9C-101B-9397-08002B2CF9AE}" pid="4" name="Symbol1">
    <vt:lpwstr>ECE/TRANS/WP.29/2015/108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051015</vt:lpwstr>
  </property>
</Properties>
</file>