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900F2B">
        <w:trPr>
          <w:cantSplit/>
          <w:trHeight w:hRule="exact" w:val="851"/>
        </w:trPr>
        <w:tc>
          <w:tcPr>
            <w:tcW w:w="1276" w:type="dxa"/>
            <w:tcBorders>
              <w:bottom w:val="single" w:sz="4" w:space="0" w:color="auto"/>
            </w:tcBorders>
            <w:shd w:val="clear" w:color="auto" w:fill="auto"/>
            <w:vAlign w:val="bottom"/>
          </w:tcPr>
          <w:p w:rsidR="00B56E9C" w:rsidRDefault="00B56E9C" w:rsidP="00900F2B">
            <w:pPr>
              <w:spacing w:after="80"/>
            </w:pPr>
            <w:bookmarkStart w:id="0" w:name="_GoBack"/>
            <w:bookmarkEnd w:id="0"/>
          </w:p>
        </w:tc>
        <w:tc>
          <w:tcPr>
            <w:tcW w:w="2268" w:type="dxa"/>
            <w:tcBorders>
              <w:bottom w:val="single" w:sz="4" w:space="0" w:color="auto"/>
            </w:tcBorders>
            <w:shd w:val="clear" w:color="auto" w:fill="auto"/>
            <w:vAlign w:val="bottom"/>
          </w:tcPr>
          <w:p w:rsidR="00B56E9C" w:rsidRPr="00900F2B" w:rsidRDefault="00B56E9C" w:rsidP="00900F2B">
            <w:pPr>
              <w:spacing w:after="80" w:line="300" w:lineRule="exact"/>
              <w:rPr>
                <w:b/>
                <w:sz w:val="24"/>
                <w:szCs w:val="24"/>
              </w:rPr>
            </w:pPr>
            <w:r w:rsidRPr="00900F2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21364D" w:rsidP="00C44883">
            <w:pPr>
              <w:jc w:val="right"/>
            </w:pPr>
            <w:r w:rsidRPr="00900F2B">
              <w:rPr>
                <w:sz w:val="40"/>
                <w:szCs w:val="40"/>
              </w:rPr>
              <w:t>ECE</w:t>
            </w:r>
            <w:r w:rsidR="00D03F3E">
              <w:t>/TRANS/WP.1</w:t>
            </w:r>
            <w:r w:rsidR="004B480B">
              <w:t>1</w:t>
            </w:r>
            <w:r w:rsidR="00D03F3E">
              <w:t>/</w:t>
            </w:r>
            <w:r w:rsidR="004B480B">
              <w:t>2</w:t>
            </w:r>
            <w:r w:rsidR="005C4C87">
              <w:t>32</w:t>
            </w:r>
            <w:r w:rsidR="00D03F3E">
              <w:t>/</w:t>
            </w:r>
            <w:r w:rsidR="00274F09">
              <w:t>Add.1/</w:t>
            </w:r>
            <w:r w:rsidR="00C44883">
              <w:t>Rev</w:t>
            </w:r>
            <w:r w:rsidR="00D03F3E">
              <w:t>.1</w:t>
            </w:r>
          </w:p>
        </w:tc>
      </w:tr>
      <w:tr w:rsidR="00B56E9C" w:rsidTr="00900F2B">
        <w:trPr>
          <w:cantSplit/>
          <w:trHeight w:hRule="exact" w:val="2835"/>
        </w:trPr>
        <w:tc>
          <w:tcPr>
            <w:tcW w:w="1276" w:type="dxa"/>
            <w:tcBorders>
              <w:top w:val="single" w:sz="4" w:space="0" w:color="auto"/>
              <w:bottom w:val="single" w:sz="12" w:space="0" w:color="auto"/>
            </w:tcBorders>
            <w:shd w:val="clear" w:color="auto" w:fill="auto"/>
          </w:tcPr>
          <w:p w:rsidR="00B56E9C" w:rsidRDefault="00B56E9C" w:rsidP="00900F2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6.5pt">
                  <v:imagedata r:id="rId8" o:title="_unlogo"/>
                </v:shape>
              </w:pict>
            </w:r>
          </w:p>
        </w:tc>
        <w:tc>
          <w:tcPr>
            <w:tcW w:w="5528" w:type="dxa"/>
            <w:gridSpan w:val="2"/>
            <w:tcBorders>
              <w:top w:val="single" w:sz="4" w:space="0" w:color="auto"/>
              <w:bottom w:val="single" w:sz="12" w:space="0" w:color="auto"/>
            </w:tcBorders>
            <w:shd w:val="clear" w:color="auto" w:fill="auto"/>
          </w:tcPr>
          <w:p w:rsidR="00B56E9C" w:rsidRPr="00900F2B" w:rsidRDefault="00D773DF" w:rsidP="00900F2B">
            <w:pPr>
              <w:spacing w:before="120" w:line="420" w:lineRule="exact"/>
              <w:rPr>
                <w:sz w:val="40"/>
                <w:szCs w:val="40"/>
              </w:rPr>
            </w:pPr>
            <w:r w:rsidRPr="00900F2B">
              <w:rPr>
                <w:b/>
                <w:sz w:val="40"/>
                <w:szCs w:val="40"/>
              </w:rPr>
              <w:t>Economic and Social Council</w:t>
            </w:r>
          </w:p>
        </w:tc>
        <w:tc>
          <w:tcPr>
            <w:tcW w:w="2835" w:type="dxa"/>
            <w:tcBorders>
              <w:top w:val="single" w:sz="4" w:space="0" w:color="auto"/>
              <w:bottom w:val="single" w:sz="12" w:space="0" w:color="auto"/>
            </w:tcBorders>
            <w:shd w:val="clear" w:color="auto" w:fill="auto"/>
          </w:tcPr>
          <w:p w:rsidR="00D03F3E" w:rsidRDefault="00D03F3E" w:rsidP="00900F2B">
            <w:pPr>
              <w:spacing w:before="240" w:line="240" w:lineRule="exact"/>
            </w:pPr>
            <w:r>
              <w:t>Distr.: General</w:t>
            </w:r>
          </w:p>
          <w:p w:rsidR="00D03F3E" w:rsidRDefault="0010137F" w:rsidP="00900F2B">
            <w:pPr>
              <w:spacing w:line="240" w:lineRule="exact"/>
            </w:pPr>
            <w:r>
              <w:t>2</w:t>
            </w:r>
            <w:r w:rsidR="00983879">
              <w:t>5</w:t>
            </w:r>
            <w:r w:rsidR="000A746B">
              <w:t xml:space="preserve"> </w:t>
            </w:r>
            <w:r w:rsidR="00C44883">
              <w:t>September</w:t>
            </w:r>
            <w:r w:rsidR="004F73BD">
              <w:t xml:space="preserve"> 201</w:t>
            </w:r>
            <w:r w:rsidR="005C4C87">
              <w:t>5</w:t>
            </w:r>
          </w:p>
          <w:p w:rsidR="00D03F3E" w:rsidRDefault="00D03F3E" w:rsidP="00900F2B">
            <w:pPr>
              <w:spacing w:line="240" w:lineRule="exact"/>
            </w:pPr>
          </w:p>
          <w:p w:rsidR="00B56E9C" w:rsidRDefault="00D03F3E" w:rsidP="00900F2B">
            <w:pPr>
              <w:spacing w:line="240" w:lineRule="exact"/>
            </w:pPr>
            <w:r>
              <w:t>English</w:t>
            </w:r>
            <w:r w:rsidR="00C44883">
              <w:t xml:space="preserve"> only</w:t>
            </w:r>
          </w:p>
        </w:tc>
      </w:tr>
    </w:tbl>
    <w:p w:rsidR="00442A83" w:rsidRDefault="00C96DF2" w:rsidP="00C96DF2">
      <w:pPr>
        <w:spacing w:before="120"/>
        <w:rPr>
          <w:b/>
          <w:sz w:val="28"/>
          <w:szCs w:val="28"/>
        </w:rPr>
      </w:pPr>
      <w:r w:rsidRPr="00832334">
        <w:rPr>
          <w:b/>
          <w:sz w:val="28"/>
          <w:szCs w:val="28"/>
        </w:rPr>
        <w:t>Economic Commission for Europe</w:t>
      </w:r>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w:t>
      </w:r>
      <w:r w:rsidR="00513010">
        <w:rPr>
          <w:b/>
          <w:sz w:val="24"/>
          <w:szCs w:val="24"/>
        </w:rPr>
        <w:t>king Party on the Transport of Perishable Foodstuffs</w:t>
      </w:r>
    </w:p>
    <w:p w:rsidR="00C96DF2" w:rsidRDefault="00D03F3E" w:rsidP="00C96DF2">
      <w:pPr>
        <w:spacing w:before="120"/>
        <w:rPr>
          <w:b/>
        </w:rPr>
      </w:pPr>
      <w:r w:rsidRPr="00D03F3E">
        <w:rPr>
          <w:b/>
        </w:rPr>
        <w:t>S</w:t>
      </w:r>
      <w:r w:rsidR="004F73BD">
        <w:rPr>
          <w:b/>
        </w:rPr>
        <w:t>event</w:t>
      </w:r>
      <w:r w:rsidR="005C4C87">
        <w:rPr>
          <w:b/>
        </w:rPr>
        <w:t>y-first</w:t>
      </w:r>
      <w:r>
        <w:rPr>
          <w:b/>
        </w:rPr>
        <w:t xml:space="preserve"> </w:t>
      </w:r>
      <w:r w:rsidR="00C96DF2">
        <w:rPr>
          <w:b/>
        </w:rPr>
        <w:t>session</w:t>
      </w:r>
    </w:p>
    <w:p w:rsidR="00C96DF2" w:rsidRDefault="00C96DF2" w:rsidP="00C96DF2">
      <w:r>
        <w:t>Geneva</w:t>
      </w:r>
      <w:r w:rsidR="00513010">
        <w:t xml:space="preserve">, </w:t>
      </w:r>
      <w:r w:rsidR="005C4C87">
        <w:t>6</w:t>
      </w:r>
      <w:r w:rsidR="004F73BD">
        <w:t>-</w:t>
      </w:r>
      <w:r w:rsidR="005C4C87">
        <w:t>9</w:t>
      </w:r>
      <w:r w:rsidR="00B17019">
        <w:t xml:space="preserve"> October</w:t>
      </w:r>
      <w:r w:rsidR="00513010">
        <w:t xml:space="preserve"> </w:t>
      </w:r>
      <w:r>
        <w:t>20</w:t>
      </w:r>
      <w:r w:rsidR="00D03F3E">
        <w:t>1</w:t>
      </w:r>
      <w:r w:rsidR="005C4C87">
        <w:t>5</w:t>
      </w:r>
    </w:p>
    <w:p w:rsidR="00B9477C" w:rsidRDefault="00B9477C" w:rsidP="00B9477C">
      <w:r>
        <w:t>Item 1 of the provisional agenda</w:t>
      </w:r>
    </w:p>
    <w:p w:rsidR="00B9477C" w:rsidRPr="0067090D" w:rsidRDefault="00B9477C" w:rsidP="00B9477C">
      <w:pPr>
        <w:rPr>
          <w:b/>
        </w:rPr>
      </w:pPr>
      <w:r w:rsidRPr="0067090D">
        <w:rPr>
          <w:b/>
        </w:rPr>
        <w:t>Adoption of the agenda</w:t>
      </w:r>
    </w:p>
    <w:p w:rsidR="00D03F3E" w:rsidRDefault="00D03F3E" w:rsidP="00DC3666">
      <w:pPr>
        <w:pStyle w:val="HChG"/>
      </w:pPr>
      <w:r>
        <w:tab/>
      </w:r>
      <w:r>
        <w:tab/>
      </w:r>
      <w:r w:rsidRPr="00C12A9E">
        <w:t>P</w:t>
      </w:r>
      <w:r w:rsidR="0026285E">
        <w:t>rovisional agenda for the session</w:t>
      </w:r>
    </w:p>
    <w:p w:rsidR="00D03F3E" w:rsidRDefault="00262BF9" w:rsidP="00262BF9">
      <w:pPr>
        <w:pStyle w:val="H23G"/>
      </w:pPr>
      <w:r>
        <w:tab/>
      </w:r>
      <w:r>
        <w:tab/>
      </w:r>
      <w:r w:rsidR="00D03F3E" w:rsidRPr="002C5041">
        <w:t>Addendum</w:t>
      </w:r>
    </w:p>
    <w:p w:rsidR="00C44883" w:rsidRPr="00C44883" w:rsidRDefault="00C44883" w:rsidP="00C44883">
      <w:pPr>
        <w:pStyle w:val="H23G"/>
      </w:pPr>
      <w:r>
        <w:tab/>
      </w:r>
      <w:r>
        <w:tab/>
        <w:t>Revision</w:t>
      </w:r>
    </w:p>
    <w:p w:rsidR="00D03F3E" w:rsidRDefault="00262BF9" w:rsidP="00262BF9">
      <w:pPr>
        <w:pStyle w:val="H1G"/>
      </w:pPr>
      <w:r>
        <w:tab/>
      </w:r>
      <w:r>
        <w:tab/>
      </w:r>
      <w:r w:rsidR="00513010">
        <w:t>A</w:t>
      </w:r>
      <w:r w:rsidR="00D03F3E">
        <w:t>nnotations</w:t>
      </w:r>
    </w:p>
    <w:p w:rsidR="00262BF9" w:rsidRDefault="00934EB4" w:rsidP="00D86A74">
      <w:pPr>
        <w:pStyle w:val="H1G"/>
      </w:pPr>
      <w:r>
        <w:tab/>
      </w:r>
      <w:r w:rsidR="00230D7B">
        <w:t>1</w:t>
      </w:r>
      <w:r w:rsidR="001921F0">
        <w:t>.</w:t>
      </w:r>
      <w:r w:rsidR="001921F0">
        <w:tab/>
      </w:r>
      <w:r w:rsidR="00262BF9">
        <w:t>A</w:t>
      </w:r>
      <w:r w:rsidR="0026285E">
        <w:t>doption of the a</w:t>
      </w:r>
      <w:r w:rsidR="00262BF9">
        <w:t>genda</w:t>
      </w:r>
    </w:p>
    <w:p w:rsidR="00513010" w:rsidRDefault="00513010" w:rsidP="00513010">
      <w:pPr>
        <w:pStyle w:val="SingleTxtG"/>
      </w:pPr>
      <w:r>
        <w:t>1.</w:t>
      </w:r>
      <w:r>
        <w:tab/>
        <w:t xml:space="preserve">In accordance with </w:t>
      </w:r>
      <w:r w:rsidR="00CD2B0F">
        <w:t>WP.11's</w:t>
      </w:r>
      <w:r>
        <w:t xml:space="preserve"> rules of procedure, the first item on the provisional agenda is the adoption of the agenda</w:t>
      </w:r>
      <w:r w:rsidR="00C825F5">
        <w:t>.</w:t>
      </w:r>
    </w:p>
    <w:p w:rsidR="001D7539" w:rsidRDefault="00CB7DD8" w:rsidP="00D86A74">
      <w:pPr>
        <w:pStyle w:val="H1G"/>
      </w:pPr>
      <w:r>
        <w:tab/>
      </w:r>
      <w:r w:rsidR="00230D7B">
        <w:t>2</w:t>
      </w:r>
      <w:r>
        <w:t>.</w:t>
      </w:r>
      <w:r>
        <w:tab/>
      </w:r>
      <w:r w:rsidR="00CA77FE" w:rsidRPr="00CA77FE">
        <w:t xml:space="preserve">Activities of ECE bodies of </w:t>
      </w:r>
      <w:r w:rsidR="00CA77FE" w:rsidRPr="00D86A74">
        <w:t>interest</w:t>
      </w:r>
      <w:r w:rsidR="00CA77FE" w:rsidRPr="00CA77FE">
        <w:t xml:space="preserve"> to the Working Party</w:t>
      </w:r>
    </w:p>
    <w:p w:rsidR="00CA77FE" w:rsidRDefault="007C2C1A" w:rsidP="00D86A74">
      <w:pPr>
        <w:pStyle w:val="H23G"/>
      </w:pPr>
      <w:r>
        <w:tab/>
      </w:r>
      <w:r w:rsidR="00CA77FE">
        <w:t>(a)</w:t>
      </w:r>
      <w:r w:rsidR="00CA77FE">
        <w:tab/>
        <w:t xml:space="preserve">Inland Transport </w:t>
      </w:r>
      <w:r w:rsidR="00CA77FE" w:rsidRPr="00D86A74">
        <w:t>Committee</w:t>
      </w:r>
    </w:p>
    <w:p w:rsidR="00222070" w:rsidRDefault="00513010" w:rsidP="00230D7B">
      <w:pPr>
        <w:pStyle w:val="SingleTxtG"/>
        <w:rPr>
          <w:lang w:val="en-US"/>
        </w:rPr>
      </w:pPr>
      <w:r>
        <w:t>2.</w:t>
      </w:r>
      <w:r>
        <w:tab/>
      </w:r>
      <w:r w:rsidRPr="00807E02">
        <w:rPr>
          <w:lang w:val="en-US"/>
        </w:rPr>
        <w:t>The Working Party will be informed about the results of the seventy-</w:t>
      </w:r>
      <w:r w:rsidR="004F73BD">
        <w:rPr>
          <w:lang w:val="en-US"/>
        </w:rPr>
        <w:t>s</w:t>
      </w:r>
      <w:r w:rsidR="00C07119">
        <w:rPr>
          <w:lang w:val="en-US"/>
        </w:rPr>
        <w:t>eventh</w:t>
      </w:r>
      <w:r w:rsidRPr="00807E02">
        <w:rPr>
          <w:lang w:val="en-US"/>
        </w:rPr>
        <w:t xml:space="preserve"> session of the Inland Transport Committee (ITC) (</w:t>
      </w:r>
      <w:r w:rsidR="00B113BE">
        <w:rPr>
          <w:lang w:val="en-US"/>
        </w:rPr>
        <w:t>2</w:t>
      </w:r>
      <w:r w:rsidR="00CD2B0F">
        <w:rPr>
          <w:lang w:val="en-US"/>
        </w:rPr>
        <w:t>4</w:t>
      </w:r>
      <w:r w:rsidR="001014AA">
        <w:rPr>
          <w:lang w:val="en-US"/>
        </w:rPr>
        <w:t>-2</w:t>
      </w:r>
      <w:r w:rsidR="00CD2B0F">
        <w:rPr>
          <w:lang w:val="en-US"/>
        </w:rPr>
        <w:t>6</w:t>
      </w:r>
      <w:r w:rsidR="00B113BE">
        <w:rPr>
          <w:lang w:val="en-US"/>
        </w:rPr>
        <w:t xml:space="preserve"> February </w:t>
      </w:r>
      <w:r w:rsidR="001014AA">
        <w:rPr>
          <w:lang w:val="en-US"/>
        </w:rPr>
        <w:t>20</w:t>
      </w:r>
      <w:r w:rsidR="00B17019">
        <w:rPr>
          <w:lang w:val="en-US"/>
        </w:rPr>
        <w:t>1</w:t>
      </w:r>
      <w:r w:rsidR="005C4C87">
        <w:rPr>
          <w:lang w:val="en-US"/>
        </w:rPr>
        <w:t>5</w:t>
      </w:r>
      <w:r w:rsidRPr="00807E02">
        <w:rPr>
          <w:lang w:val="en-US"/>
        </w:rPr>
        <w:t>) as reflec</w:t>
      </w:r>
      <w:r w:rsidR="008C29AB">
        <w:rPr>
          <w:lang w:val="en-US"/>
        </w:rPr>
        <w:t>ted in its report (ECE/TRANS/2</w:t>
      </w:r>
      <w:r w:rsidR="00024675">
        <w:rPr>
          <w:lang w:val="en-US"/>
        </w:rPr>
        <w:t>48</w:t>
      </w:r>
      <w:r w:rsidR="00222070">
        <w:rPr>
          <w:lang w:val="en-US"/>
        </w:rPr>
        <w:t xml:space="preserve">, paragraphs </w:t>
      </w:r>
      <w:r w:rsidR="00024675">
        <w:rPr>
          <w:lang w:val="en-US"/>
        </w:rPr>
        <w:t>118-126</w:t>
      </w:r>
      <w:r w:rsidRPr="00807E02">
        <w:rPr>
          <w:lang w:val="en-US"/>
        </w:rPr>
        <w:t>).</w:t>
      </w:r>
    </w:p>
    <w:p w:rsidR="00F334C2" w:rsidRPr="00F334C2" w:rsidRDefault="00F334C2" w:rsidP="00230D7B">
      <w:pPr>
        <w:pStyle w:val="SingleTxtG"/>
      </w:pPr>
      <w:r>
        <w:rPr>
          <w:lang w:val="en-US"/>
        </w:rPr>
        <w:t>3.</w:t>
      </w:r>
      <w:r>
        <w:rPr>
          <w:lang w:val="en-US"/>
        </w:rPr>
        <w:tab/>
      </w:r>
      <w:r w:rsidR="00406ACC">
        <w:t xml:space="preserve">The ITC adopted the reports of its </w:t>
      </w:r>
      <w:r w:rsidR="00024675">
        <w:t>subsidiary bodies (ECE/TRANS/248</w:t>
      </w:r>
      <w:r w:rsidR="00406ACC">
        <w:t>, para. </w:t>
      </w:r>
      <w:r w:rsidR="00024675">
        <w:t>131</w:t>
      </w:r>
      <w:r w:rsidR="00406ACC">
        <w:t>)</w:t>
      </w:r>
      <w:r w:rsidR="00406ACC">
        <w:rPr>
          <w:lang w:val="en-US"/>
        </w:rPr>
        <w:t>.</w:t>
      </w:r>
    </w:p>
    <w:p w:rsidR="00024675" w:rsidRPr="00024675" w:rsidRDefault="00322E64" w:rsidP="00D86A74">
      <w:pPr>
        <w:pStyle w:val="SingleTxtG"/>
      </w:pPr>
      <w:r>
        <w:t>4</w:t>
      </w:r>
      <w:r w:rsidR="00391B41">
        <w:t>.</w:t>
      </w:r>
      <w:r w:rsidR="00391B41">
        <w:tab/>
      </w:r>
      <w:r w:rsidR="00024675" w:rsidRPr="00024675">
        <w:t xml:space="preserve">The </w:t>
      </w:r>
      <w:r w:rsidR="008708CA">
        <w:t>ITC</w:t>
      </w:r>
      <w:r w:rsidR="00024675" w:rsidRPr="00024675">
        <w:t xml:space="preserve"> noted that WP.11 had discussed its decision-making procedures and established an informal working group under the leadership of Belgium to </w:t>
      </w:r>
      <w:r w:rsidR="00024675" w:rsidRPr="00D86A74">
        <w:t>discuss</w:t>
      </w:r>
      <w:r w:rsidR="00024675" w:rsidRPr="00024675">
        <w:t xml:space="preserve"> the issue in greater detail.</w:t>
      </w:r>
    </w:p>
    <w:p w:rsidR="00024675" w:rsidRPr="00024675" w:rsidRDefault="00024675" w:rsidP="00D86A74">
      <w:pPr>
        <w:pStyle w:val="SingleTxtG"/>
      </w:pPr>
      <w:r>
        <w:t>5</w:t>
      </w:r>
      <w:r w:rsidRPr="00024675">
        <w:t>.</w:t>
      </w:r>
      <w:r w:rsidRPr="00024675">
        <w:tab/>
        <w:t xml:space="preserve">The </w:t>
      </w:r>
      <w:r w:rsidR="008708CA">
        <w:t>ITC</w:t>
      </w:r>
      <w:r w:rsidRPr="00024675">
        <w:t xml:space="preserve"> </w:t>
      </w:r>
      <w:r w:rsidRPr="00024675">
        <w:rPr>
          <w:b/>
        </w:rPr>
        <w:t xml:space="preserve">noted </w:t>
      </w:r>
      <w:r w:rsidRPr="00024675">
        <w:t xml:space="preserve">the importance of ensuring the coverage of the ATP in intermodal transport. Currently, ATP does not apply when a journey includes a sea crossing above </w:t>
      </w:r>
      <w:r w:rsidR="0039314D">
        <w:br/>
      </w:r>
      <w:r w:rsidRPr="00024675">
        <w:t xml:space="preserve">150 km in length. This means that carriage of perishable foodstuffs that includes a sea </w:t>
      </w:r>
      <w:r w:rsidRPr="00024675">
        <w:lastRenderedPageBreak/>
        <w:t>crossing from Rotterdam to Newcastle would be outside the scope of the ATP whereas for the same shipment transported via Calais to Dover the ATP would apply.</w:t>
      </w:r>
    </w:p>
    <w:p w:rsidR="00024675" w:rsidRPr="00024675" w:rsidRDefault="00024675" w:rsidP="00D86A74">
      <w:pPr>
        <w:pStyle w:val="SingleTxtG"/>
      </w:pPr>
      <w:r>
        <w:t>6</w:t>
      </w:r>
      <w:r w:rsidRPr="00024675">
        <w:t>.</w:t>
      </w:r>
      <w:r w:rsidRPr="00024675">
        <w:tab/>
        <w:t xml:space="preserve">The Committee </w:t>
      </w:r>
      <w:r w:rsidRPr="00024675">
        <w:rPr>
          <w:b/>
        </w:rPr>
        <w:t xml:space="preserve">further noted </w:t>
      </w:r>
      <w:r w:rsidRPr="00024675">
        <w:t>that the ATP does not contain a definition of "perishable foodstuffs" and does not apply to the carriage of fresh fruit and vegetables.</w:t>
      </w:r>
    </w:p>
    <w:p w:rsidR="00F334C2" w:rsidRDefault="00024675" w:rsidP="00D86A74">
      <w:pPr>
        <w:pStyle w:val="SingleTxtG"/>
      </w:pPr>
      <w:r>
        <w:t>7</w:t>
      </w:r>
      <w:r w:rsidRPr="00024675">
        <w:t>.</w:t>
      </w:r>
      <w:r w:rsidRPr="00024675">
        <w:tab/>
        <w:t xml:space="preserve">The Committee </w:t>
      </w:r>
      <w:r w:rsidRPr="00024675">
        <w:rPr>
          <w:b/>
        </w:rPr>
        <w:t xml:space="preserve">noted </w:t>
      </w:r>
      <w:r w:rsidRPr="00024675">
        <w:t>that WP.11 had discussed various options for extending the scope of the ATP to include the carriage of fresh fruit and vegetables, including adding an annex that recommends rather than prescribes temperature conditions for the carriage of fresh fruit and vegetables, or the conclusion of multilateral agreements in accordance with article 7 of the ATP among countries that wish to extend the coverage of ATP to fresh fruit and vegetables.</w:t>
      </w:r>
    </w:p>
    <w:p w:rsidR="000216E0" w:rsidRPr="00B44428" w:rsidRDefault="000216E0" w:rsidP="00D86A74">
      <w:pPr>
        <w:pStyle w:val="SingleTxtG"/>
      </w:pPr>
      <w:r>
        <w:t>8.</w:t>
      </w:r>
      <w:r>
        <w:tab/>
        <w:t>The WP.11 may wish to discuss the proposals made by Belgium on behalf of the informal working group to introduce new decision making and voting procedures in WP.11 and new templates for documents as outlined in sections B and C of ECE/TRANS/WP.11/2015/10.</w:t>
      </w:r>
    </w:p>
    <w:p w:rsidR="00CA77FE" w:rsidRPr="00803899" w:rsidRDefault="007C2C1A" w:rsidP="00D86A74">
      <w:pPr>
        <w:pStyle w:val="H23G"/>
      </w:pPr>
      <w:r>
        <w:tab/>
      </w:r>
      <w:r w:rsidR="00CA77FE" w:rsidRPr="00803899">
        <w:t>(b)</w:t>
      </w:r>
      <w:r w:rsidR="00CA77FE" w:rsidRPr="00803899">
        <w:tab/>
        <w:t xml:space="preserve">Working Party on Agricultural Quality </w:t>
      </w:r>
      <w:r w:rsidR="00CA77FE" w:rsidRPr="00D86A74">
        <w:t>Standards</w:t>
      </w:r>
    </w:p>
    <w:p w:rsidR="00CA77FE" w:rsidRPr="00803899" w:rsidRDefault="000216E0" w:rsidP="00D86A74">
      <w:pPr>
        <w:pStyle w:val="SingleTxtG"/>
      </w:pPr>
      <w:r>
        <w:t>9</w:t>
      </w:r>
      <w:r w:rsidR="00CA77FE" w:rsidRPr="00803899">
        <w:t>.</w:t>
      </w:r>
      <w:r w:rsidR="00CA77FE" w:rsidRPr="00803899">
        <w:tab/>
        <w:t xml:space="preserve">The Working Party will be informed about </w:t>
      </w:r>
      <w:r w:rsidR="001934FB" w:rsidRPr="00803899">
        <w:t xml:space="preserve">any relevant </w:t>
      </w:r>
      <w:r w:rsidR="00CA77FE" w:rsidRPr="00803899">
        <w:t>activities of the Working Party on Agricultural Quality Standards (WP.7).</w:t>
      </w:r>
    </w:p>
    <w:p w:rsidR="00911757" w:rsidRDefault="004C0A10" w:rsidP="00D86A74">
      <w:pPr>
        <w:pStyle w:val="H1G"/>
      </w:pPr>
      <w:r>
        <w:tab/>
        <w:t>3.</w:t>
      </w:r>
      <w:r w:rsidR="00911757">
        <w:tab/>
        <w:t xml:space="preserve">Activities of other international organizations </w:t>
      </w:r>
      <w:r w:rsidR="00911757" w:rsidRPr="00D86A74">
        <w:t>dealing</w:t>
      </w:r>
      <w:r w:rsidR="00911757">
        <w:t xml:space="preserve"> with issues of interest to the Working Party</w:t>
      </w:r>
    </w:p>
    <w:p w:rsidR="00911757" w:rsidRDefault="007C2C1A" w:rsidP="00D86A74">
      <w:pPr>
        <w:pStyle w:val="H23G"/>
      </w:pPr>
      <w:r>
        <w:tab/>
      </w:r>
      <w:r w:rsidR="00911757">
        <w:t>(a)</w:t>
      </w:r>
      <w:r w:rsidR="00911757">
        <w:tab/>
        <w:t>International Institute of Refrigeration (IIR)</w:t>
      </w:r>
    </w:p>
    <w:p w:rsidR="00911757" w:rsidRDefault="000216E0" w:rsidP="00D86A74">
      <w:pPr>
        <w:pStyle w:val="SingleTxtG"/>
      </w:pPr>
      <w:r>
        <w:t>10</w:t>
      </w:r>
      <w:r w:rsidR="00911757">
        <w:t>.</w:t>
      </w:r>
      <w:r w:rsidR="00911757">
        <w:tab/>
        <w:t xml:space="preserve">The Working Party will be informed about the </w:t>
      </w:r>
      <w:r w:rsidR="00911757" w:rsidRPr="00D86A74">
        <w:t>results</w:t>
      </w:r>
      <w:r w:rsidR="00911757">
        <w:t xml:space="preserve"> of the meeting of the</w:t>
      </w:r>
      <w:r w:rsidR="003E0D7D">
        <w:t> </w:t>
      </w:r>
      <w:r w:rsidR="00911757">
        <w:t>IIR</w:t>
      </w:r>
      <w:r w:rsidR="00A715C6">
        <w:t xml:space="preserve"> </w:t>
      </w:r>
      <w:r w:rsidR="00A715C6">
        <w:br/>
      </w:r>
      <w:r w:rsidR="00911757">
        <w:t xml:space="preserve">sub-commission </w:t>
      </w:r>
      <w:r w:rsidR="00FF7E2C">
        <w:t xml:space="preserve">on refrigerated transport </w:t>
      </w:r>
      <w:r w:rsidR="00911757">
        <w:t xml:space="preserve">held in </w:t>
      </w:r>
      <w:r w:rsidR="00024675">
        <w:t>Castelo Branco</w:t>
      </w:r>
      <w:r w:rsidR="005C4C87">
        <w:t>, Portugal</w:t>
      </w:r>
      <w:r w:rsidR="00BA67A2">
        <w:t>,</w:t>
      </w:r>
      <w:r w:rsidR="005C4C87">
        <w:t xml:space="preserve"> </w:t>
      </w:r>
      <w:r w:rsidR="008704E3">
        <w:t>o</w:t>
      </w:r>
      <w:r w:rsidR="00BA67A2">
        <w:t xml:space="preserve">n </w:t>
      </w:r>
      <w:r w:rsidR="00BA67A2">
        <w:br/>
      </w:r>
      <w:r w:rsidR="00024675">
        <w:t>21 and 22 April</w:t>
      </w:r>
      <w:r w:rsidR="006D6648">
        <w:t xml:space="preserve"> 201</w:t>
      </w:r>
      <w:r w:rsidR="005C4C87">
        <w:t>5</w:t>
      </w:r>
      <w:r w:rsidR="001934FB">
        <w:t xml:space="preserve"> (Informal document INF.</w:t>
      </w:r>
      <w:r w:rsidR="00F93B19">
        <w:t>3</w:t>
      </w:r>
      <w:r w:rsidR="001934FB">
        <w:t>)</w:t>
      </w:r>
      <w:r w:rsidR="00C14720">
        <w:t>.</w:t>
      </w:r>
    </w:p>
    <w:p w:rsidR="00911757" w:rsidRDefault="007C2C1A" w:rsidP="00D86A74">
      <w:pPr>
        <w:pStyle w:val="H23G"/>
      </w:pPr>
      <w:r>
        <w:tab/>
      </w:r>
      <w:r w:rsidR="00911757">
        <w:t>(b)</w:t>
      </w:r>
      <w:r w:rsidR="00911757">
        <w:tab/>
        <w:t xml:space="preserve">Transfrigoroute </w:t>
      </w:r>
      <w:r w:rsidR="00911757" w:rsidRPr="00D86A74">
        <w:t>International</w:t>
      </w:r>
    </w:p>
    <w:p w:rsidR="00911757" w:rsidRDefault="000216E0" w:rsidP="00D86A74">
      <w:pPr>
        <w:pStyle w:val="SingleTxtG"/>
      </w:pPr>
      <w:r>
        <w:t>11</w:t>
      </w:r>
      <w:r w:rsidR="00911757">
        <w:t>.</w:t>
      </w:r>
      <w:r w:rsidR="00911757">
        <w:tab/>
        <w:t>The representative of Transfrigoroute International is invited to present the recent activities of his organization.</w:t>
      </w:r>
    </w:p>
    <w:p w:rsidR="00911757" w:rsidRDefault="007C2C1A" w:rsidP="00D86A74">
      <w:pPr>
        <w:pStyle w:val="H23G"/>
      </w:pPr>
      <w:r>
        <w:tab/>
      </w:r>
      <w:r w:rsidR="006D6648">
        <w:t>(c)</w:t>
      </w:r>
      <w:r w:rsidR="006D6648">
        <w:tab/>
        <w:t xml:space="preserve">European Committee for </w:t>
      </w:r>
      <w:r w:rsidR="006D6648" w:rsidRPr="00D86A74">
        <w:t>Standardization</w:t>
      </w:r>
      <w:r w:rsidR="00911757">
        <w:t xml:space="preserve"> (</w:t>
      </w:r>
      <w:r w:rsidR="006D6648">
        <w:t>CEN</w:t>
      </w:r>
      <w:r w:rsidR="00911757">
        <w:t>)</w:t>
      </w:r>
    </w:p>
    <w:p w:rsidR="00911757" w:rsidRDefault="000216E0" w:rsidP="00D86A74">
      <w:pPr>
        <w:pStyle w:val="SingleTxtG"/>
      </w:pPr>
      <w:r>
        <w:t>12</w:t>
      </w:r>
      <w:r w:rsidR="004F4DFA">
        <w:t>.</w:t>
      </w:r>
      <w:r w:rsidR="004F4DFA">
        <w:tab/>
      </w:r>
      <w:r w:rsidR="00F27D06">
        <w:t xml:space="preserve">Delegations participating in the work </w:t>
      </w:r>
      <w:r w:rsidR="003F4624">
        <w:t>of</w:t>
      </w:r>
      <w:r w:rsidR="00F27D06">
        <w:t xml:space="preserve"> </w:t>
      </w:r>
      <w:r w:rsidR="004448C4">
        <w:t xml:space="preserve">CEN </w:t>
      </w:r>
      <w:r w:rsidR="00F27D06">
        <w:t xml:space="preserve">are invited </w:t>
      </w:r>
      <w:r w:rsidR="00F27D06"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 ATP</w:t>
      </w:r>
      <w:r w:rsidR="00703261">
        <w:rPr>
          <w:lang w:val="en-US"/>
        </w:rPr>
        <w:t>.</w:t>
      </w:r>
    </w:p>
    <w:p w:rsidR="000D66A6" w:rsidRDefault="004C0A10" w:rsidP="00D86A74">
      <w:pPr>
        <w:pStyle w:val="H1G"/>
      </w:pPr>
      <w:r>
        <w:tab/>
        <w:t>4.</w:t>
      </w:r>
      <w:r w:rsidR="000D66A6">
        <w:tab/>
        <w:t xml:space="preserve">Status and implementation of the Agreement on the International Carriage of Perishable Foodstuffs and on the Special Equipment to be </w:t>
      </w:r>
      <w:proofErr w:type="gramStart"/>
      <w:r w:rsidR="000D66A6">
        <w:t>Used</w:t>
      </w:r>
      <w:proofErr w:type="gramEnd"/>
      <w:r w:rsidR="000D66A6">
        <w:t xml:space="preserve"> for such Carriage</w:t>
      </w:r>
      <w:r w:rsidR="005A2CFE">
        <w:t xml:space="preserve"> (ATP)</w:t>
      </w:r>
    </w:p>
    <w:p w:rsidR="000D66A6" w:rsidRDefault="007C2C1A" w:rsidP="00D86A74">
      <w:pPr>
        <w:pStyle w:val="H23G"/>
      </w:pPr>
      <w:r>
        <w:tab/>
      </w:r>
      <w:r w:rsidR="000D66A6">
        <w:t>(a)</w:t>
      </w:r>
      <w:r w:rsidR="000D66A6">
        <w:tab/>
        <w:t xml:space="preserve">Status of application of the </w:t>
      </w:r>
      <w:r w:rsidR="000D66A6" w:rsidRPr="00D86A74">
        <w:t>Agreement</w:t>
      </w:r>
    </w:p>
    <w:p w:rsidR="00382A35" w:rsidRDefault="000216E0" w:rsidP="00D86A74">
      <w:pPr>
        <w:pStyle w:val="SingleTxtG"/>
        <w:rPr>
          <w:bCs/>
        </w:rPr>
      </w:pPr>
      <w:r>
        <w:t>13</w:t>
      </w:r>
      <w:r w:rsidR="000D66A6">
        <w:t>.</w:t>
      </w:r>
      <w:r w:rsidR="000D66A6">
        <w:tab/>
      </w:r>
      <w:r w:rsidR="005C4C87">
        <w:t xml:space="preserve">Saudi Arabia acceded to </w:t>
      </w:r>
      <w:r w:rsidR="001014AA">
        <w:t xml:space="preserve">ATP </w:t>
      </w:r>
      <w:r w:rsidR="005C4C87">
        <w:t xml:space="preserve">in January 2015 </w:t>
      </w:r>
      <w:r w:rsidR="005C4C87" w:rsidRPr="00D86A74">
        <w:t>thereby</w:t>
      </w:r>
      <w:r w:rsidR="005C4C87">
        <w:t xml:space="preserve"> bringing </w:t>
      </w:r>
      <w:r w:rsidR="008704E3">
        <w:t>t</w:t>
      </w:r>
      <w:r w:rsidR="000D66A6">
        <w:rPr>
          <w:bCs/>
        </w:rPr>
        <w:t xml:space="preserve">he number of Contracting Parties </w:t>
      </w:r>
      <w:r w:rsidR="005C4C87">
        <w:rPr>
          <w:bCs/>
        </w:rPr>
        <w:t>to</w:t>
      </w:r>
      <w:r w:rsidR="000D66A6">
        <w:rPr>
          <w:bCs/>
        </w:rPr>
        <w:t xml:space="preserve"> </w:t>
      </w:r>
      <w:r w:rsidR="001014AA">
        <w:rPr>
          <w:bCs/>
        </w:rPr>
        <w:t>4</w:t>
      </w:r>
      <w:r w:rsidR="005C4C87">
        <w:rPr>
          <w:bCs/>
        </w:rPr>
        <w:t>9</w:t>
      </w:r>
      <w:r w:rsidR="000D66A6">
        <w:rPr>
          <w:bCs/>
        </w:rPr>
        <w:t>.</w:t>
      </w:r>
    </w:p>
    <w:p w:rsidR="000D66A6" w:rsidRDefault="007C2C1A" w:rsidP="00D86A74">
      <w:pPr>
        <w:pStyle w:val="H23G"/>
      </w:pPr>
      <w:r>
        <w:tab/>
      </w:r>
      <w:r w:rsidR="000D66A6">
        <w:t>(b)</w:t>
      </w:r>
      <w:r w:rsidR="000D66A6">
        <w:tab/>
      </w:r>
      <w:r w:rsidR="000D66A6" w:rsidRPr="00D86A74">
        <w:t>Status</w:t>
      </w:r>
      <w:r w:rsidR="000D66A6">
        <w:t xml:space="preserve"> of amendments</w:t>
      </w:r>
    </w:p>
    <w:p w:rsidR="006E5980" w:rsidRDefault="000216E0" w:rsidP="00D86A74">
      <w:pPr>
        <w:pStyle w:val="SingleTxtG"/>
      </w:pPr>
      <w:r>
        <w:rPr>
          <w:lang w:val="en-US"/>
        </w:rPr>
        <w:t>14</w:t>
      </w:r>
      <w:r w:rsidR="006E5980">
        <w:rPr>
          <w:lang w:val="en-US"/>
        </w:rPr>
        <w:t>.</w:t>
      </w:r>
      <w:r w:rsidR="006E5980">
        <w:rPr>
          <w:lang w:val="en-US"/>
        </w:rPr>
        <w:tab/>
        <w:t xml:space="preserve">The </w:t>
      </w:r>
      <w:r w:rsidR="0029026F">
        <w:rPr>
          <w:lang w:val="en-US"/>
        </w:rPr>
        <w:t xml:space="preserve">amendments to ATP </w:t>
      </w:r>
      <w:r w:rsidR="00CF7A38">
        <w:t>adopted by WP.11 at its 69</w:t>
      </w:r>
      <w:r w:rsidR="001014AA">
        <w:t>th session in 201</w:t>
      </w:r>
      <w:r w:rsidR="00CF7A38">
        <w:t>3</w:t>
      </w:r>
      <w:r w:rsidR="00171D8C">
        <w:t>,</w:t>
      </w:r>
      <w:r w:rsidR="0029026F" w:rsidRPr="0029026F">
        <w:t xml:space="preserve"> and contained in Annex I to the report of that session (ECE/TRANS/WP.11/22</w:t>
      </w:r>
      <w:r w:rsidR="00CF7A38">
        <w:t>8</w:t>
      </w:r>
      <w:r w:rsidR="0029026F" w:rsidRPr="0029026F">
        <w:t>)</w:t>
      </w:r>
      <w:r w:rsidR="001934FB">
        <w:t>,</w:t>
      </w:r>
      <w:r w:rsidR="0029026F" w:rsidRPr="0029026F">
        <w:t xml:space="preserve"> </w:t>
      </w:r>
      <w:r w:rsidR="004F73BD">
        <w:t xml:space="preserve">were </w:t>
      </w:r>
      <w:r w:rsidR="004F73BD">
        <w:lastRenderedPageBreak/>
        <w:t xml:space="preserve">considered accepted on </w:t>
      </w:r>
      <w:r w:rsidR="00CF7A38">
        <w:t xml:space="preserve">31 March </w:t>
      </w:r>
      <w:r w:rsidR="00D70230" w:rsidRPr="00D70230">
        <w:t>201</w:t>
      </w:r>
      <w:r w:rsidR="00CF7A38">
        <w:t>5</w:t>
      </w:r>
      <w:r w:rsidR="00D70230" w:rsidRPr="00D70230">
        <w:t xml:space="preserve"> and </w:t>
      </w:r>
      <w:r w:rsidR="00CF7A38">
        <w:t>wil</w:t>
      </w:r>
      <w:r w:rsidR="00D70230" w:rsidRPr="00D70230">
        <w:t xml:space="preserve">l enter into force on </w:t>
      </w:r>
      <w:r w:rsidR="00CF7A38">
        <w:t>30 September 2015 (see C.N.253.2015</w:t>
      </w:r>
      <w:r w:rsidR="00D70230" w:rsidRPr="00D70230">
        <w:t>.TREATIES-XI.B.22).</w:t>
      </w:r>
    </w:p>
    <w:p w:rsidR="00F93B19" w:rsidRDefault="00A52682" w:rsidP="00D86A74">
      <w:pPr>
        <w:pStyle w:val="SingleTxtG"/>
        <w:rPr>
          <w:color w:val="000000"/>
          <w:lang w:eastAsia="en-GB"/>
        </w:rPr>
      </w:pPr>
      <w:r>
        <w:t>1</w:t>
      </w:r>
      <w:r w:rsidR="000216E0">
        <w:t>5</w:t>
      </w:r>
      <w:r w:rsidR="00DF5856">
        <w:t>.</w:t>
      </w:r>
      <w:r w:rsidR="00DF5856">
        <w:tab/>
      </w:r>
      <w:r w:rsidR="00183536">
        <w:t xml:space="preserve">Proposed amendments to the ATP adopted at the </w:t>
      </w:r>
      <w:r w:rsidR="00CF7A38">
        <w:t>70</w:t>
      </w:r>
      <w:r w:rsidR="00D70230" w:rsidRPr="00D70230">
        <w:rPr>
          <w:vertAlign w:val="superscript"/>
        </w:rPr>
        <w:t>th</w:t>
      </w:r>
      <w:r w:rsidR="00D70230">
        <w:t xml:space="preserve"> s</w:t>
      </w:r>
      <w:r w:rsidR="00183536">
        <w:t xml:space="preserve">ession of WP.11 </w:t>
      </w:r>
      <w:r w:rsidR="008704E3">
        <w:t>in 201</w:t>
      </w:r>
      <w:r w:rsidR="00CF7A38">
        <w:t>4 (ECE/TRANS/WP.11/23</w:t>
      </w:r>
      <w:r>
        <w:t>1</w:t>
      </w:r>
      <w:r w:rsidR="00183536">
        <w:t>, Annex</w:t>
      </w:r>
      <w:r w:rsidR="00CF7A38">
        <w:t>es</w:t>
      </w:r>
      <w:r w:rsidR="00183536">
        <w:t xml:space="preserve"> I</w:t>
      </w:r>
      <w:r w:rsidR="00CF7A38">
        <w:t xml:space="preserve"> and II</w:t>
      </w:r>
      <w:r>
        <w:t xml:space="preserve"> and ECE/TRANS/WP.11/</w:t>
      </w:r>
      <w:r w:rsidR="00024675">
        <w:t>231/</w:t>
      </w:r>
      <w:r>
        <w:t>Corrs. 1 and 2</w:t>
      </w:r>
      <w:r w:rsidR="00183536">
        <w:t xml:space="preserve">) were notified to ATP Contracting Parties by the United Nations Treaty Section on </w:t>
      </w:r>
      <w:r w:rsidR="00F93B19">
        <w:br/>
      </w:r>
      <w:r w:rsidR="00CF7A38">
        <w:t>19 March 2015</w:t>
      </w:r>
      <w:r w:rsidR="00183536">
        <w:t xml:space="preserve"> </w:t>
      </w:r>
      <w:r w:rsidR="007A7D48" w:rsidRPr="007A7D48">
        <w:t>(</w:t>
      </w:r>
      <w:r w:rsidR="00D65ED2">
        <w:t>C.N.</w:t>
      </w:r>
      <w:r>
        <w:t>181.2015</w:t>
      </w:r>
      <w:r w:rsidR="00D70230">
        <w:t>.TREATIES-XI.B.22</w:t>
      </w:r>
      <w:r w:rsidR="007A7D48" w:rsidRPr="007A7D48">
        <w:t>)</w:t>
      </w:r>
      <w:r w:rsidR="00937268" w:rsidRPr="007A7D48">
        <w:t>.</w:t>
      </w:r>
      <w:r w:rsidR="006E5980">
        <w:t xml:space="preserve"> </w:t>
      </w:r>
      <w:r w:rsidR="00835AA6">
        <w:rPr>
          <w:color w:val="000000"/>
          <w:lang w:eastAsia="en-GB"/>
        </w:rPr>
        <w:t xml:space="preserve">After the session, the secretariat of the Working Party was informed by the Treaty Section of the Office of Legal Affairs that the corrections contained in Annex II of ECE/TRANS/WP.11/231 were related to errors that did not fall within any of the categories of errors affecting the original text of a treaty that may be corrected using the correction procedure described in the Summary of Practice of the Secretary-General as depositary of multilateral treaties. As a consequence </w:t>
      </w:r>
      <w:r w:rsidR="00F93B19">
        <w:rPr>
          <w:color w:val="000000"/>
          <w:lang w:eastAsia="en-GB"/>
        </w:rPr>
        <w:t xml:space="preserve">it was agreed that </w:t>
      </w:r>
      <w:r w:rsidR="00835AA6">
        <w:rPr>
          <w:color w:val="000000"/>
          <w:lang w:eastAsia="en-GB"/>
        </w:rPr>
        <w:t xml:space="preserve">they </w:t>
      </w:r>
      <w:r w:rsidR="00F93B19">
        <w:rPr>
          <w:color w:val="000000"/>
          <w:lang w:eastAsia="en-GB"/>
        </w:rPr>
        <w:t>w</w:t>
      </w:r>
      <w:r w:rsidR="00835AA6">
        <w:rPr>
          <w:color w:val="000000"/>
          <w:lang w:eastAsia="en-GB"/>
        </w:rPr>
        <w:t xml:space="preserve">ould be </w:t>
      </w:r>
      <w:r w:rsidR="00835AA6" w:rsidRPr="00D86A74">
        <w:t>treated</w:t>
      </w:r>
      <w:r w:rsidR="00835AA6">
        <w:rPr>
          <w:color w:val="000000"/>
          <w:lang w:eastAsia="en-GB"/>
        </w:rPr>
        <w:t xml:space="preserve"> as proposed amendments subject to the amendment procedure outlined in Article 18 of the ATP</w:t>
      </w:r>
      <w:r w:rsidR="0010137F" w:rsidRPr="0010137F">
        <w:t xml:space="preserve"> </w:t>
      </w:r>
      <w:r w:rsidR="0010137F">
        <w:t xml:space="preserve">(see </w:t>
      </w:r>
      <w:r w:rsidR="0010137F" w:rsidRPr="0010137F">
        <w:rPr>
          <w:color w:val="000000"/>
          <w:lang w:eastAsia="en-GB"/>
        </w:rPr>
        <w:t>ECE/TRANS/WP.11/231/Corr</w:t>
      </w:r>
      <w:r w:rsidR="0010137F">
        <w:rPr>
          <w:color w:val="000000"/>
          <w:lang w:eastAsia="en-GB"/>
        </w:rPr>
        <w:t>.</w:t>
      </w:r>
      <w:r w:rsidR="0010137F" w:rsidRPr="0010137F">
        <w:rPr>
          <w:color w:val="000000"/>
          <w:lang w:eastAsia="en-GB"/>
        </w:rPr>
        <w:t xml:space="preserve"> 2)</w:t>
      </w:r>
      <w:r w:rsidR="00835AA6">
        <w:rPr>
          <w:color w:val="000000"/>
          <w:lang w:eastAsia="en-GB"/>
        </w:rPr>
        <w:t>.</w:t>
      </w:r>
    </w:p>
    <w:p w:rsidR="00A22E39" w:rsidRDefault="000216E0" w:rsidP="00D86A74">
      <w:pPr>
        <w:pStyle w:val="SingleTxtG"/>
      </w:pPr>
      <w:r>
        <w:t>16</w:t>
      </w:r>
      <w:r w:rsidR="00F93B19">
        <w:t>.</w:t>
      </w:r>
      <w:r w:rsidR="00F93B19">
        <w:tab/>
      </w:r>
      <w:proofErr w:type="gramStart"/>
      <w:r w:rsidR="00E353BC">
        <w:t>On</w:t>
      </w:r>
      <w:proofErr w:type="gramEnd"/>
      <w:r w:rsidR="00D65ED2">
        <w:t xml:space="preserve"> </w:t>
      </w:r>
      <w:r w:rsidR="00AB2897">
        <w:t>13</w:t>
      </w:r>
      <w:r w:rsidR="00D65ED2">
        <w:t xml:space="preserve"> Ma</w:t>
      </w:r>
      <w:r w:rsidR="00AB2897">
        <w:t>y</w:t>
      </w:r>
      <w:r w:rsidR="00A22E39">
        <w:t xml:space="preserve"> 201</w:t>
      </w:r>
      <w:r w:rsidR="00AB2897">
        <w:t>5</w:t>
      </w:r>
      <w:r w:rsidR="00A22E39" w:rsidRPr="00F05A5E">
        <w:t xml:space="preserve">, the Government of Germany, </w:t>
      </w:r>
      <w:r w:rsidR="00A22E39">
        <w:t xml:space="preserve">in accordance with </w:t>
      </w:r>
      <w:r w:rsidR="00A22E39" w:rsidRPr="00F05A5E">
        <w:t>Article 18 (2) (b) of the ATP, informed the Secretary-General that although it intended to accept the proposals, the conditions for such acceptance were not yet fulfilled</w:t>
      </w:r>
      <w:r w:rsidR="00A22E39">
        <w:rPr>
          <w:bCs/>
        </w:rPr>
        <w:t xml:space="preserve"> </w:t>
      </w:r>
      <w:r w:rsidR="00A22E39" w:rsidRPr="007A7D48">
        <w:t>(C.N.</w:t>
      </w:r>
      <w:r w:rsidR="00AB2897">
        <w:t>298</w:t>
      </w:r>
      <w:r w:rsidR="00A22E39" w:rsidRPr="007A7D48">
        <w:t>.201</w:t>
      </w:r>
      <w:r w:rsidR="00AB2897">
        <w:t>5</w:t>
      </w:r>
      <w:r w:rsidR="00A22E39" w:rsidRPr="007A7D48">
        <w:t>.</w:t>
      </w:r>
      <w:r w:rsidR="00041F10">
        <w:t>TREATIES-XI.B.22</w:t>
      </w:r>
      <w:r w:rsidR="00A22E39" w:rsidRPr="007A7D48">
        <w:t>)</w:t>
      </w:r>
      <w:r w:rsidR="00A22E39" w:rsidRPr="00F05A5E">
        <w:t xml:space="preserve">. </w:t>
      </w:r>
      <w:r w:rsidR="00A22E39" w:rsidRPr="0029026F">
        <w:t>As a consequence, the amendments adopted at the 201</w:t>
      </w:r>
      <w:r w:rsidR="00AB2897">
        <w:t>4</w:t>
      </w:r>
      <w:r w:rsidR="00A22E39" w:rsidRPr="0029026F">
        <w:t xml:space="preserve"> session of WP.11 will be deemed accepted only if, before </w:t>
      </w:r>
      <w:r w:rsidR="00A22E39" w:rsidRPr="00D86A74">
        <w:t>the</w:t>
      </w:r>
      <w:r w:rsidR="00A22E39" w:rsidRPr="0029026F">
        <w:t xml:space="preserve"> expiry of a period of nine months following the initial notification period of six mo</w:t>
      </w:r>
      <w:r w:rsidR="00041F10">
        <w:t>nths</w:t>
      </w:r>
      <w:r w:rsidR="00A22E39" w:rsidRPr="0029026F">
        <w:t>, the Government of Germany does not notify an object</w:t>
      </w:r>
      <w:r w:rsidR="00041F10">
        <w:t>ion to the proposed amendments.</w:t>
      </w:r>
    </w:p>
    <w:p w:rsidR="000D66A6" w:rsidRDefault="007C2C1A" w:rsidP="00D86A74">
      <w:pPr>
        <w:pStyle w:val="H23G"/>
      </w:pPr>
      <w:r>
        <w:tab/>
      </w:r>
      <w:r w:rsidR="000D66A6">
        <w:t>(c)</w:t>
      </w:r>
      <w:r w:rsidR="000D66A6">
        <w:tab/>
        <w:t>Test stations officially designated by the competent authorities of countries Parties to ATP</w:t>
      </w:r>
    </w:p>
    <w:p w:rsidR="000D66A6" w:rsidRDefault="000216E0" w:rsidP="00D86A74">
      <w:pPr>
        <w:pStyle w:val="SingleTxtG"/>
      </w:pPr>
      <w:r>
        <w:t>17</w:t>
      </w:r>
      <w:r w:rsidR="000D66A6">
        <w:t>.</w:t>
      </w:r>
      <w:r w:rsidR="000D66A6">
        <w:tab/>
        <w:t xml:space="preserve">The current list of </w:t>
      </w:r>
      <w:r w:rsidR="00F16B21">
        <w:t xml:space="preserve">officially designated </w:t>
      </w:r>
      <w:r w:rsidR="000D66A6">
        <w:t xml:space="preserve">test stations </w:t>
      </w:r>
      <w:r w:rsidR="000D66A6" w:rsidRPr="00D86A74">
        <w:t>appears</w:t>
      </w:r>
      <w:r w:rsidR="000D66A6">
        <w:t xml:space="preserve"> at the following web link: </w:t>
      </w:r>
      <w:hyperlink r:id="rId9" w:history="1">
        <w:r w:rsidR="00F16B21" w:rsidRPr="00037EED">
          <w:rPr>
            <w:rStyle w:val="Hyperlink"/>
          </w:rPr>
          <w:t>http://www.unece.org/fileadmin/DAM/trans/main/wp11/teststations.pdf</w:t>
        </w:r>
      </w:hyperlink>
      <w:r w:rsidR="00F16B21">
        <w:t xml:space="preserve"> and in Informal documen</w:t>
      </w:r>
      <w:r w:rsidR="005A5F33">
        <w:t>t INF.6.</w:t>
      </w:r>
    </w:p>
    <w:p w:rsidR="000D66A6" w:rsidRDefault="007C2C1A" w:rsidP="00D86A74">
      <w:pPr>
        <w:pStyle w:val="H23G"/>
      </w:pPr>
      <w:r>
        <w:tab/>
      </w:r>
      <w:r w:rsidR="000D66A6">
        <w:t>(d)</w:t>
      </w:r>
      <w:r w:rsidR="000D66A6">
        <w:tab/>
        <w:t xml:space="preserve">Exchange of information among Parties under Article 6 of </w:t>
      </w:r>
      <w:r w:rsidR="000D66A6" w:rsidRPr="00D86A74">
        <w:t>ATP</w:t>
      </w:r>
    </w:p>
    <w:p w:rsidR="00022D6E" w:rsidRDefault="000216E0" w:rsidP="00D86A74">
      <w:pPr>
        <w:pStyle w:val="SingleTxtG"/>
      </w:pPr>
      <w:r>
        <w:t>18</w:t>
      </w:r>
      <w:r w:rsidR="000D66A6">
        <w:t>.</w:t>
      </w:r>
      <w:r w:rsidR="000D66A6">
        <w:tab/>
      </w:r>
      <w:r w:rsidR="005C7247">
        <w:t xml:space="preserve">At </w:t>
      </w:r>
      <w:r w:rsidR="0095577D">
        <w:t>the</w:t>
      </w:r>
      <w:r w:rsidR="005C7247">
        <w:t xml:space="preserve"> </w:t>
      </w:r>
      <w:r w:rsidR="00861D28">
        <w:t>last</w:t>
      </w:r>
      <w:r w:rsidR="00BF17E4">
        <w:t xml:space="preserve"> session</w:t>
      </w:r>
      <w:r w:rsidR="005C7247">
        <w:t xml:space="preserve">, </w:t>
      </w:r>
      <w:r w:rsidR="00182F50">
        <w:t xml:space="preserve">the </w:t>
      </w:r>
      <w:r w:rsidR="00182F50" w:rsidRPr="00E21EC8">
        <w:t xml:space="preserve">WP.11 thanked the 18 countries that had provided data in response to the questionnaire on the implementation of ATP in 2013 and stressed that it was mandatory to have information from all ATP </w:t>
      </w:r>
      <w:r w:rsidR="00182F50" w:rsidRPr="00D86A74">
        <w:t>contracting</w:t>
      </w:r>
      <w:r w:rsidR="00182F50" w:rsidRPr="00E21EC8">
        <w:t xml:space="preserve"> parties and that it was a means of harmonizing implementation of the agreement.</w:t>
      </w:r>
      <w:r w:rsidR="005C7247">
        <w:t xml:space="preserve"> </w:t>
      </w:r>
      <w:r w:rsidR="00EF779D">
        <w:t xml:space="preserve">The data received </w:t>
      </w:r>
      <w:r w:rsidR="00DF5856">
        <w:t xml:space="preserve">for the </w:t>
      </w:r>
      <w:r w:rsidR="005C4C87">
        <w:t>year 2014</w:t>
      </w:r>
      <w:r w:rsidR="00041F10">
        <w:t xml:space="preserve"> </w:t>
      </w:r>
      <w:r w:rsidR="00EF779D">
        <w:t>are presented in ECE/TRANS/WP.11/201</w:t>
      </w:r>
      <w:r w:rsidR="005C4C87">
        <w:t>5</w:t>
      </w:r>
      <w:r w:rsidR="0063254E">
        <w:t>/6</w:t>
      </w:r>
      <w:r w:rsidR="00266A8B">
        <w:t xml:space="preserve"> and </w:t>
      </w:r>
      <w:r w:rsidR="00266A8B" w:rsidRPr="00266A8B">
        <w:t>ECE/TRANS/WP.11/2015/6</w:t>
      </w:r>
      <w:r w:rsidR="00266A8B">
        <w:t>/Add.1.</w:t>
      </w:r>
      <w:r w:rsidR="00F93B19">
        <w:t xml:space="preserve"> Countries were also asked to respond to a number of other questions regarding implementation of the ATP. The responses to those questions are contained in Informal document</w:t>
      </w:r>
      <w:r w:rsidR="00885CA9">
        <w:t>s</w:t>
      </w:r>
      <w:r w:rsidR="00F93B19">
        <w:t xml:space="preserve"> INF.2</w:t>
      </w:r>
      <w:r w:rsidR="00885CA9">
        <w:t xml:space="preserve"> and INF.5</w:t>
      </w:r>
      <w:r w:rsidR="00F93B19">
        <w:t>.</w:t>
      </w:r>
    </w:p>
    <w:p w:rsidR="009B3A38" w:rsidRPr="009B3A38" w:rsidRDefault="007C2C1A" w:rsidP="00D86A74">
      <w:pPr>
        <w:pStyle w:val="H23G"/>
      </w:pPr>
      <w:r>
        <w:tab/>
      </w:r>
      <w:r w:rsidR="009B3A38">
        <w:t>(e</w:t>
      </w:r>
      <w:r w:rsidR="009B3A38" w:rsidRPr="009B3A38">
        <w:t>)</w:t>
      </w:r>
      <w:r w:rsidR="009B3A38" w:rsidRPr="009B3A38">
        <w:tab/>
        <w:t xml:space="preserve">Exchange of </w:t>
      </w:r>
      <w:r w:rsidR="009B3A38">
        <w:t>good practices for better implementation of ATP</w:t>
      </w:r>
    </w:p>
    <w:p w:rsidR="001934FB" w:rsidRDefault="000216E0" w:rsidP="00D86A74">
      <w:pPr>
        <w:pStyle w:val="SingleTxtG"/>
      </w:pPr>
      <w:r>
        <w:t>19</w:t>
      </w:r>
      <w:r w:rsidR="009B3A38" w:rsidRPr="009B3A38">
        <w:t>.</w:t>
      </w:r>
      <w:r w:rsidR="009B3A38" w:rsidRPr="009B3A38">
        <w:tab/>
      </w:r>
      <w:r w:rsidR="00182F50">
        <w:t>E</w:t>
      </w:r>
      <w:r w:rsidR="00004E47">
        <w:t>xamples of good practices are highlighted in Informal document INF.2</w:t>
      </w:r>
      <w:r w:rsidR="00182F50">
        <w:t xml:space="preserve"> and proposals are made in </w:t>
      </w:r>
      <w:r w:rsidR="00182F50" w:rsidRPr="00182F50">
        <w:t>ECE/TRANS/WP.11/2015/</w:t>
      </w:r>
      <w:r w:rsidR="00182F50">
        <w:t>4</w:t>
      </w:r>
      <w:r w:rsidR="00004E47">
        <w:t>.</w:t>
      </w:r>
      <w:r w:rsidR="00F64370">
        <w:t xml:space="preserve"> A question regarding controls at border crossings is raised </w:t>
      </w:r>
      <w:r w:rsidR="0010137F">
        <w:t xml:space="preserve">by Finland </w:t>
      </w:r>
      <w:r w:rsidR="00F64370">
        <w:t xml:space="preserve">in </w:t>
      </w:r>
      <w:r w:rsidR="00F64370" w:rsidRPr="00182F50">
        <w:t>ECE/TRANS/WP.11/2015/</w:t>
      </w:r>
      <w:r w:rsidR="00F64370">
        <w:t>8.</w:t>
      </w:r>
    </w:p>
    <w:p w:rsidR="00543644" w:rsidRPr="00543644" w:rsidRDefault="007C2C1A" w:rsidP="00D86A74">
      <w:pPr>
        <w:pStyle w:val="H23G"/>
      </w:pPr>
      <w:r>
        <w:tab/>
      </w:r>
      <w:r w:rsidR="00543644">
        <w:t>(f</w:t>
      </w:r>
      <w:r w:rsidR="00543644" w:rsidRPr="00543644">
        <w:t>)</w:t>
      </w:r>
      <w:r w:rsidR="00543644" w:rsidRPr="00543644">
        <w:tab/>
      </w:r>
      <w:r w:rsidR="00543644" w:rsidRPr="00D86A74">
        <w:t>Interpretation</w:t>
      </w:r>
      <w:r w:rsidR="00543644">
        <w:t xml:space="preserve"> of </w:t>
      </w:r>
      <w:r w:rsidR="00543644" w:rsidRPr="00543644">
        <w:t>ATP</w:t>
      </w:r>
    </w:p>
    <w:p w:rsidR="00543644" w:rsidRPr="009B3A38" w:rsidRDefault="000216E0" w:rsidP="00D86A74">
      <w:pPr>
        <w:pStyle w:val="SingleTxtG"/>
      </w:pPr>
      <w:r>
        <w:t>20</w:t>
      </w:r>
      <w:r w:rsidR="00543644" w:rsidRPr="00543644">
        <w:t>.</w:t>
      </w:r>
      <w:r w:rsidR="00543644" w:rsidRPr="00543644">
        <w:tab/>
      </w:r>
      <w:r w:rsidR="00543644">
        <w:t>The W</w:t>
      </w:r>
      <w:r w:rsidR="0010137F">
        <w:t>P.11</w:t>
      </w:r>
      <w:r w:rsidR="00543644">
        <w:t xml:space="preserve"> </w:t>
      </w:r>
      <w:r w:rsidR="005C4C87">
        <w:t>may wish to consider any qu</w:t>
      </w:r>
      <w:r w:rsidR="00543644">
        <w:t xml:space="preserve">estion of interpretation raised </w:t>
      </w:r>
      <w:r w:rsidR="005C4C87">
        <w:t>under this item</w:t>
      </w:r>
      <w:r w:rsidR="00543644" w:rsidRPr="00543644">
        <w:t>.</w:t>
      </w:r>
    </w:p>
    <w:p w:rsidR="00EF779D" w:rsidRPr="004C0A10" w:rsidRDefault="004C0A10" w:rsidP="00D86A74">
      <w:pPr>
        <w:pStyle w:val="H1G"/>
      </w:pPr>
      <w:r>
        <w:lastRenderedPageBreak/>
        <w:tab/>
        <w:t>5.</w:t>
      </w:r>
      <w:r w:rsidR="00EF779D">
        <w:tab/>
        <w:t xml:space="preserve">Proposals of </w:t>
      </w:r>
      <w:r w:rsidR="00EF779D" w:rsidRPr="00D86A74">
        <w:t>amendments</w:t>
      </w:r>
      <w:r w:rsidR="00EF779D">
        <w:t xml:space="preserve"> to ATP</w:t>
      </w:r>
    </w:p>
    <w:p w:rsidR="00EF779D" w:rsidRDefault="007C2C1A" w:rsidP="00D86A74">
      <w:pPr>
        <w:pStyle w:val="H23G"/>
      </w:pPr>
      <w:r>
        <w:tab/>
      </w:r>
      <w:r w:rsidR="00EF779D">
        <w:t>(a)</w:t>
      </w:r>
      <w:r w:rsidR="00EF779D">
        <w:tab/>
        <w:t xml:space="preserve">Pending </w:t>
      </w:r>
      <w:r w:rsidR="00EF779D" w:rsidRPr="00D86A74">
        <w:t>proposals</w:t>
      </w:r>
    </w:p>
    <w:p w:rsidR="00882D6F" w:rsidRPr="0010137F" w:rsidRDefault="00D422FE" w:rsidP="00D86A74">
      <w:pPr>
        <w:pStyle w:val="H23G"/>
      </w:pPr>
      <w:r>
        <w:tab/>
      </w:r>
      <w:r>
        <w:tab/>
      </w:r>
      <w:r w:rsidR="00882D6F" w:rsidRPr="0010137F">
        <w:t xml:space="preserve">Definition of </w:t>
      </w:r>
      <w:r w:rsidR="00882D6F" w:rsidRPr="00D86A74">
        <w:t>perishable</w:t>
      </w:r>
      <w:r w:rsidR="00882D6F" w:rsidRPr="0010137F">
        <w:t xml:space="preserve"> foodstuffs</w:t>
      </w:r>
    </w:p>
    <w:p w:rsidR="000216E0" w:rsidRPr="000216E0" w:rsidRDefault="000216E0" w:rsidP="00D86A74">
      <w:pPr>
        <w:pStyle w:val="SingleTxtG"/>
      </w:pPr>
      <w:r>
        <w:t>21</w:t>
      </w:r>
      <w:r w:rsidR="00882D6F" w:rsidRPr="0010137F">
        <w:t>.</w:t>
      </w:r>
      <w:r w:rsidR="00882D6F" w:rsidRPr="0010137F">
        <w:tab/>
      </w:r>
      <w:r w:rsidR="00C44883" w:rsidRPr="00C44883">
        <w:t xml:space="preserve">A proposal by the Russian Federation to add a definition of perishable foodstuffs in the ATP Handbook (ECE/TRANS/WP.11/2015/18) will be considered under </w:t>
      </w:r>
      <w:r w:rsidR="00AD26A4">
        <w:br/>
      </w:r>
      <w:r w:rsidR="00C44883" w:rsidRPr="00C44883">
        <w:t>agenda item 6</w:t>
      </w:r>
      <w:r w:rsidRPr="000216E0">
        <w:t>.</w:t>
      </w:r>
    </w:p>
    <w:p w:rsidR="00D63250" w:rsidRPr="008A333E" w:rsidRDefault="00266A8B" w:rsidP="00D422FE">
      <w:pPr>
        <w:pStyle w:val="H23G"/>
        <w:ind w:firstLine="0"/>
      </w:pPr>
      <w:r>
        <w:t>Registered or recorded</w:t>
      </w:r>
    </w:p>
    <w:p w:rsidR="00D63250" w:rsidRDefault="000216E0" w:rsidP="00D422FE">
      <w:pPr>
        <w:pStyle w:val="SingleTxtG"/>
      </w:pPr>
      <w:r>
        <w:t>22</w:t>
      </w:r>
      <w:r w:rsidR="00D63250" w:rsidRPr="008A333E">
        <w:t>.</w:t>
      </w:r>
      <w:r w:rsidR="00D63250" w:rsidRPr="008A333E">
        <w:tab/>
        <w:t xml:space="preserve">The Working Party is </w:t>
      </w:r>
      <w:r w:rsidR="00D63250" w:rsidRPr="00D422FE">
        <w:t>invited</w:t>
      </w:r>
      <w:r w:rsidR="00D63250" w:rsidRPr="008A333E">
        <w:t xml:space="preserve"> to consider the</w:t>
      </w:r>
      <w:r w:rsidR="00D63250">
        <w:t xml:space="preserve"> </w:t>
      </w:r>
      <w:r w:rsidR="00D63250" w:rsidRPr="008A333E">
        <w:t xml:space="preserve">proposal by </w:t>
      </w:r>
      <w:r w:rsidR="00D63250">
        <w:t xml:space="preserve">Belgium on the </w:t>
      </w:r>
      <w:r w:rsidR="00266A8B">
        <w:t xml:space="preserve">terms </w:t>
      </w:r>
      <w:r w:rsidR="00D63250">
        <w:t>"registered or recorded"</w:t>
      </w:r>
      <w:r w:rsidR="00D63250" w:rsidRPr="008A333E">
        <w:t xml:space="preserve"> </w:t>
      </w:r>
      <w:r w:rsidR="00266A8B">
        <w:t xml:space="preserve">used in annex 1, appendix 1, paragraphs 1 and 3 </w:t>
      </w:r>
      <w:r w:rsidR="00D63250">
        <w:t>(ECE/TRANS/WP.11/2015/14</w:t>
      </w:r>
      <w:r w:rsidR="00D63250" w:rsidRPr="008A333E">
        <w:t>).</w:t>
      </w:r>
    </w:p>
    <w:p w:rsidR="00A83C3C" w:rsidRPr="001829E7" w:rsidRDefault="00D422FE" w:rsidP="00D422FE">
      <w:pPr>
        <w:pStyle w:val="H23G"/>
      </w:pPr>
      <w:r>
        <w:tab/>
      </w:r>
      <w:r>
        <w:tab/>
      </w:r>
      <w:r w:rsidR="00A83C3C">
        <w:t>Validity of certificates for equipment manufactured for transfer to another country</w:t>
      </w:r>
    </w:p>
    <w:p w:rsidR="00A83C3C" w:rsidRDefault="000216E0" w:rsidP="00D422FE">
      <w:pPr>
        <w:pStyle w:val="SingleTxtG"/>
      </w:pPr>
      <w:r>
        <w:t>23</w:t>
      </w:r>
      <w:r w:rsidR="00A83C3C" w:rsidRPr="001829E7">
        <w:t>.</w:t>
      </w:r>
      <w:r w:rsidR="00A83C3C" w:rsidRPr="001829E7">
        <w:tab/>
      </w:r>
      <w:r w:rsidR="00A83C3C">
        <w:t xml:space="preserve">France has asked that its </w:t>
      </w:r>
      <w:r w:rsidR="00A83C3C" w:rsidRPr="00A22D47">
        <w:t xml:space="preserve">proposal </w:t>
      </w:r>
      <w:r w:rsidR="00BA67A2" w:rsidRPr="00BA67A2">
        <w:t>(ECE/TRANS/WP.11/2014/21</w:t>
      </w:r>
      <w:r w:rsidR="00BA67A2">
        <w:t xml:space="preserve">) </w:t>
      </w:r>
      <w:r w:rsidR="00A83C3C">
        <w:t xml:space="preserve">be kept on the </w:t>
      </w:r>
      <w:r w:rsidR="00A83C3C" w:rsidRPr="00D422FE">
        <w:t>agend</w:t>
      </w:r>
      <w:r w:rsidR="00BA67A2" w:rsidRPr="00D422FE">
        <w:t>a</w:t>
      </w:r>
      <w:r w:rsidR="00BA67A2">
        <w:t xml:space="preserve"> for the seventy-first session.</w:t>
      </w:r>
    </w:p>
    <w:p w:rsidR="00DB7EE7" w:rsidRPr="000C2890" w:rsidRDefault="007C0004" w:rsidP="00DB7EE7">
      <w:pPr>
        <w:pStyle w:val="H23G"/>
      </w:pPr>
      <w:r>
        <w:tab/>
      </w:r>
      <w:r>
        <w:tab/>
      </w:r>
      <w:r w:rsidR="00DB7EE7" w:rsidRPr="000C2890">
        <w:t>External surface area measurement of panel vans</w:t>
      </w:r>
    </w:p>
    <w:p w:rsidR="00DB7EE7" w:rsidRDefault="000216E0" w:rsidP="00D422FE">
      <w:pPr>
        <w:pStyle w:val="SingleTxtG"/>
      </w:pPr>
      <w:r>
        <w:t>24</w:t>
      </w:r>
      <w:r w:rsidR="00DB7EE7">
        <w:t>.</w:t>
      </w:r>
      <w:r w:rsidR="00DB7EE7">
        <w:tab/>
        <w:t xml:space="preserve">The WP.11 may wish to consider the revised </w:t>
      </w:r>
      <w:r w:rsidR="00DB7EE7" w:rsidRPr="00D422FE">
        <w:t>proposal</w:t>
      </w:r>
      <w:r w:rsidR="00DB7EE7">
        <w:t xml:space="preserve"> submitted by the United Kingdom aimed at harmonizing the measurement of the external </w:t>
      </w:r>
      <w:r w:rsidR="00DB7EE7" w:rsidRPr="00D422FE">
        <w:t>surface</w:t>
      </w:r>
      <w:r w:rsidR="00DB7EE7">
        <w:t xml:space="preserve"> area of panel vans (ECE/TRANS/WP.11/201</w:t>
      </w:r>
      <w:r w:rsidR="008708CA">
        <w:t>5</w:t>
      </w:r>
      <w:r w:rsidR="00C8015D">
        <w:t>/2</w:t>
      </w:r>
      <w:r w:rsidR="00DB7EE7">
        <w:t>).</w:t>
      </w:r>
    </w:p>
    <w:p w:rsidR="00F25A6C" w:rsidRPr="004D5C43" w:rsidRDefault="00F25A6C" w:rsidP="00D422FE">
      <w:pPr>
        <w:pStyle w:val="H23G"/>
        <w:rPr>
          <w:spacing w:val="-4"/>
        </w:rPr>
      </w:pPr>
      <w:r>
        <w:tab/>
      </w:r>
      <w:r>
        <w:tab/>
      </w:r>
      <w:r w:rsidRPr="004D5C43">
        <w:t>6- and 9-year ATP tests</w:t>
      </w:r>
      <w:r>
        <w:t xml:space="preserve"> for non-autonomous equipment</w:t>
      </w:r>
    </w:p>
    <w:p w:rsidR="00F25A6C" w:rsidRDefault="000216E0" w:rsidP="00F25A6C">
      <w:pPr>
        <w:pStyle w:val="SingleTxtG"/>
      </w:pPr>
      <w:r>
        <w:t>25</w:t>
      </w:r>
      <w:r w:rsidR="00F25A6C">
        <w:t>.</w:t>
      </w:r>
      <w:r w:rsidR="00F25A6C">
        <w:tab/>
        <w:t>The Working Party is invited to consider the revised proposal by Franc</w:t>
      </w:r>
      <w:r w:rsidR="00F16B21">
        <w:t>e (ECE/TRANS/WP.11/2011/16/Rev.4</w:t>
      </w:r>
      <w:r w:rsidR="00F25A6C">
        <w:t>).</w:t>
      </w:r>
    </w:p>
    <w:p w:rsidR="00A04E30" w:rsidRDefault="00D422FE" w:rsidP="00D422FE">
      <w:pPr>
        <w:pStyle w:val="H23G"/>
      </w:pPr>
      <w:r>
        <w:tab/>
      </w:r>
      <w:r>
        <w:tab/>
      </w:r>
      <w:r w:rsidR="00A04E30">
        <w:t>Test for in-service m</w:t>
      </w:r>
      <w:r w:rsidR="00A04E30" w:rsidRPr="00716D1F">
        <w:t>ulti-temperature equipment</w:t>
      </w:r>
    </w:p>
    <w:p w:rsidR="00A04E30" w:rsidRPr="00716D1F" w:rsidRDefault="008379C5" w:rsidP="00D422FE">
      <w:pPr>
        <w:pStyle w:val="SingleTxtG"/>
      </w:pPr>
      <w:r>
        <w:t>2</w:t>
      </w:r>
      <w:r w:rsidR="000216E0">
        <w:t>6</w:t>
      </w:r>
      <w:r w:rsidR="00A04E30">
        <w:t>.</w:t>
      </w:r>
      <w:r w:rsidR="00A04E30">
        <w:tab/>
        <w:t xml:space="preserve">The Working Party is invited to consider the </w:t>
      </w:r>
      <w:r w:rsidR="00F16B21">
        <w:t xml:space="preserve">revised </w:t>
      </w:r>
      <w:r w:rsidR="00A04E30" w:rsidRPr="00D422FE">
        <w:t>proposal</w:t>
      </w:r>
      <w:r w:rsidR="00A04E30">
        <w:t xml:space="preserve"> by </w:t>
      </w:r>
      <w:r>
        <w:t xml:space="preserve">France </w:t>
      </w:r>
      <w:r w:rsidR="00F16B21">
        <w:t>(ECE/TRANS/WP.11/2015/13</w:t>
      </w:r>
      <w:r w:rsidR="00A04E30">
        <w:t>).</w:t>
      </w:r>
    </w:p>
    <w:p w:rsidR="009857A5" w:rsidRDefault="00D422FE" w:rsidP="00D422FE">
      <w:pPr>
        <w:pStyle w:val="H23G"/>
      </w:pPr>
      <w:r>
        <w:tab/>
      </w:r>
      <w:r>
        <w:tab/>
      </w:r>
      <w:r w:rsidR="00596D11">
        <w:t>Distinguishing marks for m</w:t>
      </w:r>
      <w:r w:rsidR="009857A5" w:rsidRPr="00716D1F">
        <w:t>ulti-temperature equipment</w:t>
      </w:r>
    </w:p>
    <w:p w:rsidR="009857A5" w:rsidRPr="00716D1F" w:rsidRDefault="000216E0" w:rsidP="00D422FE">
      <w:pPr>
        <w:pStyle w:val="SingleTxtG"/>
      </w:pPr>
      <w:r>
        <w:t>27</w:t>
      </w:r>
      <w:r w:rsidR="009857A5">
        <w:t>.</w:t>
      </w:r>
      <w:r w:rsidR="009857A5">
        <w:tab/>
        <w:t xml:space="preserve">The Working Party may wish to consider the </w:t>
      </w:r>
      <w:r w:rsidR="00F16B21">
        <w:t xml:space="preserve">revised </w:t>
      </w:r>
      <w:r w:rsidR="009857A5">
        <w:t xml:space="preserve">proposal </w:t>
      </w:r>
      <w:r w:rsidR="009857A5" w:rsidRPr="00D422FE">
        <w:t>by</w:t>
      </w:r>
      <w:r w:rsidR="009857A5">
        <w:t xml:space="preserve"> </w:t>
      </w:r>
      <w:r w:rsidR="00EE0143">
        <w:t xml:space="preserve">France </w:t>
      </w:r>
      <w:r w:rsidR="001829E7">
        <w:rPr>
          <w:spacing w:val="-4"/>
        </w:rPr>
        <w:t>(ECE/TRANS/WP.11/201</w:t>
      </w:r>
      <w:r w:rsidR="00F16B21">
        <w:rPr>
          <w:spacing w:val="-4"/>
        </w:rPr>
        <w:t>5/15</w:t>
      </w:r>
      <w:r w:rsidR="00D62DD1">
        <w:rPr>
          <w:spacing w:val="-4"/>
        </w:rPr>
        <w:t>)</w:t>
      </w:r>
      <w:r w:rsidR="00BA67A2">
        <w:rPr>
          <w:spacing w:val="-4"/>
        </w:rPr>
        <w:t>.</w:t>
      </w:r>
    </w:p>
    <w:p w:rsidR="0010137F" w:rsidRPr="0010137F" w:rsidRDefault="009857A5" w:rsidP="00D422FE">
      <w:pPr>
        <w:pStyle w:val="H23G"/>
      </w:pPr>
      <w:r>
        <w:tab/>
      </w:r>
      <w:r w:rsidR="0010137F">
        <w:tab/>
        <w:t xml:space="preserve">References to standards in the </w:t>
      </w:r>
      <w:r w:rsidR="0010137F" w:rsidRPr="00D422FE">
        <w:t>ATP</w:t>
      </w:r>
    </w:p>
    <w:p w:rsidR="0010137F" w:rsidRPr="000216E0" w:rsidRDefault="0010137F" w:rsidP="00D422FE">
      <w:pPr>
        <w:pStyle w:val="SingleTxtG"/>
      </w:pPr>
      <w:r w:rsidRPr="0010137F">
        <w:t>2</w:t>
      </w:r>
      <w:r w:rsidR="00274F09">
        <w:t>8</w:t>
      </w:r>
      <w:r w:rsidRPr="0010137F">
        <w:t>.</w:t>
      </w:r>
      <w:r w:rsidRPr="0010137F">
        <w:tab/>
      </w:r>
      <w:r w:rsidR="00C44883" w:rsidRPr="00C44883">
        <w:t>The Working Party is invited to consider a proposal by the Russian Federation (ECE/TRANS/WP.11/2015/20)</w:t>
      </w:r>
      <w:r w:rsidR="004551AC" w:rsidRPr="000216E0">
        <w:t>.</w:t>
      </w:r>
    </w:p>
    <w:p w:rsidR="008066F3" w:rsidRPr="00DC58F7" w:rsidRDefault="007C2C1A" w:rsidP="00D422FE">
      <w:pPr>
        <w:pStyle w:val="H23G"/>
        <w:rPr>
          <w:lang w:val="en-US"/>
        </w:rPr>
      </w:pPr>
      <w:r>
        <w:tab/>
      </w:r>
      <w:r w:rsidR="008066F3">
        <w:t>(b)</w:t>
      </w:r>
      <w:r w:rsidR="008066F3">
        <w:tab/>
        <w:t xml:space="preserve">New </w:t>
      </w:r>
      <w:r w:rsidR="008066F3" w:rsidRPr="00D422FE">
        <w:t>proposals</w:t>
      </w:r>
    </w:p>
    <w:p w:rsidR="00AB1673" w:rsidRDefault="00D422FE" w:rsidP="00D422FE">
      <w:pPr>
        <w:pStyle w:val="H23G"/>
      </w:pPr>
      <w:r>
        <w:tab/>
      </w:r>
      <w:r>
        <w:tab/>
      </w:r>
      <w:r w:rsidR="00AB1673">
        <w:t>Accreditation of competent authorities</w:t>
      </w:r>
    </w:p>
    <w:p w:rsidR="00AB1673" w:rsidRDefault="00274F09" w:rsidP="00D422FE">
      <w:pPr>
        <w:pStyle w:val="SingleTxtG"/>
      </w:pPr>
      <w:r>
        <w:t>29</w:t>
      </w:r>
      <w:r w:rsidR="00AB1673">
        <w:t>.</w:t>
      </w:r>
      <w:r w:rsidR="00AB1673">
        <w:tab/>
      </w:r>
      <w:r w:rsidR="00AB1673" w:rsidRPr="008A333E">
        <w:t xml:space="preserve">The </w:t>
      </w:r>
      <w:r w:rsidR="00AB1673" w:rsidRPr="00D422FE">
        <w:t>Working</w:t>
      </w:r>
      <w:r w:rsidR="00AB1673" w:rsidRPr="008A333E">
        <w:t xml:space="preserve"> Party </w:t>
      </w:r>
      <w:r w:rsidR="00AB1673">
        <w:t>may wish to discuss</w:t>
      </w:r>
      <w:r w:rsidR="00AB1673" w:rsidRPr="008A333E">
        <w:t xml:space="preserve"> </w:t>
      </w:r>
      <w:r w:rsidR="00AB1673">
        <w:t>the proposal by France (ECE/TRANS/WP.11/2015/12).</w:t>
      </w:r>
    </w:p>
    <w:p w:rsidR="006421AC" w:rsidRDefault="00D422FE" w:rsidP="00D422FE">
      <w:pPr>
        <w:pStyle w:val="H23G"/>
      </w:pPr>
      <w:r>
        <w:lastRenderedPageBreak/>
        <w:tab/>
      </w:r>
      <w:r>
        <w:tab/>
      </w:r>
      <w:r w:rsidR="006421AC">
        <w:t>Article 18</w:t>
      </w:r>
    </w:p>
    <w:p w:rsidR="002C66C1" w:rsidRPr="006421AC" w:rsidRDefault="00274F09" w:rsidP="00D422FE">
      <w:pPr>
        <w:pStyle w:val="SingleTxtG"/>
      </w:pPr>
      <w:r>
        <w:t>30</w:t>
      </w:r>
      <w:r w:rsidR="002C66C1">
        <w:t>.</w:t>
      </w:r>
      <w:r w:rsidR="002C66C1">
        <w:tab/>
      </w:r>
      <w:r w:rsidR="002C66C1" w:rsidRPr="008A333E">
        <w:t xml:space="preserve">The Working Party </w:t>
      </w:r>
      <w:r w:rsidR="002C66C1">
        <w:t>is i</w:t>
      </w:r>
      <w:r w:rsidR="009C31D8">
        <w:t>nvited to consider the proposal</w:t>
      </w:r>
      <w:r w:rsidR="002C66C1">
        <w:t xml:space="preserve"> </w:t>
      </w:r>
      <w:r w:rsidR="00C83742">
        <w:t xml:space="preserve">to amend article 18 </w:t>
      </w:r>
      <w:r w:rsidR="002C66C1">
        <w:t>made by Belgium on behalf of the informal working group on decision making and voting (ECE/TRANS/WP.11/2015/10).</w:t>
      </w:r>
    </w:p>
    <w:p w:rsidR="00AB1673" w:rsidRDefault="00D422FE" w:rsidP="00D422FE">
      <w:pPr>
        <w:pStyle w:val="H23G"/>
      </w:pPr>
      <w:r>
        <w:tab/>
      </w:r>
      <w:r>
        <w:tab/>
      </w:r>
      <w:r w:rsidR="00AB1673">
        <w:t>Definitions for annex 1</w:t>
      </w:r>
    </w:p>
    <w:p w:rsidR="00AB1673" w:rsidRDefault="00274F09" w:rsidP="00D422FE">
      <w:pPr>
        <w:pStyle w:val="SingleTxtG"/>
      </w:pPr>
      <w:r>
        <w:t>31</w:t>
      </w:r>
      <w:r w:rsidR="00AB1673">
        <w:t>.</w:t>
      </w:r>
      <w:r w:rsidR="00AB1673">
        <w:tab/>
      </w:r>
      <w:r w:rsidR="00AB1673" w:rsidRPr="008A333E">
        <w:t xml:space="preserve">The </w:t>
      </w:r>
      <w:r w:rsidR="00AB1673" w:rsidRPr="00D422FE">
        <w:t>Working</w:t>
      </w:r>
      <w:r w:rsidR="00AB1673" w:rsidRPr="008A333E">
        <w:t xml:space="preserve"> Party </w:t>
      </w:r>
      <w:r w:rsidR="00AB1673">
        <w:t>may wish to discuss</w:t>
      </w:r>
      <w:r w:rsidR="00AB1673" w:rsidRPr="008A333E">
        <w:t xml:space="preserve"> </w:t>
      </w:r>
      <w:r w:rsidR="00AB1673">
        <w:t>the proposal by the Netherlands (ECE/TRANS/WP.11/2015/17).</w:t>
      </w:r>
    </w:p>
    <w:p w:rsidR="006421AC" w:rsidRDefault="00D86A74" w:rsidP="00D86A74">
      <w:pPr>
        <w:pStyle w:val="H23G"/>
      </w:pPr>
      <w:r>
        <w:tab/>
      </w:r>
      <w:r>
        <w:tab/>
      </w:r>
      <w:r w:rsidR="006421AC">
        <w:t>Accreditation of testing stations</w:t>
      </w:r>
    </w:p>
    <w:p w:rsidR="006421AC" w:rsidRDefault="00274F09" w:rsidP="00D86A74">
      <w:pPr>
        <w:pStyle w:val="SingleTxtG"/>
      </w:pPr>
      <w:r>
        <w:t>32</w:t>
      </w:r>
      <w:r w:rsidR="006421AC">
        <w:t>.</w:t>
      </w:r>
      <w:r w:rsidR="006421AC">
        <w:tab/>
      </w:r>
      <w:r w:rsidR="006421AC" w:rsidRPr="008A333E">
        <w:t xml:space="preserve">The Working Party </w:t>
      </w:r>
      <w:r w:rsidR="006421AC">
        <w:t>may wish to discuss</w:t>
      </w:r>
      <w:r w:rsidR="006421AC" w:rsidRPr="008A333E">
        <w:t xml:space="preserve"> </w:t>
      </w:r>
      <w:r w:rsidR="006421AC">
        <w:t>the proposal by France (ECE/</w:t>
      </w:r>
      <w:r w:rsidR="006421AC" w:rsidRPr="00D86A74">
        <w:t>TRANS</w:t>
      </w:r>
      <w:r w:rsidR="006421AC">
        <w:t>/WP.11/2015/11).</w:t>
      </w:r>
    </w:p>
    <w:p w:rsidR="00CD2B0F" w:rsidRPr="00CD2B0F" w:rsidRDefault="00D86A74" w:rsidP="00D86A74">
      <w:pPr>
        <w:pStyle w:val="H23G"/>
      </w:pPr>
      <w:r>
        <w:tab/>
      </w:r>
      <w:r>
        <w:tab/>
      </w:r>
      <w:r w:rsidR="00CD2B0F" w:rsidRPr="00CD2B0F">
        <w:t>Model 10 test report</w:t>
      </w:r>
    </w:p>
    <w:p w:rsidR="00CD2B0F" w:rsidRDefault="00274F09" w:rsidP="00D86A74">
      <w:pPr>
        <w:pStyle w:val="SingleTxtG"/>
      </w:pPr>
      <w:r>
        <w:t>33</w:t>
      </w:r>
      <w:r w:rsidR="00CD2B0F">
        <w:t>.</w:t>
      </w:r>
      <w:r w:rsidR="00CD2B0F">
        <w:tab/>
        <w:t>The WP.11 may wish to consider the proposal submitted by the United Kingdom to specify the duration of validity of the test report (ECE/TRANS/WP.11/2015/1).</w:t>
      </w:r>
    </w:p>
    <w:p w:rsidR="000216E0" w:rsidRPr="000216E0" w:rsidRDefault="00D86A74" w:rsidP="00D86A74">
      <w:pPr>
        <w:pStyle w:val="H23G"/>
      </w:pPr>
      <w:r>
        <w:tab/>
      </w:r>
      <w:r>
        <w:tab/>
      </w:r>
      <w:r w:rsidR="000216E0" w:rsidRPr="000216E0">
        <w:t>Temperature monitoring and recording of chilled foodstuffs</w:t>
      </w:r>
    </w:p>
    <w:p w:rsidR="000216E0" w:rsidRDefault="00274F09" w:rsidP="00D86A74">
      <w:pPr>
        <w:pStyle w:val="SingleTxtG"/>
      </w:pPr>
      <w:r>
        <w:t>34</w:t>
      </w:r>
      <w:r w:rsidR="000216E0">
        <w:t>.</w:t>
      </w:r>
      <w:r w:rsidR="000216E0">
        <w:tab/>
      </w:r>
      <w:r w:rsidR="00C44883" w:rsidRPr="00C44883">
        <w:t>The Working Party is invited to consider a proposal by the Russian Federation (ECE/TRANS/WP.11/2015/21)</w:t>
      </w:r>
      <w:r w:rsidR="004551AC" w:rsidRPr="000216E0">
        <w:t>.</w:t>
      </w:r>
    </w:p>
    <w:p w:rsidR="00DC7357" w:rsidRDefault="00D86A74" w:rsidP="00D86A74">
      <w:pPr>
        <w:pStyle w:val="H23G"/>
      </w:pPr>
      <w:r>
        <w:tab/>
      </w:r>
      <w:r>
        <w:tab/>
      </w:r>
      <w:r w:rsidR="00C30883">
        <w:t>R</w:t>
      </w:r>
      <w:r w:rsidR="005C4C6B">
        <w:t>eference audit for builders of temperature-controlled transport equipment</w:t>
      </w:r>
    </w:p>
    <w:p w:rsidR="00DC7357" w:rsidRDefault="00274F09" w:rsidP="00D86A74">
      <w:pPr>
        <w:pStyle w:val="SingleTxtG"/>
      </w:pPr>
      <w:r>
        <w:t>35</w:t>
      </w:r>
      <w:r w:rsidR="00DC7357">
        <w:t>.</w:t>
      </w:r>
      <w:r w:rsidR="00DC7357">
        <w:tab/>
        <w:t xml:space="preserve">The Working Party may wish to consider the proposal by </w:t>
      </w:r>
      <w:r w:rsidR="00C30883">
        <w:t>France</w:t>
      </w:r>
      <w:r w:rsidR="00DC7357">
        <w:t xml:space="preserve"> (</w:t>
      </w:r>
      <w:r w:rsidR="00DC7357" w:rsidRPr="00EE0143">
        <w:t>ECE/TRANS/WP.11/201</w:t>
      </w:r>
      <w:r w:rsidR="00C30883">
        <w:t>5</w:t>
      </w:r>
      <w:r w:rsidR="00DC7357" w:rsidRPr="00EE0143">
        <w:t>/</w:t>
      </w:r>
      <w:r w:rsidR="00DC7357">
        <w:t>1</w:t>
      </w:r>
      <w:r w:rsidR="00C30883">
        <w:t>6</w:t>
      </w:r>
      <w:r w:rsidR="00DC7357">
        <w:t>).</w:t>
      </w:r>
    </w:p>
    <w:p w:rsidR="00C44883" w:rsidRPr="00C44883" w:rsidRDefault="00C44883" w:rsidP="00C44883">
      <w:pPr>
        <w:spacing w:after="120"/>
        <w:ind w:left="1134" w:right="1134"/>
        <w:jc w:val="both"/>
      </w:pPr>
      <w:r w:rsidRPr="00C44883">
        <w:rPr>
          <w:b/>
        </w:rPr>
        <w:t>New annex on the carriage of fruit and vegetables</w:t>
      </w:r>
    </w:p>
    <w:p w:rsidR="00C44883" w:rsidRPr="00716D1F" w:rsidRDefault="00274F09" w:rsidP="00C44883">
      <w:pPr>
        <w:spacing w:after="120"/>
        <w:ind w:left="1134" w:right="1134"/>
        <w:jc w:val="both"/>
      </w:pPr>
      <w:r>
        <w:t>36</w:t>
      </w:r>
      <w:r w:rsidR="00C44883">
        <w:t>.</w:t>
      </w:r>
      <w:r w:rsidR="00C44883">
        <w:tab/>
      </w:r>
      <w:r w:rsidR="00C44883" w:rsidRPr="00C44883">
        <w:t>The Working Party is invited to consider a proposal by the Russian Federation (ECE/TRANS/WP.11/2015/22).</w:t>
      </w:r>
    </w:p>
    <w:p w:rsidR="00882D6F" w:rsidRPr="00882D6F" w:rsidRDefault="00D86A74" w:rsidP="00D86A74">
      <w:pPr>
        <w:pStyle w:val="H23G"/>
      </w:pPr>
      <w:r>
        <w:tab/>
      </w:r>
      <w:r>
        <w:tab/>
      </w:r>
      <w:r w:rsidR="00882D6F" w:rsidRPr="00882D6F">
        <w:t xml:space="preserve">Miscellaneous </w:t>
      </w:r>
      <w:r w:rsidR="00BA67A2">
        <w:t xml:space="preserve">editorial </w:t>
      </w:r>
      <w:r w:rsidR="00882D6F">
        <w:t>correction</w:t>
      </w:r>
      <w:r w:rsidR="00882D6F" w:rsidRPr="00882D6F">
        <w:t xml:space="preserve"> proposals</w:t>
      </w:r>
    </w:p>
    <w:p w:rsidR="00882D6F" w:rsidRPr="00882D6F" w:rsidRDefault="00274F09" w:rsidP="00D86A74">
      <w:pPr>
        <w:pStyle w:val="SingleTxtG"/>
      </w:pPr>
      <w:r>
        <w:t>37</w:t>
      </w:r>
      <w:r w:rsidR="00882D6F" w:rsidRPr="00882D6F">
        <w:t>.</w:t>
      </w:r>
      <w:r w:rsidR="00882D6F" w:rsidRPr="00882D6F">
        <w:tab/>
        <w:t xml:space="preserve">The Working Party may wish to consider a number of </w:t>
      </w:r>
      <w:r w:rsidR="001F4CE4">
        <w:t xml:space="preserve">editorial </w:t>
      </w:r>
      <w:r w:rsidR="00D902AF">
        <w:t xml:space="preserve">correction </w:t>
      </w:r>
      <w:r w:rsidR="00882D6F" w:rsidRPr="00882D6F">
        <w:t xml:space="preserve">proposals made by the </w:t>
      </w:r>
      <w:r w:rsidR="00882D6F" w:rsidRPr="00D86A74">
        <w:t>secretariat</w:t>
      </w:r>
      <w:r w:rsidR="00882D6F" w:rsidRPr="00882D6F">
        <w:t xml:space="preserve"> (ECE/TRANS/WP.</w:t>
      </w:r>
      <w:r w:rsidR="003518C9">
        <w:t>11/2015/5</w:t>
      </w:r>
      <w:r w:rsidR="00882D6F" w:rsidRPr="00882D6F">
        <w:t>).</w:t>
      </w:r>
    </w:p>
    <w:p w:rsidR="008066F3" w:rsidRDefault="004C0A10" w:rsidP="00D86A74">
      <w:pPr>
        <w:pStyle w:val="H1G"/>
      </w:pPr>
      <w:r>
        <w:tab/>
        <w:t>6.</w:t>
      </w:r>
      <w:r w:rsidR="008066F3">
        <w:tab/>
        <w:t xml:space="preserve">ATP </w:t>
      </w:r>
      <w:r w:rsidR="008066F3" w:rsidRPr="00D86A74">
        <w:t>Handbook</w:t>
      </w:r>
    </w:p>
    <w:p w:rsidR="00B365CB" w:rsidRPr="002E19CD" w:rsidRDefault="00274F09" w:rsidP="00D86A74">
      <w:pPr>
        <w:pStyle w:val="SingleTxtG"/>
      </w:pPr>
      <w:r>
        <w:t>38</w:t>
      </w:r>
      <w:r w:rsidR="00B365CB">
        <w:t>.</w:t>
      </w:r>
      <w:r w:rsidR="00B365CB">
        <w:tab/>
      </w:r>
      <w:r w:rsidR="00AB5B1B">
        <w:t xml:space="preserve">The latest version of the ATP </w:t>
      </w:r>
      <w:r w:rsidR="00AB5B1B" w:rsidRPr="00D86A74">
        <w:t>Handbook</w:t>
      </w:r>
      <w:r w:rsidR="00AB5B1B">
        <w:t xml:space="preserve"> </w:t>
      </w:r>
      <w:r w:rsidR="00B365CB">
        <w:t>appears on the Transport Division website in English, French and Russian</w:t>
      </w:r>
      <w:r w:rsidR="00AB5B1B">
        <w:t xml:space="preserve"> at the following link:</w:t>
      </w:r>
      <w:r w:rsidR="00B365CB">
        <w:t xml:space="preserve"> </w:t>
      </w:r>
      <w:r w:rsidR="00EC6501">
        <w:t>http://www</w:t>
      </w:r>
      <w:r w:rsidR="002E19CD" w:rsidRPr="002E19CD">
        <w:t>.unece.org/trans/main/wp11/atp_handbook.html</w:t>
      </w:r>
    </w:p>
    <w:p w:rsidR="00C44883" w:rsidRDefault="00274F09" w:rsidP="00D86A74">
      <w:pPr>
        <w:pStyle w:val="SingleTxtG"/>
      </w:pPr>
      <w:r>
        <w:t>39</w:t>
      </w:r>
      <w:r w:rsidR="00C44883">
        <w:t>.</w:t>
      </w:r>
      <w:r w:rsidR="00C44883">
        <w:tab/>
      </w:r>
      <w:r w:rsidR="00C44883" w:rsidRPr="00C44883">
        <w:t>The Working Party is invited to consider a proposal by the Russian Federation to add a comment to the ATP Handbook with a definition of perishable foodstuffs (ECE/TRANS/WP.11/2015/18).</w:t>
      </w:r>
    </w:p>
    <w:p w:rsidR="00D62DD1" w:rsidRPr="00801A12" w:rsidRDefault="00274F09" w:rsidP="00D86A74">
      <w:pPr>
        <w:pStyle w:val="SingleTxtG"/>
      </w:pPr>
      <w:r>
        <w:t>40</w:t>
      </w:r>
      <w:r w:rsidR="00D62DD1" w:rsidRPr="00801A12">
        <w:t>.</w:t>
      </w:r>
      <w:r w:rsidR="00D62DD1" w:rsidRPr="00801A12">
        <w:tab/>
        <w:t xml:space="preserve">The WP.11 may wish to consider the </w:t>
      </w:r>
      <w:r w:rsidR="00D62DD1">
        <w:t>proposal</w:t>
      </w:r>
      <w:r w:rsidR="00D62DD1" w:rsidRPr="00801A12">
        <w:t xml:space="preserve"> by the United Kingdom </w:t>
      </w:r>
      <w:r w:rsidR="00D62DD1">
        <w:t>to include illustrations in the ATP Handbook on</w:t>
      </w:r>
      <w:r w:rsidR="00D62DD1" w:rsidRPr="00801A12">
        <w:t xml:space="preserve"> the </w:t>
      </w:r>
      <w:r w:rsidR="00D62DD1" w:rsidRPr="00D86A74">
        <w:t>measurement</w:t>
      </w:r>
      <w:r w:rsidR="00D62DD1" w:rsidRPr="00801A12">
        <w:t xml:space="preserve"> of the external surface area of panel vans (ECE/TRA</w:t>
      </w:r>
      <w:r w:rsidR="001F4CE4">
        <w:t>NS/WP.11/2015/2</w:t>
      </w:r>
      <w:r w:rsidR="00D62DD1" w:rsidRPr="00801A12">
        <w:t>).</w:t>
      </w:r>
    </w:p>
    <w:p w:rsidR="0048654F" w:rsidRDefault="00274F09" w:rsidP="00D86A74">
      <w:pPr>
        <w:pStyle w:val="SingleTxtG"/>
      </w:pPr>
      <w:r>
        <w:t>41</w:t>
      </w:r>
      <w:r w:rsidR="00B365CB">
        <w:t>.</w:t>
      </w:r>
      <w:r w:rsidR="00B365CB">
        <w:tab/>
        <w:t xml:space="preserve">The WP.11 may wish to consider the proposal made by </w:t>
      </w:r>
      <w:r w:rsidR="00F64370">
        <w:t xml:space="preserve">Finland </w:t>
      </w:r>
      <w:r w:rsidR="00952BB9">
        <w:t>to introduce comment</w:t>
      </w:r>
      <w:r w:rsidR="009B4334">
        <w:t>s</w:t>
      </w:r>
      <w:r w:rsidR="00952BB9">
        <w:t xml:space="preserve"> </w:t>
      </w:r>
      <w:r w:rsidR="00E7174A">
        <w:t xml:space="preserve">regarding </w:t>
      </w:r>
      <w:r w:rsidR="00F64370">
        <w:t xml:space="preserve">minor and limited modifications to serially </w:t>
      </w:r>
      <w:r w:rsidR="009B4334">
        <w:t xml:space="preserve">produced </w:t>
      </w:r>
      <w:r w:rsidR="00F64370">
        <w:t>equipment</w:t>
      </w:r>
      <w:r w:rsidR="00E7174A">
        <w:t xml:space="preserve"> </w:t>
      </w:r>
      <w:r w:rsidR="0048654F">
        <w:t>(ECE/TRANS/WP.11/201</w:t>
      </w:r>
      <w:r w:rsidR="00F64370">
        <w:t>5</w:t>
      </w:r>
      <w:r w:rsidR="0048654F">
        <w:t>/</w:t>
      </w:r>
      <w:r w:rsidR="00F64370">
        <w:t>7</w:t>
      </w:r>
      <w:r w:rsidR="0048654F">
        <w:t>).</w:t>
      </w:r>
    </w:p>
    <w:p w:rsidR="00C44883" w:rsidRDefault="00274F09" w:rsidP="00D86A74">
      <w:pPr>
        <w:pStyle w:val="SingleTxtG"/>
      </w:pPr>
      <w:r>
        <w:lastRenderedPageBreak/>
        <w:t>42</w:t>
      </w:r>
      <w:r w:rsidR="00C44883">
        <w:t>.</w:t>
      </w:r>
      <w:r w:rsidR="00C44883">
        <w:tab/>
      </w:r>
      <w:r w:rsidR="00C44883" w:rsidRPr="001942F8">
        <w:t>The Working Party is invited to consider a proposal by the Russian Federation to</w:t>
      </w:r>
      <w:r w:rsidR="00C44883">
        <w:t xml:space="preserve"> add a comment in</w:t>
      </w:r>
      <w:r w:rsidR="00C44883" w:rsidRPr="001942F8">
        <w:t xml:space="preserve"> the ATP Handbook </w:t>
      </w:r>
      <w:r w:rsidR="00C44883" w:rsidRPr="0072090B">
        <w:t>concerning the determination of the inner and outer heat transfer surface areas of railway carriages</w:t>
      </w:r>
      <w:r w:rsidR="00C44883" w:rsidRPr="001942F8">
        <w:t xml:space="preserve"> (ECE/TRANS/WP.11/2015/</w:t>
      </w:r>
      <w:r w:rsidR="00C44883">
        <w:t>19</w:t>
      </w:r>
      <w:r w:rsidR="00C44883" w:rsidRPr="001942F8">
        <w:t>)</w:t>
      </w:r>
      <w:r w:rsidR="00C44883">
        <w:t>.</w:t>
      </w:r>
    </w:p>
    <w:p w:rsidR="00522FA1" w:rsidRDefault="00CD2B0F" w:rsidP="00D86A74">
      <w:pPr>
        <w:pStyle w:val="SingleTxtG"/>
      </w:pPr>
      <w:r>
        <w:t>4</w:t>
      </w:r>
      <w:r w:rsidR="00274F09">
        <w:t>3</w:t>
      </w:r>
      <w:r w:rsidR="00522FA1">
        <w:t>.</w:t>
      </w:r>
      <w:r w:rsidR="00522FA1">
        <w:tab/>
        <w:t xml:space="preserve">The WP.11 may wish to consider the proposal by </w:t>
      </w:r>
      <w:r w:rsidR="005B20A0">
        <w:t xml:space="preserve">Belgium to add a </w:t>
      </w:r>
      <w:r w:rsidR="005B20A0" w:rsidRPr="00D86A74">
        <w:t>comment</w:t>
      </w:r>
      <w:r w:rsidR="005B20A0">
        <w:t xml:space="preserve"> in the </w:t>
      </w:r>
      <w:r w:rsidR="001934FB">
        <w:t xml:space="preserve">Handbook </w:t>
      </w:r>
      <w:r w:rsidR="005B20A0">
        <w:t>regarding the use of "registered or recorded"</w:t>
      </w:r>
      <w:r w:rsidR="004D64DA">
        <w:t xml:space="preserve"> </w:t>
      </w:r>
      <w:r w:rsidR="00DF492F">
        <w:t xml:space="preserve">in annex 1, appendix 1 </w:t>
      </w:r>
      <w:r w:rsidR="004D64DA">
        <w:t>(</w:t>
      </w:r>
      <w:r w:rsidR="001D4264">
        <w:t>ECE/TRANS/WP.11/</w:t>
      </w:r>
      <w:r w:rsidR="005B20A0">
        <w:t>2015</w:t>
      </w:r>
      <w:r w:rsidR="001D4264">
        <w:t>/</w:t>
      </w:r>
      <w:r w:rsidR="005B20A0">
        <w:t>14</w:t>
      </w:r>
      <w:r w:rsidR="00522FA1">
        <w:t>)</w:t>
      </w:r>
      <w:r w:rsidR="00D62DD1">
        <w:t>.</w:t>
      </w:r>
    </w:p>
    <w:p w:rsidR="00B365CB" w:rsidRDefault="004C0A10" w:rsidP="00D86A74">
      <w:pPr>
        <w:pStyle w:val="H1G"/>
      </w:pPr>
      <w:r>
        <w:tab/>
        <w:t>7.</w:t>
      </w:r>
      <w:r>
        <w:tab/>
      </w:r>
      <w:r w:rsidR="00B365CB">
        <w:t xml:space="preserve">Scope of </w:t>
      </w:r>
      <w:r w:rsidR="00B365CB" w:rsidRPr="00D86A74">
        <w:t>ATP</w:t>
      </w:r>
    </w:p>
    <w:p w:rsidR="00004E47" w:rsidRDefault="00CD2B0F" w:rsidP="00D86A74">
      <w:pPr>
        <w:pStyle w:val="SingleTxtG"/>
      </w:pPr>
      <w:r>
        <w:t>4</w:t>
      </w:r>
      <w:r w:rsidR="00274F09">
        <w:t>4</w:t>
      </w:r>
      <w:r w:rsidR="00004E47">
        <w:t>.</w:t>
      </w:r>
      <w:r w:rsidR="00004E47">
        <w:tab/>
        <w:t xml:space="preserve">At its seventieth session, the secretariat was requested to write to Ministers of Foreign Affairs </w:t>
      </w:r>
      <w:r w:rsidR="008708CA">
        <w:t xml:space="preserve">of all ATP contracting parties requesting the name of the authority competent to sign any future multilateral agreements on behalf of its country. </w:t>
      </w:r>
      <w:r w:rsidR="00266A8B">
        <w:t xml:space="preserve">A copy of the letter can be found in Informal document INF.7). </w:t>
      </w:r>
      <w:r w:rsidR="008708CA">
        <w:t xml:space="preserve">At the time of preparation of this agenda, responses to that letter had been received from Austria, Belgium, Bulgaria, Czech Republic, Denmark, France, Georgia, Germans, Ireland, </w:t>
      </w:r>
      <w:r w:rsidR="0039314D">
        <w:t xml:space="preserve">Italy, </w:t>
      </w:r>
      <w:r w:rsidR="008708CA">
        <w:t xml:space="preserve">Luxembourg, Monaco, Serbia, Ukraine, United States and Uzbekistan. </w:t>
      </w:r>
      <w:r w:rsidR="005604F5">
        <w:t xml:space="preserve">The responses appear on the website. </w:t>
      </w:r>
      <w:r w:rsidR="008708CA">
        <w:t xml:space="preserve">WP.11 also agreed that the procedure for concluding multilateral agreements proposed by the secretariat </w:t>
      </w:r>
      <w:r w:rsidR="00024DBC">
        <w:t xml:space="preserve">at the seventieth session of WP.11 </w:t>
      </w:r>
      <w:r w:rsidR="008708CA">
        <w:t>would be added to the website.</w:t>
      </w:r>
    </w:p>
    <w:p w:rsidR="005604F5" w:rsidRDefault="00274F09" w:rsidP="00D86A74">
      <w:pPr>
        <w:pStyle w:val="SingleTxtG"/>
      </w:pPr>
      <w:r>
        <w:t>45</w:t>
      </w:r>
      <w:r w:rsidR="005604F5">
        <w:t>.</w:t>
      </w:r>
      <w:r w:rsidR="005604F5">
        <w:tab/>
        <w:t xml:space="preserve">The WP.11 is invited to review the draft road map </w:t>
      </w:r>
      <w:r w:rsidR="00ED63EC">
        <w:t>(</w:t>
      </w:r>
      <w:r w:rsidR="003A3467">
        <w:t>ECE/TRANS/WP.11/2015/9</w:t>
      </w:r>
      <w:r w:rsidR="00582AD2">
        <w:t xml:space="preserve"> and Informal document INF.4</w:t>
      </w:r>
      <w:r w:rsidR="00ED63EC">
        <w:t xml:space="preserve">) </w:t>
      </w:r>
      <w:r w:rsidR="005604F5">
        <w:t>for accession to and implementation of the ATP prepared by the EuroMed road, rail and urban transport project with inputs from the secretariat and to make proposals on how it could</w:t>
      </w:r>
      <w:r w:rsidR="00ED63EC">
        <w:t xml:space="preserve"> be improved.</w:t>
      </w:r>
    </w:p>
    <w:p w:rsidR="00B365CB" w:rsidRDefault="00934EB4" w:rsidP="00D86A74">
      <w:pPr>
        <w:pStyle w:val="H1G"/>
      </w:pPr>
      <w:r>
        <w:tab/>
      </w:r>
      <w:r w:rsidR="004C0A10">
        <w:t>8.</w:t>
      </w:r>
      <w:r w:rsidR="00B365CB">
        <w:tab/>
        <w:t>Energy labelling, refrigerants and blowing agents</w:t>
      </w:r>
    </w:p>
    <w:p w:rsidR="007A1E62" w:rsidRPr="007A1E62" w:rsidRDefault="00274F09" w:rsidP="00D86A74">
      <w:pPr>
        <w:pStyle w:val="SingleTxtG"/>
        <w:rPr>
          <w:lang w:val="en-US"/>
        </w:rPr>
      </w:pPr>
      <w:r>
        <w:rPr>
          <w:lang w:val="en-US"/>
        </w:rPr>
        <w:t>46</w:t>
      </w:r>
      <w:r w:rsidR="00B365CB" w:rsidRPr="00F01EC4">
        <w:rPr>
          <w:lang w:val="en-US"/>
        </w:rPr>
        <w:t>.</w:t>
      </w:r>
      <w:r w:rsidR="00B365CB" w:rsidRPr="00F01EC4">
        <w:rPr>
          <w:lang w:val="en-US"/>
        </w:rPr>
        <w:tab/>
      </w:r>
      <w:r w:rsidR="00C17703" w:rsidRPr="00C17703">
        <w:rPr>
          <w:lang w:val="en-IE"/>
        </w:rPr>
        <w:t>T</w:t>
      </w:r>
      <w:r w:rsidR="00EF5A9A">
        <w:rPr>
          <w:lang w:val="en-IE"/>
        </w:rPr>
        <w:t xml:space="preserve">he WP.11 may wish to </w:t>
      </w:r>
      <w:r w:rsidR="00C17703" w:rsidRPr="00C17703">
        <w:rPr>
          <w:lang w:val="en-IE"/>
        </w:rPr>
        <w:t xml:space="preserve">discuss </w:t>
      </w:r>
      <w:r w:rsidR="00E7174A">
        <w:rPr>
          <w:lang w:val="en-IE"/>
        </w:rPr>
        <w:t>any developments in the field of energy labelling, refrigerants and blowing agents that have a bearing on its work.</w:t>
      </w:r>
      <w:r w:rsidR="00573B1A">
        <w:rPr>
          <w:lang w:val="en-IE"/>
        </w:rPr>
        <w:t xml:space="preserve"> </w:t>
      </w:r>
    </w:p>
    <w:p w:rsidR="00B365CB" w:rsidRDefault="004C0A10" w:rsidP="00D86A74">
      <w:pPr>
        <w:pStyle w:val="H1G"/>
      </w:pPr>
      <w:r>
        <w:tab/>
        <w:t>9.</w:t>
      </w:r>
      <w:r w:rsidR="00DC78BE">
        <w:tab/>
        <w:t xml:space="preserve">Programme of work and biennial </w:t>
      </w:r>
      <w:r w:rsidR="00DC78BE" w:rsidRPr="00D86A74">
        <w:t>evaluation</w:t>
      </w:r>
    </w:p>
    <w:p w:rsidR="009F39D0" w:rsidRDefault="00AA2E6F" w:rsidP="00D86A74">
      <w:pPr>
        <w:pStyle w:val="SingleTxtG"/>
      </w:pPr>
      <w:r>
        <w:rPr>
          <w:bCs/>
        </w:rPr>
        <w:t>4</w:t>
      </w:r>
      <w:r w:rsidR="00274F09">
        <w:rPr>
          <w:bCs/>
        </w:rPr>
        <w:t>7</w:t>
      </w:r>
      <w:r w:rsidR="00B365CB">
        <w:rPr>
          <w:bCs/>
        </w:rPr>
        <w:t>.</w:t>
      </w:r>
      <w:r w:rsidR="00B365CB">
        <w:rPr>
          <w:bCs/>
        </w:rPr>
        <w:tab/>
      </w:r>
      <w:r w:rsidR="00DA6B9F" w:rsidRPr="00647AE3">
        <w:t>The W</w:t>
      </w:r>
      <w:r w:rsidR="00DA6B9F">
        <w:t>P.11</w:t>
      </w:r>
      <w:r w:rsidR="00DA6B9F" w:rsidRPr="00647AE3">
        <w:t xml:space="preserve"> </w:t>
      </w:r>
      <w:r w:rsidR="00C8015D">
        <w:t xml:space="preserve">is invited to </w:t>
      </w:r>
      <w:r w:rsidR="00C83742">
        <w:t xml:space="preserve">discuss and </w:t>
      </w:r>
      <w:r w:rsidR="00C8015D">
        <w:t>approve</w:t>
      </w:r>
      <w:r w:rsidR="00835AA6">
        <w:t xml:space="preserve"> </w:t>
      </w:r>
      <w:r w:rsidR="00C8015D">
        <w:t>its</w:t>
      </w:r>
      <w:r w:rsidR="00835AA6">
        <w:t xml:space="preserve"> draft </w:t>
      </w:r>
      <w:r w:rsidR="00835AA6" w:rsidRPr="00D86A74">
        <w:t>programme</w:t>
      </w:r>
      <w:r w:rsidR="00835AA6">
        <w:t xml:space="preserve"> of work for 2016-2017, </w:t>
      </w:r>
      <w:r w:rsidR="00DA6B9F">
        <w:t>the proposed biennial evaluation for 2016-2017</w:t>
      </w:r>
      <w:r w:rsidR="00835AA6">
        <w:t xml:space="preserve"> and </w:t>
      </w:r>
      <w:r w:rsidR="00C8015D">
        <w:t>its</w:t>
      </w:r>
      <w:r w:rsidR="00835AA6">
        <w:t xml:space="preserve"> draft work plan for 2016-2020</w:t>
      </w:r>
      <w:r w:rsidR="00DA6B9F">
        <w:t xml:space="preserve"> (</w:t>
      </w:r>
      <w:r w:rsidR="00DA6B9F" w:rsidRPr="00647AE3">
        <w:t>ECE/TRANS/WP.11/2</w:t>
      </w:r>
      <w:r w:rsidR="006421AC">
        <w:t>015/3</w:t>
      </w:r>
      <w:r w:rsidR="00DA6B9F">
        <w:t>)</w:t>
      </w:r>
      <w:r w:rsidR="00DA6B9F" w:rsidRPr="00647AE3">
        <w:t>.</w:t>
      </w:r>
    </w:p>
    <w:p w:rsidR="00B365CB" w:rsidRDefault="000241A9" w:rsidP="00D86A74">
      <w:pPr>
        <w:pStyle w:val="H1G"/>
      </w:pPr>
      <w:r>
        <w:tab/>
      </w:r>
      <w:r w:rsidR="00B365CB">
        <w:t>1</w:t>
      </w:r>
      <w:r w:rsidR="008C0902">
        <w:t>0</w:t>
      </w:r>
      <w:r>
        <w:t>.</w:t>
      </w:r>
      <w:r w:rsidR="00B365CB">
        <w:tab/>
        <w:t xml:space="preserve">Election of </w:t>
      </w:r>
      <w:r w:rsidR="00B365CB" w:rsidRPr="00D86A74">
        <w:t>officers</w:t>
      </w:r>
    </w:p>
    <w:p w:rsidR="00B365CB" w:rsidRDefault="009C31D8" w:rsidP="00D86A74">
      <w:pPr>
        <w:pStyle w:val="SingleTxtG"/>
      </w:pPr>
      <w:r>
        <w:t>4</w:t>
      </w:r>
      <w:r w:rsidR="00274F09">
        <w:t>8</w:t>
      </w:r>
      <w:r w:rsidR="00B365CB">
        <w:t>.</w:t>
      </w:r>
      <w:r w:rsidR="00B365CB">
        <w:tab/>
        <w:t>The W</w:t>
      </w:r>
      <w:r w:rsidR="00EF5A9A">
        <w:t>P.11</w:t>
      </w:r>
      <w:r w:rsidR="00B365CB">
        <w:t xml:space="preserve"> is expected to elect a Chairman </w:t>
      </w:r>
      <w:r w:rsidR="00B365CB" w:rsidRPr="00D86A74">
        <w:t>and</w:t>
      </w:r>
      <w:r w:rsidR="00B365CB">
        <w:t xml:space="preserve"> Vice-Chairman for its</w:t>
      </w:r>
      <w:r w:rsidR="00B365CB">
        <w:br/>
        <w:t>s</w:t>
      </w:r>
      <w:r w:rsidR="00D70230">
        <w:t>event</w:t>
      </w:r>
      <w:r w:rsidR="005C4C87">
        <w:t>y-second</w:t>
      </w:r>
      <w:r w:rsidR="00B365CB">
        <w:t xml:space="preserve"> session in 201</w:t>
      </w:r>
      <w:r w:rsidR="005C4C87">
        <w:t>6</w:t>
      </w:r>
      <w:r w:rsidR="00B365CB">
        <w:t>.</w:t>
      </w:r>
    </w:p>
    <w:p w:rsidR="00B365CB" w:rsidRPr="000241A9" w:rsidRDefault="000241A9" w:rsidP="00D86A74">
      <w:pPr>
        <w:pStyle w:val="H1G"/>
      </w:pPr>
      <w:r>
        <w:tab/>
      </w:r>
      <w:r w:rsidR="00B365CB">
        <w:t>1</w:t>
      </w:r>
      <w:r w:rsidR="00B44428">
        <w:t>1</w:t>
      </w:r>
      <w:r>
        <w:t>.</w:t>
      </w:r>
      <w:r w:rsidR="00B365CB">
        <w:tab/>
        <w:t xml:space="preserve">Other </w:t>
      </w:r>
      <w:r w:rsidR="00B365CB" w:rsidRPr="00D86A74">
        <w:t>business</w:t>
      </w:r>
    </w:p>
    <w:p w:rsidR="00B365CB" w:rsidRDefault="00274F09" w:rsidP="00D86A74">
      <w:pPr>
        <w:pStyle w:val="SingleTxtG"/>
      </w:pPr>
      <w:r>
        <w:t>49</w:t>
      </w:r>
      <w:r w:rsidR="00A95199">
        <w:t>.</w:t>
      </w:r>
      <w:r w:rsidR="00A95199">
        <w:tab/>
      </w:r>
      <w:r w:rsidR="00B365CB">
        <w:t>The W</w:t>
      </w:r>
      <w:r w:rsidR="00EF5A9A">
        <w:t>P.11</w:t>
      </w:r>
      <w:r w:rsidR="00B365CB">
        <w:t xml:space="preserve"> may wish to consider any </w:t>
      </w:r>
      <w:r w:rsidR="00B365CB" w:rsidRPr="00D86A74">
        <w:t>other</w:t>
      </w:r>
      <w:r w:rsidR="00B365CB">
        <w:t xml:space="preserve"> business under this item.</w:t>
      </w:r>
    </w:p>
    <w:p w:rsidR="00B365CB" w:rsidRDefault="007C2C1A" w:rsidP="00D86A74">
      <w:pPr>
        <w:pStyle w:val="H23G"/>
      </w:pPr>
      <w:r>
        <w:tab/>
      </w:r>
      <w:r w:rsidR="008C0902">
        <w:tab/>
      </w:r>
      <w:r w:rsidR="00B365CB">
        <w:t>Date</w:t>
      </w:r>
      <w:r w:rsidR="004D5C43">
        <w:t>s</w:t>
      </w:r>
      <w:r w:rsidR="00B365CB">
        <w:t xml:space="preserve"> of the </w:t>
      </w:r>
      <w:r w:rsidR="00B365CB" w:rsidRPr="00D86A74">
        <w:t>s</w:t>
      </w:r>
      <w:r w:rsidR="00D70230" w:rsidRPr="00D86A74">
        <w:t>event</w:t>
      </w:r>
      <w:r w:rsidR="00543644" w:rsidRPr="00D86A74">
        <w:t>y</w:t>
      </w:r>
      <w:r w:rsidR="00543644">
        <w:t>-</w:t>
      </w:r>
      <w:r w:rsidR="005C4C87">
        <w:t>second</w:t>
      </w:r>
      <w:r w:rsidR="00B365CB">
        <w:t xml:space="preserve"> session</w:t>
      </w:r>
    </w:p>
    <w:p w:rsidR="00B365CB" w:rsidRDefault="00274F09" w:rsidP="00D86A74">
      <w:pPr>
        <w:pStyle w:val="SingleTxtG"/>
      </w:pPr>
      <w:r>
        <w:t>50</w:t>
      </w:r>
      <w:r w:rsidR="00B365CB">
        <w:t>.</w:t>
      </w:r>
      <w:r w:rsidR="00B365CB">
        <w:rPr>
          <w:b/>
          <w:bCs/>
        </w:rPr>
        <w:tab/>
      </w:r>
      <w:r w:rsidR="00B365CB">
        <w:t xml:space="preserve">The dates of </w:t>
      </w:r>
      <w:r w:rsidR="00835AA6">
        <w:t>4</w:t>
      </w:r>
      <w:r w:rsidR="00DE23D0" w:rsidRPr="00835AA6">
        <w:t>-</w:t>
      </w:r>
      <w:r w:rsidR="00835AA6" w:rsidRPr="00835AA6">
        <w:t>7</w:t>
      </w:r>
      <w:r w:rsidR="00B365CB" w:rsidRPr="00357B1F">
        <w:t xml:space="preserve"> </w:t>
      </w:r>
      <w:r w:rsidR="00B44428" w:rsidRPr="00357B1F">
        <w:t xml:space="preserve">October </w:t>
      </w:r>
      <w:r w:rsidR="00B365CB" w:rsidRPr="00357B1F">
        <w:t>201</w:t>
      </w:r>
      <w:r w:rsidR="00A52682">
        <w:t>6</w:t>
      </w:r>
      <w:r w:rsidR="00B365CB" w:rsidRPr="00357B1F">
        <w:t xml:space="preserve"> </w:t>
      </w:r>
      <w:r w:rsidR="004D5C43" w:rsidRPr="00357B1F">
        <w:t>(</w:t>
      </w:r>
      <w:r w:rsidR="0029026F" w:rsidRPr="00D86A74">
        <w:t>Tuesday</w:t>
      </w:r>
      <w:r w:rsidR="004D5C43" w:rsidRPr="00357B1F">
        <w:t xml:space="preserve"> to </w:t>
      </w:r>
      <w:r w:rsidR="0029026F" w:rsidRPr="00357B1F">
        <w:t>Friday</w:t>
      </w:r>
      <w:r w:rsidR="004D5C43" w:rsidRPr="00357B1F">
        <w:t>)</w:t>
      </w:r>
      <w:r w:rsidR="004D5C43">
        <w:t xml:space="preserve"> </w:t>
      </w:r>
      <w:r w:rsidR="00B365CB">
        <w:t>have been reserved for the s</w:t>
      </w:r>
      <w:r w:rsidR="00D70230">
        <w:t>event</w:t>
      </w:r>
      <w:r w:rsidR="00627872">
        <w:t>y-</w:t>
      </w:r>
      <w:r w:rsidR="005C4C87">
        <w:t>second</w:t>
      </w:r>
      <w:r w:rsidR="00B365CB">
        <w:t xml:space="preserve"> session of WP.11.</w:t>
      </w:r>
    </w:p>
    <w:p w:rsidR="00B365CB" w:rsidRDefault="000241A9" w:rsidP="00D86A74">
      <w:pPr>
        <w:pStyle w:val="H1G"/>
      </w:pPr>
      <w:r>
        <w:lastRenderedPageBreak/>
        <w:tab/>
      </w:r>
      <w:r w:rsidR="00B44428">
        <w:t>12</w:t>
      </w:r>
      <w:r w:rsidR="003D58D8">
        <w:t>.</w:t>
      </w:r>
      <w:r>
        <w:tab/>
      </w:r>
      <w:r w:rsidR="00B365CB">
        <w:t>Adoption of the report</w:t>
      </w:r>
    </w:p>
    <w:p w:rsidR="00B365CB" w:rsidRDefault="00274F09" w:rsidP="00D86A74">
      <w:pPr>
        <w:pStyle w:val="SingleTxtG"/>
      </w:pPr>
      <w:r>
        <w:t>51</w:t>
      </w:r>
      <w:r w:rsidR="00B365CB">
        <w:t>.</w:t>
      </w:r>
      <w:r w:rsidR="00B365CB">
        <w:tab/>
        <w:t>The W</w:t>
      </w:r>
      <w:r w:rsidR="00EF5A9A">
        <w:t>P.11</w:t>
      </w:r>
      <w:r w:rsidR="00B365CB">
        <w:t xml:space="preserve"> is expected to adopt the </w:t>
      </w:r>
      <w:r w:rsidR="00B365CB" w:rsidRPr="00D86A74">
        <w:t>report</w:t>
      </w:r>
      <w:r w:rsidR="00B365CB">
        <w:t xml:space="preserve"> on its s</w:t>
      </w:r>
      <w:r w:rsidR="00543644">
        <w:t>event</w:t>
      </w:r>
      <w:r w:rsidR="005C4C87">
        <w:t>y-first</w:t>
      </w:r>
      <w:r w:rsidR="00B365CB">
        <w:t xml:space="preserve"> session based on a draft prepared by the secretariat.</w:t>
      </w:r>
    </w:p>
    <w:p w:rsidR="006B3FFD" w:rsidRPr="00344EC6" w:rsidRDefault="003A3A0E" w:rsidP="003A3A0E">
      <w:pPr>
        <w:pStyle w:val="SingleTxtG"/>
        <w:spacing w:before="240" w:after="0"/>
        <w:jc w:val="center"/>
        <w:rPr>
          <w:u w:val="single"/>
        </w:rPr>
      </w:pPr>
      <w:r>
        <w:rPr>
          <w:u w:val="single"/>
        </w:rPr>
        <w:tab/>
      </w:r>
      <w:r>
        <w:rPr>
          <w:u w:val="single"/>
        </w:rPr>
        <w:tab/>
      </w:r>
      <w:r>
        <w:rPr>
          <w:u w:val="single"/>
        </w:rPr>
        <w:tab/>
      </w:r>
    </w:p>
    <w:sectPr w:rsidR="006B3FFD" w:rsidRPr="00344EC6" w:rsidSect="00D03F3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91F" w:rsidRDefault="0038391F"/>
  </w:endnote>
  <w:endnote w:type="continuationSeparator" w:id="0">
    <w:p w:rsidR="0038391F" w:rsidRDefault="0038391F"/>
  </w:endnote>
  <w:endnote w:type="continuationNotice" w:id="1">
    <w:p w:rsidR="0038391F" w:rsidRDefault="00383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DC74B9">
      <w:rPr>
        <w:b/>
        <w:noProof/>
        <w:sz w:val="18"/>
      </w:rPr>
      <w:t>6</w:t>
    </w:r>
    <w:r w:rsidRPr="00D03F3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DC74B9">
      <w:rPr>
        <w:b/>
        <w:noProof/>
        <w:sz w:val="18"/>
      </w:rPr>
      <w:t>7</w:t>
    </w:r>
    <w:r w:rsidRPr="00D03F3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CC" w:rsidRPr="00D03F3E" w:rsidRDefault="00406ACC">
    <w:pPr>
      <w:pStyle w:val="Foote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1E518C">
      <w:rPr>
        <w:sz w:val="20"/>
      </w:rPr>
      <w:t>GE.15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91F" w:rsidRPr="000B175B" w:rsidRDefault="0038391F" w:rsidP="000B175B">
      <w:pPr>
        <w:tabs>
          <w:tab w:val="right" w:pos="2155"/>
        </w:tabs>
        <w:spacing w:after="80"/>
        <w:ind w:left="680"/>
        <w:rPr>
          <w:u w:val="single"/>
        </w:rPr>
      </w:pPr>
      <w:r>
        <w:rPr>
          <w:u w:val="single"/>
        </w:rPr>
        <w:tab/>
      </w:r>
    </w:p>
  </w:footnote>
  <w:footnote w:type="continuationSeparator" w:id="0">
    <w:p w:rsidR="0038391F" w:rsidRPr="00FC68B7" w:rsidRDefault="0038391F" w:rsidP="00FC68B7">
      <w:pPr>
        <w:tabs>
          <w:tab w:val="left" w:pos="2155"/>
        </w:tabs>
        <w:spacing w:after="80"/>
        <w:ind w:left="680"/>
        <w:rPr>
          <w:u w:val="single"/>
        </w:rPr>
      </w:pPr>
      <w:r>
        <w:rPr>
          <w:u w:val="single"/>
        </w:rPr>
        <w:tab/>
      </w:r>
    </w:p>
  </w:footnote>
  <w:footnote w:type="continuationNotice" w:id="1">
    <w:p w:rsidR="0038391F" w:rsidRDefault="003839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CC" w:rsidRPr="00D03F3E" w:rsidRDefault="00406ACC">
    <w:pPr>
      <w:pStyle w:val="Header"/>
    </w:pPr>
    <w:r>
      <w:t>ECE/TRANS/WP.11/23</w:t>
    </w:r>
    <w:r w:rsidR="005C4C87">
      <w:t>2</w:t>
    </w:r>
    <w:r w:rsidR="00C44883">
      <w:t>/</w:t>
    </w:r>
    <w:r w:rsidR="00274F09">
      <w:t>Add.1/</w:t>
    </w:r>
    <w:r w:rsidR="00C44883">
      <w:t>Rev</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CC" w:rsidRPr="00D03F3E" w:rsidRDefault="00406ACC" w:rsidP="00D03F3E">
    <w:pPr>
      <w:pStyle w:val="Header"/>
      <w:jc w:val="right"/>
    </w:pPr>
    <w:r>
      <w:t>ECE/TRANS/WP.11/23</w:t>
    </w:r>
    <w:r w:rsidR="005C4C87">
      <w:t>2</w:t>
    </w:r>
    <w:r w:rsidR="00C44883">
      <w:t>/</w:t>
    </w:r>
    <w:r w:rsidR="00274F09">
      <w:t>Add.1/</w:t>
    </w:r>
    <w:r w:rsidR="00C44883">
      <w:t>Rev</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outline w:val="0"/>
        <w:shadow w:val="0"/>
        <w:emboss w:val="0"/>
        <w:imprint w:val="0"/>
        <w:vanish w:val="0"/>
        <w:color w:val="auto"/>
        <w:sz w:val="24"/>
        <w:u w:val="none"/>
        <w:vertAlign w:val="baseline"/>
        <w:lang w:val="en-US"/>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7"/>
  </w:num>
  <w:num w:numId="16">
    <w:abstractNumId w:val="18"/>
  </w:num>
  <w:num w:numId="17">
    <w:abstractNumId w:val="14"/>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IE"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9A0"/>
    <w:rsid w:val="000018F0"/>
    <w:rsid w:val="00004E47"/>
    <w:rsid w:val="00005769"/>
    <w:rsid w:val="00012CA6"/>
    <w:rsid w:val="0001793A"/>
    <w:rsid w:val="000216E0"/>
    <w:rsid w:val="00022D6E"/>
    <w:rsid w:val="00022E06"/>
    <w:rsid w:val="000241A9"/>
    <w:rsid w:val="00024675"/>
    <w:rsid w:val="00024DBC"/>
    <w:rsid w:val="00025A16"/>
    <w:rsid w:val="00030B9B"/>
    <w:rsid w:val="00031642"/>
    <w:rsid w:val="00041F10"/>
    <w:rsid w:val="00046B1F"/>
    <w:rsid w:val="00047DC3"/>
    <w:rsid w:val="00047F7D"/>
    <w:rsid w:val="00050F6B"/>
    <w:rsid w:val="00057E97"/>
    <w:rsid w:val="00061EAD"/>
    <w:rsid w:val="00062908"/>
    <w:rsid w:val="00072C8C"/>
    <w:rsid w:val="000733B5"/>
    <w:rsid w:val="00081815"/>
    <w:rsid w:val="00082024"/>
    <w:rsid w:val="00084F4B"/>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C0296"/>
    <w:rsid w:val="000C1C06"/>
    <w:rsid w:val="000C2890"/>
    <w:rsid w:val="000C2C03"/>
    <w:rsid w:val="000C2D2E"/>
    <w:rsid w:val="000D29DD"/>
    <w:rsid w:val="000D66A6"/>
    <w:rsid w:val="000E0415"/>
    <w:rsid w:val="000E06B3"/>
    <w:rsid w:val="000E0B8A"/>
    <w:rsid w:val="000F0FB8"/>
    <w:rsid w:val="000F69BA"/>
    <w:rsid w:val="0010137F"/>
    <w:rsid w:val="001014AA"/>
    <w:rsid w:val="00107427"/>
    <w:rsid w:val="001103AA"/>
    <w:rsid w:val="00112CA9"/>
    <w:rsid w:val="00116117"/>
    <w:rsid w:val="0011666B"/>
    <w:rsid w:val="00117835"/>
    <w:rsid w:val="00120A27"/>
    <w:rsid w:val="001212D8"/>
    <w:rsid w:val="00122F55"/>
    <w:rsid w:val="00124583"/>
    <w:rsid w:val="001311D6"/>
    <w:rsid w:val="0013146C"/>
    <w:rsid w:val="00133CC8"/>
    <w:rsid w:val="001405B1"/>
    <w:rsid w:val="001422CA"/>
    <w:rsid w:val="00146C99"/>
    <w:rsid w:val="00147248"/>
    <w:rsid w:val="001513E0"/>
    <w:rsid w:val="00162680"/>
    <w:rsid w:val="00165F3A"/>
    <w:rsid w:val="001718E3"/>
    <w:rsid w:val="00171D8C"/>
    <w:rsid w:val="0017296C"/>
    <w:rsid w:val="0017595C"/>
    <w:rsid w:val="001829E7"/>
    <w:rsid w:val="00182F50"/>
    <w:rsid w:val="00183536"/>
    <w:rsid w:val="00184972"/>
    <w:rsid w:val="00184B17"/>
    <w:rsid w:val="00190C05"/>
    <w:rsid w:val="001921F0"/>
    <w:rsid w:val="001927DB"/>
    <w:rsid w:val="00192D87"/>
    <w:rsid w:val="001934FB"/>
    <w:rsid w:val="001A0181"/>
    <w:rsid w:val="001A3ECB"/>
    <w:rsid w:val="001A4B0B"/>
    <w:rsid w:val="001A6FC7"/>
    <w:rsid w:val="001B4B04"/>
    <w:rsid w:val="001B7CC7"/>
    <w:rsid w:val="001C0F1F"/>
    <w:rsid w:val="001C1095"/>
    <w:rsid w:val="001C6663"/>
    <w:rsid w:val="001C7895"/>
    <w:rsid w:val="001D0C8C"/>
    <w:rsid w:val="001D1419"/>
    <w:rsid w:val="001D26DF"/>
    <w:rsid w:val="001D3A03"/>
    <w:rsid w:val="001D4264"/>
    <w:rsid w:val="001D7539"/>
    <w:rsid w:val="001E10EC"/>
    <w:rsid w:val="001E27B2"/>
    <w:rsid w:val="001E3B3B"/>
    <w:rsid w:val="001E4940"/>
    <w:rsid w:val="001E518C"/>
    <w:rsid w:val="001E5513"/>
    <w:rsid w:val="001E6AE1"/>
    <w:rsid w:val="001E6D4C"/>
    <w:rsid w:val="001E7B67"/>
    <w:rsid w:val="001F0093"/>
    <w:rsid w:val="001F4CE4"/>
    <w:rsid w:val="001F5030"/>
    <w:rsid w:val="00202630"/>
    <w:rsid w:val="00202DA8"/>
    <w:rsid w:val="00202DB3"/>
    <w:rsid w:val="00211E0B"/>
    <w:rsid w:val="0021364D"/>
    <w:rsid w:val="0021612E"/>
    <w:rsid w:val="00222070"/>
    <w:rsid w:val="00224F1D"/>
    <w:rsid w:val="002257C9"/>
    <w:rsid w:val="00230D7B"/>
    <w:rsid w:val="002357D8"/>
    <w:rsid w:val="00235B68"/>
    <w:rsid w:val="0024772E"/>
    <w:rsid w:val="00261E56"/>
    <w:rsid w:val="0026285E"/>
    <w:rsid w:val="00262BF9"/>
    <w:rsid w:val="00266A8B"/>
    <w:rsid w:val="00267318"/>
    <w:rsid w:val="00267F5F"/>
    <w:rsid w:val="00272064"/>
    <w:rsid w:val="002731A1"/>
    <w:rsid w:val="00274F09"/>
    <w:rsid w:val="00277274"/>
    <w:rsid w:val="002778C6"/>
    <w:rsid w:val="00282AE8"/>
    <w:rsid w:val="002848A3"/>
    <w:rsid w:val="00286B4D"/>
    <w:rsid w:val="0029026F"/>
    <w:rsid w:val="00292332"/>
    <w:rsid w:val="00292C7D"/>
    <w:rsid w:val="0029434E"/>
    <w:rsid w:val="002974D5"/>
    <w:rsid w:val="002A2CCC"/>
    <w:rsid w:val="002C2778"/>
    <w:rsid w:val="002C2CC0"/>
    <w:rsid w:val="002C5212"/>
    <w:rsid w:val="002C66C1"/>
    <w:rsid w:val="002D4643"/>
    <w:rsid w:val="002E11B3"/>
    <w:rsid w:val="002E19CD"/>
    <w:rsid w:val="002E7924"/>
    <w:rsid w:val="002F0238"/>
    <w:rsid w:val="002F175C"/>
    <w:rsid w:val="00302E18"/>
    <w:rsid w:val="003066A4"/>
    <w:rsid w:val="003168A4"/>
    <w:rsid w:val="003229D8"/>
    <w:rsid w:val="00322E64"/>
    <w:rsid w:val="003261E8"/>
    <w:rsid w:val="003324EC"/>
    <w:rsid w:val="00332668"/>
    <w:rsid w:val="00336C1F"/>
    <w:rsid w:val="00344EC6"/>
    <w:rsid w:val="00347D55"/>
    <w:rsid w:val="003518C9"/>
    <w:rsid w:val="00352709"/>
    <w:rsid w:val="00354803"/>
    <w:rsid w:val="0035483E"/>
    <w:rsid w:val="00357B1F"/>
    <w:rsid w:val="003619B5"/>
    <w:rsid w:val="00361E54"/>
    <w:rsid w:val="003631EB"/>
    <w:rsid w:val="00365763"/>
    <w:rsid w:val="0036690F"/>
    <w:rsid w:val="00371178"/>
    <w:rsid w:val="0037304E"/>
    <w:rsid w:val="0037672B"/>
    <w:rsid w:val="003827F5"/>
    <w:rsid w:val="00382A35"/>
    <w:rsid w:val="003835E1"/>
    <w:rsid w:val="0038391F"/>
    <w:rsid w:val="00390A39"/>
    <w:rsid w:val="003916EF"/>
    <w:rsid w:val="00391B41"/>
    <w:rsid w:val="00392E47"/>
    <w:rsid w:val="0039314D"/>
    <w:rsid w:val="00394F2A"/>
    <w:rsid w:val="003A3467"/>
    <w:rsid w:val="003A3A0E"/>
    <w:rsid w:val="003A570C"/>
    <w:rsid w:val="003A6810"/>
    <w:rsid w:val="003B1A60"/>
    <w:rsid w:val="003B3856"/>
    <w:rsid w:val="003B4F60"/>
    <w:rsid w:val="003B5B01"/>
    <w:rsid w:val="003C2CC4"/>
    <w:rsid w:val="003C598D"/>
    <w:rsid w:val="003D4B23"/>
    <w:rsid w:val="003D58D8"/>
    <w:rsid w:val="003E0D7D"/>
    <w:rsid w:val="003E6C3C"/>
    <w:rsid w:val="003E7CE5"/>
    <w:rsid w:val="003F2D86"/>
    <w:rsid w:val="003F37EC"/>
    <w:rsid w:val="003F4624"/>
    <w:rsid w:val="004019BC"/>
    <w:rsid w:val="0040311C"/>
    <w:rsid w:val="00406ACC"/>
    <w:rsid w:val="00410344"/>
    <w:rsid w:val="00410C89"/>
    <w:rsid w:val="00414A4F"/>
    <w:rsid w:val="00414A85"/>
    <w:rsid w:val="00415C6D"/>
    <w:rsid w:val="00422E03"/>
    <w:rsid w:val="004233F1"/>
    <w:rsid w:val="00423E6A"/>
    <w:rsid w:val="0042521C"/>
    <w:rsid w:val="00426B9B"/>
    <w:rsid w:val="004325CB"/>
    <w:rsid w:val="004339D4"/>
    <w:rsid w:val="00442A83"/>
    <w:rsid w:val="004448C4"/>
    <w:rsid w:val="00452A11"/>
    <w:rsid w:val="00454760"/>
    <w:rsid w:val="0045495B"/>
    <w:rsid w:val="004551AC"/>
    <w:rsid w:val="00456915"/>
    <w:rsid w:val="004615A3"/>
    <w:rsid w:val="004663A4"/>
    <w:rsid w:val="00472447"/>
    <w:rsid w:val="00474E33"/>
    <w:rsid w:val="0047699E"/>
    <w:rsid w:val="004775ED"/>
    <w:rsid w:val="0048397A"/>
    <w:rsid w:val="00485CBB"/>
    <w:rsid w:val="0048654F"/>
    <w:rsid w:val="004866B7"/>
    <w:rsid w:val="004917E8"/>
    <w:rsid w:val="00493B44"/>
    <w:rsid w:val="004957EF"/>
    <w:rsid w:val="004A1E9C"/>
    <w:rsid w:val="004A3C30"/>
    <w:rsid w:val="004B0DC3"/>
    <w:rsid w:val="004B1E32"/>
    <w:rsid w:val="004B480B"/>
    <w:rsid w:val="004B4A38"/>
    <w:rsid w:val="004B5F36"/>
    <w:rsid w:val="004B61FE"/>
    <w:rsid w:val="004C0276"/>
    <w:rsid w:val="004C0A10"/>
    <w:rsid w:val="004C2461"/>
    <w:rsid w:val="004C7462"/>
    <w:rsid w:val="004D5517"/>
    <w:rsid w:val="004D5C43"/>
    <w:rsid w:val="004D64DA"/>
    <w:rsid w:val="004D7AED"/>
    <w:rsid w:val="004E77B2"/>
    <w:rsid w:val="004F05E8"/>
    <w:rsid w:val="004F0603"/>
    <w:rsid w:val="004F4DFA"/>
    <w:rsid w:val="004F73BD"/>
    <w:rsid w:val="00504B2D"/>
    <w:rsid w:val="00513010"/>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73B1A"/>
    <w:rsid w:val="00582AD2"/>
    <w:rsid w:val="005837CA"/>
    <w:rsid w:val="00585D83"/>
    <w:rsid w:val="00592D41"/>
    <w:rsid w:val="005941EC"/>
    <w:rsid w:val="00596D11"/>
    <w:rsid w:val="0059724D"/>
    <w:rsid w:val="005A1B42"/>
    <w:rsid w:val="005A2CFE"/>
    <w:rsid w:val="005A5F33"/>
    <w:rsid w:val="005B20A0"/>
    <w:rsid w:val="005B3DB3"/>
    <w:rsid w:val="005B4E13"/>
    <w:rsid w:val="005B57C6"/>
    <w:rsid w:val="005C342F"/>
    <w:rsid w:val="005C401C"/>
    <w:rsid w:val="005C4C6B"/>
    <w:rsid w:val="005C4C87"/>
    <w:rsid w:val="005C7247"/>
    <w:rsid w:val="005D083C"/>
    <w:rsid w:val="005D7A81"/>
    <w:rsid w:val="005E16FF"/>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2D0A"/>
    <w:rsid w:val="006603B7"/>
    <w:rsid w:val="00662BB6"/>
    <w:rsid w:val="00676606"/>
    <w:rsid w:val="00684910"/>
    <w:rsid w:val="00684C21"/>
    <w:rsid w:val="006857F4"/>
    <w:rsid w:val="00685CCE"/>
    <w:rsid w:val="00692692"/>
    <w:rsid w:val="006A1AE9"/>
    <w:rsid w:val="006A2530"/>
    <w:rsid w:val="006A5BB3"/>
    <w:rsid w:val="006B107A"/>
    <w:rsid w:val="006B3FFD"/>
    <w:rsid w:val="006B6921"/>
    <w:rsid w:val="006C3589"/>
    <w:rsid w:val="006C62BD"/>
    <w:rsid w:val="006D37AF"/>
    <w:rsid w:val="006D51D0"/>
    <w:rsid w:val="006D5FB9"/>
    <w:rsid w:val="006D6648"/>
    <w:rsid w:val="006E2144"/>
    <w:rsid w:val="006E564B"/>
    <w:rsid w:val="006E5980"/>
    <w:rsid w:val="006E7191"/>
    <w:rsid w:val="006F25BC"/>
    <w:rsid w:val="006F3AEC"/>
    <w:rsid w:val="006F42B8"/>
    <w:rsid w:val="006F5941"/>
    <w:rsid w:val="007002AB"/>
    <w:rsid w:val="00703261"/>
    <w:rsid w:val="00703577"/>
    <w:rsid w:val="00705327"/>
    <w:rsid w:val="00705894"/>
    <w:rsid w:val="00706E9A"/>
    <w:rsid w:val="00716A7B"/>
    <w:rsid w:val="00716D1F"/>
    <w:rsid w:val="00720051"/>
    <w:rsid w:val="00724080"/>
    <w:rsid w:val="0072632A"/>
    <w:rsid w:val="007314B8"/>
    <w:rsid w:val="007327D5"/>
    <w:rsid w:val="007366F9"/>
    <w:rsid w:val="00740A65"/>
    <w:rsid w:val="00745172"/>
    <w:rsid w:val="00746D53"/>
    <w:rsid w:val="0074734F"/>
    <w:rsid w:val="00755E70"/>
    <w:rsid w:val="007604B1"/>
    <w:rsid w:val="00762564"/>
    <w:rsid w:val="007629C8"/>
    <w:rsid w:val="00764548"/>
    <w:rsid w:val="00766488"/>
    <w:rsid w:val="0077047D"/>
    <w:rsid w:val="00790B9E"/>
    <w:rsid w:val="00796796"/>
    <w:rsid w:val="007979B0"/>
    <w:rsid w:val="007A1E62"/>
    <w:rsid w:val="007A5A39"/>
    <w:rsid w:val="007A5AD7"/>
    <w:rsid w:val="007A7D48"/>
    <w:rsid w:val="007B3A96"/>
    <w:rsid w:val="007B6BA5"/>
    <w:rsid w:val="007C0004"/>
    <w:rsid w:val="007C2C1A"/>
    <w:rsid w:val="007C3390"/>
    <w:rsid w:val="007C4F4B"/>
    <w:rsid w:val="007C527D"/>
    <w:rsid w:val="007D1F60"/>
    <w:rsid w:val="007D22F7"/>
    <w:rsid w:val="007D7FF5"/>
    <w:rsid w:val="007E01E9"/>
    <w:rsid w:val="007E0F13"/>
    <w:rsid w:val="007E63F3"/>
    <w:rsid w:val="007F3D52"/>
    <w:rsid w:val="007F6611"/>
    <w:rsid w:val="00801A12"/>
    <w:rsid w:val="00801CB3"/>
    <w:rsid w:val="00803899"/>
    <w:rsid w:val="00803C06"/>
    <w:rsid w:val="008066F3"/>
    <w:rsid w:val="008118DA"/>
    <w:rsid w:val="00811920"/>
    <w:rsid w:val="00815AD0"/>
    <w:rsid w:val="00820B3C"/>
    <w:rsid w:val="008242D7"/>
    <w:rsid w:val="008248BA"/>
    <w:rsid w:val="008257B1"/>
    <w:rsid w:val="0082769E"/>
    <w:rsid w:val="00830C9A"/>
    <w:rsid w:val="00832334"/>
    <w:rsid w:val="00835AA6"/>
    <w:rsid w:val="008379C5"/>
    <w:rsid w:val="00837FBD"/>
    <w:rsid w:val="00843767"/>
    <w:rsid w:val="008469F5"/>
    <w:rsid w:val="00856F4C"/>
    <w:rsid w:val="00857508"/>
    <w:rsid w:val="00861D28"/>
    <w:rsid w:val="008679D9"/>
    <w:rsid w:val="008704E3"/>
    <w:rsid w:val="008708CA"/>
    <w:rsid w:val="0087221D"/>
    <w:rsid w:val="00872852"/>
    <w:rsid w:val="00882D6F"/>
    <w:rsid w:val="008848B0"/>
    <w:rsid w:val="008849E9"/>
    <w:rsid w:val="00885CA9"/>
    <w:rsid w:val="008878DE"/>
    <w:rsid w:val="008932B9"/>
    <w:rsid w:val="00894427"/>
    <w:rsid w:val="00895475"/>
    <w:rsid w:val="0089757F"/>
    <w:rsid w:val="008979B1"/>
    <w:rsid w:val="008A333E"/>
    <w:rsid w:val="008A609B"/>
    <w:rsid w:val="008A6B25"/>
    <w:rsid w:val="008A6C4F"/>
    <w:rsid w:val="008B116C"/>
    <w:rsid w:val="008B1524"/>
    <w:rsid w:val="008B2335"/>
    <w:rsid w:val="008B2F80"/>
    <w:rsid w:val="008B5114"/>
    <w:rsid w:val="008C0902"/>
    <w:rsid w:val="008C29AB"/>
    <w:rsid w:val="008C3CCC"/>
    <w:rsid w:val="008C5303"/>
    <w:rsid w:val="008C7A6D"/>
    <w:rsid w:val="008D4AF2"/>
    <w:rsid w:val="008E0678"/>
    <w:rsid w:val="008F0CE1"/>
    <w:rsid w:val="008F31D2"/>
    <w:rsid w:val="008F7895"/>
    <w:rsid w:val="00900F2B"/>
    <w:rsid w:val="009011F7"/>
    <w:rsid w:val="00902C7E"/>
    <w:rsid w:val="00907CB1"/>
    <w:rsid w:val="00911757"/>
    <w:rsid w:val="009131B0"/>
    <w:rsid w:val="009223CA"/>
    <w:rsid w:val="00930AAB"/>
    <w:rsid w:val="00934EB4"/>
    <w:rsid w:val="00937268"/>
    <w:rsid w:val="00940F93"/>
    <w:rsid w:val="00951B84"/>
    <w:rsid w:val="00952BB9"/>
    <w:rsid w:val="00953485"/>
    <w:rsid w:val="00953F23"/>
    <w:rsid w:val="0095577D"/>
    <w:rsid w:val="00965A9E"/>
    <w:rsid w:val="0097445D"/>
    <w:rsid w:val="009760F3"/>
    <w:rsid w:val="00976CFB"/>
    <w:rsid w:val="00983879"/>
    <w:rsid w:val="009857A5"/>
    <w:rsid w:val="0099309F"/>
    <w:rsid w:val="0099343E"/>
    <w:rsid w:val="009964B7"/>
    <w:rsid w:val="009A0006"/>
    <w:rsid w:val="009A0830"/>
    <w:rsid w:val="009A0E8D"/>
    <w:rsid w:val="009A66C3"/>
    <w:rsid w:val="009B26E7"/>
    <w:rsid w:val="009B2EA6"/>
    <w:rsid w:val="009B3A38"/>
    <w:rsid w:val="009B4334"/>
    <w:rsid w:val="009C1705"/>
    <w:rsid w:val="009C20A8"/>
    <w:rsid w:val="009C31D8"/>
    <w:rsid w:val="009C4B98"/>
    <w:rsid w:val="009C5DB3"/>
    <w:rsid w:val="009C7099"/>
    <w:rsid w:val="009D4CA8"/>
    <w:rsid w:val="009D67AF"/>
    <w:rsid w:val="009E2AFB"/>
    <w:rsid w:val="009E5729"/>
    <w:rsid w:val="009F39D0"/>
    <w:rsid w:val="009F6480"/>
    <w:rsid w:val="00A00697"/>
    <w:rsid w:val="00A00A3F"/>
    <w:rsid w:val="00A01489"/>
    <w:rsid w:val="00A04E30"/>
    <w:rsid w:val="00A0608C"/>
    <w:rsid w:val="00A064B2"/>
    <w:rsid w:val="00A105D4"/>
    <w:rsid w:val="00A13AA8"/>
    <w:rsid w:val="00A163A0"/>
    <w:rsid w:val="00A22D47"/>
    <w:rsid w:val="00A22E39"/>
    <w:rsid w:val="00A3026E"/>
    <w:rsid w:val="00A31253"/>
    <w:rsid w:val="00A31F14"/>
    <w:rsid w:val="00A338F1"/>
    <w:rsid w:val="00A35BE0"/>
    <w:rsid w:val="00A3659B"/>
    <w:rsid w:val="00A50C08"/>
    <w:rsid w:val="00A52682"/>
    <w:rsid w:val="00A52B86"/>
    <w:rsid w:val="00A52EB8"/>
    <w:rsid w:val="00A55559"/>
    <w:rsid w:val="00A63559"/>
    <w:rsid w:val="00A63631"/>
    <w:rsid w:val="00A6709A"/>
    <w:rsid w:val="00A715C6"/>
    <w:rsid w:val="00A72F22"/>
    <w:rsid w:val="00A7360F"/>
    <w:rsid w:val="00A748A6"/>
    <w:rsid w:val="00A75039"/>
    <w:rsid w:val="00A769F4"/>
    <w:rsid w:val="00A776B4"/>
    <w:rsid w:val="00A838C6"/>
    <w:rsid w:val="00A83C3C"/>
    <w:rsid w:val="00A90619"/>
    <w:rsid w:val="00A9089E"/>
    <w:rsid w:val="00A92EB0"/>
    <w:rsid w:val="00A94361"/>
    <w:rsid w:val="00A95199"/>
    <w:rsid w:val="00A9664B"/>
    <w:rsid w:val="00AA293C"/>
    <w:rsid w:val="00AA2E6F"/>
    <w:rsid w:val="00AA5F1E"/>
    <w:rsid w:val="00AB1673"/>
    <w:rsid w:val="00AB191D"/>
    <w:rsid w:val="00AB2897"/>
    <w:rsid w:val="00AB2DE5"/>
    <w:rsid w:val="00AB2FAB"/>
    <w:rsid w:val="00AB4DF7"/>
    <w:rsid w:val="00AB4F4A"/>
    <w:rsid w:val="00AB5510"/>
    <w:rsid w:val="00AB5B1B"/>
    <w:rsid w:val="00AC41C0"/>
    <w:rsid w:val="00AD26A4"/>
    <w:rsid w:val="00AD52BA"/>
    <w:rsid w:val="00AE13DC"/>
    <w:rsid w:val="00AE6A37"/>
    <w:rsid w:val="00AE7905"/>
    <w:rsid w:val="00AF090F"/>
    <w:rsid w:val="00B028E1"/>
    <w:rsid w:val="00B06255"/>
    <w:rsid w:val="00B07489"/>
    <w:rsid w:val="00B113BE"/>
    <w:rsid w:val="00B14D99"/>
    <w:rsid w:val="00B17019"/>
    <w:rsid w:val="00B263E3"/>
    <w:rsid w:val="00B30179"/>
    <w:rsid w:val="00B365CB"/>
    <w:rsid w:val="00B421C1"/>
    <w:rsid w:val="00B44428"/>
    <w:rsid w:val="00B46647"/>
    <w:rsid w:val="00B5481F"/>
    <w:rsid w:val="00B54998"/>
    <w:rsid w:val="00B55C71"/>
    <w:rsid w:val="00B56E4A"/>
    <w:rsid w:val="00B56E9C"/>
    <w:rsid w:val="00B57A59"/>
    <w:rsid w:val="00B64B1F"/>
    <w:rsid w:val="00B6553F"/>
    <w:rsid w:val="00B77D05"/>
    <w:rsid w:val="00B81206"/>
    <w:rsid w:val="00B81E12"/>
    <w:rsid w:val="00B824D7"/>
    <w:rsid w:val="00B836D5"/>
    <w:rsid w:val="00B86825"/>
    <w:rsid w:val="00B9477C"/>
    <w:rsid w:val="00BA0B6C"/>
    <w:rsid w:val="00BA23A6"/>
    <w:rsid w:val="00BA59F3"/>
    <w:rsid w:val="00BA67A2"/>
    <w:rsid w:val="00BB033D"/>
    <w:rsid w:val="00BB0874"/>
    <w:rsid w:val="00BB27A6"/>
    <w:rsid w:val="00BB4D15"/>
    <w:rsid w:val="00BC15E4"/>
    <w:rsid w:val="00BC3F47"/>
    <w:rsid w:val="00BC3FA0"/>
    <w:rsid w:val="00BC74E9"/>
    <w:rsid w:val="00BD107A"/>
    <w:rsid w:val="00BD3218"/>
    <w:rsid w:val="00BD518E"/>
    <w:rsid w:val="00BE3DF1"/>
    <w:rsid w:val="00BE6379"/>
    <w:rsid w:val="00BF003A"/>
    <w:rsid w:val="00BF17E4"/>
    <w:rsid w:val="00BF68A8"/>
    <w:rsid w:val="00C03344"/>
    <w:rsid w:val="00C07119"/>
    <w:rsid w:val="00C11A03"/>
    <w:rsid w:val="00C134C5"/>
    <w:rsid w:val="00C14720"/>
    <w:rsid w:val="00C17703"/>
    <w:rsid w:val="00C20685"/>
    <w:rsid w:val="00C22C0C"/>
    <w:rsid w:val="00C30883"/>
    <w:rsid w:val="00C36CBB"/>
    <w:rsid w:val="00C41529"/>
    <w:rsid w:val="00C44883"/>
    <w:rsid w:val="00C44F67"/>
    <w:rsid w:val="00C4527F"/>
    <w:rsid w:val="00C463DD"/>
    <w:rsid w:val="00C4724C"/>
    <w:rsid w:val="00C629A0"/>
    <w:rsid w:val="00C632C3"/>
    <w:rsid w:val="00C64629"/>
    <w:rsid w:val="00C67B8E"/>
    <w:rsid w:val="00C72E90"/>
    <w:rsid w:val="00C745C3"/>
    <w:rsid w:val="00C8015D"/>
    <w:rsid w:val="00C81D77"/>
    <w:rsid w:val="00C825F5"/>
    <w:rsid w:val="00C83742"/>
    <w:rsid w:val="00C85E9B"/>
    <w:rsid w:val="00C93802"/>
    <w:rsid w:val="00C95E55"/>
    <w:rsid w:val="00C96DF2"/>
    <w:rsid w:val="00CA77FE"/>
    <w:rsid w:val="00CB1A11"/>
    <w:rsid w:val="00CB3E03"/>
    <w:rsid w:val="00CB7DD8"/>
    <w:rsid w:val="00CC3F0E"/>
    <w:rsid w:val="00CC640A"/>
    <w:rsid w:val="00CD09A9"/>
    <w:rsid w:val="00CD2B0F"/>
    <w:rsid w:val="00CD4AA6"/>
    <w:rsid w:val="00CD4C4F"/>
    <w:rsid w:val="00CD522B"/>
    <w:rsid w:val="00CD78B0"/>
    <w:rsid w:val="00CE23F3"/>
    <w:rsid w:val="00CE3497"/>
    <w:rsid w:val="00CE4A8F"/>
    <w:rsid w:val="00CF7A38"/>
    <w:rsid w:val="00D0225B"/>
    <w:rsid w:val="00D03F3E"/>
    <w:rsid w:val="00D06F4E"/>
    <w:rsid w:val="00D102B5"/>
    <w:rsid w:val="00D107A6"/>
    <w:rsid w:val="00D2031B"/>
    <w:rsid w:val="00D248B6"/>
    <w:rsid w:val="00D25FE2"/>
    <w:rsid w:val="00D267E5"/>
    <w:rsid w:val="00D274FF"/>
    <w:rsid w:val="00D31861"/>
    <w:rsid w:val="00D422FE"/>
    <w:rsid w:val="00D43252"/>
    <w:rsid w:val="00D4337A"/>
    <w:rsid w:val="00D47EEA"/>
    <w:rsid w:val="00D514EC"/>
    <w:rsid w:val="00D522C4"/>
    <w:rsid w:val="00D55BAE"/>
    <w:rsid w:val="00D5726B"/>
    <w:rsid w:val="00D62DD1"/>
    <w:rsid w:val="00D63250"/>
    <w:rsid w:val="00D65ED2"/>
    <w:rsid w:val="00D70230"/>
    <w:rsid w:val="00D7513B"/>
    <w:rsid w:val="00D773DF"/>
    <w:rsid w:val="00D83B48"/>
    <w:rsid w:val="00D840AE"/>
    <w:rsid w:val="00D84CBF"/>
    <w:rsid w:val="00D86A74"/>
    <w:rsid w:val="00D902AF"/>
    <w:rsid w:val="00D905B2"/>
    <w:rsid w:val="00D95303"/>
    <w:rsid w:val="00D978C6"/>
    <w:rsid w:val="00DA00B6"/>
    <w:rsid w:val="00DA2372"/>
    <w:rsid w:val="00DA39A7"/>
    <w:rsid w:val="00DA3C1C"/>
    <w:rsid w:val="00DA6B9F"/>
    <w:rsid w:val="00DA77E8"/>
    <w:rsid w:val="00DB2BD8"/>
    <w:rsid w:val="00DB650B"/>
    <w:rsid w:val="00DB7EE7"/>
    <w:rsid w:val="00DC0D23"/>
    <w:rsid w:val="00DC3666"/>
    <w:rsid w:val="00DC4A51"/>
    <w:rsid w:val="00DC58F7"/>
    <w:rsid w:val="00DC7357"/>
    <w:rsid w:val="00DC74B9"/>
    <w:rsid w:val="00DC78BE"/>
    <w:rsid w:val="00DD009A"/>
    <w:rsid w:val="00DD4385"/>
    <w:rsid w:val="00DD7770"/>
    <w:rsid w:val="00DE0FB7"/>
    <w:rsid w:val="00DE23D0"/>
    <w:rsid w:val="00DE72AB"/>
    <w:rsid w:val="00DF492F"/>
    <w:rsid w:val="00DF5856"/>
    <w:rsid w:val="00E03D02"/>
    <w:rsid w:val="00E046DF"/>
    <w:rsid w:val="00E0623A"/>
    <w:rsid w:val="00E173BB"/>
    <w:rsid w:val="00E23F10"/>
    <w:rsid w:val="00E25C1A"/>
    <w:rsid w:val="00E27346"/>
    <w:rsid w:val="00E3383F"/>
    <w:rsid w:val="00E33D1C"/>
    <w:rsid w:val="00E353BC"/>
    <w:rsid w:val="00E56FCE"/>
    <w:rsid w:val="00E57ABD"/>
    <w:rsid w:val="00E6176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27F1"/>
    <w:rsid w:val="00EC6501"/>
    <w:rsid w:val="00ED63EC"/>
    <w:rsid w:val="00ED6993"/>
    <w:rsid w:val="00ED7A2A"/>
    <w:rsid w:val="00ED7E5E"/>
    <w:rsid w:val="00EE0143"/>
    <w:rsid w:val="00EE6DD1"/>
    <w:rsid w:val="00EF1D7F"/>
    <w:rsid w:val="00EF5A9A"/>
    <w:rsid w:val="00EF779D"/>
    <w:rsid w:val="00F04134"/>
    <w:rsid w:val="00F051EC"/>
    <w:rsid w:val="00F0521A"/>
    <w:rsid w:val="00F15877"/>
    <w:rsid w:val="00F16B21"/>
    <w:rsid w:val="00F23FB2"/>
    <w:rsid w:val="00F25A6C"/>
    <w:rsid w:val="00F27D06"/>
    <w:rsid w:val="00F31E5F"/>
    <w:rsid w:val="00F334C2"/>
    <w:rsid w:val="00F34054"/>
    <w:rsid w:val="00F363E3"/>
    <w:rsid w:val="00F4162C"/>
    <w:rsid w:val="00F45B20"/>
    <w:rsid w:val="00F5362B"/>
    <w:rsid w:val="00F55326"/>
    <w:rsid w:val="00F6100A"/>
    <w:rsid w:val="00F62067"/>
    <w:rsid w:val="00F64370"/>
    <w:rsid w:val="00F67318"/>
    <w:rsid w:val="00F71EED"/>
    <w:rsid w:val="00F733BF"/>
    <w:rsid w:val="00F77101"/>
    <w:rsid w:val="00F8168F"/>
    <w:rsid w:val="00F82ADD"/>
    <w:rsid w:val="00F93781"/>
    <w:rsid w:val="00F937C8"/>
    <w:rsid w:val="00F93B19"/>
    <w:rsid w:val="00FA6E11"/>
    <w:rsid w:val="00FA7DA8"/>
    <w:rsid w:val="00FB613B"/>
    <w:rsid w:val="00FB6F77"/>
    <w:rsid w:val="00FC68B7"/>
    <w:rsid w:val="00FD3F98"/>
    <w:rsid w:val="00FD670D"/>
    <w:rsid w:val="00FD67B5"/>
    <w:rsid w:val="00FD7CB5"/>
    <w:rsid w:val="00FE106A"/>
    <w:rsid w:val="00FF02CC"/>
    <w:rsid w:val="00FF145D"/>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4D9023E-D252-4C2A-A35F-3CFD69B2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val="en-GB"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semiHidden/>
    <w:rsid w:val="004C027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C0276"/>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fileadmin/DAM/trans/main/wp11/teststations.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744B5-A3DA-437B-AD15-E26DFD4D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13317</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Collet</dc:creator>
  <cp:keywords/>
  <cp:lastModifiedBy>Caillot</cp:lastModifiedBy>
  <cp:revision>2</cp:revision>
  <cp:lastPrinted>2015-07-28T08:14:00Z</cp:lastPrinted>
  <dcterms:created xsi:type="dcterms:W3CDTF">2015-09-25T09:40:00Z</dcterms:created>
  <dcterms:modified xsi:type="dcterms:W3CDTF">2015-09-25T09:40:00Z</dcterms:modified>
</cp:coreProperties>
</file>