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5818C6" w:rsidP="008B0988">
            <w:pPr>
              <w:jc w:val="right"/>
            </w:pPr>
            <w:r w:rsidRPr="005818C6">
              <w:rPr>
                <w:sz w:val="40"/>
              </w:rPr>
              <w:t>ECE</w:t>
            </w:r>
            <w:r w:rsidR="00980AB3">
              <w:t>/TRANS/WP.11/2015</w:t>
            </w:r>
            <w:r>
              <w:t>/1</w:t>
            </w:r>
            <w:r w:rsidR="008B0988">
              <w:t>4</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F41CCA" w:rsidP="00F01516">
            <w:pPr>
              <w:spacing w:before="120"/>
              <w:jc w:val="center"/>
            </w:pPr>
            <w:r>
              <w:rPr>
                <w:noProof/>
                <w:lang w:val="en-GB"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5818C6" w:rsidRDefault="005818C6" w:rsidP="00F01516">
            <w:pPr>
              <w:spacing w:before="240"/>
            </w:pPr>
            <w:r>
              <w:t>Distr. générale</w:t>
            </w:r>
          </w:p>
          <w:p w:rsidR="005818C6" w:rsidRDefault="008B0988" w:rsidP="005818C6">
            <w:pPr>
              <w:spacing w:line="240" w:lineRule="exact"/>
            </w:pPr>
            <w:r>
              <w:t>10</w:t>
            </w:r>
            <w:r w:rsidR="00980AB3">
              <w:t xml:space="preserve"> juillet 2015</w:t>
            </w:r>
          </w:p>
          <w:p w:rsidR="005818C6" w:rsidRDefault="005818C6" w:rsidP="005818C6">
            <w:pPr>
              <w:spacing w:line="240" w:lineRule="exact"/>
            </w:pPr>
          </w:p>
          <w:p w:rsidR="003D1DF3" w:rsidRPr="00DB58B5" w:rsidRDefault="002B4B0C" w:rsidP="005818C6">
            <w:pPr>
              <w:spacing w:line="240" w:lineRule="exact"/>
            </w:pPr>
            <w:r>
              <w:t>Original: français</w:t>
            </w:r>
          </w:p>
        </w:tc>
      </w:tr>
    </w:tbl>
    <w:p w:rsidR="00FF1DBD" w:rsidRPr="000312C0" w:rsidRDefault="000312C0" w:rsidP="000312C0">
      <w:pPr>
        <w:spacing w:before="120"/>
        <w:rPr>
          <w:b/>
          <w:sz w:val="28"/>
          <w:szCs w:val="28"/>
        </w:rPr>
      </w:pPr>
      <w:r w:rsidRPr="000312C0">
        <w:rPr>
          <w:b/>
          <w:sz w:val="28"/>
          <w:szCs w:val="28"/>
        </w:rPr>
        <w:t>Commission économique pour l</w:t>
      </w:r>
      <w:r w:rsidR="002224A1">
        <w:rPr>
          <w:b/>
          <w:sz w:val="28"/>
          <w:szCs w:val="28"/>
        </w:rPr>
        <w:t>’</w:t>
      </w:r>
      <w:r w:rsidRPr="000312C0">
        <w:rPr>
          <w:b/>
          <w:sz w:val="28"/>
          <w:szCs w:val="28"/>
        </w:rPr>
        <w:t>Europe</w:t>
      </w:r>
    </w:p>
    <w:p w:rsidR="00B93E72" w:rsidRDefault="00B93E72" w:rsidP="00B93E72">
      <w:pPr>
        <w:spacing w:before="120"/>
        <w:rPr>
          <w:sz w:val="28"/>
          <w:szCs w:val="28"/>
        </w:rPr>
      </w:pPr>
      <w:r w:rsidRPr="00685843">
        <w:rPr>
          <w:sz w:val="28"/>
          <w:szCs w:val="28"/>
        </w:rPr>
        <w:t>Comité des transports intérieurs</w:t>
      </w:r>
    </w:p>
    <w:p w:rsidR="00C70623" w:rsidRDefault="00113E49" w:rsidP="002A56C4">
      <w:pPr>
        <w:spacing w:before="120" w:after="120"/>
        <w:rPr>
          <w:b/>
          <w:sz w:val="24"/>
          <w:szCs w:val="24"/>
        </w:rPr>
      </w:pPr>
      <w:r w:rsidRPr="00113E49">
        <w:rPr>
          <w:b/>
          <w:sz w:val="24"/>
          <w:szCs w:val="24"/>
        </w:rPr>
        <w:t>Groupe de travail des transports</w:t>
      </w:r>
      <w:r w:rsidR="00B2393F">
        <w:rPr>
          <w:b/>
          <w:sz w:val="24"/>
          <w:szCs w:val="24"/>
        </w:rPr>
        <w:t xml:space="preserve"> </w:t>
      </w:r>
      <w:r w:rsidRPr="00113E49">
        <w:rPr>
          <w:b/>
          <w:sz w:val="24"/>
          <w:szCs w:val="24"/>
        </w:rPr>
        <w:t>des de</w:t>
      </w:r>
      <w:bookmarkStart w:id="0" w:name="_GoBack"/>
      <w:bookmarkEnd w:id="0"/>
      <w:r w:rsidRPr="00113E49">
        <w:rPr>
          <w:b/>
          <w:sz w:val="24"/>
          <w:szCs w:val="24"/>
        </w:rPr>
        <w:t>nrées périssables</w:t>
      </w:r>
    </w:p>
    <w:p w:rsidR="00D03ACE" w:rsidRPr="00D03ACE" w:rsidRDefault="00D03ACE" w:rsidP="00D03ACE">
      <w:pPr>
        <w:rPr>
          <w:b/>
        </w:rPr>
      </w:pPr>
      <w:r w:rsidRPr="00D03ACE">
        <w:rPr>
          <w:b/>
        </w:rPr>
        <w:t>Soixante et onzième session</w:t>
      </w:r>
    </w:p>
    <w:p w:rsidR="00D03ACE" w:rsidRDefault="00D03ACE" w:rsidP="00D03ACE">
      <w:pPr>
        <w:rPr>
          <w:b/>
        </w:rPr>
      </w:pPr>
      <w:r w:rsidRPr="00D03ACE">
        <w:rPr>
          <w:b/>
        </w:rPr>
        <w:t>Genève, 6-9 octobre 2015</w:t>
      </w:r>
    </w:p>
    <w:p w:rsidR="005818C6" w:rsidRDefault="00980AB3" w:rsidP="00D03ACE">
      <w:r>
        <w:t xml:space="preserve">Point </w:t>
      </w:r>
      <w:r w:rsidR="008B0988">
        <w:t xml:space="preserve">5 </w:t>
      </w:r>
      <w:r w:rsidR="00C06F42">
        <w:t>a</w:t>
      </w:r>
      <w:r w:rsidR="008B0988">
        <w:t>)</w:t>
      </w:r>
      <w:r w:rsidR="005818C6">
        <w:t xml:space="preserve"> </w:t>
      </w:r>
      <w:r w:rsidR="008B0988">
        <w:t xml:space="preserve">et 6 </w:t>
      </w:r>
      <w:r w:rsidR="005818C6">
        <w:t>de l</w:t>
      </w:r>
      <w:r w:rsidR="002224A1">
        <w:t>’</w:t>
      </w:r>
      <w:r w:rsidR="005818C6">
        <w:t>ordre du jour provisoire</w:t>
      </w:r>
    </w:p>
    <w:p w:rsidR="008B0988" w:rsidRDefault="005818C6" w:rsidP="008B0988">
      <w:pPr>
        <w:pStyle w:val="SingleTxtG"/>
        <w:spacing w:after="0"/>
        <w:ind w:left="0"/>
        <w:rPr>
          <w:b/>
          <w:lang w:val="fr-FR"/>
        </w:rPr>
      </w:pPr>
      <w:r w:rsidRPr="007806A5">
        <w:rPr>
          <w:b/>
          <w:lang w:val="fr-FR"/>
        </w:rPr>
        <w:t>Propositions d</w:t>
      </w:r>
      <w:r w:rsidR="002224A1">
        <w:rPr>
          <w:b/>
          <w:lang w:val="fr-FR"/>
        </w:rPr>
        <w:t>’</w:t>
      </w:r>
      <w:r w:rsidRPr="007806A5">
        <w:rPr>
          <w:b/>
          <w:lang w:val="fr-FR"/>
        </w:rPr>
        <w:t>amendements à l</w:t>
      </w:r>
      <w:r w:rsidR="002224A1">
        <w:rPr>
          <w:b/>
          <w:lang w:val="fr-FR"/>
        </w:rPr>
        <w:t>’</w:t>
      </w:r>
      <w:r w:rsidR="00980AB3">
        <w:rPr>
          <w:b/>
          <w:lang w:val="fr-FR"/>
        </w:rPr>
        <w:t xml:space="preserve">accord </w:t>
      </w:r>
      <w:r w:rsidRPr="007806A5">
        <w:rPr>
          <w:b/>
          <w:lang w:val="fr-FR"/>
        </w:rPr>
        <w:t xml:space="preserve">ATP: </w:t>
      </w:r>
      <w:r w:rsidR="00D03ACE" w:rsidRPr="00D03ACE">
        <w:rPr>
          <w:b/>
          <w:lang w:val="fr-FR"/>
        </w:rPr>
        <w:t>Propositions en suspens</w:t>
      </w:r>
    </w:p>
    <w:p w:rsidR="008B0988" w:rsidRPr="007806A5" w:rsidRDefault="008B0988" w:rsidP="008B0988">
      <w:pPr>
        <w:pStyle w:val="SingleTxtG"/>
        <w:spacing w:after="0"/>
        <w:ind w:left="0"/>
        <w:rPr>
          <w:b/>
          <w:lang w:val="fr-FR"/>
        </w:rPr>
      </w:pPr>
      <w:r>
        <w:rPr>
          <w:b/>
          <w:lang w:val="fr-FR"/>
        </w:rPr>
        <w:t>Manuel ATP</w:t>
      </w:r>
    </w:p>
    <w:p w:rsidR="005818C6" w:rsidRPr="00D45162" w:rsidRDefault="002B4B0C" w:rsidP="00D45162">
      <w:pPr>
        <w:pStyle w:val="HChG"/>
      </w:pPr>
      <w:r>
        <w:rPr>
          <w:lang w:val="fr-FR" w:eastAsia="ar-SA"/>
        </w:rPr>
        <w:tab/>
      </w:r>
      <w:r>
        <w:rPr>
          <w:lang w:val="fr-FR" w:eastAsia="ar-SA"/>
        </w:rPr>
        <w:tab/>
        <w:t>Proposition</w:t>
      </w:r>
      <w:r w:rsidR="005818C6" w:rsidRPr="007806A5">
        <w:rPr>
          <w:lang w:val="fr-FR" w:eastAsia="ar-SA"/>
        </w:rPr>
        <w:t xml:space="preserve"> visant à clarifier les dispositions</w:t>
      </w:r>
      <w:r w:rsidR="008B0988">
        <w:rPr>
          <w:lang w:val="fr-FR" w:eastAsia="ar-SA"/>
        </w:rPr>
        <w:t xml:space="preserve"> </w:t>
      </w:r>
      <w:r w:rsidR="005818C6" w:rsidRPr="007806A5">
        <w:rPr>
          <w:lang w:val="fr-FR" w:eastAsia="ar-SA"/>
        </w:rPr>
        <w:t>de l</w:t>
      </w:r>
      <w:r w:rsidR="002224A1">
        <w:rPr>
          <w:lang w:val="fr-FR" w:eastAsia="ar-SA"/>
        </w:rPr>
        <w:t>’</w:t>
      </w:r>
      <w:r w:rsidR="005818C6" w:rsidRPr="007806A5">
        <w:rPr>
          <w:lang w:val="fr-FR" w:eastAsia="ar-SA"/>
        </w:rPr>
        <w:t>a</w:t>
      </w:r>
      <w:r w:rsidR="005818C6">
        <w:rPr>
          <w:lang w:val="fr-FR" w:eastAsia="ar-SA"/>
        </w:rPr>
        <w:t>ppendice 1 de l</w:t>
      </w:r>
      <w:r w:rsidR="002224A1">
        <w:rPr>
          <w:lang w:val="fr-FR" w:eastAsia="ar-SA"/>
        </w:rPr>
        <w:t>’</w:t>
      </w:r>
      <w:r w:rsidR="005818C6">
        <w:rPr>
          <w:lang w:val="fr-FR" w:eastAsia="ar-SA"/>
        </w:rPr>
        <w:t>a</w:t>
      </w:r>
      <w:r w:rsidR="005818C6" w:rsidRPr="007806A5">
        <w:rPr>
          <w:lang w:val="fr-FR" w:eastAsia="ar-SA"/>
        </w:rPr>
        <w:t>nnexe 1</w:t>
      </w:r>
    </w:p>
    <w:p w:rsidR="005818C6" w:rsidRPr="008A63A2" w:rsidRDefault="005818C6" w:rsidP="00D45162">
      <w:pPr>
        <w:pStyle w:val="H1G"/>
        <w:rPr>
          <w:lang w:val="fr-BE"/>
        </w:rPr>
      </w:pPr>
      <w:r w:rsidRPr="007806A5">
        <w:rPr>
          <w:lang w:val="fr-FR"/>
        </w:rPr>
        <w:tab/>
      </w:r>
      <w:r w:rsidRPr="007806A5">
        <w:rPr>
          <w:lang w:val="fr-FR"/>
        </w:rPr>
        <w:tab/>
      </w:r>
      <w:r w:rsidR="00734316">
        <w:rPr>
          <w:lang w:val="fr-FR"/>
        </w:rPr>
        <w:t>Communication</w:t>
      </w:r>
      <w:r w:rsidRPr="008A63A2">
        <w:rPr>
          <w:lang w:val="fr-BE"/>
        </w:rPr>
        <w:t xml:space="preserve"> </w:t>
      </w:r>
      <w:r>
        <w:t xml:space="preserve">du Gouvernement </w:t>
      </w:r>
      <w:r w:rsidRPr="00D45162">
        <w:t>belge</w:t>
      </w:r>
    </w:p>
    <w:p w:rsidR="005818C6" w:rsidRDefault="005818C6" w:rsidP="00D45162">
      <w:pPr>
        <w:pStyle w:val="HChG"/>
      </w:pPr>
      <w:r w:rsidRPr="008A63A2">
        <w:rPr>
          <w:lang w:val="fr-BE"/>
        </w:rPr>
        <w:tab/>
      </w:r>
      <w:r w:rsidRPr="008A63A2">
        <w:rPr>
          <w:lang w:val="fr-BE"/>
        </w:rPr>
        <w:tab/>
      </w:r>
      <w:r w:rsidRPr="003829FE">
        <w:t>Introduction</w:t>
      </w:r>
    </w:p>
    <w:p w:rsidR="00C46352" w:rsidRPr="00D45162" w:rsidRDefault="00D45162" w:rsidP="00D45162">
      <w:pPr>
        <w:pStyle w:val="SingleTxtG"/>
      </w:pPr>
      <w:r>
        <w:rPr>
          <w:lang w:val="fr-FR"/>
        </w:rPr>
        <w:t>1.</w:t>
      </w:r>
      <w:r>
        <w:rPr>
          <w:lang w:val="fr-FR"/>
        </w:rPr>
        <w:tab/>
      </w:r>
      <w:r w:rsidR="005818C6" w:rsidRPr="00C46352">
        <w:rPr>
          <w:lang w:val="fr-FR"/>
        </w:rPr>
        <w:t>Les amendements</w:t>
      </w:r>
      <w:r w:rsidR="008B0988">
        <w:rPr>
          <w:lang w:val="fr-FR"/>
        </w:rPr>
        <w:t xml:space="preserve"> </w:t>
      </w:r>
      <w:r w:rsidR="005818C6" w:rsidRPr="00C46352">
        <w:rPr>
          <w:lang w:val="fr-FR"/>
        </w:rPr>
        <w:t>proposé</w:t>
      </w:r>
      <w:r w:rsidR="002224A1" w:rsidRPr="00C46352">
        <w:rPr>
          <w:lang w:val="fr-FR"/>
        </w:rPr>
        <w:t xml:space="preserve">s </w:t>
      </w:r>
      <w:proofErr w:type="gramStart"/>
      <w:r w:rsidR="002224A1" w:rsidRPr="00C46352">
        <w:rPr>
          <w:lang w:val="fr-FR"/>
        </w:rPr>
        <w:t>aux paragraphes </w:t>
      </w:r>
      <w:r w:rsidR="005818C6" w:rsidRPr="00C46352">
        <w:rPr>
          <w:lang w:val="fr-FR"/>
        </w:rPr>
        <w:t>1 et</w:t>
      </w:r>
      <w:r w:rsidR="002224A1" w:rsidRPr="00C46352">
        <w:rPr>
          <w:lang w:val="fr-FR"/>
        </w:rPr>
        <w:t xml:space="preserve"> 3 de l’appendice 1 de l’annexe </w:t>
      </w:r>
      <w:r w:rsidR="005818C6" w:rsidRPr="00C46352">
        <w:rPr>
          <w:lang w:val="fr-FR"/>
        </w:rPr>
        <w:t>1</w:t>
      </w:r>
      <w:proofErr w:type="gramEnd"/>
      <w:r w:rsidR="00EE03F7">
        <w:rPr>
          <w:lang w:val="fr-FR"/>
        </w:rPr>
        <w:t>,</w:t>
      </w:r>
      <w:r w:rsidR="005818C6" w:rsidRPr="00C46352">
        <w:rPr>
          <w:lang w:val="fr-FR"/>
        </w:rPr>
        <w:t xml:space="preserve"> s</w:t>
      </w:r>
      <w:r w:rsidR="002224A1" w:rsidRPr="00C46352">
        <w:rPr>
          <w:lang w:val="fr-FR"/>
        </w:rPr>
        <w:t>’</w:t>
      </w:r>
      <w:r w:rsidR="005818C6" w:rsidRPr="00C46352">
        <w:rPr>
          <w:lang w:val="fr-FR"/>
        </w:rPr>
        <w:t xml:space="preserve">inspirent </w:t>
      </w:r>
      <w:r w:rsidR="00EE03F7">
        <w:rPr>
          <w:lang w:val="fr-FR"/>
        </w:rPr>
        <w:t xml:space="preserve">d’une part, </w:t>
      </w:r>
      <w:r w:rsidR="005818C6" w:rsidRPr="00C46352">
        <w:rPr>
          <w:lang w:val="fr-FR"/>
        </w:rPr>
        <w:t>du docu</w:t>
      </w:r>
      <w:r w:rsidR="007F6F0C">
        <w:rPr>
          <w:lang w:val="fr-FR"/>
        </w:rPr>
        <w:t xml:space="preserve">ment informel </w:t>
      </w:r>
      <w:r w:rsidR="005818C6" w:rsidRPr="00C46352">
        <w:rPr>
          <w:lang w:val="fr-FR"/>
        </w:rPr>
        <w:t xml:space="preserve">14 </w:t>
      </w:r>
      <w:r w:rsidR="00FC299C" w:rsidRPr="00C46352">
        <w:rPr>
          <w:lang w:val="fr-FR"/>
        </w:rPr>
        <w:t xml:space="preserve">de la France </w:t>
      </w:r>
      <w:r w:rsidR="005818C6" w:rsidRPr="00C46352">
        <w:rPr>
          <w:lang w:val="fr-FR"/>
        </w:rPr>
        <w:t xml:space="preserve">publié lors de </w:t>
      </w:r>
      <w:r w:rsidR="00FC299C" w:rsidRPr="00C46352">
        <w:rPr>
          <w:lang w:val="fr-FR"/>
        </w:rPr>
        <w:t xml:space="preserve">la soixante-huitième session et </w:t>
      </w:r>
      <w:r w:rsidR="00EE03F7">
        <w:rPr>
          <w:lang w:val="fr-FR"/>
        </w:rPr>
        <w:t xml:space="preserve">d’autre part, </w:t>
      </w:r>
      <w:r w:rsidR="00FC299C" w:rsidRPr="00C46352">
        <w:rPr>
          <w:lang w:val="fr-FR"/>
        </w:rPr>
        <w:t>du document officiel ECE/TRANS/WP.11/2013/1</w:t>
      </w:r>
      <w:r w:rsidR="00EE03F7">
        <w:rPr>
          <w:lang w:val="fr-FR"/>
        </w:rPr>
        <w:t>2 de la Belgique discuté lors</w:t>
      </w:r>
      <w:r w:rsidR="00FC299C" w:rsidRPr="00C46352">
        <w:rPr>
          <w:lang w:val="fr-FR"/>
        </w:rPr>
        <w:t xml:space="preserve"> la soixante-neuvième session.</w:t>
      </w:r>
      <w:r w:rsidR="008A63A2" w:rsidRPr="00C46352">
        <w:rPr>
          <w:lang w:val="fr-FR"/>
        </w:rPr>
        <w:t xml:space="preserve"> </w:t>
      </w:r>
      <w:r w:rsidR="002B4B0C">
        <w:rPr>
          <w:lang w:val="fr-FR"/>
        </w:rPr>
        <w:t xml:space="preserve">Vu que le document initial n’a pas été adopté de manière complète, </w:t>
      </w:r>
      <w:r w:rsidR="008A63A2">
        <w:t>l</w:t>
      </w:r>
      <w:r w:rsidR="002B4B0C">
        <w:rPr>
          <w:lang w:val="fr-FR"/>
        </w:rPr>
        <w:t>a Belgique a</w:t>
      </w:r>
      <w:r w:rsidR="008A63A2" w:rsidRPr="00C46352">
        <w:rPr>
          <w:lang w:val="fr-FR"/>
        </w:rPr>
        <w:t xml:space="preserve"> proposé de poursuivre ses trava</w:t>
      </w:r>
      <w:r w:rsidR="002B4B0C">
        <w:rPr>
          <w:lang w:val="fr-FR"/>
        </w:rPr>
        <w:t>ux sur la signification des termes</w:t>
      </w:r>
      <w:r w:rsidR="00EE03F7">
        <w:rPr>
          <w:lang w:val="fr-FR"/>
        </w:rPr>
        <w:t xml:space="preserve"> «immatriculé </w:t>
      </w:r>
      <w:r w:rsidR="00EE03F7" w:rsidRPr="00EE03F7">
        <w:rPr>
          <w:b/>
          <w:u w:val="single"/>
          <w:lang w:val="fr-FR"/>
        </w:rPr>
        <w:t>ou</w:t>
      </w:r>
      <w:r w:rsidR="00EE03F7">
        <w:rPr>
          <w:lang w:val="fr-FR"/>
        </w:rPr>
        <w:t xml:space="preserve"> </w:t>
      </w:r>
      <w:r w:rsidR="008A63A2" w:rsidRPr="00C46352">
        <w:rPr>
          <w:lang w:val="fr-FR"/>
        </w:rPr>
        <w:t>enregistré» afin d’</w:t>
      </w:r>
      <w:r w:rsidR="002B4B0C">
        <w:rPr>
          <w:lang w:val="fr-FR"/>
        </w:rPr>
        <w:t>éclaircir et d’étoffer ce point</w:t>
      </w:r>
      <w:r w:rsidR="008A63A2" w:rsidRPr="00C46352">
        <w:rPr>
          <w:lang w:val="fr-FR"/>
        </w:rPr>
        <w:t>.</w:t>
      </w:r>
    </w:p>
    <w:p w:rsidR="00C46352" w:rsidRPr="00D45162" w:rsidRDefault="00D45162" w:rsidP="00D45162">
      <w:pPr>
        <w:pStyle w:val="SingleTxtG"/>
      </w:pPr>
      <w:r>
        <w:rPr>
          <w:lang w:val="fr-FR"/>
        </w:rPr>
        <w:t>2.</w:t>
      </w:r>
      <w:r>
        <w:rPr>
          <w:lang w:val="fr-FR"/>
        </w:rPr>
        <w:tab/>
      </w:r>
      <w:r w:rsidR="00D14F8B" w:rsidRPr="00C46352">
        <w:rPr>
          <w:lang w:val="fr-FR"/>
        </w:rPr>
        <w:t>Cette</w:t>
      </w:r>
      <w:r w:rsidR="00BC7942" w:rsidRPr="00BC7942">
        <w:t xml:space="preserve"> proposition vis</w:t>
      </w:r>
      <w:r w:rsidR="00BC7942">
        <w:t>e</w:t>
      </w:r>
      <w:r w:rsidR="00BC7942" w:rsidRPr="00BC7942">
        <w:t xml:space="preserve"> </w:t>
      </w:r>
      <w:r w:rsidR="002B4B0C">
        <w:t xml:space="preserve">par conséquent </w:t>
      </w:r>
      <w:r w:rsidR="00BC7942" w:rsidRPr="00BC7942">
        <w:t>à clarifier les termes «imm</w:t>
      </w:r>
      <w:r w:rsidR="002B4B0C">
        <w:t>atriculé ou enregistré» énoncés</w:t>
      </w:r>
      <w:r w:rsidR="00EE03F7">
        <w:t xml:space="preserve"> à l’appendice 1 de l’annexe 1.</w:t>
      </w:r>
    </w:p>
    <w:p w:rsidR="005818C6" w:rsidRPr="00D45162" w:rsidRDefault="00D45162" w:rsidP="00D45162">
      <w:pPr>
        <w:pStyle w:val="SingleTxtG"/>
      </w:pPr>
      <w:r>
        <w:rPr>
          <w:lang w:val="fr-FR"/>
        </w:rPr>
        <w:t>3.</w:t>
      </w:r>
      <w:r>
        <w:rPr>
          <w:lang w:val="fr-FR"/>
        </w:rPr>
        <w:tab/>
      </w:r>
      <w:r w:rsidR="005818C6" w:rsidRPr="00C46352">
        <w:rPr>
          <w:lang w:val="fr-FR"/>
        </w:rPr>
        <w:t>La Belgique est d</w:t>
      </w:r>
      <w:r w:rsidR="002224A1" w:rsidRPr="00C46352">
        <w:rPr>
          <w:lang w:val="fr-FR"/>
        </w:rPr>
        <w:t>’</w:t>
      </w:r>
      <w:r w:rsidR="005818C6" w:rsidRPr="00C46352">
        <w:rPr>
          <w:lang w:val="fr-FR"/>
        </w:rPr>
        <w:t xml:space="preserve">avis que le mot </w:t>
      </w:r>
      <w:r w:rsidR="0037078C" w:rsidRPr="00C46352">
        <w:rPr>
          <w:lang w:val="fr-FR"/>
        </w:rPr>
        <w:t>«</w:t>
      </w:r>
      <w:r w:rsidR="005818C6" w:rsidRPr="00C46352">
        <w:rPr>
          <w:lang w:val="fr-FR"/>
        </w:rPr>
        <w:t>enregistré</w:t>
      </w:r>
      <w:r w:rsidR="0037078C" w:rsidRPr="00C46352">
        <w:rPr>
          <w:lang w:val="fr-FR"/>
        </w:rPr>
        <w:t>»</w:t>
      </w:r>
      <w:r w:rsidR="002B4B0C">
        <w:rPr>
          <w:lang w:val="fr-FR"/>
        </w:rPr>
        <w:t>, cité en deuxième lieu après le terme « immatriculé »</w:t>
      </w:r>
      <w:r w:rsidR="00EE03F7">
        <w:rPr>
          <w:lang w:val="fr-FR"/>
        </w:rPr>
        <w:t>, n’est applicable que si l’engin ne peut pas faire l’objet d’une immatriculation. Le terme «ou</w:t>
      </w:r>
      <w:r w:rsidR="00EE03F7" w:rsidRPr="00EE03F7">
        <w:rPr>
          <w:lang w:val="fr-FR"/>
        </w:rPr>
        <w:t>» ne représente donc pas un choix. Il signifie que si la nature de l’engin ne permet pas son immatriculation (exemple: cont</w:t>
      </w:r>
      <w:r w:rsidR="00E5165D">
        <w:rPr>
          <w:lang w:val="fr-FR"/>
        </w:rPr>
        <w:t>eneur</w:t>
      </w:r>
      <w:r w:rsidR="00EE03F7" w:rsidRPr="00EE03F7">
        <w:rPr>
          <w:lang w:val="fr-FR"/>
        </w:rPr>
        <w:t>), l’engin est alors enregistré dans le pays où le propriétaire de l’engin est établi</w:t>
      </w:r>
      <w:r w:rsidR="005E00FA">
        <w:rPr>
          <w:lang w:val="fr-FR"/>
        </w:rPr>
        <w:t>.</w:t>
      </w:r>
    </w:p>
    <w:p w:rsidR="00EE03F7" w:rsidRPr="00D45162" w:rsidRDefault="00D45162" w:rsidP="00D45162">
      <w:pPr>
        <w:pStyle w:val="SingleTxtG"/>
      </w:pPr>
      <w:r>
        <w:rPr>
          <w:lang w:val="fr-FR"/>
        </w:rPr>
        <w:t>4.</w:t>
      </w:r>
      <w:r>
        <w:rPr>
          <w:lang w:val="fr-FR"/>
        </w:rPr>
        <w:tab/>
      </w:r>
      <w:r w:rsidR="00394F98">
        <w:rPr>
          <w:lang w:val="fr-FR"/>
        </w:rPr>
        <w:t>La</w:t>
      </w:r>
      <w:r w:rsidR="00980AB3" w:rsidRPr="00980AB3">
        <w:rPr>
          <w:lang w:val="fr-FR"/>
        </w:rPr>
        <w:t xml:space="preserve"> présente proposition vise par conséquent d’une part, à solliciter une modification de l’Accord ATP et d’autre part, à insérer une brève explication dans le </w:t>
      </w:r>
      <w:r w:rsidR="008B0988">
        <w:rPr>
          <w:lang w:val="fr-FR"/>
        </w:rPr>
        <w:t>M</w:t>
      </w:r>
      <w:r w:rsidR="00980AB3" w:rsidRPr="00980AB3">
        <w:rPr>
          <w:lang w:val="fr-FR"/>
        </w:rPr>
        <w:t xml:space="preserve">anuel ATP afin d’éviter toute confusion au niveau de l’interprétation des termes. </w:t>
      </w:r>
    </w:p>
    <w:p w:rsidR="005818C6" w:rsidRPr="007F5B89" w:rsidRDefault="005818C6" w:rsidP="00D45162">
      <w:pPr>
        <w:pStyle w:val="HChG"/>
        <w:rPr>
          <w:lang w:val="fr-FR"/>
        </w:rPr>
      </w:pPr>
      <w:r w:rsidRPr="000259E4">
        <w:rPr>
          <w:lang w:val="fr-FR"/>
        </w:rPr>
        <w:lastRenderedPageBreak/>
        <w:tab/>
      </w:r>
      <w:r w:rsidRPr="000259E4">
        <w:rPr>
          <w:lang w:val="fr-FR"/>
        </w:rPr>
        <w:tab/>
      </w:r>
      <w:r w:rsidRPr="007F5B89">
        <w:rPr>
          <w:lang w:val="fr-FR"/>
        </w:rPr>
        <w:t>Propositions</w:t>
      </w:r>
    </w:p>
    <w:p w:rsidR="006437A7" w:rsidRPr="00D45162" w:rsidRDefault="00D45162" w:rsidP="00D45162">
      <w:pPr>
        <w:pStyle w:val="SingleTxtG"/>
      </w:pPr>
      <w:bookmarkStart w:id="1" w:name="OLE_LINK13"/>
      <w:bookmarkStart w:id="2" w:name="OLE_LINK14"/>
      <w:r>
        <w:rPr>
          <w:lang w:val="fr-FR"/>
        </w:rPr>
        <w:t>5.</w:t>
      </w:r>
      <w:r>
        <w:rPr>
          <w:lang w:val="fr-FR"/>
        </w:rPr>
        <w:tab/>
      </w:r>
      <w:r w:rsidR="006437A7" w:rsidRPr="008B0988">
        <w:rPr>
          <w:lang w:val="fr-FR"/>
        </w:rPr>
        <w:t>Modification de l’appendice 1 de l’annexe 1 de l’Accord ATP</w:t>
      </w:r>
    </w:p>
    <w:p w:rsidR="005818C6" w:rsidRPr="00EF16CA" w:rsidRDefault="00EE03F7" w:rsidP="00EE03F7">
      <w:pPr>
        <w:pStyle w:val="SingleTxtG"/>
        <w:numPr>
          <w:ilvl w:val="0"/>
          <w:numId w:val="13"/>
        </w:numPr>
        <w:ind w:left="2127" w:hanging="284"/>
        <w:rPr>
          <w:b/>
          <w:u w:val="single"/>
          <w:lang w:val="fr-FR"/>
        </w:rPr>
      </w:pPr>
      <w:r w:rsidRPr="00EF16CA">
        <w:rPr>
          <w:b/>
          <w:u w:val="single"/>
          <w:lang w:val="fr-FR"/>
        </w:rPr>
        <w:t>Paragraphe 1 de l’appendice 1 de l’annexe 1</w:t>
      </w:r>
    </w:p>
    <w:p w:rsidR="00C36D9E" w:rsidRDefault="00C36D9E" w:rsidP="00C36D9E">
      <w:pPr>
        <w:keepNext/>
        <w:keepLines/>
        <w:suppressAutoHyphens w:val="0"/>
        <w:autoSpaceDE w:val="0"/>
        <w:autoSpaceDN w:val="0"/>
        <w:adjustRightInd w:val="0"/>
        <w:spacing w:after="120" w:line="240" w:lineRule="auto"/>
        <w:ind w:left="1134"/>
        <w:rPr>
          <w:lang w:val="fr-FR" w:eastAsia="fr-BE"/>
        </w:rPr>
      </w:pPr>
      <w:r>
        <w:rPr>
          <w:lang w:val="fr-FR" w:eastAsia="fr-BE"/>
        </w:rPr>
        <w:t>La modification suivante est sollicitée :</w:t>
      </w:r>
    </w:p>
    <w:p w:rsidR="005818C6" w:rsidRPr="004B795D" w:rsidRDefault="002224A1" w:rsidP="002224A1">
      <w:pPr>
        <w:keepNext/>
        <w:keepLines/>
        <w:suppressAutoHyphens w:val="0"/>
        <w:autoSpaceDE w:val="0"/>
        <w:autoSpaceDN w:val="0"/>
        <w:adjustRightInd w:val="0"/>
        <w:spacing w:line="240" w:lineRule="auto"/>
        <w:ind w:left="1134"/>
        <w:rPr>
          <w:lang w:val="fr-FR" w:eastAsia="fr-BE"/>
        </w:rPr>
      </w:pPr>
      <w:r w:rsidRPr="004B795D">
        <w:rPr>
          <w:lang w:val="fr-FR" w:eastAsia="fr-BE"/>
        </w:rPr>
        <w:t>«</w:t>
      </w:r>
      <w:r w:rsidR="008B0988">
        <w:rPr>
          <w:lang w:val="fr-FR" w:eastAsia="fr-BE"/>
        </w:rPr>
        <w:t>1.</w:t>
      </w:r>
      <w:r w:rsidR="008B0988">
        <w:rPr>
          <w:lang w:val="fr-FR" w:eastAsia="fr-BE"/>
        </w:rPr>
        <w:tab/>
      </w:r>
      <w:r w:rsidR="005818C6" w:rsidRPr="004B795D">
        <w:rPr>
          <w:lang w:val="fr-FR" w:eastAsia="fr-FR"/>
        </w:rPr>
        <w:t>Le contrôle de la conformité aux normes prescrites dans la présente annexe aura lieu</w:t>
      </w:r>
      <w:r w:rsidR="005818C6" w:rsidRPr="004B795D">
        <w:rPr>
          <w:lang w:val="fr-FR" w:eastAsia="fr-BE"/>
        </w:rPr>
        <w:t>:</w:t>
      </w:r>
    </w:p>
    <w:p w:rsidR="005818C6" w:rsidRPr="004B795D" w:rsidRDefault="005818C6" w:rsidP="009D6620">
      <w:pPr>
        <w:suppressAutoHyphens w:val="0"/>
        <w:autoSpaceDE w:val="0"/>
        <w:autoSpaceDN w:val="0"/>
        <w:adjustRightInd w:val="0"/>
        <w:spacing w:before="120" w:after="120" w:line="240" w:lineRule="auto"/>
        <w:ind w:left="1701"/>
        <w:rPr>
          <w:lang w:val="fr-FR" w:eastAsia="fr-BE"/>
        </w:rPr>
      </w:pPr>
      <w:r w:rsidRPr="004B795D">
        <w:rPr>
          <w:lang w:val="fr-FR" w:eastAsia="fr-BE"/>
        </w:rPr>
        <w:t>a)</w:t>
      </w:r>
      <w:r w:rsidRPr="004B795D">
        <w:rPr>
          <w:lang w:val="fr-FR" w:eastAsia="fr-BE"/>
        </w:rPr>
        <w:tab/>
      </w:r>
      <w:r w:rsidRPr="004B795D">
        <w:rPr>
          <w:lang w:val="fr-FR" w:eastAsia="fr-FR"/>
        </w:rPr>
        <w:t>avant la mise en service de l</w:t>
      </w:r>
      <w:r w:rsidR="002224A1" w:rsidRPr="004B795D">
        <w:rPr>
          <w:lang w:val="fr-FR" w:eastAsia="fr-FR"/>
        </w:rPr>
        <w:t>’</w:t>
      </w:r>
      <w:r w:rsidRPr="004B795D">
        <w:rPr>
          <w:lang w:val="fr-FR" w:eastAsia="fr-FR"/>
        </w:rPr>
        <w:t>engin;</w:t>
      </w:r>
    </w:p>
    <w:p w:rsidR="005818C6" w:rsidRPr="004B795D" w:rsidRDefault="005818C6" w:rsidP="009D6620">
      <w:pPr>
        <w:suppressAutoHyphens w:val="0"/>
        <w:autoSpaceDE w:val="0"/>
        <w:autoSpaceDN w:val="0"/>
        <w:adjustRightInd w:val="0"/>
        <w:spacing w:after="120" w:line="240" w:lineRule="auto"/>
        <w:ind w:left="1701"/>
        <w:rPr>
          <w:lang w:val="fr-FR" w:eastAsia="fr-BE"/>
        </w:rPr>
      </w:pPr>
      <w:r w:rsidRPr="004B795D">
        <w:rPr>
          <w:lang w:val="fr-FR" w:eastAsia="fr-BE"/>
        </w:rPr>
        <w:t>b)</w:t>
      </w:r>
      <w:r w:rsidRPr="004B795D">
        <w:rPr>
          <w:lang w:val="fr-FR" w:eastAsia="fr-BE"/>
        </w:rPr>
        <w:tab/>
      </w:r>
      <w:r w:rsidRPr="004B795D">
        <w:rPr>
          <w:lang w:val="fr-FR" w:eastAsia="fr-FR"/>
        </w:rPr>
        <w:t>périodiquement au moins tous les six ans; et</w:t>
      </w:r>
    </w:p>
    <w:p w:rsidR="005818C6" w:rsidRDefault="005818C6" w:rsidP="00C36D9E">
      <w:pPr>
        <w:suppressAutoHyphens w:val="0"/>
        <w:autoSpaceDE w:val="0"/>
        <w:autoSpaceDN w:val="0"/>
        <w:adjustRightInd w:val="0"/>
        <w:spacing w:after="120" w:line="240" w:lineRule="auto"/>
        <w:ind w:left="1701"/>
        <w:rPr>
          <w:lang w:val="fr-FR" w:eastAsia="fr-BE"/>
        </w:rPr>
      </w:pPr>
      <w:r w:rsidRPr="004B795D">
        <w:rPr>
          <w:lang w:val="fr-FR" w:eastAsia="fr-BE"/>
        </w:rPr>
        <w:t>c)</w:t>
      </w:r>
      <w:r w:rsidRPr="004B795D">
        <w:rPr>
          <w:lang w:val="fr-FR" w:eastAsia="fr-BE"/>
        </w:rPr>
        <w:tab/>
      </w:r>
      <w:r w:rsidRPr="004B795D">
        <w:rPr>
          <w:lang w:val="fr-FR" w:eastAsia="fr-FR"/>
        </w:rPr>
        <w:t>chaque fois que l</w:t>
      </w:r>
      <w:r w:rsidR="002224A1" w:rsidRPr="004B795D">
        <w:rPr>
          <w:lang w:val="fr-FR" w:eastAsia="fr-FR"/>
        </w:rPr>
        <w:t>’</w:t>
      </w:r>
      <w:r w:rsidRPr="004B795D">
        <w:rPr>
          <w:lang w:val="fr-FR" w:eastAsia="fr-FR"/>
        </w:rPr>
        <w:t>autorité compétente le requiert</w:t>
      </w:r>
      <w:r w:rsidRPr="004B795D">
        <w:rPr>
          <w:lang w:val="fr-FR" w:eastAsia="fr-BE"/>
        </w:rPr>
        <w:t>.</w:t>
      </w:r>
    </w:p>
    <w:p w:rsidR="00AA21F1" w:rsidRPr="00030709" w:rsidRDefault="00374140" w:rsidP="00AA21F1">
      <w:pPr>
        <w:pStyle w:val="SingleTxtG"/>
        <w:rPr>
          <w:b/>
          <w:u w:val="single"/>
          <w:lang w:val="fr-FR" w:eastAsia="fr-FR"/>
        </w:rPr>
      </w:pPr>
      <w:r w:rsidRPr="00AA21F1">
        <w:rPr>
          <w:lang w:eastAsia="fr-FR"/>
        </w:rPr>
        <w:t xml:space="preserve">Sauf dans les cas prévus aux sections 5 et 6 de l'appendice 2 de la présente annexe, le contrôle aura lieu dans une station d'essais désignée ou agréée par l'autorité compétente du pays dans lequel l'engin est immatriculé ou </w:t>
      </w:r>
      <w:r w:rsidR="00805F4E">
        <w:rPr>
          <w:strike/>
          <w:lang w:eastAsia="fr-FR"/>
        </w:rPr>
        <w:t xml:space="preserve">enregistré </w:t>
      </w:r>
      <w:r w:rsidR="00805F4E" w:rsidRPr="00805F4E">
        <w:rPr>
          <w:b/>
          <w:strike/>
          <w:lang w:eastAsia="fr-FR"/>
        </w:rPr>
        <w:t>,</w:t>
      </w:r>
      <w:r w:rsidR="00AA21F1" w:rsidRPr="00805F4E">
        <w:rPr>
          <w:b/>
          <w:u w:val="single"/>
          <w:lang w:val="fr-FR" w:eastAsia="fr-FR"/>
        </w:rPr>
        <w:t xml:space="preserve"> </w:t>
      </w:r>
      <w:r w:rsidR="006B1E39" w:rsidRPr="006B1E39">
        <w:rPr>
          <w:b/>
          <w:u w:val="single"/>
          <w:lang w:val="fr-FR" w:eastAsia="fr-FR"/>
        </w:rPr>
        <w:t>par l’autorité compétente du pays dans lequel le propriétaire de l’engin est établi lorsque l’engin ne peut pas être immatriculé et est enregistré</w:t>
      </w:r>
      <w:r w:rsidR="00FC64C0">
        <w:rPr>
          <w:b/>
          <w:u w:val="single"/>
          <w:lang w:val="fr-FR" w:eastAsia="fr-FR"/>
        </w:rPr>
        <w:t>.</w:t>
      </w:r>
    </w:p>
    <w:p w:rsidR="00374140" w:rsidRPr="00AA21F1" w:rsidRDefault="00895B9C" w:rsidP="00C36D9E">
      <w:pPr>
        <w:pStyle w:val="SingleTxtG"/>
        <w:rPr>
          <w:lang w:val="fr-FR" w:eastAsia="fr-FR"/>
        </w:rPr>
      </w:pPr>
      <w:r w:rsidRPr="00895B9C">
        <w:rPr>
          <w:b/>
          <w:u w:val="single"/>
          <w:lang w:eastAsia="fr-FR"/>
        </w:rPr>
        <w:t>Ce contrôle doit être effectué,</w:t>
      </w:r>
      <w:r w:rsidRPr="00895B9C">
        <w:rPr>
          <w:lang w:eastAsia="fr-FR"/>
        </w:rPr>
        <w:t xml:space="preserve"> </w:t>
      </w:r>
      <w:r w:rsidR="00374140" w:rsidRPr="00AA21F1">
        <w:rPr>
          <w:lang w:eastAsia="fr-FR"/>
        </w:rPr>
        <w:t>à moins que, s'agissant du contrôle visé à l'alinéa a) ci-dessus, il n'ait déjà été effectué sur l'engin lui-même ou sur son prototype dans une station d'essais désignée ou agréée par l'autorité compétente du pays dans lequel l'engin a été fabriqué.</w:t>
      </w:r>
      <w:r w:rsidR="00413637">
        <w:rPr>
          <w:lang w:eastAsia="fr-FR"/>
        </w:rPr>
        <w:t> »</w:t>
      </w:r>
    </w:p>
    <w:p w:rsidR="005818C6" w:rsidRPr="00EF16CA" w:rsidRDefault="0037078C" w:rsidP="00EE03F7">
      <w:pPr>
        <w:pStyle w:val="SingleTxtG"/>
        <w:numPr>
          <w:ilvl w:val="0"/>
          <w:numId w:val="13"/>
        </w:numPr>
        <w:ind w:left="2127" w:hanging="284"/>
        <w:rPr>
          <w:b/>
          <w:lang w:val="fr-FR"/>
        </w:rPr>
      </w:pPr>
      <w:r w:rsidRPr="00EF16CA">
        <w:rPr>
          <w:b/>
          <w:u w:val="single"/>
          <w:lang w:val="fr-FR"/>
        </w:rPr>
        <w:t>Paragraphe </w:t>
      </w:r>
      <w:r w:rsidR="005818C6" w:rsidRPr="00EF16CA">
        <w:rPr>
          <w:b/>
          <w:u w:val="single"/>
          <w:lang w:val="fr-FR"/>
        </w:rPr>
        <w:t>3 de l</w:t>
      </w:r>
      <w:r w:rsidR="002224A1" w:rsidRPr="00EF16CA">
        <w:rPr>
          <w:b/>
          <w:u w:val="single"/>
          <w:lang w:val="fr-FR"/>
        </w:rPr>
        <w:t>’</w:t>
      </w:r>
      <w:r w:rsidRPr="00EF16CA">
        <w:rPr>
          <w:b/>
          <w:u w:val="single"/>
          <w:lang w:val="fr-FR"/>
        </w:rPr>
        <w:t>appendice </w:t>
      </w:r>
      <w:r w:rsidR="005818C6" w:rsidRPr="00EF16CA">
        <w:rPr>
          <w:b/>
          <w:u w:val="single"/>
          <w:lang w:val="fr-FR"/>
        </w:rPr>
        <w:t>1 de l</w:t>
      </w:r>
      <w:r w:rsidR="002224A1" w:rsidRPr="00EF16CA">
        <w:rPr>
          <w:b/>
          <w:u w:val="single"/>
          <w:lang w:val="fr-FR"/>
        </w:rPr>
        <w:t>’</w:t>
      </w:r>
      <w:r w:rsidRPr="00EF16CA">
        <w:rPr>
          <w:b/>
          <w:u w:val="single"/>
          <w:lang w:val="fr-FR"/>
        </w:rPr>
        <w:t>annexe </w:t>
      </w:r>
      <w:r w:rsidR="005818C6" w:rsidRPr="00EF16CA">
        <w:rPr>
          <w:b/>
          <w:u w:val="single"/>
          <w:lang w:val="fr-FR"/>
        </w:rPr>
        <w:t>1</w:t>
      </w:r>
      <w:bookmarkStart w:id="3" w:name="OLE_LINK15"/>
      <w:bookmarkStart w:id="4" w:name="OLE_LINK16"/>
    </w:p>
    <w:p w:rsidR="00F3528A" w:rsidRDefault="00F3528A" w:rsidP="005818C6">
      <w:pPr>
        <w:pStyle w:val="SingleTxtG"/>
        <w:rPr>
          <w:lang w:val="fr-FR"/>
        </w:rPr>
      </w:pPr>
      <w:r>
        <w:rPr>
          <w:lang w:val="fr-FR"/>
        </w:rPr>
        <w:t>La modification suivante est sollicitée :</w:t>
      </w:r>
    </w:p>
    <w:p w:rsidR="00506CD4" w:rsidRPr="004B795D" w:rsidRDefault="004B27A6" w:rsidP="005818C6">
      <w:pPr>
        <w:pStyle w:val="SingleTxtG"/>
        <w:rPr>
          <w:lang w:val="fr-FR"/>
        </w:rPr>
      </w:pPr>
      <w:r w:rsidRPr="004B795D">
        <w:rPr>
          <w:lang w:val="fr-FR"/>
        </w:rPr>
        <w:t>«</w:t>
      </w:r>
      <w:r w:rsidR="00F3528A">
        <w:rPr>
          <w:lang w:val="fr-FR"/>
        </w:rPr>
        <w:t>3.</w:t>
      </w:r>
      <w:r w:rsidR="00734316">
        <w:rPr>
          <w:lang w:val="fr-FR"/>
        </w:rPr>
        <w:tab/>
      </w:r>
      <w:r w:rsidR="00F3528A">
        <w:rPr>
          <w:lang w:val="fr-FR"/>
        </w:rPr>
        <w:t xml:space="preserve"> </w:t>
      </w:r>
      <w:r w:rsidR="00506CD4" w:rsidRPr="00506CD4">
        <w:t xml:space="preserve">Une attestation de conformité aux normes sera délivrée par l’autorité compétente du pays dans lequel l’engin doit être immatriculé ou </w:t>
      </w:r>
      <w:r w:rsidR="00C33FAA">
        <w:rPr>
          <w:strike/>
        </w:rPr>
        <w:t xml:space="preserve">enregistré. </w:t>
      </w:r>
      <w:proofErr w:type="gramStart"/>
      <w:r w:rsidR="00C33FAA" w:rsidRPr="000E3781">
        <w:rPr>
          <w:b/>
          <w:u w:val="single"/>
        </w:rPr>
        <w:t>par</w:t>
      </w:r>
      <w:proofErr w:type="gramEnd"/>
      <w:r w:rsidR="00C33FAA" w:rsidRPr="000E3781">
        <w:rPr>
          <w:b/>
          <w:u w:val="single"/>
        </w:rPr>
        <w:t xml:space="preserve"> l’autorité compétente du pays dans lequel le propriétaire de l’engin est établi </w:t>
      </w:r>
      <w:r w:rsidR="00C33FAA" w:rsidRPr="000E3781">
        <w:rPr>
          <w:b/>
          <w:u w:val="single"/>
          <w:lang w:val="fr-FR" w:eastAsia="fr-FR"/>
        </w:rPr>
        <w:t>lorsque l’engin</w:t>
      </w:r>
      <w:r w:rsidR="00506CD4" w:rsidRPr="000E3781">
        <w:rPr>
          <w:b/>
          <w:u w:val="single"/>
          <w:lang w:val="fr-FR" w:eastAsia="fr-FR"/>
        </w:rPr>
        <w:t xml:space="preserve"> ne peut pas être immatriculé</w:t>
      </w:r>
      <w:r w:rsidR="00C33FAA" w:rsidRPr="000E3781">
        <w:rPr>
          <w:b/>
          <w:u w:val="single"/>
          <w:lang w:val="fr-FR" w:eastAsia="fr-FR"/>
        </w:rPr>
        <w:t xml:space="preserve"> et est</w:t>
      </w:r>
      <w:r w:rsidR="00506CD4" w:rsidRPr="000E3781">
        <w:rPr>
          <w:b/>
          <w:u w:val="single"/>
          <w:lang w:val="fr-FR" w:eastAsia="fr-FR"/>
        </w:rPr>
        <w:t xml:space="preserve"> enregistré</w:t>
      </w:r>
      <w:r w:rsidR="00C33FAA" w:rsidRPr="000E3781">
        <w:rPr>
          <w:b/>
          <w:u w:val="single"/>
          <w:lang w:val="fr-FR" w:eastAsia="fr-FR"/>
        </w:rPr>
        <w:t>.</w:t>
      </w:r>
      <w:r w:rsidR="00506CD4" w:rsidRPr="000E3781">
        <w:rPr>
          <w:b/>
          <w:u w:val="single"/>
        </w:rPr>
        <w:t xml:space="preserve"> </w:t>
      </w:r>
      <w:r w:rsidR="00506CD4" w:rsidRPr="00C33FAA">
        <w:t>Cette attestation devra être</w:t>
      </w:r>
      <w:r w:rsidR="00506CD4" w:rsidRPr="00506CD4">
        <w:t xml:space="preserve"> conforme au modèle reproduit à l’appendice 3 de la présente annexe.</w:t>
      </w:r>
    </w:p>
    <w:p w:rsidR="005818C6" w:rsidRPr="004B795D" w:rsidRDefault="005818C6" w:rsidP="005818C6">
      <w:pPr>
        <w:pStyle w:val="SingleTxtG"/>
        <w:rPr>
          <w:lang w:val="fr-FR" w:eastAsia="fr-FR"/>
        </w:rPr>
      </w:pPr>
      <w:r w:rsidRPr="004B795D">
        <w:rPr>
          <w:lang w:val="fr-FR" w:eastAsia="fr-FR"/>
        </w:rPr>
        <w:t>L</w:t>
      </w:r>
      <w:r w:rsidR="002224A1" w:rsidRPr="004B795D">
        <w:rPr>
          <w:lang w:val="fr-FR" w:eastAsia="fr-FR"/>
        </w:rPr>
        <w:t>’</w:t>
      </w:r>
      <w:r w:rsidRPr="004B795D">
        <w:rPr>
          <w:lang w:val="fr-FR" w:eastAsia="fr-FR"/>
        </w:rPr>
        <w:t xml:space="preserve">attestation de conformité </w:t>
      </w:r>
      <w:r w:rsidR="00734316">
        <w:rPr>
          <w:lang w:val="fr-FR" w:eastAsia="fr-FR"/>
        </w:rPr>
        <w:t>sera</w:t>
      </w:r>
      <w:r w:rsidRPr="004B795D">
        <w:rPr>
          <w:lang w:val="fr-FR" w:eastAsia="fr-FR"/>
        </w:rPr>
        <w:t xml:space="preserve"> </w:t>
      </w:r>
      <w:r w:rsidRPr="004B795D">
        <w:t>à bord de l</w:t>
      </w:r>
      <w:r w:rsidR="002224A1" w:rsidRPr="004B795D">
        <w:t>’</w:t>
      </w:r>
      <w:r w:rsidRPr="004B795D">
        <w:t xml:space="preserve">engin au cours du transport et </w:t>
      </w:r>
      <w:r w:rsidR="00734316">
        <w:t xml:space="preserve">sera </w:t>
      </w:r>
      <w:r w:rsidRPr="004B795D">
        <w:t>présentée à toute réquisition des agents chargés du contrôle. Toutefois, si une plaque d</w:t>
      </w:r>
      <w:r w:rsidR="002224A1" w:rsidRPr="004B795D">
        <w:t>’</w:t>
      </w:r>
      <w:r w:rsidRPr="004B795D">
        <w:t>attestation de conformité identique à celle qui est reproduite à l</w:t>
      </w:r>
      <w:r w:rsidR="002224A1" w:rsidRPr="004B795D">
        <w:t>’</w:t>
      </w:r>
      <w:r w:rsidR="009D6620" w:rsidRPr="004B795D">
        <w:t>appendice </w:t>
      </w:r>
      <w:r w:rsidRPr="004B795D">
        <w:t>3 de la présente annexe est apposée sur l</w:t>
      </w:r>
      <w:r w:rsidR="002224A1" w:rsidRPr="004B795D">
        <w:t>’</w:t>
      </w:r>
      <w:r w:rsidRPr="004B795D">
        <w:t>engin, elle sera acceptée au même titre qu</w:t>
      </w:r>
      <w:r w:rsidR="002224A1" w:rsidRPr="004B795D">
        <w:t>’</w:t>
      </w:r>
      <w:r w:rsidRPr="004B795D">
        <w:t>une attestation de conformité. Une plaque d</w:t>
      </w:r>
      <w:r w:rsidR="002224A1" w:rsidRPr="004B795D">
        <w:t>’</w:t>
      </w:r>
      <w:r w:rsidRPr="004B795D">
        <w:t>attestation ne pourra être apposée sur l</w:t>
      </w:r>
      <w:r w:rsidR="002224A1" w:rsidRPr="004B795D">
        <w:t>’</w:t>
      </w:r>
      <w:r w:rsidRPr="004B795D">
        <w:t xml:space="preserve">engin que </w:t>
      </w:r>
      <w:r w:rsidR="00E5165D">
        <w:t>lorsqu'il existe u</w:t>
      </w:r>
      <w:r w:rsidRPr="004B795D">
        <w:t xml:space="preserve">ne attestation de conformité </w:t>
      </w:r>
      <w:r w:rsidR="00E5165D">
        <w:t>valable</w:t>
      </w:r>
      <w:r w:rsidRPr="004B795D">
        <w:rPr>
          <w:lang w:val="fr-FR" w:eastAsia="fr-FR"/>
        </w:rPr>
        <w:t xml:space="preserve">. </w:t>
      </w:r>
      <w:r w:rsidRPr="004B795D">
        <w:t>Les plaques d</w:t>
      </w:r>
      <w:r w:rsidR="002224A1" w:rsidRPr="004B795D">
        <w:t>’</w:t>
      </w:r>
      <w:r w:rsidRPr="004B795D">
        <w:t>attestation de conformité seront déposées dès que l</w:t>
      </w:r>
      <w:r w:rsidR="002224A1" w:rsidRPr="004B795D">
        <w:t>’</w:t>
      </w:r>
      <w:r w:rsidRPr="004B795D">
        <w:t>engin cessera d</w:t>
      </w:r>
      <w:r w:rsidR="002224A1" w:rsidRPr="004B795D">
        <w:t>’</w:t>
      </w:r>
      <w:r w:rsidRPr="004B795D">
        <w:t>être conforme aux normes prescrites dans la présente annexe.</w:t>
      </w:r>
    </w:p>
    <w:p w:rsidR="005818C6" w:rsidRPr="004B795D" w:rsidRDefault="005818C6" w:rsidP="004B27A6">
      <w:pPr>
        <w:pStyle w:val="SingleTxtG"/>
        <w:keepNext/>
        <w:rPr>
          <w:lang w:val="fr-FR" w:eastAsia="da-DK"/>
        </w:rPr>
      </w:pPr>
      <w:r w:rsidRPr="00716F7B">
        <w:t>Si l</w:t>
      </w:r>
      <w:r w:rsidR="002224A1" w:rsidRPr="00716F7B">
        <w:t>’</w:t>
      </w:r>
      <w:r w:rsidRPr="00716F7B">
        <w:t xml:space="preserve">engin est transféré dans un autre pays qui est </w:t>
      </w:r>
      <w:r w:rsidR="00E5165D">
        <w:t>P</w:t>
      </w:r>
      <w:r w:rsidRPr="00716F7B">
        <w:t>artie contractante à l</w:t>
      </w:r>
      <w:r w:rsidR="002224A1" w:rsidRPr="00716F7B">
        <w:t>’</w:t>
      </w:r>
      <w:r w:rsidRPr="00716F7B">
        <w:t xml:space="preserve">ATP, il </w:t>
      </w:r>
      <w:r w:rsidR="00716F7B" w:rsidRPr="00716F7B">
        <w:t>sera</w:t>
      </w:r>
      <w:r w:rsidRPr="00716F7B">
        <w:t xml:space="preserve"> accompagné des documents ci-après, afin que l</w:t>
      </w:r>
      <w:r w:rsidR="002224A1" w:rsidRPr="00716F7B">
        <w:t>’</w:t>
      </w:r>
      <w:r w:rsidRPr="00716F7B">
        <w:t xml:space="preserve">autorité compétente du pays dans lequel il sera immatriculé </w:t>
      </w:r>
      <w:r w:rsidR="00E5165D" w:rsidRPr="00E5165D">
        <w:rPr>
          <w:strike/>
        </w:rPr>
        <w:t xml:space="preserve">ou </w:t>
      </w:r>
      <w:r w:rsidR="00E5165D">
        <w:rPr>
          <w:strike/>
        </w:rPr>
        <w:t>enregistré</w:t>
      </w:r>
      <w:r w:rsidR="00E5165D" w:rsidRPr="00716F7B">
        <w:t xml:space="preserve"> </w:t>
      </w:r>
      <w:r w:rsidR="000442BF" w:rsidRPr="00716F7B">
        <w:t xml:space="preserve">puisse délivrer une attestation de conformité. </w:t>
      </w:r>
      <w:r w:rsidR="000442BF" w:rsidRPr="00716F7B">
        <w:rPr>
          <w:b/>
          <w:u w:val="single"/>
          <w:lang w:val="fr-FR" w:eastAsia="fr-FR"/>
        </w:rPr>
        <w:t>Lorsque l’engin ne peut pas être immatriculé, cette attestation de conformité sera délivrée par l’autorité compétente du pays dans lequel le propriétaire de l'engin enregistré est établi</w:t>
      </w:r>
      <w:r w:rsidR="0053693F" w:rsidRPr="00716F7B">
        <w:rPr>
          <w:b/>
          <w:u w:val="single"/>
          <w:lang w:val="fr-FR" w:eastAsia="fr-FR"/>
        </w:rPr>
        <w:t>.</w:t>
      </w:r>
    </w:p>
    <w:p w:rsidR="005818C6" w:rsidRPr="004B795D" w:rsidRDefault="005818C6" w:rsidP="005818C6">
      <w:pPr>
        <w:pStyle w:val="SingleTxtG"/>
        <w:ind w:firstLine="567"/>
        <w:rPr>
          <w:lang w:val="fr-FR" w:eastAsia="da-DK"/>
        </w:rPr>
      </w:pPr>
      <w:r w:rsidRPr="004B795D">
        <w:rPr>
          <w:lang w:val="fr-FR"/>
        </w:rPr>
        <w:t>a)</w:t>
      </w:r>
      <w:r w:rsidRPr="004B795D">
        <w:rPr>
          <w:lang w:val="fr-FR"/>
        </w:rPr>
        <w:tab/>
      </w:r>
      <w:r w:rsidR="00A64535">
        <w:rPr>
          <w:lang w:val="fr-FR" w:eastAsia="fr-FR"/>
        </w:rPr>
        <w:t>dans tous les cas le procès-</w:t>
      </w:r>
      <w:r w:rsidRPr="004B795D">
        <w:rPr>
          <w:lang w:val="fr-FR" w:eastAsia="fr-FR"/>
        </w:rPr>
        <w:t>verbal d</w:t>
      </w:r>
      <w:r w:rsidR="002224A1" w:rsidRPr="004B795D">
        <w:rPr>
          <w:lang w:val="fr-FR" w:eastAsia="fr-FR"/>
        </w:rPr>
        <w:t>’</w:t>
      </w:r>
      <w:r w:rsidRPr="004B795D">
        <w:rPr>
          <w:lang w:val="fr-FR" w:eastAsia="fr-FR"/>
        </w:rPr>
        <w:t>essai de l</w:t>
      </w:r>
      <w:r w:rsidR="002224A1" w:rsidRPr="004B795D">
        <w:rPr>
          <w:lang w:val="fr-FR" w:eastAsia="fr-FR"/>
        </w:rPr>
        <w:t>’</w:t>
      </w:r>
      <w:r w:rsidRPr="004B795D">
        <w:rPr>
          <w:lang w:val="fr-FR" w:eastAsia="fr-FR"/>
        </w:rPr>
        <w:t>engin lui-même ou, s</w:t>
      </w:r>
      <w:r w:rsidR="002224A1" w:rsidRPr="004B795D">
        <w:rPr>
          <w:lang w:val="fr-FR" w:eastAsia="fr-FR"/>
        </w:rPr>
        <w:t>’</w:t>
      </w:r>
      <w:r w:rsidRPr="004B795D">
        <w:rPr>
          <w:lang w:val="fr-FR" w:eastAsia="fr-FR"/>
        </w:rPr>
        <w:t>il s</w:t>
      </w:r>
      <w:r w:rsidR="002224A1" w:rsidRPr="004B795D">
        <w:rPr>
          <w:lang w:val="fr-FR" w:eastAsia="fr-FR"/>
        </w:rPr>
        <w:t>’</w:t>
      </w:r>
      <w:r w:rsidRPr="004B795D">
        <w:rPr>
          <w:lang w:val="fr-FR" w:eastAsia="fr-FR"/>
        </w:rPr>
        <w:t>agit d</w:t>
      </w:r>
      <w:r w:rsidR="002224A1" w:rsidRPr="004B795D">
        <w:rPr>
          <w:lang w:val="fr-FR" w:eastAsia="fr-FR"/>
        </w:rPr>
        <w:t>’</w:t>
      </w:r>
      <w:r w:rsidRPr="004B795D">
        <w:rPr>
          <w:lang w:val="fr-FR" w:eastAsia="fr-FR"/>
        </w:rPr>
        <w:t>un engin fabriqué en série, de l</w:t>
      </w:r>
      <w:r w:rsidR="002224A1" w:rsidRPr="004B795D">
        <w:rPr>
          <w:lang w:val="fr-FR" w:eastAsia="fr-FR"/>
        </w:rPr>
        <w:t>’</w:t>
      </w:r>
      <w:r w:rsidRPr="004B795D">
        <w:rPr>
          <w:lang w:val="fr-FR" w:eastAsia="fr-FR"/>
        </w:rPr>
        <w:t>engin de référence;</w:t>
      </w:r>
    </w:p>
    <w:p w:rsidR="005818C6" w:rsidRPr="004B795D" w:rsidRDefault="005818C6" w:rsidP="005818C6">
      <w:pPr>
        <w:pStyle w:val="SingleTxtG"/>
        <w:ind w:firstLine="567"/>
        <w:rPr>
          <w:lang w:val="fr-FR" w:eastAsia="da-DK"/>
        </w:rPr>
      </w:pPr>
      <w:r w:rsidRPr="004B795D">
        <w:rPr>
          <w:lang w:val="fr-FR"/>
        </w:rPr>
        <w:t>b)</w:t>
      </w:r>
      <w:r w:rsidRPr="004B795D">
        <w:rPr>
          <w:lang w:val="fr-FR"/>
        </w:rPr>
        <w:tab/>
      </w:r>
      <w:r w:rsidRPr="004B795D">
        <w:rPr>
          <w:lang w:val="fr-FR" w:eastAsia="fr-FR"/>
        </w:rPr>
        <w:t>dans tous les cas l</w:t>
      </w:r>
      <w:r w:rsidR="002224A1" w:rsidRPr="004B795D">
        <w:rPr>
          <w:lang w:val="fr-FR" w:eastAsia="fr-FR"/>
        </w:rPr>
        <w:t>’</w:t>
      </w:r>
      <w:r w:rsidRPr="004B795D">
        <w:rPr>
          <w:lang w:val="fr-FR" w:eastAsia="fr-FR"/>
        </w:rPr>
        <w:t>attestation de conformité délivrée par l</w:t>
      </w:r>
      <w:r w:rsidR="002224A1" w:rsidRPr="004B795D">
        <w:rPr>
          <w:lang w:val="fr-FR" w:eastAsia="fr-FR"/>
        </w:rPr>
        <w:t>’</w:t>
      </w:r>
      <w:r w:rsidRPr="004B795D">
        <w:rPr>
          <w:lang w:val="fr-FR" w:eastAsia="fr-FR"/>
        </w:rPr>
        <w:t>autorité compétente du pays de fabrication ou, s</w:t>
      </w:r>
      <w:r w:rsidR="002224A1" w:rsidRPr="004B795D">
        <w:rPr>
          <w:lang w:val="fr-FR" w:eastAsia="fr-FR"/>
        </w:rPr>
        <w:t>’</w:t>
      </w:r>
      <w:r w:rsidRPr="004B795D">
        <w:rPr>
          <w:lang w:val="fr-FR" w:eastAsia="fr-FR"/>
        </w:rPr>
        <w:t>il s</w:t>
      </w:r>
      <w:r w:rsidR="002224A1" w:rsidRPr="004B795D">
        <w:rPr>
          <w:lang w:val="fr-FR" w:eastAsia="fr-FR"/>
        </w:rPr>
        <w:t>’</w:t>
      </w:r>
      <w:r w:rsidRPr="004B795D">
        <w:rPr>
          <w:lang w:val="fr-FR" w:eastAsia="fr-FR"/>
        </w:rPr>
        <w:t>agit d</w:t>
      </w:r>
      <w:r w:rsidR="002224A1" w:rsidRPr="004B795D">
        <w:rPr>
          <w:lang w:val="fr-FR" w:eastAsia="fr-FR"/>
        </w:rPr>
        <w:t>’</w:t>
      </w:r>
      <w:r w:rsidRPr="004B795D">
        <w:rPr>
          <w:lang w:val="fr-FR" w:eastAsia="fr-FR"/>
        </w:rPr>
        <w:t>engins en service, l</w:t>
      </w:r>
      <w:r w:rsidR="002224A1" w:rsidRPr="004B795D">
        <w:rPr>
          <w:lang w:val="fr-FR" w:eastAsia="fr-FR"/>
        </w:rPr>
        <w:t>’</w:t>
      </w:r>
      <w:r w:rsidRPr="004B795D">
        <w:rPr>
          <w:lang w:val="fr-FR" w:eastAsia="fr-FR"/>
        </w:rPr>
        <w:t>autorité compétente du pays d</w:t>
      </w:r>
      <w:r w:rsidR="002224A1" w:rsidRPr="004B795D">
        <w:rPr>
          <w:lang w:val="fr-FR" w:eastAsia="fr-FR"/>
        </w:rPr>
        <w:t>’</w:t>
      </w:r>
      <w:r w:rsidRPr="004B795D">
        <w:rPr>
          <w:lang w:val="fr-FR" w:eastAsia="fr-FR"/>
        </w:rPr>
        <w:t xml:space="preserve">immatriculation. Cette attestation </w:t>
      </w:r>
      <w:r w:rsidR="00E5165D">
        <w:rPr>
          <w:lang w:val="fr-FR" w:eastAsia="fr-FR"/>
        </w:rPr>
        <w:t>sera</w:t>
      </w:r>
      <w:r w:rsidRPr="004B795D">
        <w:rPr>
          <w:lang w:val="fr-FR" w:eastAsia="fr-FR"/>
        </w:rPr>
        <w:t xml:space="preserve"> traitée comme une attestation provisoire, si nécessaire, valable pour </w:t>
      </w:r>
      <w:r w:rsidRPr="0053693F">
        <w:rPr>
          <w:lang w:val="fr-FR" w:eastAsia="fr-FR"/>
        </w:rPr>
        <w:t>six mois au maximum</w:t>
      </w:r>
      <w:r w:rsidRPr="004B795D">
        <w:rPr>
          <w:lang w:val="fr-FR" w:eastAsia="fr-FR"/>
        </w:rPr>
        <w:t>;</w:t>
      </w:r>
    </w:p>
    <w:p w:rsidR="005818C6" w:rsidRPr="004B795D" w:rsidRDefault="005818C6" w:rsidP="009D6620">
      <w:pPr>
        <w:pStyle w:val="SingleTxtG"/>
        <w:keepNext/>
        <w:keepLines/>
        <w:ind w:firstLine="567"/>
        <w:rPr>
          <w:lang w:val="fr-FR" w:eastAsia="da-DK"/>
        </w:rPr>
      </w:pPr>
      <w:r w:rsidRPr="004B795D">
        <w:rPr>
          <w:lang w:val="fr-FR"/>
        </w:rPr>
        <w:lastRenderedPageBreak/>
        <w:t>c)</w:t>
      </w:r>
      <w:r w:rsidRPr="004B795D">
        <w:rPr>
          <w:lang w:val="fr-FR"/>
        </w:rPr>
        <w:tab/>
      </w:r>
      <w:r w:rsidRPr="004B795D">
        <w:rPr>
          <w:lang w:val="fr-FR" w:eastAsia="fr-FR"/>
        </w:rPr>
        <w:t>s</w:t>
      </w:r>
      <w:r w:rsidR="002224A1" w:rsidRPr="004B795D">
        <w:rPr>
          <w:lang w:val="fr-FR" w:eastAsia="fr-FR"/>
        </w:rPr>
        <w:t>’</w:t>
      </w:r>
      <w:r w:rsidRPr="004B795D">
        <w:rPr>
          <w:lang w:val="fr-FR" w:eastAsia="fr-FR"/>
        </w:rPr>
        <w:t>il s</w:t>
      </w:r>
      <w:r w:rsidR="002224A1" w:rsidRPr="004B795D">
        <w:rPr>
          <w:lang w:val="fr-FR" w:eastAsia="fr-FR"/>
        </w:rPr>
        <w:t>’</w:t>
      </w:r>
      <w:r w:rsidRPr="004B795D">
        <w:rPr>
          <w:lang w:val="fr-FR" w:eastAsia="fr-FR"/>
        </w:rPr>
        <w:t>agit d</w:t>
      </w:r>
      <w:r w:rsidR="002224A1" w:rsidRPr="004B795D">
        <w:rPr>
          <w:lang w:val="fr-FR" w:eastAsia="fr-FR"/>
        </w:rPr>
        <w:t>’</w:t>
      </w:r>
      <w:r w:rsidRPr="004B795D">
        <w:rPr>
          <w:lang w:val="fr-FR" w:eastAsia="fr-FR"/>
        </w:rPr>
        <w:t>un engin fabriqué en série, la fiche des spécifications techniques de l</w:t>
      </w:r>
      <w:r w:rsidR="002224A1" w:rsidRPr="004B795D">
        <w:rPr>
          <w:lang w:val="fr-FR" w:eastAsia="fr-FR"/>
        </w:rPr>
        <w:t>’</w:t>
      </w:r>
      <w:r w:rsidRPr="004B795D">
        <w:rPr>
          <w:lang w:val="fr-FR" w:eastAsia="fr-FR"/>
        </w:rPr>
        <w:t>engin pour lequel il y a lieu d</w:t>
      </w:r>
      <w:r w:rsidR="002224A1" w:rsidRPr="004B795D">
        <w:rPr>
          <w:lang w:val="fr-FR" w:eastAsia="fr-FR"/>
        </w:rPr>
        <w:t>’</w:t>
      </w:r>
      <w:r w:rsidRPr="004B795D">
        <w:rPr>
          <w:lang w:val="fr-FR" w:eastAsia="fr-FR"/>
        </w:rPr>
        <w:t>établir l</w:t>
      </w:r>
      <w:r w:rsidR="002224A1" w:rsidRPr="004B795D">
        <w:rPr>
          <w:lang w:val="fr-FR" w:eastAsia="fr-FR"/>
        </w:rPr>
        <w:t>’</w:t>
      </w:r>
      <w:r w:rsidRPr="004B795D">
        <w:rPr>
          <w:lang w:val="fr-FR" w:eastAsia="fr-FR"/>
        </w:rPr>
        <w:t>attestation, délivrée par le constructeur de l</w:t>
      </w:r>
      <w:r w:rsidR="002224A1" w:rsidRPr="004B795D">
        <w:rPr>
          <w:lang w:val="fr-FR" w:eastAsia="fr-FR"/>
        </w:rPr>
        <w:t>’</w:t>
      </w:r>
      <w:r w:rsidRPr="004B795D">
        <w:rPr>
          <w:lang w:val="fr-FR" w:eastAsia="fr-FR"/>
        </w:rPr>
        <w:t>engin ou son représentant dûment accrédité (ces spécifications devront porter sur les mêmes éléments que les pages descriptives relatives à l</w:t>
      </w:r>
      <w:r w:rsidR="002224A1" w:rsidRPr="004B795D">
        <w:rPr>
          <w:lang w:val="fr-FR" w:eastAsia="fr-FR"/>
        </w:rPr>
        <w:t>’</w:t>
      </w:r>
      <w:r w:rsidRPr="004B795D">
        <w:rPr>
          <w:lang w:val="fr-FR" w:eastAsia="fr-FR"/>
        </w:rPr>
        <w:t>en</w:t>
      </w:r>
      <w:r w:rsidR="00A52BAD">
        <w:rPr>
          <w:lang w:val="fr-FR" w:eastAsia="fr-FR"/>
        </w:rPr>
        <w:t>gin qui figurent dans le procès</w:t>
      </w:r>
      <w:r w:rsidR="00A52BAD">
        <w:rPr>
          <w:lang w:val="fr-FR" w:eastAsia="fr-FR"/>
        </w:rPr>
        <w:noBreakHyphen/>
      </w:r>
      <w:r w:rsidRPr="004B795D">
        <w:rPr>
          <w:lang w:val="fr-FR" w:eastAsia="fr-FR"/>
        </w:rPr>
        <w:t>verbal d</w:t>
      </w:r>
      <w:r w:rsidR="002224A1" w:rsidRPr="004B795D">
        <w:rPr>
          <w:lang w:val="fr-FR" w:eastAsia="fr-FR"/>
        </w:rPr>
        <w:t>’</w:t>
      </w:r>
      <w:r w:rsidRPr="004B795D">
        <w:rPr>
          <w:lang w:val="fr-FR" w:eastAsia="fr-FR"/>
        </w:rPr>
        <w:t>essai et devront être rédigées dans au moins une des langues officielles).</w:t>
      </w:r>
      <w:bookmarkEnd w:id="1"/>
      <w:bookmarkEnd w:id="2"/>
      <w:bookmarkEnd w:id="3"/>
      <w:bookmarkEnd w:id="4"/>
    </w:p>
    <w:p w:rsidR="002224A1" w:rsidRPr="00020F6A" w:rsidRDefault="005818C6" w:rsidP="005818C6">
      <w:pPr>
        <w:pStyle w:val="SingleTxtG"/>
        <w:rPr>
          <w:b/>
          <w:u w:val="single"/>
          <w:lang w:val="fr-FR"/>
        </w:rPr>
      </w:pPr>
      <w:r w:rsidRPr="00020F6A">
        <w:rPr>
          <w:lang w:val="fr-FR" w:eastAsia="fr-FR"/>
        </w:rPr>
        <w:t>Si l</w:t>
      </w:r>
      <w:r w:rsidR="002224A1" w:rsidRPr="00020F6A">
        <w:rPr>
          <w:lang w:val="fr-FR" w:eastAsia="fr-FR"/>
        </w:rPr>
        <w:t>’</w:t>
      </w:r>
      <w:r w:rsidRPr="00020F6A">
        <w:rPr>
          <w:lang w:val="fr-FR" w:eastAsia="fr-FR"/>
        </w:rPr>
        <w:t>engin transféré avait déjà été mis en service, il peut faire l</w:t>
      </w:r>
      <w:r w:rsidR="002224A1" w:rsidRPr="00020F6A">
        <w:rPr>
          <w:lang w:val="fr-FR" w:eastAsia="fr-FR"/>
        </w:rPr>
        <w:t>’</w:t>
      </w:r>
      <w:r w:rsidRPr="00020F6A">
        <w:rPr>
          <w:lang w:val="fr-FR" w:eastAsia="fr-FR"/>
        </w:rPr>
        <w:t>objet d</w:t>
      </w:r>
      <w:r w:rsidR="002224A1" w:rsidRPr="00020F6A">
        <w:rPr>
          <w:lang w:val="fr-FR" w:eastAsia="fr-FR"/>
        </w:rPr>
        <w:t>’</w:t>
      </w:r>
      <w:r w:rsidRPr="00020F6A">
        <w:rPr>
          <w:lang w:val="fr-FR" w:eastAsia="fr-FR"/>
        </w:rPr>
        <w:t>un examen visuel pour vérifier sa conformité avant que l</w:t>
      </w:r>
      <w:r w:rsidR="002224A1" w:rsidRPr="00020F6A">
        <w:rPr>
          <w:lang w:val="fr-FR" w:eastAsia="fr-FR"/>
        </w:rPr>
        <w:t>’</w:t>
      </w:r>
      <w:r w:rsidRPr="00020F6A">
        <w:rPr>
          <w:lang w:val="fr-FR" w:eastAsia="fr-FR"/>
        </w:rPr>
        <w:t>autorité compétente du pays</w:t>
      </w:r>
      <w:r w:rsidR="00064B0C" w:rsidRPr="00020F6A">
        <w:rPr>
          <w:lang w:val="fr-FR" w:eastAsia="fr-FR"/>
        </w:rPr>
        <w:t>,</w:t>
      </w:r>
      <w:r w:rsidRPr="00020F6A">
        <w:rPr>
          <w:lang w:val="fr-FR" w:eastAsia="fr-FR"/>
        </w:rPr>
        <w:t xml:space="preserve"> dans lequel il doit être immatriculé</w:t>
      </w:r>
      <w:r w:rsidR="00734316" w:rsidRPr="00734316">
        <w:rPr>
          <w:strike/>
        </w:rPr>
        <w:t xml:space="preserve"> </w:t>
      </w:r>
      <w:r w:rsidR="00734316" w:rsidRPr="00734316">
        <w:rPr>
          <w:strike/>
          <w:lang w:eastAsia="fr-FR"/>
        </w:rPr>
        <w:t>ou enregistré</w:t>
      </w:r>
      <w:r w:rsidR="00064B0C" w:rsidRPr="00020F6A">
        <w:rPr>
          <w:lang w:val="fr-FR" w:eastAsia="fr-FR"/>
        </w:rPr>
        <w:t>,</w:t>
      </w:r>
      <w:r w:rsidRPr="00020F6A">
        <w:rPr>
          <w:lang w:val="fr-FR" w:eastAsia="fr-FR"/>
        </w:rPr>
        <w:t xml:space="preserve"> délivre une attestation de conformité.</w:t>
      </w:r>
      <w:r w:rsidR="00064B0C" w:rsidRPr="00020F6A">
        <w:rPr>
          <w:lang w:val="fr-FR" w:eastAsia="fr-FR"/>
        </w:rPr>
        <w:t xml:space="preserve"> </w:t>
      </w:r>
      <w:r w:rsidR="00064B0C" w:rsidRPr="00020F6A">
        <w:rPr>
          <w:b/>
          <w:u w:val="single"/>
          <w:lang w:val="fr-FR" w:eastAsia="fr-FR"/>
        </w:rPr>
        <w:t>Lorsque l’engin ne peut pas être immatriculé, cet examen visuel pourra être réalisé avant que l’autorité compétente du pays, dans lequel le propriétaire de l'engin enregistré est établi, délivre une attestation de conformité</w:t>
      </w:r>
      <w:r w:rsidRPr="00020F6A">
        <w:rPr>
          <w:b/>
          <w:u w:val="single"/>
          <w:lang w:val="fr-FR" w:eastAsia="fr-FR"/>
        </w:rPr>
        <w:t>.</w:t>
      </w:r>
    </w:p>
    <w:p w:rsidR="00992C3C" w:rsidRPr="00E5165D" w:rsidRDefault="00D45162" w:rsidP="00D45162">
      <w:pPr>
        <w:pStyle w:val="SingleTxtG"/>
        <w:rPr>
          <w:i/>
          <w:lang w:val="fr-FR"/>
        </w:rPr>
      </w:pPr>
      <w:r>
        <w:rPr>
          <w:lang w:val="fr-FR"/>
        </w:rPr>
        <w:t>6.</w:t>
      </w:r>
      <w:r>
        <w:rPr>
          <w:lang w:val="fr-FR"/>
        </w:rPr>
        <w:tab/>
      </w:r>
      <w:r w:rsidR="00992C3C" w:rsidRPr="00E5165D">
        <w:rPr>
          <w:lang w:val="fr-FR"/>
        </w:rPr>
        <w:t>Modification du Manuel ATP</w:t>
      </w:r>
    </w:p>
    <w:p w:rsidR="007A6CB8" w:rsidRPr="00342DB5" w:rsidRDefault="004360F7" w:rsidP="007A6CB8">
      <w:pPr>
        <w:pStyle w:val="SingleTxtG"/>
        <w:rPr>
          <w:lang w:val="fr-FR"/>
        </w:rPr>
      </w:pPr>
      <w:r w:rsidRPr="00342DB5">
        <w:rPr>
          <w:lang w:val="fr-FR"/>
        </w:rPr>
        <w:t xml:space="preserve">La Belgique souhaite insérer une observation </w:t>
      </w:r>
      <w:r w:rsidR="00F5417C" w:rsidRPr="00342DB5">
        <w:rPr>
          <w:lang w:val="fr-FR"/>
        </w:rPr>
        <w:t xml:space="preserve">sous le paragraphe 1 de l’appendice 1 de l’annexe 1. Cette observation </w:t>
      </w:r>
      <w:r w:rsidRPr="00342DB5">
        <w:rPr>
          <w:lang w:val="fr-FR"/>
        </w:rPr>
        <w:t xml:space="preserve">vise à clarifier </w:t>
      </w:r>
      <w:r w:rsidR="00F5417C" w:rsidRPr="00342DB5">
        <w:rPr>
          <w:lang w:val="fr-FR"/>
        </w:rPr>
        <w:t xml:space="preserve">la portée des termes « du pays dans lequel l’engin est immatriculé </w:t>
      </w:r>
      <w:r w:rsidR="00F5417C" w:rsidRPr="00E53E94">
        <w:rPr>
          <w:b/>
          <w:u w:val="single"/>
          <w:lang w:val="fr-FR"/>
        </w:rPr>
        <w:t>ou</w:t>
      </w:r>
      <w:r w:rsidR="00F5417C" w:rsidRPr="007343F2">
        <w:rPr>
          <w:b/>
          <w:lang w:val="fr-FR"/>
        </w:rPr>
        <w:t xml:space="preserve"> </w:t>
      </w:r>
      <w:r w:rsidR="00F5417C" w:rsidRPr="00342DB5">
        <w:rPr>
          <w:lang w:val="fr-FR"/>
        </w:rPr>
        <w:t xml:space="preserve">enregistré ». </w:t>
      </w:r>
    </w:p>
    <w:p w:rsidR="00E5165D" w:rsidRDefault="00E5165D" w:rsidP="007A6CB8">
      <w:pPr>
        <w:pStyle w:val="SingleTxtG"/>
        <w:rPr>
          <w:b/>
          <w:u w:val="single"/>
          <w:lang w:val="fr-FR"/>
        </w:rPr>
      </w:pPr>
      <w:r>
        <w:rPr>
          <w:b/>
          <w:u w:val="single"/>
          <w:lang w:val="fr-FR"/>
        </w:rPr>
        <w:t>«Observation</w:t>
      </w:r>
    </w:p>
    <w:p w:rsidR="00E53E94" w:rsidRDefault="007B68BC" w:rsidP="007A6CB8">
      <w:pPr>
        <w:pStyle w:val="SingleTxtG"/>
        <w:rPr>
          <w:b/>
          <w:u w:val="single"/>
          <w:lang w:val="fr-FR"/>
        </w:rPr>
      </w:pPr>
      <w:r w:rsidRPr="003A24EB">
        <w:rPr>
          <w:b/>
          <w:u w:val="single"/>
          <w:lang w:val="fr-FR"/>
        </w:rPr>
        <w:t>L’application de cette disposition signifie par conséquent que l</w:t>
      </w:r>
      <w:r w:rsidR="001B4493" w:rsidRPr="003A24EB">
        <w:rPr>
          <w:b/>
          <w:u w:val="single"/>
          <w:lang w:val="fr-FR"/>
        </w:rPr>
        <w:t xml:space="preserve">e contrôle doit être effectué dans une station d'essais désignée ou agréée par l'autorité compétente du pays dans lequel l'engin est immatriculé. </w:t>
      </w:r>
      <w:r w:rsidRPr="003A24EB">
        <w:rPr>
          <w:b/>
          <w:u w:val="single"/>
          <w:lang w:val="fr-FR"/>
        </w:rPr>
        <w:t xml:space="preserve">Lorsque l’engin </w:t>
      </w:r>
      <w:r w:rsidR="001B4493" w:rsidRPr="003A24EB">
        <w:rPr>
          <w:b/>
          <w:u w:val="single"/>
          <w:lang w:val="fr-FR"/>
        </w:rPr>
        <w:t>ne peut pas être immatriculé,</w:t>
      </w:r>
      <w:r w:rsidRPr="003A24EB">
        <w:rPr>
          <w:b/>
          <w:u w:val="single"/>
          <w:lang w:val="fr-FR"/>
        </w:rPr>
        <w:t xml:space="preserve"> ce contrôle est effectué dans le pays où l’engin est</w:t>
      </w:r>
      <w:r w:rsidR="001B4493" w:rsidRPr="003A24EB">
        <w:rPr>
          <w:b/>
          <w:u w:val="single"/>
          <w:lang w:val="fr-FR"/>
        </w:rPr>
        <w:t xml:space="preserve"> enregistré</w:t>
      </w:r>
      <w:r w:rsidRPr="003A24EB">
        <w:rPr>
          <w:b/>
          <w:u w:val="single"/>
          <w:lang w:val="fr-FR"/>
        </w:rPr>
        <w:t xml:space="preserve">. </w:t>
      </w:r>
    </w:p>
    <w:p w:rsidR="00E53E94" w:rsidRDefault="00E53E94" w:rsidP="007A6CB8">
      <w:pPr>
        <w:pStyle w:val="SingleTxtG"/>
        <w:rPr>
          <w:b/>
          <w:u w:val="single"/>
          <w:lang w:val="fr-FR"/>
        </w:rPr>
      </w:pPr>
      <w:r w:rsidRPr="00E53E94">
        <w:rPr>
          <w:b/>
          <w:u w:val="single"/>
          <w:lang w:val="fr-FR"/>
        </w:rPr>
        <w:t xml:space="preserve">Le terme « ou » </w:t>
      </w:r>
      <w:r w:rsidR="00E5165D">
        <w:rPr>
          <w:b/>
          <w:u w:val="single"/>
          <w:lang w:val="fr-FR"/>
        </w:rPr>
        <w:t xml:space="preserve">(immatriculé ou enregistré) </w:t>
      </w:r>
      <w:r w:rsidRPr="00E53E94">
        <w:rPr>
          <w:b/>
          <w:u w:val="single"/>
          <w:lang w:val="fr-FR"/>
        </w:rPr>
        <w:t>ne représente donc pas un choix. Il signifie que si la nature de l’engin ne permet pas son immatriculation (exemple: cont</w:t>
      </w:r>
      <w:r w:rsidR="00E5165D">
        <w:rPr>
          <w:b/>
          <w:u w:val="single"/>
          <w:lang w:val="fr-FR"/>
        </w:rPr>
        <w:t>eneur</w:t>
      </w:r>
      <w:r w:rsidRPr="00E53E94">
        <w:rPr>
          <w:b/>
          <w:u w:val="single"/>
          <w:lang w:val="fr-FR"/>
        </w:rPr>
        <w:t>), l’engin est alors enregistré dans le pays où le propriétaire de l’engin est établi.</w:t>
      </w:r>
    </w:p>
    <w:p w:rsidR="007B68BC" w:rsidRPr="004360F7" w:rsidRDefault="007B68BC" w:rsidP="007A6CB8">
      <w:pPr>
        <w:pStyle w:val="SingleTxtG"/>
        <w:rPr>
          <w:lang w:val="fr-FR"/>
        </w:rPr>
      </w:pPr>
      <w:r w:rsidRPr="003A24EB">
        <w:rPr>
          <w:b/>
          <w:u w:val="single"/>
          <w:lang w:val="fr-FR"/>
        </w:rPr>
        <w:t>Cette observation est également applicable dans le cadre des autres dispositions qui comportent les termes « immatriculé ou enregistré »</w:t>
      </w:r>
      <w:r w:rsidRPr="00342DB5">
        <w:rPr>
          <w:lang w:val="fr-FR"/>
        </w:rPr>
        <w:t>.</w:t>
      </w:r>
    </w:p>
    <w:p w:rsidR="005818C6" w:rsidRPr="00980AB3" w:rsidRDefault="005818C6" w:rsidP="00D45162">
      <w:pPr>
        <w:pStyle w:val="HChG"/>
        <w:rPr>
          <w:lang w:val="fr-BE"/>
        </w:rPr>
      </w:pPr>
      <w:r w:rsidRPr="00FF5266">
        <w:rPr>
          <w:lang w:val="fr-FR"/>
        </w:rPr>
        <w:tab/>
      </w:r>
      <w:r w:rsidRPr="00FF5266">
        <w:rPr>
          <w:lang w:val="fr-FR"/>
        </w:rPr>
        <w:tab/>
      </w:r>
      <w:r w:rsidRPr="00980AB3">
        <w:rPr>
          <w:lang w:val="fr-BE"/>
        </w:rPr>
        <w:t>Justification</w:t>
      </w:r>
    </w:p>
    <w:p w:rsidR="005818C6" w:rsidRPr="00E669DE" w:rsidRDefault="00D45162" w:rsidP="00D45162">
      <w:pPr>
        <w:pStyle w:val="SingleTxtG"/>
        <w:rPr>
          <w:lang w:val="fr-FR"/>
        </w:rPr>
      </w:pPr>
      <w:r>
        <w:rPr>
          <w:lang w:val="fr-FR"/>
        </w:rPr>
        <w:t>7.</w:t>
      </w:r>
      <w:r>
        <w:rPr>
          <w:lang w:val="fr-FR"/>
        </w:rPr>
        <w:tab/>
      </w:r>
      <w:r w:rsidR="005818C6" w:rsidRPr="00FF5266">
        <w:rPr>
          <w:lang w:val="fr-FR"/>
        </w:rPr>
        <w:t>La présente proposition vise à év</w:t>
      </w:r>
      <w:r w:rsidR="00A64535">
        <w:rPr>
          <w:lang w:val="fr-FR"/>
        </w:rPr>
        <w:t xml:space="preserve">iter </w:t>
      </w:r>
      <w:r w:rsidR="00A96CBE">
        <w:rPr>
          <w:lang w:val="fr-FR"/>
        </w:rPr>
        <w:t xml:space="preserve">toute confusion au niveau de l’interprétation des termes « immatriculé ou enregistré ». </w:t>
      </w:r>
    </w:p>
    <w:p w:rsidR="005818C6" w:rsidRDefault="005818C6" w:rsidP="00D45162">
      <w:pPr>
        <w:pStyle w:val="HChG"/>
      </w:pPr>
      <w:r w:rsidRPr="00FF5266">
        <w:rPr>
          <w:lang w:val="fr-FR"/>
        </w:rPr>
        <w:tab/>
      </w:r>
      <w:r w:rsidRPr="00FF5266">
        <w:rPr>
          <w:lang w:val="fr-FR"/>
        </w:rPr>
        <w:tab/>
      </w:r>
      <w:r w:rsidRPr="009F22FB">
        <w:t>Co</w:t>
      </w:r>
      <w:r>
        <w:t>ûts</w:t>
      </w:r>
    </w:p>
    <w:p w:rsidR="005818C6" w:rsidRPr="009F22FB" w:rsidRDefault="00D45162" w:rsidP="00D45162">
      <w:pPr>
        <w:pStyle w:val="SingleTxtG"/>
      </w:pPr>
      <w:r>
        <w:t>8.</w:t>
      </w:r>
      <w:r>
        <w:tab/>
      </w:r>
      <w:r w:rsidR="005818C6">
        <w:t xml:space="preserve">Aucun coût </w:t>
      </w:r>
      <w:r w:rsidR="005818C6" w:rsidRPr="00D45162">
        <w:t>supplémentaire</w:t>
      </w:r>
      <w:r w:rsidR="005818C6">
        <w:t>.</w:t>
      </w:r>
    </w:p>
    <w:p w:rsidR="005818C6" w:rsidRPr="00E669DE" w:rsidRDefault="005818C6" w:rsidP="00D45162">
      <w:pPr>
        <w:pStyle w:val="HChG"/>
      </w:pPr>
      <w:r>
        <w:tab/>
      </w:r>
      <w:r>
        <w:tab/>
      </w:r>
      <w:r w:rsidRPr="00E669DE">
        <w:t>Faisabilité</w:t>
      </w:r>
    </w:p>
    <w:p w:rsidR="005818C6" w:rsidRPr="00E669DE" w:rsidRDefault="00D45162" w:rsidP="00D45162">
      <w:pPr>
        <w:pStyle w:val="SingleTxtG"/>
        <w:rPr>
          <w:lang w:val="fr-FR"/>
        </w:rPr>
      </w:pPr>
      <w:r>
        <w:t>9.</w:t>
      </w:r>
      <w:r>
        <w:tab/>
      </w:r>
      <w:r w:rsidR="00A96CBE" w:rsidRPr="00D45162">
        <w:t>Immédiate</w:t>
      </w:r>
      <w:r w:rsidR="00A96CBE">
        <w:rPr>
          <w:lang w:val="fr-FR"/>
        </w:rPr>
        <w:t xml:space="preserve">. </w:t>
      </w:r>
    </w:p>
    <w:p w:rsidR="005818C6" w:rsidRDefault="005818C6" w:rsidP="00D45162">
      <w:pPr>
        <w:pStyle w:val="HChG"/>
      </w:pPr>
      <w:r w:rsidRPr="00C6641A">
        <w:rPr>
          <w:lang w:val="fr-FR"/>
        </w:rPr>
        <w:tab/>
      </w:r>
      <w:r w:rsidRPr="00C6641A">
        <w:rPr>
          <w:lang w:val="fr-FR"/>
        </w:rPr>
        <w:tab/>
      </w:r>
      <w:r>
        <w:t>Applicabilité</w:t>
      </w:r>
    </w:p>
    <w:p w:rsidR="0057177E" w:rsidRPr="005818C6" w:rsidRDefault="00D45162" w:rsidP="00D45162">
      <w:pPr>
        <w:pStyle w:val="SingleTxtG"/>
      </w:pPr>
      <w:r>
        <w:rPr>
          <w:lang w:val="fr-BE"/>
        </w:rPr>
        <w:t>10.</w:t>
      </w:r>
      <w:r>
        <w:rPr>
          <w:lang w:val="fr-BE"/>
        </w:rPr>
        <w:tab/>
      </w:r>
      <w:r w:rsidR="00A96CBE">
        <w:rPr>
          <w:lang w:val="fr-BE"/>
        </w:rPr>
        <w:t>Immédiate.</w:t>
      </w:r>
    </w:p>
    <w:p w:rsidR="005818C6" w:rsidRPr="005818C6" w:rsidRDefault="005818C6" w:rsidP="005818C6">
      <w:pPr>
        <w:pStyle w:val="SingleTxtG"/>
        <w:spacing w:before="240" w:after="0"/>
        <w:jc w:val="center"/>
        <w:rPr>
          <w:u w:val="single"/>
        </w:rPr>
      </w:pPr>
      <w:r>
        <w:rPr>
          <w:u w:val="single"/>
        </w:rPr>
        <w:tab/>
      </w:r>
      <w:r>
        <w:rPr>
          <w:u w:val="single"/>
        </w:rPr>
        <w:tab/>
      </w:r>
      <w:r>
        <w:rPr>
          <w:u w:val="single"/>
        </w:rPr>
        <w:tab/>
      </w:r>
    </w:p>
    <w:sectPr w:rsidR="005818C6" w:rsidRPr="005818C6" w:rsidSect="005818C6">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B55" w:rsidRDefault="00AD7B55"/>
  </w:endnote>
  <w:endnote w:type="continuationSeparator" w:id="0">
    <w:p w:rsidR="00AD7B55" w:rsidRDefault="00AD7B55"/>
  </w:endnote>
  <w:endnote w:type="continuationNotice" w:id="1">
    <w:p w:rsidR="00AD7B55" w:rsidRPr="005F7AAD" w:rsidRDefault="00AD7B55" w:rsidP="005F7AAD">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8C6" w:rsidRPr="005818C6" w:rsidRDefault="005818C6" w:rsidP="005818C6">
    <w:pPr>
      <w:pStyle w:val="Footer"/>
      <w:tabs>
        <w:tab w:val="right" w:pos="9638"/>
      </w:tabs>
    </w:pPr>
    <w:r w:rsidRPr="005818C6">
      <w:rPr>
        <w:b/>
        <w:sz w:val="18"/>
      </w:rPr>
      <w:fldChar w:fldCharType="begin"/>
    </w:r>
    <w:r w:rsidRPr="005818C6">
      <w:rPr>
        <w:b/>
        <w:sz w:val="18"/>
      </w:rPr>
      <w:instrText xml:space="preserve"> PAGE  \* MERGEFORMAT </w:instrText>
    </w:r>
    <w:r w:rsidRPr="005818C6">
      <w:rPr>
        <w:b/>
        <w:sz w:val="18"/>
      </w:rPr>
      <w:fldChar w:fldCharType="separate"/>
    </w:r>
    <w:r w:rsidR="00D45162">
      <w:rPr>
        <w:b/>
        <w:noProof/>
        <w:sz w:val="18"/>
      </w:rPr>
      <w:t>2</w:t>
    </w:r>
    <w:r w:rsidRPr="005818C6">
      <w:rPr>
        <w:b/>
        <w:sz w:val="18"/>
      </w:rPr>
      <w:fldChar w:fldCharType="end"/>
    </w:r>
    <w:r>
      <w:rPr>
        <w:b/>
        <w:sz w:val="18"/>
      </w:rPr>
      <w:tab/>
    </w:r>
    <w:r w:rsidR="008B0988">
      <w:t>GE.15-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8C6" w:rsidRPr="005818C6" w:rsidRDefault="00FC64C0" w:rsidP="005818C6">
    <w:pPr>
      <w:pStyle w:val="Footer"/>
      <w:tabs>
        <w:tab w:val="right" w:pos="9638"/>
      </w:tabs>
      <w:rPr>
        <w:b/>
        <w:sz w:val="18"/>
      </w:rPr>
    </w:pPr>
    <w:r>
      <w:t>GE.15-</w:t>
    </w:r>
    <w:r w:rsidR="005818C6">
      <w:tab/>
    </w:r>
    <w:r w:rsidR="005818C6" w:rsidRPr="005818C6">
      <w:rPr>
        <w:b/>
        <w:sz w:val="18"/>
      </w:rPr>
      <w:fldChar w:fldCharType="begin"/>
    </w:r>
    <w:r w:rsidR="005818C6" w:rsidRPr="005818C6">
      <w:rPr>
        <w:b/>
        <w:sz w:val="18"/>
      </w:rPr>
      <w:instrText xml:space="preserve"> PAGE  \* MERGEFORMAT </w:instrText>
    </w:r>
    <w:r w:rsidR="005818C6" w:rsidRPr="005818C6">
      <w:rPr>
        <w:b/>
        <w:sz w:val="18"/>
      </w:rPr>
      <w:fldChar w:fldCharType="separate"/>
    </w:r>
    <w:r w:rsidR="00D45162">
      <w:rPr>
        <w:b/>
        <w:noProof/>
        <w:sz w:val="18"/>
      </w:rPr>
      <w:t>3</w:t>
    </w:r>
    <w:r w:rsidR="005818C6" w:rsidRPr="005818C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9C" w:rsidRPr="005818C6" w:rsidRDefault="005818C6">
    <w:pPr>
      <w:pStyle w:val="Footer"/>
      <w:rPr>
        <w:sz w:val="20"/>
      </w:rPr>
    </w:pPr>
    <w:r>
      <w:rPr>
        <w:sz w:val="20"/>
      </w:rPr>
      <w:t>GE.</w:t>
    </w:r>
    <w:r w:rsidR="00F41CCA">
      <w:rPr>
        <w:noProof/>
        <w:lang w:val="en-GB" w:eastAsia="en-GB"/>
      </w:rPr>
      <w:drawing>
        <wp:anchor distT="0" distB="0" distL="114300" distR="114300" simplePos="0" relativeHeight="251657728" behindDoc="0" locked="0" layoutInCell="1" allowOverlap="1">
          <wp:simplePos x="0" y="0"/>
          <wp:positionH relativeFrom="column">
            <wp:posOffset>5040630</wp:posOffset>
          </wp:positionH>
          <wp:positionV relativeFrom="paragraph">
            <wp:posOffset>-107950</wp:posOffset>
          </wp:positionV>
          <wp:extent cx="1104265" cy="233045"/>
          <wp:effectExtent l="0" t="0" r="635" b="0"/>
          <wp:wrapNone/>
          <wp:docPr id="2" name="Pictur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88">
      <w:rPr>
        <w:sz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B55" w:rsidRPr="00D27D5E" w:rsidRDefault="00AD7B55" w:rsidP="00D27D5E">
      <w:pPr>
        <w:tabs>
          <w:tab w:val="right" w:pos="2155"/>
        </w:tabs>
        <w:spacing w:after="80"/>
        <w:ind w:left="680"/>
        <w:rPr>
          <w:u w:val="single"/>
        </w:rPr>
      </w:pPr>
      <w:r>
        <w:rPr>
          <w:u w:val="single"/>
        </w:rPr>
        <w:tab/>
      </w:r>
    </w:p>
  </w:footnote>
  <w:footnote w:type="continuationSeparator" w:id="0">
    <w:p w:rsidR="00AD7B55" w:rsidRPr="0057177E" w:rsidRDefault="00AD7B55" w:rsidP="0057177E">
      <w:pPr>
        <w:tabs>
          <w:tab w:val="left" w:pos="2155"/>
        </w:tabs>
        <w:spacing w:after="80"/>
        <w:ind w:left="680"/>
        <w:rPr>
          <w:u w:val="single"/>
        </w:rPr>
      </w:pPr>
      <w:r w:rsidRPr="0057177E">
        <w:rPr>
          <w:u w:val="single"/>
        </w:rPr>
        <w:tab/>
      </w:r>
    </w:p>
  </w:footnote>
  <w:footnote w:type="continuationNotice" w:id="1">
    <w:p w:rsidR="00AD7B55" w:rsidRPr="005F7AAD" w:rsidRDefault="00AD7B55" w:rsidP="005F7AAD">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8C6" w:rsidRPr="005818C6" w:rsidRDefault="008B0988">
    <w:pPr>
      <w:pStyle w:val="Header"/>
    </w:pPr>
    <w:r>
      <w:t>ECE/TRANS/WP.11/2015/14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8C6" w:rsidRPr="005818C6" w:rsidRDefault="008B0988" w:rsidP="005818C6">
    <w:pPr>
      <w:pStyle w:val="Header"/>
      <w:jc w:val="right"/>
    </w:pPr>
    <w:r>
      <w:t>ECE/TRANS/WP.11/2015/14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1A80"/>
    <w:multiLevelType w:val="hybridMultilevel"/>
    <w:tmpl w:val="D35CF0A2"/>
    <w:lvl w:ilvl="0" w:tplc="945AD31E">
      <w:numFmt w:val="bullet"/>
      <w:lvlText w:val="-"/>
      <w:lvlJc w:val="left"/>
      <w:pPr>
        <w:ind w:left="2203" w:hanging="360"/>
      </w:pPr>
      <w:rPr>
        <w:rFonts w:ascii="Times New Roman" w:eastAsia="Times New Roman" w:hAnsi="Times New Roman" w:cs="Times New Roman" w:hint="default"/>
        <w:u w:val="none"/>
      </w:rPr>
    </w:lvl>
    <w:lvl w:ilvl="1" w:tplc="04130003" w:tentative="1">
      <w:start w:val="1"/>
      <w:numFmt w:val="bullet"/>
      <w:lvlText w:val="o"/>
      <w:lvlJc w:val="left"/>
      <w:pPr>
        <w:ind w:left="2923" w:hanging="360"/>
      </w:pPr>
      <w:rPr>
        <w:rFonts w:ascii="Courier New" w:hAnsi="Courier New" w:cs="Courier New" w:hint="default"/>
      </w:rPr>
    </w:lvl>
    <w:lvl w:ilvl="2" w:tplc="04130005" w:tentative="1">
      <w:start w:val="1"/>
      <w:numFmt w:val="bullet"/>
      <w:lvlText w:val=""/>
      <w:lvlJc w:val="left"/>
      <w:pPr>
        <w:ind w:left="3643" w:hanging="360"/>
      </w:pPr>
      <w:rPr>
        <w:rFonts w:ascii="Wingdings" w:hAnsi="Wingdings" w:hint="default"/>
      </w:rPr>
    </w:lvl>
    <w:lvl w:ilvl="3" w:tplc="04130001" w:tentative="1">
      <w:start w:val="1"/>
      <w:numFmt w:val="bullet"/>
      <w:lvlText w:val=""/>
      <w:lvlJc w:val="left"/>
      <w:pPr>
        <w:ind w:left="4363" w:hanging="360"/>
      </w:pPr>
      <w:rPr>
        <w:rFonts w:ascii="Symbol" w:hAnsi="Symbol" w:hint="default"/>
      </w:rPr>
    </w:lvl>
    <w:lvl w:ilvl="4" w:tplc="04130003" w:tentative="1">
      <w:start w:val="1"/>
      <w:numFmt w:val="bullet"/>
      <w:lvlText w:val="o"/>
      <w:lvlJc w:val="left"/>
      <w:pPr>
        <w:ind w:left="5083" w:hanging="360"/>
      </w:pPr>
      <w:rPr>
        <w:rFonts w:ascii="Courier New" w:hAnsi="Courier New" w:cs="Courier New" w:hint="default"/>
      </w:rPr>
    </w:lvl>
    <w:lvl w:ilvl="5" w:tplc="04130005" w:tentative="1">
      <w:start w:val="1"/>
      <w:numFmt w:val="bullet"/>
      <w:lvlText w:val=""/>
      <w:lvlJc w:val="left"/>
      <w:pPr>
        <w:ind w:left="5803" w:hanging="360"/>
      </w:pPr>
      <w:rPr>
        <w:rFonts w:ascii="Wingdings" w:hAnsi="Wingdings" w:hint="default"/>
      </w:rPr>
    </w:lvl>
    <w:lvl w:ilvl="6" w:tplc="04130001" w:tentative="1">
      <w:start w:val="1"/>
      <w:numFmt w:val="bullet"/>
      <w:lvlText w:val=""/>
      <w:lvlJc w:val="left"/>
      <w:pPr>
        <w:ind w:left="6523" w:hanging="360"/>
      </w:pPr>
      <w:rPr>
        <w:rFonts w:ascii="Symbol" w:hAnsi="Symbol" w:hint="default"/>
      </w:rPr>
    </w:lvl>
    <w:lvl w:ilvl="7" w:tplc="04130003" w:tentative="1">
      <w:start w:val="1"/>
      <w:numFmt w:val="bullet"/>
      <w:lvlText w:val="o"/>
      <w:lvlJc w:val="left"/>
      <w:pPr>
        <w:ind w:left="7243" w:hanging="360"/>
      </w:pPr>
      <w:rPr>
        <w:rFonts w:ascii="Courier New" w:hAnsi="Courier New" w:cs="Courier New" w:hint="default"/>
      </w:rPr>
    </w:lvl>
    <w:lvl w:ilvl="8" w:tplc="04130005" w:tentative="1">
      <w:start w:val="1"/>
      <w:numFmt w:val="bullet"/>
      <w:lvlText w:val=""/>
      <w:lvlJc w:val="left"/>
      <w:pPr>
        <w:ind w:left="7963" w:hanging="360"/>
      </w:pPr>
      <w:rPr>
        <w:rFonts w:ascii="Wingdings" w:hAnsi="Wingdings" w:hint="default"/>
      </w:r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077483B"/>
    <w:multiLevelType w:val="hybridMultilevel"/>
    <w:tmpl w:val="AB5ED320"/>
    <w:lvl w:ilvl="0" w:tplc="072A34FE">
      <w:start w:val="5"/>
      <w:numFmt w:val="decimal"/>
      <w:lvlText w:val="%1."/>
      <w:lvlJc w:val="left"/>
      <w:pPr>
        <w:ind w:left="1494" w:hanging="360"/>
      </w:pPr>
      <w:rPr>
        <w:rFonts w:hint="default"/>
        <w:lang w:val="en-U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296F48C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8B53F02"/>
    <w:multiLevelType w:val="hybridMultilevel"/>
    <w:tmpl w:val="36FAA1DA"/>
    <w:lvl w:ilvl="0" w:tplc="B55E63E0">
      <w:start w:val="1"/>
      <w:numFmt w:val="decimal"/>
      <w:lvlText w:val="%1."/>
      <w:lvlJc w:val="left"/>
      <w:pPr>
        <w:ind w:left="1494" w:hanging="360"/>
      </w:pPr>
      <w:rPr>
        <w:rFonts w:hint="default"/>
        <w:i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nsid w:val="460F738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97C508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86526F9"/>
    <w:multiLevelType w:val="multilevel"/>
    <w:tmpl w:val="BD7E2BA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nsid w:val="76062548"/>
    <w:multiLevelType w:val="multilevel"/>
    <w:tmpl w:val="819E185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5"/>
  </w:num>
  <w:num w:numId="3">
    <w:abstractNumId w:val="9"/>
  </w:num>
  <w:num w:numId="4">
    <w:abstractNumId w:val="5"/>
  </w:num>
  <w:num w:numId="5">
    <w:abstractNumId w:val="1"/>
  </w:num>
  <w:num w:numId="6">
    <w:abstractNumId w:val="4"/>
  </w:num>
  <w:num w:numId="7">
    <w:abstractNumId w:val="2"/>
  </w:num>
  <w:num w:numId="8">
    <w:abstractNumId w:val="3"/>
  </w:num>
  <w:num w:numId="9">
    <w:abstractNumId w:val="6"/>
  </w:num>
  <w:num w:numId="10">
    <w:abstractNumId w:val="7"/>
  </w:num>
  <w:num w:numId="11">
    <w:abstractNumId w:val="8"/>
  </w:num>
  <w:num w:numId="12">
    <w:abstractNumId w:val="10"/>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B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9C"/>
    <w:rsid w:val="00016AC5"/>
    <w:rsid w:val="00020219"/>
    <w:rsid w:val="00020F6A"/>
    <w:rsid w:val="00030709"/>
    <w:rsid w:val="00030ADE"/>
    <w:rsid w:val="000312C0"/>
    <w:rsid w:val="00040E39"/>
    <w:rsid w:val="000442BF"/>
    <w:rsid w:val="00057FCB"/>
    <w:rsid w:val="00064B0C"/>
    <w:rsid w:val="00066BB1"/>
    <w:rsid w:val="00084FA0"/>
    <w:rsid w:val="000B1E79"/>
    <w:rsid w:val="000D6696"/>
    <w:rsid w:val="000E3781"/>
    <w:rsid w:val="000E77DC"/>
    <w:rsid w:val="000F41F2"/>
    <w:rsid w:val="00113E49"/>
    <w:rsid w:val="00125AB3"/>
    <w:rsid w:val="00135C0D"/>
    <w:rsid w:val="0014166D"/>
    <w:rsid w:val="00142CA5"/>
    <w:rsid w:val="00160540"/>
    <w:rsid w:val="0017182C"/>
    <w:rsid w:val="00177007"/>
    <w:rsid w:val="00186EE9"/>
    <w:rsid w:val="001901A6"/>
    <w:rsid w:val="00192EEB"/>
    <w:rsid w:val="001A20FB"/>
    <w:rsid w:val="001B4493"/>
    <w:rsid w:val="001B6F40"/>
    <w:rsid w:val="001C1F0E"/>
    <w:rsid w:val="001D0AF4"/>
    <w:rsid w:val="001D7F8A"/>
    <w:rsid w:val="001E0237"/>
    <w:rsid w:val="001E3FEB"/>
    <w:rsid w:val="001E4A02"/>
    <w:rsid w:val="001E54CE"/>
    <w:rsid w:val="001F7826"/>
    <w:rsid w:val="00211A61"/>
    <w:rsid w:val="00220E3B"/>
    <w:rsid w:val="002224A1"/>
    <w:rsid w:val="00223B89"/>
    <w:rsid w:val="00225A8C"/>
    <w:rsid w:val="002659F1"/>
    <w:rsid w:val="00271C7C"/>
    <w:rsid w:val="00287E79"/>
    <w:rsid w:val="002902DA"/>
    <w:rsid w:val="002928F9"/>
    <w:rsid w:val="002A56C4"/>
    <w:rsid w:val="002A5D07"/>
    <w:rsid w:val="002B4B0C"/>
    <w:rsid w:val="002C11A6"/>
    <w:rsid w:val="002D34FC"/>
    <w:rsid w:val="003016B7"/>
    <w:rsid w:val="003070A4"/>
    <w:rsid w:val="00317CE1"/>
    <w:rsid w:val="00330F9C"/>
    <w:rsid w:val="00333AAD"/>
    <w:rsid w:val="00340C35"/>
    <w:rsid w:val="00342DB5"/>
    <w:rsid w:val="003515AA"/>
    <w:rsid w:val="0037078C"/>
    <w:rsid w:val="00370E0F"/>
    <w:rsid w:val="00374106"/>
    <w:rsid w:val="00374140"/>
    <w:rsid w:val="00394F98"/>
    <w:rsid w:val="00395DFE"/>
    <w:rsid w:val="003976D5"/>
    <w:rsid w:val="003A0FE8"/>
    <w:rsid w:val="003A24EB"/>
    <w:rsid w:val="003A4ED9"/>
    <w:rsid w:val="003B05F4"/>
    <w:rsid w:val="003B1596"/>
    <w:rsid w:val="003D1DF3"/>
    <w:rsid w:val="003D46A7"/>
    <w:rsid w:val="003D6C68"/>
    <w:rsid w:val="00413637"/>
    <w:rsid w:val="004159D0"/>
    <w:rsid w:val="004249E7"/>
    <w:rsid w:val="004360F7"/>
    <w:rsid w:val="00440D4C"/>
    <w:rsid w:val="004632EF"/>
    <w:rsid w:val="00473A8F"/>
    <w:rsid w:val="00481334"/>
    <w:rsid w:val="004A76C8"/>
    <w:rsid w:val="004B27A6"/>
    <w:rsid w:val="004B795D"/>
    <w:rsid w:val="004C0D3F"/>
    <w:rsid w:val="004F21EC"/>
    <w:rsid w:val="00503E8B"/>
    <w:rsid w:val="00506CD4"/>
    <w:rsid w:val="005252CD"/>
    <w:rsid w:val="00525F66"/>
    <w:rsid w:val="00532D0E"/>
    <w:rsid w:val="0053693F"/>
    <w:rsid w:val="00540320"/>
    <w:rsid w:val="0054385B"/>
    <w:rsid w:val="00543D5E"/>
    <w:rsid w:val="0057177E"/>
    <w:rsid w:val="00571F41"/>
    <w:rsid w:val="00575D11"/>
    <w:rsid w:val="005778CE"/>
    <w:rsid w:val="005818C6"/>
    <w:rsid w:val="005837D4"/>
    <w:rsid w:val="00585B69"/>
    <w:rsid w:val="00595BE4"/>
    <w:rsid w:val="005A6BF8"/>
    <w:rsid w:val="005B76A3"/>
    <w:rsid w:val="005E00FA"/>
    <w:rsid w:val="005E5D1F"/>
    <w:rsid w:val="005E6D29"/>
    <w:rsid w:val="005F7AAD"/>
    <w:rsid w:val="00600247"/>
    <w:rsid w:val="00603391"/>
    <w:rsid w:val="00611D43"/>
    <w:rsid w:val="00612D48"/>
    <w:rsid w:val="00616B45"/>
    <w:rsid w:val="00630D9B"/>
    <w:rsid w:val="00631953"/>
    <w:rsid w:val="00632F12"/>
    <w:rsid w:val="00642B6B"/>
    <w:rsid w:val="006437A7"/>
    <w:rsid w:val="006439EC"/>
    <w:rsid w:val="006519A3"/>
    <w:rsid w:val="00671951"/>
    <w:rsid w:val="00685843"/>
    <w:rsid w:val="00687459"/>
    <w:rsid w:val="0069034A"/>
    <w:rsid w:val="006B1E39"/>
    <w:rsid w:val="006B2355"/>
    <w:rsid w:val="006B4590"/>
    <w:rsid w:val="006C340C"/>
    <w:rsid w:val="006C6ADB"/>
    <w:rsid w:val="006E5FC7"/>
    <w:rsid w:val="006F1BA3"/>
    <w:rsid w:val="0070347C"/>
    <w:rsid w:val="00716F7B"/>
    <w:rsid w:val="007176C1"/>
    <w:rsid w:val="007219A3"/>
    <w:rsid w:val="00731CB2"/>
    <w:rsid w:val="00734316"/>
    <w:rsid w:val="007343F2"/>
    <w:rsid w:val="00753DAC"/>
    <w:rsid w:val="00787495"/>
    <w:rsid w:val="00790F2F"/>
    <w:rsid w:val="007A360C"/>
    <w:rsid w:val="007A6CB8"/>
    <w:rsid w:val="007B68BC"/>
    <w:rsid w:val="007D15FE"/>
    <w:rsid w:val="007D205C"/>
    <w:rsid w:val="007E0FC8"/>
    <w:rsid w:val="007F55CB"/>
    <w:rsid w:val="007F6F0C"/>
    <w:rsid w:val="00805F4E"/>
    <w:rsid w:val="008126F1"/>
    <w:rsid w:val="00812C1A"/>
    <w:rsid w:val="008317F6"/>
    <w:rsid w:val="008445DE"/>
    <w:rsid w:val="00844750"/>
    <w:rsid w:val="00856D39"/>
    <w:rsid w:val="00867998"/>
    <w:rsid w:val="00895B9C"/>
    <w:rsid w:val="008A63A2"/>
    <w:rsid w:val="008B0988"/>
    <w:rsid w:val="008B44C4"/>
    <w:rsid w:val="008B7879"/>
    <w:rsid w:val="008D3919"/>
    <w:rsid w:val="008E3B9A"/>
    <w:rsid w:val="008E7FAE"/>
    <w:rsid w:val="008F2D7B"/>
    <w:rsid w:val="009117E5"/>
    <w:rsid w:val="00911BF7"/>
    <w:rsid w:val="0091629F"/>
    <w:rsid w:val="00945AEA"/>
    <w:rsid w:val="00952FDB"/>
    <w:rsid w:val="0095319E"/>
    <w:rsid w:val="0096680C"/>
    <w:rsid w:val="00977EC8"/>
    <w:rsid w:val="00980AB3"/>
    <w:rsid w:val="00981416"/>
    <w:rsid w:val="00991B36"/>
    <w:rsid w:val="00992C3C"/>
    <w:rsid w:val="009D3A8C"/>
    <w:rsid w:val="009D6620"/>
    <w:rsid w:val="009E7956"/>
    <w:rsid w:val="009F0ABE"/>
    <w:rsid w:val="00A16EB2"/>
    <w:rsid w:val="00A2492E"/>
    <w:rsid w:val="00A30BDE"/>
    <w:rsid w:val="00A43927"/>
    <w:rsid w:val="00A45772"/>
    <w:rsid w:val="00A52BAD"/>
    <w:rsid w:val="00A64535"/>
    <w:rsid w:val="00A70163"/>
    <w:rsid w:val="00A85578"/>
    <w:rsid w:val="00A91E76"/>
    <w:rsid w:val="00A92229"/>
    <w:rsid w:val="00A946B2"/>
    <w:rsid w:val="00A96CBE"/>
    <w:rsid w:val="00A97E10"/>
    <w:rsid w:val="00AA21F1"/>
    <w:rsid w:val="00AC67A1"/>
    <w:rsid w:val="00AC7977"/>
    <w:rsid w:val="00AD4C9C"/>
    <w:rsid w:val="00AD7B55"/>
    <w:rsid w:val="00AE352C"/>
    <w:rsid w:val="00B0465B"/>
    <w:rsid w:val="00B212B0"/>
    <w:rsid w:val="00B2393F"/>
    <w:rsid w:val="00B32E2D"/>
    <w:rsid w:val="00B367AE"/>
    <w:rsid w:val="00B4466B"/>
    <w:rsid w:val="00B527B7"/>
    <w:rsid w:val="00B61990"/>
    <w:rsid w:val="00B7251F"/>
    <w:rsid w:val="00B73BED"/>
    <w:rsid w:val="00B75F6E"/>
    <w:rsid w:val="00B85D99"/>
    <w:rsid w:val="00B93E72"/>
    <w:rsid w:val="00BA6025"/>
    <w:rsid w:val="00BC4943"/>
    <w:rsid w:val="00BC5EF6"/>
    <w:rsid w:val="00BC7942"/>
    <w:rsid w:val="00BF0556"/>
    <w:rsid w:val="00C06F42"/>
    <w:rsid w:val="00C24B53"/>
    <w:rsid w:val="00C261F8"/>
    <w:rsid w:val="00C33100"/>
    <w:rsid w:val="00C33FAA"/>
    <w:rsid w:val="00C36D9E"/>
    <w:rsid w:val="00C46352"/>
    <w:rsid w:val="00C47A6B"/>
    <w:rsid w:val="00C70623"/>
    <w:rsid w:val="00C83C9B"/>
    <w:rsid w:val="00C87030"/>
    <w:rsid w:val="00C940E9"/>
    <w:rsid w:val="00C9635B"/>
    <w:rsid w:val="00CB6267"/>
    <w:rsid w:val="00CD1A71"/>
    <w:rsid w:val="00CD1FBB"/>
    <w:rsid w:val="00CE5840"/>
    <w:rsid w:val="00CF4DDF"/>
    <w:rsid w:val="00D016B5"/>
    <w:rsid w:val="00D034F1"/>
    <w:rsid w:val="00D03ACE"/>
    <w:rsid w:val="00D07B14"/>
    <w:rsid w:val="00D11B17"/>
    <w:rsid w:val="00D14F8B"/>
    <w:rsid w:val="00D20305"/>
    <w:rsid w:val="00D24D71"/>
    <w:rsid w:val="00D27D5E"/>
    <w:rsid w:val="00D30638"/>
    <w:rsid w:val="00D45162"/>
    <w:rsid w:val="00D60301"/>
    <w:rsid w:val="00D670D9"/>
    <w:rsid w:val="00D70B59"/>
    <w:rsid w:val="00D77239"/>
    <w:rsid w:val="00D83392"/>
    <w:rsid w:val="00D94076"/>
    <w:rsid w:val="00DA57D4"/>
    <w:rsid w:val="00DB4793"/>
    <w:rsid w:val="00DE01E3"/>
    <w:rsid w:val="00DE1514"/>
    <w:rsid w:val="00DE6D90"/>
    <w:rsid w:val="00DF002F"/>
    <w:rsid w:val="00DF14C1"/>
    <w:rsid w:val="00E0244D"/>
    <w:rsid w:val="00E04F10"/>
    <w:rsid w:val="00E467D9"/>
    <w:rsid w:val="00E5165D"/>
    <w:rsid w:val="00E53E94"/>
    <w:rsid w:val="00E55D71"/>
    <w:rsid w:val="00E6002A"/>
    <w:rsid w:val="00E669DE"/>
    <w:rsid w:val="00E81E94"/>
    <w:rsid w:val="00E82607"/>
    <w:rsid w:val="00E875D9"/>
    <w:rsid w:val="00EA31C2"/>
    <w:rsid w:val="00EB69D3"/>
    <w:rsid w:val="00ED33EC"/>
    <w:rsid w:val="00EE03F7"/>
    <w:rsid w:val="00EE2EA3"/>
    <w:rsid w:val="00EF16CA"/>
    <w:rsid w:val="00F01516"/>
    <w:rsid w:val="00F044F7"/>
    <w:rsid w:val="00F04C57"/>
    <w:rsid w:val="00F06325"/>
    <w:rsid w:val="00F06C2A"/>
    <w:rsid w:val="00F21F31"/>
    <w:rsid w:val="00F30D47"/>
    <w:rsid w:val="00F3528A"/>
    <w:rsid w:val="00F41CCA"/>
    <w:rsid w:val="00F5417C"/>
    <w:rsid w:val="00F57129"/>
    <w:rsid w:val="00F610BB"/>
    <w:rsid w:val="00F61F0A"/>
    <w:rsid w:val="00FA101F"/>
    <w:rsid w:val="00FA5A79"/>
    <w:rsid w:val="00FB00CB"/>
    <w:rsid w:val="00FB0BFE"/>
    <w:rsid w:val="00FB4C51"/>
    <w:rsid w:val="00FC299C"/>
    <w:rsid w:val="00FC64C0"/>
    <w:rsid w:val="00FF0E76"/>
    <w:rsid w:val="00FF14A9"/>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AAD"/>
    <w:pPr>
      <w:suppressAutoHyphens/>
      <w:spacing w:line="240" w:lineRule="atLeast"/>
    </w:pPr>
    <w:rPr>
      <w:lang w:val="fr-CH" w:eastAsia="en-US"/>
    </w:rPr>
  </w:style>
  <w:style w:type="paragraph" w:styleId="Heading1">
    <w:name w:val="heading 1"/>
    <w:aliases w:val="Table_G"/>
    <w:basedOn w:val="SingleTxtG"/>
    <w:next w:val="SingleTxtG"/>
    <w:qFormat/>
    <w:rsid w:val="005F7AAD"/>
    <w:pPr>
      <w:keepNext/>
      <w:keepLines/>
      <w:spacing w:after="0" w:line="240" w:lineRule="auto"/>
      <w:ind w:right="0"/>
      <w:jc w:val="left"/>
      <w:outlineLvl w:val="0"/>
    </w:pPr>
  </w:style>
  <w:style w:type="paragraph" w:styleId="Heading2">
    <w:name w:val="heading 2"/>
    <w:basedOn w:val="Normal"/>
    <w:next w:val="Normal"/>
    <w:qFormat/>
    <w:rsid w:val="005F7AAD"/>
    <w:pPr>
      <w:outlineLvl w:val="1"/>
    </w:pPr>
  </w:style>
  <w:style w:type="paragraph" w:styleId="Heading3">
    <w:name w:val="heading 3"/>
    <w:basedOn w:val="Normal"/>
    <w:next w:val="Normal"/>
    <w:qFormat/>
    <w:rsid w:val="005F7AAD"/>
    <w:pPr>
      <w:outlineLvl w:val="2"/>
    </w:pPr>
  </w:style>
  <w:style w:type="paragraph" w:styleId="Heading4">
    <w:name w:val="heading 4"/>
    <w:basedOn w:val="Normal"/>
    <w:next w:val="Normal"/>
    <w:qFormat/>
    <w:rsid w:val="005F7AAD"/>
    <w:pPr>
      <w:outlineLvl w:val="3"/>
    </w:pPr>
  </w:style>
  <w:style w:type="paragraph" w:styleId="Heading5">
    <w:name w:val="heading 5"/>
    <w:basedOn w:val="Normal"/>
    <w:next w:val="Normal"/>
    <w:qFormat/>
    <w:rsid w:val="005F7AAD"/>
    <w:pPr>
      <w:outlineLvl w:val="4"/>
    </w:pPr>
  </w:style>
  <w:style w:type="paragraph" w:styleId="Heading6">
    <w:name w:val="heading 6"/>
    <w:basedOn w:val="Normal"/>
    <w:next w:val="Normal"/>
    <w:qFormat/>
    <w:rsid w:val="005F7AAD"/>
    <w:pPr>
      <w:outlineLvl w:val="5"/>
    </w:pPr>
  </w:style>
  <w:style w:type="paragraph" w:styleId="Heading7">
    <w:name w:val="heading 7"/>
    <w:basedOn w:val="Normal"/>
    <w:next w:val="Normal"/>
    <w:qFormat/>
    <w:rsid w:val="005F7AAD"/>
    <w:pPr>
      <w:outlineLvl w:val="6"/>
    </w:pPr>
  </w:style>
  <w:style w:type="paragraph" w:styleId="Heading8">
    <w:name w:val="heading 8"/>
    <w:basedOn w:val="Normal"/>
    <w:next w:val="Normal"/>
    <w:qFormat/>
    <w:rsid w:val="005F7AAD"/>
    <w:pPr>
      <w:outlineLvl w:val="7"/>
    </w:pPr>
  </w:style>
  <w:style w:type="paragraph" w:styleId="Heading9">
    <w:name w:val="heading 9"/>
    <w:basedOn w:val="Normal"/>
    <w:next w:val="Normal"/>
    <w:qFormat/>
    <w:rsid w:val="005F7AAD"/>
    <w:pPr>
      <w:outlineLvl w:val="8"/>
    </w:pPr>
  </w:style>
  <w:style w:type="character" w:default="1" w:styleId="DefaultParagraphFont">
    <w:name w:val="Default Paragraph Font"/>
    <w:semiHidden/>
    <w:rsid w:val="005F7A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F7AAD"/>
  </w:style>
  <w:style w:type="paragraph" w:customStyle="1" w:styleId="HMG">
    <w:name w:val="_ H __M_G"/>
    <w:basedOn w:val="Normal"/>
    <w:next w:val="Normal"/>
    <w:rsid w:val="005F7A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F7AA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F7A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F7A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F7A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F7AA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5F7AAD"/>
    <w:pPr>
      <w:spacing w:after="120"/>
      <w:ind w:left="1134" w:right="1134"/>
      <w:jc w:val="both"/>
    </w:pPr>
  </w:style>
  <w:style w:type="paragraph" w:customStyle="1" w:styleId="SLG">
    <w:name w:val="__S_L_G"/>
    <w:basedOn w:val="Normal"/>
    <w:next w:val="Normal"/>
    <w:rsid w:val="005F7AAD"/>
    <w:pPr>
      <w:keepNext/>
      <w:keepLines/>
      <w:spacing w:before="240" w:after="240" w:line="580" w:lineRule="exact"/>
      <w:ind w:left="1134" w:right="1134"/>
    </w:pPr>
    <w:rPr>
      <w:b/>
      <w:sz w:val="56"/>
    </w:rPr>
  </w:style>
  <w:style w:type="paragraph" w:customStyle="1" w:styleId="SMG">
    <w:name w:val="__S_M_G"/>
    <w:basedOn w:val="Normal"/>
    <w:next w:val="Normal"/>
    <w:rsid w:val="005F7AAD"/>
    <w:pPr>
      <w:keepNext/>
      <w:keepLines/>
      <w:spacing w:before="240" w:after="240" w:line="420" w:lineRule="exact"/>
      <w:ind w:left="1134" w:right="1134"/>
    </w:pPr>
    <w:rPr>
      <w:b/>
      <w:sz w:val="40"/>
    </w:rPr>
  </w:style>
  <w:style w:type="paragraph" w:customStyle="1" w:styleId="SSG">
    <w:name w:val="__S_S_G"/>
    <w:basedOn w:val="Normal"/>
    <w:next w:val="Normal"/>
    <w:rsid w:val="005F7AAD"/>
    <w:pPr>
      <w:keepNext/>
      <w:keepLines/>
      <w:spacing w:before="240" w:after="240" w:line="300" w:lineRule="exact"/>
      <w:ind w:left="1134" w:right="1134"/>
    </w:pPr>
    <w:rPr>
      <w:b/>
      <w:sz w:val="28"/>
    </w:rPr>
  </w:style>
  <w:style w:type="paragraph" w:customStyle="1" w:styleId="XLargeG">
    <w:name w:val="__XLarge_G"/>
    <w:basedOn w:val="Normal"/>
    <w:next w:val="Normal"/>
    <w:rsid w:val="005F7AAD"/>
    <w:pPr>
      <w:keepNext/>
      <w:keepLines/>
      <w:spacing w:before="240" w:after="240" w:line="420" w:lineRule="exact"/>
      <w:ind w:left="1134" w:right="1134"/>
    </w:pPr>
    <w:rPr>
      <w:b/>
      <w:sz w:val="40"/>
    </w:rPr>
  </w:style>
  <w:style w:type="paragraph" w:customStyle="1" w:styleId="Bullet1G">
    <w:name w:val="_Bullet 1_G"/>
    <w:basedOn w:val="Normal"/>
    <w:rsid w:val="005F7AAD"/>
    <w:pPr>
      <w:numPr>
        <w:numId w:val="3"/>
      </w:numPr>
      <w:spacing w:after="120"/>
      <w:ind w:right="1134"/>
      <w:jc w:val="both"/>
    </w:pPr>
  </w:style>
  <w:style w:type="paragraph" w:customStyle="1" w:styleId="Bullet2G">
    <w:name w:val="_Bullet 2_G"/>
    <w:basedOn w:val="Normal"/>
    <w:rsid w:val="005F7AAD"/>
    <w:pPr>
      <w:numPr>
        <w:numId w:val="4"/>
      </w:numPr>
      <w:spacing w:after="120"/>
      <w:ind w:right="1134"/>
      <w:jc w:val="both"/>
    </w:pPr>
  </w:style>
  <w:style w:type="character" w:styleId="FootnoteReference">
    <w:name w:val="footnote reference"/>
    <w:aliases w:val="4_G"/>
    <w:rsid w:val="005F7AAD"/>
    <w:rPr>
      <w:rFonts w:ascii="Times New Roman" w:hAnsi="Times New Roman"/>
      <w:sz w:val="18"/>
      <w:vertAlign w:val="superscript"/>
      <w:lang w:val="fr-CH"/>
    </w:rPr>
  </w:style>
  <w:style w:type="character" w:styleId="EndnoteReference">
    <w:name w:val="endnote reference"/>
    <w:aliases w:val="1_G"/>
    <w:basedOn w:val="FootnoteReference"/>
    <w:rsid w:val="005F7AAD"/>
    <w:rPr>
      <w:rFonts w:ascii="Times New Roman" w:hAnsi="Times New Roman"/>
      <w:sz w:val="18"/>
      <w:vertAlign w:val="superscript"/>
      <w:lang w:val="fr-CH"/>
    </w:rPr>
  </w:style>
  <w:style w:type="paragraph" w:styleId="Header">
    <w:name w:val="header"/>
    <w:aliases w:val="6_G"/>
    <w:basedOn w:val="Normal"/>
    <w:next w:val="Normal"/>
    <w:rsid w:val="005F7AAD"/>
    <w:pPr>
      <w:pBdr>
        <w:bottom w:val="single" w:sz="4" w:space="4" w:color="auto"/>
      </w:pBdr>
      <w:spacing w:line="240" w:lineRule="auto"/>
    </w:pPr>
    <w:rPr>
      <w:b/>
      <w:sz w:val="18"/>
    </w:rPr>
  </w:style>
  <w:style w:type="paragraph" w:styleId="FootnoteText">
    <w:name w:val="footnote text"/>
    <w:aliases w:val="5_G"/>
    <w:basedOn w:val="Normal"/>
    <w:rsid w:val="005F7AAD"/>
    <w:pPr>
      <w:tabs>
        <w:tab w:val="right" w:pos="1021"/>
      </w:tabs>
      <w:spacing w:line="220" w:lineRule="exact"/>
      <w:ind w:left="1134" w:right="1134" w:hanging="1134"/>
    </w:pPr>
    <w:rPr>
      <w:sz w:val="18"/>
    </w:rPr>
  </w:style>
  <w:style w:type="paragraph" w:styleId="EndnoteText">
    <w:name w:val="endnote text"/>
    <w:aliases w:val="2_G"/>
    <w:basedOn w:val="FootnoteText"/>
    <w:rsid w:val="005F7AAD"/>
  </w:style>
  <w:style w:type="character" w:styleId="PageNumber">
    <w:name w:val="page number"/>
    <w:aliases w:val="7_G"/>
    <w:rsid w:val="005F7AAD"/>
    <w:rPr>
      <w:rFonts w:ascii="Times New Roman" w:hAnsi="Times New Roman"/>
      <w:b/>
      <w:sz w:val="18"/>
      <w:lang w:val="fr-CH"/>
    </w:rPr>
  </w:style>
  <w:style w:type="paragraph" w:styleId="Footer">
    <w:name w:val="footer"/>
    <w:aliases w:val="3_G"/>
    <w:basedOn w:val="Normal"/>
    <w:next w:val="Normal"/>
    <w:rsid w:val="005F7AAD"/>
    <w:pPr>
      <w:spacing w:line="240" w:lineRule="auto"/>
    </w:pPr>
    <w:rPr>
      <w:sz w:val="16"/>
    </w:rPr>
  </w:style>
  <w:style w:type="table" w:styleId="TableGrid">
    <w:name w:val="Table Grid"/>
    <w:basedOn w:val="TableNormal"/>
    <w:semiHidden/>
    <w:rsid w:val="005F7A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ParNoG">
    <w:name w:val="_ParNo_G"/>
    <w:basedOn w:val="SingleTxtG"/>
    <w:rsid w:val="000E77DC"/>
    <w:pPr>
      <w:numPr>
        <w:numId w:val="5"/>
      </w:numPr>
    </w:pPr>
  </w:style>
  <w:style w:type="character" w:styleId="Hyperlink">
    <w:name w:val="Hyperlink"/>
    <w:semiHidden/>
    <w:rsid w:val="005F7AAD"/>
    <w:rPr>
      <w:color w:val="auto"/>
      <w:u w:val="none"/>
    </w:rPr>
  </w:style>
  <w:style w:type="character" w:styleId="FollowedHyperlink">
    <w:name w:val="FollowedHyperlink"/>
    <w:semiHidden/>
    <w:rsid w:val="005F7AAD"/>
    <w:rPr>
      <w:color w:val="auto"/>
      <w:u w:val="none"/>
    </w:rPr>
  </w:style>
  <w:style w:type="character" w:customStyle="1" w:styleId="HChGChar">
    <w:name w:val="_ H _Ch_G Char"/>
    <w:link w:val="HChG"/>
    <w:rsid w:val="005818C6"/>
    <w:rPr>
      <w:b/>
      <w:sz w:val="28"/>
      <w:lang w:val="fr-CH" w:eastAsia="en-US" w:bidi="ar-SA"/>
    </w:rPr>
  </w:style>
  <w:style w:type="character" w:customStyle="1" w:styleId="SingleTxtGChar">
    <w:name w:val="_ Single Txt_G Char"/>
    <w:link w:val="SingleTxtG"/>
    <w:rsid w:val="005818C6"/>
    <w:rPr>
      <w:lang w:val="fr-CH" w:eastAsia="en-US" w:bidi="ar-SA"/>
    </w:rPr>
  </w:style>
  <w:style w:type="paragraph" w:styleId="BalloonText">
    <w:name w:val="Balloon Text"/>
    <w:basedOn w:val="Normal"/>
    <w:link w:val="BalloonTextChar"/>
    <w:rsid w:val="00D4516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45162"/>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AAD"/>
    <w:pPr>
      <w:suppressAutoHyphens/>
      <w:spacing w:line="240" w:lineRule="atLeast"/>
    </w:pPr>
    <w:rPr>
      <w:lang w:val="fr-CH" w:eastAsia="en-US"/>
    </w:rPr>
  </w:style>
  <w:style w:type="paragraph" w:styleId="Heading1">
    <w:name w:val="heading 1"/>
    <w:aliases w:val="Table_G"/>
    <w:basedOn w:val="SingleTxtG"/>
    <w:next w:val="SingleTxtG"/>
    <w:qFormat/>
    <w:rsid w:val="005F7AAD"/>
    <w:pPr>
      <w:keepNext/>
      <w:keepLines/>
      <w:spacing w:after="0" w:line="240" w:lineRule="auto"/>
      <w:ind w:right="0"/>
      <w:jc w:val="left"/>
      <w:outlineLvl w:val="0"/>
    </w:pPr>
  </w:style>
  <w:style w:type="paragraph" w:styleId="Heading2">
    <w:name w:val="heading 2"/>
    <w:basedOn w:val="Normal"/>
    <w:next w:val="Normal"/>
    <w:qFormat/>
    <w:rsid w:val="005F7AAD"/>
    <w:pPr>
      <w:outlineLvl w:val="1"/>
    </w:pPr>
  </w:style>
  <w:style w:type="paragraph" w:styleId="Heading3">
    <w:name w:val="heading 3"/>
    <w:basedOn w:val="Normal"/>
    <w:next w:val="Normal"/>
    <w:qFormat/>
    <w:rsid w:val="005F7AAD"/>
    <w:pPr>
      <w:outlineLvl w:val="2"/>
    </w:pPr>
  </w:style>
  <w:style w:type="paragraph" w:styleId="Heading4">
    <w:name w:val="heading 4"/>
    <w:basedOn w:val="Normal"/>
    <w:next w:val="Normal"/>
    <w:qFormat/>
    <w:rsid w:val="005F7AAD"/>
    <w:pPr>
      <w:outlineLvl w:val="3"/>
    </w:pPr>
  </w:style>
  <w:style w:type="paragraph" w:styleId="Heading5">
    <w:name w:val="heading 5"/>
    <w:basedOn w:val="Normal"/>
    <w:next w:val="Normal"/>
    <w:qFormat/>
    <w:rsid w:val="005F7AAD"/>
    <w:pPr>
      <w:outlineLvl w:val="4"/>
    </w:pPr>
  </w:style>
  <w:style w:type="paragraph" w:styleId="Heading6">
    <w:name w:val="heading 6"/>
    <w:basedOn w:val="Normal"/>
    <w:next w:val="Normal"/>
    <w:qFormat/>
    <w:rsid w:val="005F7AAD"/>
    <w:pPr>
      <w:outlineLvl w:val="5"/>
    </w:pPr>
  </w:style>
  <w:style w:type="paragraph" w:styleId="Heading7">
    <w:name w:val="heading 7"/>
    <w:basedOn w:val="Normal"/>
    <w:next w:val="Normal"/>
    <w:qFormat/>
    <w:rsid w:val="005F7AAD"/>
    <w:pPr>
      <w:outlineLvl w:val="6"/>
    </w:pPr>
  </w:style>
  <w:style w:type="paragraph" w:styleId="Heading8">
    <w:name w:val="heading 8"/>
    <w:basedOn w:val="Normal"/>
    <w:next w:val="Normal"/>
    <w:qFormat/>
    <w:rsid w:val="005F7AAD"/>
    <w:pPr>
      <w:outlineLvl w:val="7"/>
    </w:pPr>
  </w:style>
  <w:style w:type="paragraph" w:styleId="Heading9">
    <w:name w:val="heading 9"/>
    <w:basedOn w:val="Normal"/>
    <w:next w:val="Normal"/>
    <w:qFormat/>
    <w:rsid w:val="005F7AAD"/>
    <w:pPr>
      <w:outlineLvl w:val="8"/>
    </w:pPr>
  </w:style>
  <w:style w:type="character" w:default="1" w:styleId="DefaultParagraphFont">
    <w:name w:val="Default Paragraph Font"/>
    <w:semiHidden/>
    <w:rsid w:val="005F7A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F7AAD"/>
  </w:style>
  <w:style w:type="paragraph" w:customStyle="1" w:styleId="HMG">
    <w:name w:val="_ H __M_G"/>
    <w:basedOn w:val="Normal"/>
    <w:next w:val="Normal"/>
    <w:rsid w:val="005F7A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F7AA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F7A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F7A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F7A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F7AA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5F7AAD"/>
    <w:pPr>
      <w:spacing w:after="120"/>
      <w:ind w:left="1134" w:right="1134"/>
      <w:jc w:val="both"/>
    </w:pPr>
  </w:style>
  <w:style w:type="paragraph" w:customStyle="1" w:styleId="SLG">
    <w:name w:val="__S_L_G"/>
    <w:basedOn w:val="Normal"/>
    <w:next w:val="Normal"/>
    <w:rsid w:val="005F7AAD"/>
    <w:pPr>
      <w:keepNext/>
      <w:keepLines/>
      <w:spacing w:before="240" w:after="240" w:line="580" w:lineRule="exact"/>
      <w:ind w:left="1134" w:right="1134"/>
    </w:pPr>
    <w:rPr>
      <w:b/>
      <w:sz w:val="56"/>
    </w:rPr>
  </w:style>
  <w:style w:type="paragraph" w:customStyle="1" w:styleId="SMG">
    <w:name w:val="__S_M_G"/>
    <w:basedOn w:val="Normal"/>
    <w:next w:val="Normal"/>
    <w:rsid w:val="005F7AAD"/>
    <w:pPr>
      <w:keepNext/>
      <w:keepLines/>
      <w:spacing w:before="240" w:after="240" w:line="420" w:lineRule="exact"/>
      <w:ind w:left="1134" w:right="1134"/>
    </w:pPr>
    <w:rPr>
      <w:b/>
      <w:sz w:val="40"/>
    </w:rPr>
  </w:style>
  <w:style w:type="paragraph" w:customStyle="1" w:styleId="SSG">
    <w:name w:val="__S_S_G"/>
    <w:basedOn w:val="Normal"/>
    <w:next w:val="Normal"/>
    <w:rsid w:val="005F7AAD"/>
    <w:pPr>
      <w:keepNext/>
      <w:keepLines/>
      <w:spacing w:before="240" w:after="240" w:line="300" w:lineRule="exact"/>
      <w:ind w:left="1134" w:right="1134"/>
    </w:pPr>
    <w:rPr>
      <w:b/>
      <w:sz w:val="28"/>
    </w:rPr>
  </w:style>
  <w:style w:type="paragraph" w:customStyle="1" w:styleId="XLargeG">
    <w:name w:val="__XLarge_G"/>
    <w:basedOn w:val="Normal"/>
    <w:next w:val="Normal"/>
    <w:rsid w:val="005F7AAD"/>
    <w:pPr>
      <w:keepNext/>
      <w:keepLines/>
      <w:spacing w:before="240" w:after="240" w:line="420" w:lineRule="exact"/>
      <w:ind w:left="1134" w:right="1134"/>
    </w:pPr>
    <w:rPr>
      <w:b/>
      <w:sz w:val="40"/>
    </w:rPr>
  </w:style>
  <w:style w:type="paragraph" w:customStyle="1" w:styleId="Bullet1G">
    <w:name w:val="_Bullet 1_G"/>
    <w:basedOn w:val="Normal"/>
    <w:rsid w:val="005F7AAD"/>
    <w:pPr>
      <w:numPr>
        <w:numId w:val="3"/>
      </w:numPr>
      <w:spacing w:after="120"/>
      <w:ind w:right="1134"/>
      <w:jc w:val="both"/>
    </w:pPr>
  </w:style>
  <w:style w:type="paragraph" w:customStyle="1" w:styleId="Bullet2G">
    <w:name w:val="_Bullet 2_G"/>
    <w:basedOn w:val="Normal"/>
    <w:rsid w:val="005F7AAD"/>
    <w:pPr>
      <w:numPr>
        <w:numId w:val="4"/>
      </w:numPr>
      <w:spacing w:after="120"/>
      <w:ind w:right="1134"/>
      <w:jc w:val="both"/>
    </w:pPr>
  </w:style>
  <w:style w:type="character" w:styleId="FootnoteReference">
    <w:name w:val="footnote reference"/>
    <w:aliases w:val="4_G"/>
    <w:rsid w:val="005F7AAD"/>
    <w:rPr>
      <w:rFonts w:ascii="Times New Roman" w:hAnsi="Times New Roman"/>
      <w:sz w:val="18"/>
      <w:vertAlign w:val="superscript"/>
      <w:lang w:val="fr-CH"/>
    </w:rPr>
  </w:style>
  <w:style w:type="character" w:styleId="EndnoteReference">
    <w:name w:val="endnote reference"/>
    <w:aliases w:val="1_G"/>
    <w:basedOn w:val="FootnoteReference"/>
    <w:rsid w:val="005F7AAD"/>
    <w:rPr>
      <w:rFonts w:ascii="Times New Roman" w:hAnsi="Times New Roman"/>
      <w:sz w:val="18"/>
      <w:vertAlign w:val="superscript"/>
      <w:lang w:val="fr-CH"/>
    </w:rPr>
  </w:style>
  <w:style w:type="paragraph" w:styleId="Header">
    <w:name w:val="header"/>
    <w:aliases w:val="6_G"/>
    <w:basedOn w:val="Normal"/>
    <w:next w:val="Normal"/>
    <w:rsid w:val="005F7AAD"/>
    <w:pPr>
      <w:pBdr>
        <w:bottom w:val="single" w:sz="4" w:space="4" w:color="auto"/>
      </w:pBdr>
      <w:spacing w:line="240" w:lineRule="auto"/>
    </w:pPr>
    <w:rPr>
      <w:b/>
      <w:sz w:val="18"/>
    </w:rPr>
  </w:style>
  <w:style w:type="paragraph" w:styleId="FootnoteText">
    <w:name w:val="footnote text"/>
    <w:aliases w:val="5_G"/>
    <w:basedOn w:val="Normal"/>
    <w:rsid w:val="005F7AAD"/>
    <w:pPr>
      <w:tabs>
        <w:tab w:val="right" w:pos="1021"/>
      </w:tabs>
      <w:spacing w:line="220" w:lineRule="exact"/>
      <w:ind w:left="1134" w:right="1134" w:hanging="1134"/>
    </w:pPr>
    <w:rPr>
      <w:sz w:val="18"/>
    </w:rPr>
  </w:style>
  <w:style w:type="paragraph" w:styleId="EndnoteText">
    <w:name w:val="endnote text"/>
    <w:aliases w:val="2_G"/>
    <w:basedOn w:val="FootnoteText"/>
    <w:rsid w:val="005F7AAD"/>
  </w:style>
  <w:style w:type="character" w:styleId="PageNumber">
    <w:name w:val="page number"/>
    <w:aliases w:val="7_G"/>
    <w:rsid w:val="005F7AAD"/>
    <w:rPr>
      <w:rFonts w:ascii="Times New Roman" w:hAnsi="Times New Roman"/>
      <w:b/>
      <w:sz w:val="18"/>
      <w:lang w:val="fr-CH"/>
    </w:rPr>
  </w:style>
  <w:style w:type="paragraph" w:styleId="Footer">
    <w:name w:val="footer"/>
    <w:aliases w:val="3_G"/>
    <w:basedOn w:val="Normal"/>
    <w:next w:val="Normal"/>
    <w:rsid w:val="005F7AAD"/>
    <w:pPr>
      <w:spacing w:line="240" w:lineRule="auto"/>
    </w:pPr>
    <w:rPr>
      <w:sz w:val="16"/>
    </w:rPr>
  </w:style>
  <w:style w:type="table" w:styleId="TableGrid">
    <w:name w:val="Table Grid"/>
    <w:basedOn w:val="TableNormal"/>
    <w:semiHidden/>
    <w:rsid w:val="005F7A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ParNoG">
    <w:name w:val="_ParNo_G"/>
    <w:basedOn w:val="SingleTxtG"/>
    <w:rsid w:val="000E77DC"/>
    <w:pPr>
      <w:numPr>
        <w:numId w:val="5"/>
      </w:numPr>
    </w:pPr>
  </w:style>
  <w:style w:type="character" w:styleId="Hyperlink">
    <w:name w:val="Hyperlink"/>
    <w:semiHidden/>
    <w:rsid w:val="005F7AAD"/>
    <w:rPr>
      <w:color w:val="auto"/>
      <w:u w:val="none"/>
    </w:rPr>
  </w:style>
  <w:style w:type="character" w:styleId="FollowedHyperlink">
    <w:name w:val="FollowedHyperlink"/>
    <w:semiHidden/>
    <w:rsid w:val="005F7AAD"/>
    <w:rPr>
      <w:color w:val="auto"/>
      <w:u w:val="none"/>
    </w:rPr>
  </w:style>
  <w:style w:type="character" w:customStyle="1" w:styleId="HChGChar">
    <w:name w:val="_ H _Ch_G Char"/>
    <w:link w:val="HChG"/>
    <w:rsid w:val="005818C6"/>
    <w:rPr>
      <w:b/>
      <w:sz w:val="28"/>
      <w:lang w:val="fr-CH" w:eastAsia="en-US" w:bidi="ar-SA"/>
    </w:rPr>
  </w:style>
  <w:style w:type="character" w:customStyle="1" w:styleId="SingleTxtGChar">
    <w:name w:val="_ Single Txt_G Char"/>
    <w:link w:val="SingleTxtG"/>
    <w:rsid w:val="005818C6"/>
    <w:rPr>
      <w:lang w:val="fr-CH" w:eastAsia="en-US" w:bidi="ar-SA"/>
    </w:rPr>
  </w:style>
  <w:style w:type="paragraph" w:styleId="BalloonText">
    <w:name w:val="Balloon Text"/>
    <w:basedOn w:val="Normal"/>
    <w:link w:val="BalloonTextChar"/>
    <w:rsid w:val="00D4516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45162"/>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CE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46A95-8B44-45ED-BCE5-5CE27124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ECE11.dot</Template>
  <TotalTime>7</TotalTime>
  <Pages>3</Pages>
  <Words>1056</Words>
  <Characters>6023</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ECE/TRANS/WP.11/2013/12</vt:lpstr>
      <vt:lpstr>ECE/TRANS/WP.11/2013/12</vt:lpstr>
    </vt:vector>
  </TitlesOfParts>
  <Company>CSD</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ECE/TRANS/WP.11/2013/12</dc:title>
  <dc:subject>F</dc:subject>
  <dc:creator>C. Ronfini</dc:creator>
  <cp:lastModifiedBy>Caillot</cp:lastModifiedBy>
  <cp:revision>4</cp:revision>
  <cp:lastPrinted>2015-07-10T10:02:00Z</cp:lastPrinted>
  <dcterms:created xsi:type="dcterms:W3CDTF">2015-07-10T12:13:00Z</dcterms:created>
  <dcterms:modified xsi:type="dcterms:W3CDTF">2015-07-10T12:20:00Z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03c9ae83-87f2-45fd-8956-8dd2160c03c8</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