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5F" w:rsidRPr="0002611B" w:rsidRDefault="0061245F" w:rsidP="0061245F">
      <w:pPr>
        <w:spacing w:line="240" w:lineRule="auto"/>
        <w:rPr>
          <w:sz w:val="2"/>
          <w:lang w:val="fr-CH"/>
        </w:rPr>
        <w:sectPr w:rsidR="0061245F" w:rsidRPr="0002611B" w:rsidSect="0061245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02611B">
        <w:rPr>
          <w:rStyle w:val="CommentReference"/>
          <w:lang w:val="fr-CH"/>
        </w:rPr>
        <w:commentReference w:id="0"/>
      </w:r>
      <w:bookmarkStart w:id="1" w:name="_GoBack"/>
      <w:bookmarkEnd w:id="1"/>
    </w:p>
    <w:p w:rsidR="0061245F" w:rsidRPr="0002611B" w:rsidRDefault="0061245F" w:rsidP="0061245F">
      <w:pPr>
        <w:pStyle w:val="H1"/>
        <w:spacing w:after="120"/>
        <w:rPr>
          <w:sz w:val="28"/>
          <w:lang w:val="fr-CH"/>
        </w:rPr>
      </w:pPr>
      <w:r w:rsidRPr="0002611B">
        <w:rPr>
          <w:sz w:val="28"/>
          <w:lang w:val="fr-CH"/>
        </w:rPr>
        <w:lastRenderedPageBreak/>
        <w:t>Commission économique pour l’Europe</w:t>
      </w:r>
    </w:p>
    <w:p w:rsidR="0061245F" w:rsidRPr="0002611B" w:rsidRDefault="0061245F" w:rsidP="0061245F">
      <w:pPr>
        <w:pStyle w:val="H1"/>
        <w:spacing w:after="120" w:line="300" w:lineRule="exact"/>
        <w:rPr>
          <w:b w:val="0"/>
          <w:sz w:val="28"/>
          <w:lang w:val="fr-CH"/>
        </w:rPr>
      </w:pPr>
      <w:r w:rsidRPr="0002611B">
        <w:rPr>
          <w:b w:val="0"/>
          <w:sz w:val="28"/>
          <w:lang w:val="fr-CH"/>
        </w:rPr>
        <w:t>Comité des transports intérieurs</w:t>
      </w:r>
    </w:p>
    <w:p w:rsidR="0018707A" w:rsidRPr="0002611B" w:rsidRDefault="0018707A" w:rsidP="001870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611B">
        <w:rPr>
          <w:lang w:val="fr-CH"/>
        </w:rPr>
        <w:t>Groupe de travail des transports</w:t>
      </w:r>
    </w:p>
    <w:p w:rsidR="0018707A" w:rsidRPr="0002611B" w:rsidRDefault="0018707A" w:rsidP="001870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proofErr w:type="gramStart"/>
      <w:r w:rsidRPr="0002611B">
        <w:rPr>
          <w:lang w:val="fr-CH"/>
        </w:rPr>
        <w:t>de</w:t>
      </w:r>
      <w:proofErr w:type="gramEnd"/>
      <w:r w:rsidRPr="0002611B">
        <w:rPr>
          <w:lang w:val="fr-CH"/>
        </w:rPr>
        <w:t xml:space="preserve"> marchandises dangereuses</w:t>
      </w:r>
    </w:p>
    <w:p w:rsidR="0018707A" w:rsidRPr="0002611B" w:rsidRDefault="0018707A" w:rsidP="0018707A">
      <w:pPr>
        <w:spacing w:line="120" w:lineRule="exact"/>
        <w:rPr>
          <w:b/>
          <w:sz w:val="10"/>
          <w:lang w:val="fr-CH"/>
        </w:rPr>
      </w:pPr>
    </w:p>
    <w:p w:rsidR="0018707A" w:rsidRPr="0002611B" w:rsidRDefault="0018707A" w:rsidP="001870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611B">
        <w:rPr>
          <w:lang w:val="fr-CH"/>
        </w:rPr>
        <w:t xml:space="preserve">Réunion commune d’experts sur le Règlement annexé à l’Accord </w:t>
      </w:r>
      <w:r w:rsidRPr="0002611B">
        <w:rPr>
          <w:lang w:val="fr-CH"/>
        </w:rPr>
        <w:br/>
        <w:t xml:space="preserve">européen relatif au transport international des marchandises </w:t>
      </w:r>
      <w:r w:rsidRPr="0002611B">
        <w:rPr>
          <w:lang w:val="fr-CH"/>
        </w:rPr>
        <w:br/>
        <w:t xml:space="preserve">dangereuses par voies de navigation intérieures (ADN) </w:t>
      </w:r>
      <w:r w:rsidRPr="0002611B">
        <w:rPr>
          <w:lang w:val="fr-CH"/>
        </w:rPr>
        <w:br/>
        <w:t>(Comité de sécurité de l’ADN)</w:t>
      </w:r>
    </w:p>
    <w:p w:rsidR="0018707A" w:rsidRPr="0002611B" w:rsidRDefault="0018707A" w:rsidP="0018707A">
      <w:pPr>
        <w:spacing w:line="120" w:lineRule="exact"/>
        <w:rPr>
          <w:b/>
          <w:sz w:val="10"/>
          <w:lang w:val="fr-CH"/>
        </w:rPr>
      </w:pPr>
    </w:p>
    <w:p w:rsidR="0018707A" w:rsidRPr="0002611B" w:rsidRDefault="0018707A" w:rsidP="001870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Vingt-septième session</w:t>
      </w:r>
    </w:p>
    <w:p w:rsidR="0018707A" w:rsidRPr="0002611B" w:rsidRDefault="0018707A" w:rsidP="001870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2611B">
        <w:rPr>
          <w:lang w:val="fr-CH"/>
        </w:rPr>
        <w:t>Genève, 24-28 août 2015</w:t>
      </w:r>
    </w:p>
    <w:p w:rsidR="0018707A" w:rsidRPr="0002611B" w:rsidRDefault="0018707A" w:rsidP="001870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2611B">
        <w:rPr>
          <w:lang w:val="fr-CH"/>
        </w:rPr>
        <w:t>Point 1 de l’ordre du jour provisoire</w:t>
      </w:r>
    </w:p>
    <w:p w:rsidR="0018707A" w:rsidRPr="0002611B" w:rsidRDefault="0018707A" w:rsidP="001870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Adoption de l’ordre du jour</w:t>
      </w:r>
    </w:p>
    <w:p w:rsidR="0018707A" w:rsidRPr="0002611B" w:rsidRDefault="0018707A" w:rsidP="0018707A">
      <w:pPr>
        <w:pStyle w:val="SingleTxt"/>
        <w:spacing w:after="0" w:line="120" w:lineRule="exact"/>
        <w:ind w:left="0"/>
        <w:rPr>
          <w:sz w:val="10"/>
          <w:lang w:val="fr-CH"/>
        </w:rPr>
      </w:pPr>
    </w:p>
    <w:p w:rsidR="0018707A" w:rsidRPr="0002611B" w:rsidRDefault="0018707A" w:rsidP="0018707A">
      <w:pPr>
        <w:pStyle w:val="SingleTxt"/>
        <w:spacing w:after="0" w:line="120" w:lineRule="exact"/>
        <w:ind w:left="0"/>
        <w:rPr>
          <w:sz w:val="10"/>
          <w:lang w:val="fr-CH"/>
        </w:rPr>
      </w:pPr>
    </w:p>
    <w:p w:rsidR="0018707A" w:rsidRPr="0002611B" w:rsidRDefault="0018707A" w:rsidP="0018707A">
      <w:pPr>
        <w:pStyle w:val="SingleTxt"/>
        <w:spacing w:after="0" w:line="120" w:lineRule="exact"/>
        <w:ind w:left="0"/>
        <w:rPr>
          <w:sz w:val="10"/>
          <w:lang w:val="fr-CH"/>
        </w:rPr>
      </w:pPr>
    </w:p>
    <w:p w:rsidR="0018707A" w:rsidRPr="0002611B" w:rsidRDefault="0018707A" w:rsidP="004C29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r>
      <w:r w:rsidRPr="0002611B">
        <w:rPr>
          <w:lang w:val="fr-CH"/>
        </w:rPr>
        <w:tab/>
        <w:t>Ordre du jour provisoire de la session</w:t>
      </w:r>
      <w:r w:rsidR="004C29C9" w:rsidRPr="0002611B">
        <w:rPr>
          <w:rStyle w:val="FootnoteReference"/>
          <w:b w:val="0"/>
          <w:sz w:val="20"/>
          <w:szCs w:val="20"/>
          <w:lang w:val="fr-CH"/>
        </w:rPr>
        <w:footnoteReference w:id="1"/>
      </w:r>
    </w:p>
    <w:p w:rsidR="004C29C9" w:rsidRPr="0002611B" w:rsidRDefault="004C29C9" w:rsidP="004C29C9">
      <w:pPr>
        <w:pStyle w:val="SingleTxt"/>
        <w:spacing w:after="0" w:line="120" w:lineRule="exact"/>
        <w:rPr>
          <w:b/>
          <w:sz w:val="10"/>
          <w:lang w:val="fr-CH"/>
        </w:rPr>
      </w:pPr>
    </w:p>
    <w:p w:rsidR="004C29C9" w:rsidRPr="0002611B" w:rsidRDefault="004C29C9" w:rsidP="004C29C9">
      <w:pPr>
        <w:pStyle w:val="SingleTxt"/>
        <w:spacing w:after="0" w:line="120" w:lineRule="exact"/>
        <w:rPr>
          <w:b/>
          <w:sz w:val="10"/>
          <w:lang w:val="fr-CH"/>
        </w:rPr>
      </w:pPr>
    </w:p>
    <w:p w:rsidR="0018707A" w:rsidRPr="0002611B" w:rsidRDefault="0018707A" w:rsidP="004C2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r>
      <w:r w:rsidRPr="0002611B">
        <w:rPr>
          <w:lang w:val="fr-CH"/>
        </w:rPr>
        <w:tab/>
        <w:t>Additif</w:t>
      </w:r>
    </w:p>
    <w:p w:rsidR="004C29C9" w:rsidRPr="0002611B" w:rsidRDefault="004C29C9" w:rsidP="004C29C9">
      <w:pPr>
        <w:pStyle w:val="SingleTxt"/>
        <w:spacing w:after="0" w:line="120" w:lineRule="exact"/>
        <w:rPr>
          <w:b/>
          <w:sz w:val="10"/>
          <w:lang w:val="fr-CH"/>
        </w:rPr>
      </w:pPr>
    </w:p>
    <w:p w:rsidR="004C29C9" w:rsidRPr="0002611B" w:rsidRDefault="004C29C9" w:rsidP="004C29C9">
      <w:pPr>
        <w:pStyle w:val="SingleTxt"/>
        <w:spacing w:after="0" w:line="120" w:lineRule="exact"/>
        <w:rPr>
          <w:b/>
          <w:sz w:val="10"/>
          <w:lang w:val="fr-CH"/>
        </w:rPr>
      </w:pPr>
    </w:p>
    <w:p w:rsidR="0018707A" w:rsidRPr="0002611B" w:rsidRDefault="0018707A" w:rsidP="00F178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r>
      <w:r w:rsidRPr="0002611B">
        <w:rPr>
          <w:lang w:val="fr-CH"/>
        </w:rPr>
        <w:tab/>
        <w:t xml:space="preserve">Liste des documents classés par point de l’ordre du jour </w:t>
      </w:r>
      <w:r w:rsidR="004C29C9" w:rsidRPr="0002611B">
        <w:rPr>
          <w:lang w:val="fr-CH"/>
        </w:rPr>
        <w:br/>
      </w:r>
      <w:r w:rsidRPr="0002611B">
        <w:rPr>
          <w:lang w:val="fr-CH"/>
        </w:rPr>
        <w:t>et annotations</w:t>
      </w:r>
    </w:p>
    <w:p w:rsidR="004C29C9" w:rsidRPr="0002611B" w:rsidRDefault="004C29C9" w:rsidP="004C29C9">
      <w:pPr>
        <w:pStyle w:val="SingleTxt"/>
        <w:spacing w:after="0" w:line="120" w:lineRule="exact"/>
        <w:rPr>
          <w:b/>
          <w:sz w:val="10"/>
          <w:lang w:val="fr-CH"/>
        </w:rPr>
      </w:pPr>
    </w:p>
    <w:p w:rsidR="004C29C9" w:rsidRPr="0002611B" w:rsidRDefault="004C29C9" w:rsidP="004C29C9">
      <w:pPr>
        <w:pStyle w:val="SingleTxt"/>
        <w:spacing w:after="0" w:line="120" w:lineRule="exact"/>
        <w:rPr>
          <w:b/>
          <w:sz w:val="10"/>
          <w:lang w:val="fr-CH"/>
        </w:rPr>
      </w:pPr>
    </w:p>
    <w:p w:rsidR="0018707A" w:rsidRPr="0002611B" w:rsidRDefault="0018707A" w:rsidP="004C2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1.</w:t>
      </w:r>
      <w:r w:rsidRPr="0002611B">
        <w:rPr>
          <w:lang w:val="fr-CH"/>
        </w:rPr>
        <w:tab/>
        <w:t>Adoption de l’ordre du jour</w:t>
      </w:r>
    </w:p>
    <w:p w:rsidR="004C29C9" w:rsidRPr="0002611B" w:rsidRDefault="004C29C9" w:rsidP="004C29C9">
      <w:pPr>
        <w:pStyle w:val="SingleTxt"/>
        <w:spacing w:after="0" w:line="120" w:lineRule="exact"/>
        <w:rPr>
          <w:b/>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821"/>
        <w:gridCol w:w="3667"/>
      </w:tblGrid>
      <w:tr w:rsidR="004C29C9" w:rsidRPr="0002611B" w:rsidTr="00F1784B">
        <w:tc>
          <w:tcPr>
            <w:tcW w:w="3766" w:type="dxa"/>
            <w:shd w:val="clear" w:color="auto" w:fill="auto"/>
          </w:tcPr>
          <w:p w:rsidR="004C29C9" w:rsidRPr="0002611B" w:rsidRDefault="00AD7BCA" w:rsidP="0015277B">
            <w:pPr>
              <w:spacing w:after="120"/>
              <w:rPr>
                <w:lang w:val="fr-CH"/>
              </w:rPr>
            </w:pPr>
            <w:hyperlink r:id="rId16" w:history="1">
              <w:r w:rsidR="004C29C9" w:rsidRPr="008C59F1">
                <w:rPr>
                  <w:rStyle w:val="Hyperlink"/>
                  <w:lang w:val="fr-CH"/>
                </w:rPr>
                <w:t>ECE/TRANS/WP.15/AC.2/55</w:t>
              </w:r>
            </w:hyperlink>
            <w:r w:rsidR="004C29C9" w:rsidRPr="0002611B">
              <w:rPr>
                <w:lang w:val="fr-CH"/>
              </w:rPr>
              <w:t xml:space="preserve"> </w:t>
            </w:r>
            <w:r w:rsidR="0015277B">
              <w:rPr>
                <w:lang w:val="fr-CH"/>
              </w:rPr>
              <w:br/>
            </w:r>
            <w:r w:rsidR="004C29C9" w:rsidRPr="0002611B">
              <w:rPr>
                <w:lang w:val="fr-CH"/>
              </w:rPr>
              <w:t>(</w:t>
            </w:r>
            <w:r w:rsidR="0015277B">
              <w:rPr>
                <w:lang w:val="fr-CH"/>
              </w:rPr>
              <w:t>s</w:t>
            </w:r>
            <w:r w:rsidR="004C29C9" w:rsidRPr="0002611B">
              <w:rPr>
                <w:lang w:val="fr-CH"/>
              </w:rPr>
              <w:t>ecrétariat)</w:t>
            </w:r>
          </w:p>
        </w:tc>
        <w:tc>
          <w:tcPr>
            <w:tcW w:w="3614" w:type="dxa"/>
            <w:shd w:val="clear" w:color="auto" w:fill="auto"/>
          </w:tcPr>
          <w:p w:rsidR="004C29C9" w:rsidRPr="0002611B" w:rsidRDefault="004C29C9" w:rsidP="004C29C9">
            <w:pPr>
              <w:spacing w:after="120"/>
              <w:rPr>
                <w:lang w:val="fr-CH"/>
              </w:rPr>
            </w:pPr>
            <w:r w:rsidRPr="0002611B">
              <w:rPr>
                <w:lang w:val="fr-CH"/>
              </w:rPr>
              <w:t>Ordre du jour provisoire</w:t>
            </w:r>
          </w:p>
        </w:tc>
      </w:tr>
      <w:tr w:rsidR="004C29C9" w:rsidRPr="0002611B" w:rsidTr="00F1784B">
        <w:tc>
          <w:tcPr>
            <w:tcW w:w="3766" w:type="dxa"/>
            <w:shd w:val="clear" w:color="auto" w:fill="auto"/>
          </w:tcPr>
          <w:p w:rsidR="004C29C9" w:rsidRPr="0002611B" w:rsidRDefault="004C29C9" w:rsidP="0015277B">
            <w:pPr>
              <w:spacing w:after="120"/>
              <w:rPr>
                <w:lang w:val="fr-CH"/>
              </w:rPr>
            </w:pPr>
            <w:r w:rsidRPr="0002611B">
              <w:rPr>
                <w:lang w:val="fr-CH"/>
              </w:rPr>
              <w:t>ECE/TRANS/WP.15/AC.2/55/Add.1 (</w:t>
            </w:r>
            <w:r w:rsidR="0015277B">
              <w:rPr>
                <w:lang w:val="fr-CH"/>
              </w:rPr>
              <w:t>s</w:t>
            </w:r>
            <w:r w:rsidRPr="0002611B">
              <w:rPr>
                <w:lang w:val="fr-CH"/>
              </w:rPr>
              <w:t>ecrétariat)</w:t>
            </w:r>
          </w:p>
        </w:tc>
        <w:tc>
          <w:tcPr>
            <w:tcW w:w="3614" w:type="dxa"/>
            <w:shd w:val="clear" w:color="auto" w:fill="auto"/>
          </w:tcPr>
          <w:p w:rsidR="004C29C9" w:rsidRPr="0002611B" w:rsidRDefault="004C29C9" w:rsidP="004C29C9">
            <w:pPr>
              <w:spacing w:after="120"/>
              <w:rPr>
                <w:lang w:val="fr-CH"/>
              </w:rPr>
            </w:pPr>
            <w:r w:rsidRPr="0002611B">
              <w:rPr>
                <w:lang w:val="fr-CH"/>
              </w:rPr>
              <w:t>Liste des documents classés par point de l’ordre du jour et annotations</w:t>
            </w:r>
          </w:p>
        </w:tc>
      </w:tr>
      <w:tr w:rsidR="004C29C9" w:rsidRPr="0002611B" w:rsidTr="00F1784B">
        <w:tc>
          <w:tcPr>
            <w:tcW w:w="3766" w:type="dxa"/>
            <w:shd w:val="clear" w:color="auto" w:fill="auto"/>
          </w:tcPr>
          <w:p w:rsidR="004C29C9" w:rsidRPr="0002611B" w:rsidRDefault="004C29C9" w:rsidP="0015277B">
            <w:pPr>
              <w:spacing w:after="120"/>
              <w:rPr>
                <w:lang w:val="fr-CH"/>
              </w:rPr>
            </w:pPr>
            <w:r w:rsidRPr="0002611B">
              <w:rPr>
                <w:lang w:val="fr-CH"/>
              </w:rPr>
              <w:t>Document informel INF.1 (</w:t>
            </w:r>
            <w:r w:rsidR="0015277B">
              <w:rPr>
                <w:lang w:val="fr-CH"/>
              </w:rPr>
              <w:t>s</w:t>
            </w:r>
            <w:r w:rsidRPr="0002611B">
              <w:rPr>
                <w:lang w:val="fr-CH"/>
              </w:rPr>
              <w:t>ecrétariat)</w:t>
            </w:r>
          </w:p>
        </w:tc>
        <w:tc>
          <w:tcPr>
            <w:tcW w:w="3614" w:type="dxa"/>
            <w:shd w:val="clear" w:color="auto" w:fill="auto"/>
          </w:tcPr>
          <w:p w:rsidR="004C29C9" w:rsidRPr="0002611B" w:rsidRDefault="004C29C9" w:rsidP="004C29C9">
            <w:pPr>
              <w:spacing w:after="120"/>
              <w:rPr>
                <w:lang w:val="fr-CH"/>
              </w:rPr>
            </w:pPr>
            <w:r w:rsidRPr="0002611B">
              <w:rPr>
                <w:lang w:val="fr-CH"/>
              </w:rPr>
              <w:t>Liste de tous les documents classés par point de l’ordre du jour</w:t>
            </w:r>
          </w:p>
        </w:tc>
      </w:tr>
      <w:tr w:rsidR="004C29C9" w:rsidRPr="0002611B" w:rsidTr="00F1784B">
        <w:tc>
          <w:tcPr>
            <w:tcW w:w="3766" w:type="dxa"/>
            <w:shd w:val="clear" w:color="auto" w:fill="auto"/>
          </w:tcPr>
          <w:p w:rsidR="004C29C9" w:rsidRPr="0002611B" w:rsidRDefault="004C29C9" w:rsidP="00E06BD6">
            <w:pPr>
              <w:spacing w:after="120"/>
              <w:rPr>
                <w:lang w:val="fr-CH"/>
              </w:rPr>
            </w:pPr>
            <w:r w:rsidRPr="0002611B">
              <w:rPr>
                <w:lang w:val="fr-CH"/>
              </w:rPr>
              <w:t>Documents de référence</w:t>
            </w:r>
          </w:p>
        </w:tc>
        <w:tc>
          <w:tcPr>
            <w:tcW w:w="3614" w:type="dxa"/>
            <w:shd w:val="clear" w:color="auto" w:fill="auto"/>
          </w:tcPr>
          <w:p w:rsidR="004C29C9" w:rsidRPr="0002611B" w:rsidRDefault="004C29C9" w:rsidP="00E06BD6">
            <w:pPr>
              <w:spacing w:after="120"/>
              <w:rPr>
                <w:lang w:val="fr-CH"/>
              </w:rPr>
            </w:pPr>
          </w:p>
        </w:tc>
      </w:tr>
      <w:tr w:rsidR="004C29C9" w:rsidRPr="0002611B" w:rsidTr="00F1784B">
        <w:tc>
          <w:tcPr>
            <w:tcW w:w="3766" w:type="dxa"/>
            <w:shd w:val="clear" w:color="auto" w:fill="auto"/>
          </w:tcPr>
          <w:p w:rsidR="004C29C9" w:rsidRPr="0002611B" w:rsidRDefault="004C29C9" w:rsidP="00E06BD6">
            <w:pPr>
              <w:spacing w:after="120"/>
              <w:rPr>
                <w:lang w:val="fr-CH"/>
              </w:rPr>
            </w:pPr>
            <w:r w:rsidRPr="0002611B">
              <w:rPr>
                <w:lang w:val="fr-CH"/>
              </w:rPr>
              <w:t>ECE/TRANS/243, vol. I et II</w:t>
            </w:r>
          </w:p>
        </w:tc>
        <w:tc>
          <w:tcPr>
            <w:tcW w:w="3614" w:type="dxa"/>
            <w:shd w:val="clear" w:color="auto" w:fill="auto"/>
          </w:tcPr>
          <w:p w:rsidR="004C29C9" w:rsidRPr="0002611B" w:rsidRDefault="004C29C9" w:rsidP="00E06BD6">
            <w:pPr>
              <w:spacing w:after="120"/>
              <w:rPr>
                <w:lang w:val="fr-CH"/>
              </w:rPr>
            </w:pPr>
            <w:r w:rsidRPr="0002611B">
              <w:rPr>
                <w:lang w:val="fr-CH"/>
              </w:rPr>
              <w:t>ADN 2015</w:t>
            </w:r>
          </w:p>
        </w:tc>
      </w:tr>
      <w:tr w:rsidR="004C29C9" w:rsidRPr="0002611B" w:rsidTr="00F1784B">
        <w:tc>
          <w:tcPr>
            <w:tcW w:w="3766" w:type="dxa"/>
            <w:shd w:val="clear" w:color="auto" w:fill="auto"/>
          </w:tcPr>
          <w:p w:rsidR="004C29C9" w:rsidRPr="0002611B" w:rsidRDefault="00AD7BCA" w:rsidP="00E06BD6">
            <w:pPr>
              <w:spacing w:after="120"/>
              <w:rPr>
                <w:lang w:val="fr-CH"/>
              </w:rPr>
            </w:pPr>
            <w:hyperlink r:id="rId17" w:history="1">
              <w:r w:rsidR="004C29C9" w:rsidRPr="008C59F1">
                <w:rPr>
                  <w:rStyle w:val="Hyperlink"/>
                  <w:lang w:val="fr-CH"/>
                </w:rPr>
                <w:t>ECE/TRANS/243/Corr.1</w:t>
              </w:r>
            </w:hyperlink>
            <w:r w:rsidR="004C29C9" w:rsidRPr="0002611B">
              <w:rPr>
                <w:lang w:val="fr-CH"/>
              </w:rPr>
              <w:t xml:space="preserve"> </w:t>
            </w:r>
            <w:r w:rsidR="004C29C9" w:rsidRPr="0002611B">
              <w:rPr>
                <w:lang w:val="fr-CH"/>
              </w:rPr>
              <w:br/>
              <w:t>(en français seulement)</w:t>
            </w:r>
          </w:p>
        </w:tc>
        <w:tc>
          <w:tcPr>
            <w:tcW w:w="3614" w:type="dxa"/>
            <w:shd w:val="clear" w:color="auto" w:fill="auto"/>
          </w:tcPr>
          <w:p w:rsidR="004C29C9" w:rsidRPr="0002611B" w:rsidRDefault="004C29C9" w:rsidP="0015277B">
            <w:pPr>
              <w:spacing w:after="120"/>
              <w:rPr>
                <w:lang w:val="fr-CH"/>
              </w:rPr>
            </w:pPr>
            <w:r w:rsidRPr="0002611B">
              <w:rPr>
                <w:lang w:val="fr-CH"/>
              </w:rPr>
              <w:t xml:space="preserve">Rectificatif </w:t>
            </w:r>
            <w:r w:rsidR="0015277B">
              <w:rPr>
                <w:lang w:val="fr-CH"/>
              </w:rPr>
              <w:t>à</w:t>
            </w:r>
            <w:r w:rsidRPr="0002611B">
              <w:rPr>
                <w:lang w:val="fr-CH"/>
              </w:rPr>
              <w:t xml:space="preserve"> l’ADN 2015</w:t>
            </w:r>
          </w:p>
        </w:tc>
      </w:tr>
      <w:tr w:rsidR="004C29C9" w:rsidRPr="0002611B" w:rsidTr="00F1784B">
        <w:tc>
          <w:tcPr>
            <w:tcW w:w="3766" w:type="dxa"/>
            <w:shd w:val="clear" w:color="auto" w:fill="auto"/>
          </w:tcPr>
          <w:p w:rsidR="004C29C9" w:rsidRPr="0002611B" w:rsidRDefault="004C29C9" w:rsidP="004C29C9">
            <w:pPr>
              <w:keepNext/>
              <w:spacing w:after="120"/>
              <w:rPr>
                <w:lang w:val="fr-CH"/>
              </w:rPr>
            </w:pPr>
            <w:r w:rsidRPr="0002611B">
              <w:rPr>
                <w:lang w:val="fr-CH"/>
              </w:rPr>
              <w:lastRenderedPageBreak/>
              <w:t xml:space="preserve">ECE/TRANS/243/Corr.2 </w:t>
            </w:r>
            <w:r w:rsidRPr="0002611B">
              <w:rPr>
                <w:lang w:val="fr-CH"/>
              </w:rPr>
              <w:br/>
              <w:t>(en anglais seulement)</w:t>
            </w:r>
          </w:p>
        </w:tc>
        <w:tc>
          <w:tcPr>
            <w:tcW w:w="3614" w:type="dxa"/>
            <w:shd w:val="clear" w:color="auto" w:fill="auto"/>
          </w:tcPr>
          <w:p w:rsidR="004C29C9" w:rsidRPr="0002611B" w:rsidRDefault="00E0408B" w:rsidP="0015277B">
            <w:pPr>
              <w:keepNext/>
              <w:spacing w:after="120"/>
              <w:rPr>
                <w:lang w:val="fr-CH"/>
              </w:rPr>
            </w:pPr>
            <w:proofErr w:type="spellStart"/>
            <w:r>
              <w:rPr>
                <w:lang w:val="fr-CH"/>
              </w:rPr>
              <w:t>Corrigendum</w:t>
            </w:r>
            <w:proofErr w:type="spellEnd"/>
            <w:r>
              <w:rPr>
                <w:lang w:val="fr-CH"/>
              </w:rPr>
              <w:t xml:space="preserve"> to </w:t>
            </w:r>
            <w:r w:rsidR="004C29C9" w:rsidRPr="0002611B">
              <w:rPr>
                <w:lang w:val="fr-CH"/>
              </w:rPr>
              <w:t>ADN 2015</w:t>
            </w:r>
          </w:p>
        </w:tc>
      </w:tr>
      <w:tr w:rsidR="004C29C9" w:rsidRPr="0002611B" w:rsidTr="00F1784B">
        <w:tc>
          <w:tcPr>
            <w:tcW w:w="3766" w:type="dxa"/>
            <w:shd w:val="clear" w:color="auto" w:fill="auto"/>
          </w:tcPr>
          <w:p w:rsidR="004C29C9" w:rsidRPr="0002611B" w:rsidRDefault="00AD7BCA" w:rsidP="00E06BD6">
            <w:pPr>
              <w:spacing w:after="120"/>
              <w:rPr>
                <w:lang w:val="fr-CH"/>
              </w:rPr>
            </w:pPr>
            <w:hyperlink r:id="rId18" w:history="1">
              <w:r w:rsidR="004C29C9" w:rsidRPr="008C59F1">
                <w:rPr>
                  <w:rStyle w:val="Hyperlink"/>
                  <w:lang w:val="fr-CH"/>
                </w:rPr>
                <w:t>ECE/TRANS/WP.15/AC.2/54</w:t>
              </w:r>
            </w:hyperlink>
          </w:p>
        </w:tc>
        <w:tc>
          <w:tcPr>
            <w:tcW w:w="3614" w:type="dxa"/>
            <w:shd w:val="clear" w:color="auto" w:fill="auto"/>
          </w:tcPr>
          <w:p w:rsidR="004C29C9" w:rsidRPr="0002611B" w:rsidRDefault="004C29C9" w:rsidP="00E06BD6">
            <w:pPr>
              <w:spacing w:after="120"/>
              <w:rPr>
                <w:lang w:val="fr-CH"/>
              </w:rPr>
            </w:pPr>
            <w:r w:rsidRPr="0002611B">
              <w:rPr>
                <w:lang w:val="fr-CH"/>
              </w:rPr>
              <w:t>Rapport du Comité de sécurité de l’ADN sur sa vingt-sixième session</w:t>
            </w:r>
          </w:p>
        </w:tc>
      </w:tr>
    </w:tbl>
    <w:p w:rsidR="004C29C9" w:rsidRPr="0002611B" w:rsidRDefault="004C29C9" w:rsidP="004C29C9">
      <w:pPr>
        <w:pStyle w:val="SingleTxt"/>
        <w:spacing w:after="0" w:line="120" w:lineRule="exact"/>
        <w:rPr>
          <w:b/>
          <w:sz w:val="10"/>
          <w:lang w:val="fr-CH"/>
        </w:rPr>
      </w:pPr>
    </w:p>
    <w:p w:rsidR="004C29C9" w:rsidRPr="0002611B" w:rsidRDefault="004C29C9" w:rsidP="004C29C9">
      <w:pPr>
        <w:pStyle w:val="SingleTxt"/>
        <w:spacing w:after="0" w:line="120" w:lineRule="exact"/>
        <w:rPr>
          <w:b/>
          <w:sz w:val="10"/>
          <w:lang w:val="fr-CH"/>
        </w:rPr>
      </w:pPr>
    </w:p>
    <w:p w:rsidR="0018707A" w:rsidRPr="0002611B" w:rsidRDefault="0018707A" w:rsidP="004C2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2.</w:t>
      </w:r>
      <w:r w:rsidRPr="0002611B">
        <w:rPr>
          <w:lang w:val="fr-CH"/>
        </w:rPr>
        <w:tab/>
        <w:t xml:space="preserve">Questions découlant des travaux d’organes des Nations Unies </w:t>
      </w:r>
      <w:r w:rsidR="004C29C9" w:rsidRPr="0002611B">
        <w:rPr>
          <w:lang w:val="fr-CH"/>
        </w:rPr>
        <w:br/>
      </w:r>
      <w:r w:rsidR="0015277B">
        <w:rPr>
          <w:lang w:val="fr-CH"/>
        </w:rPr>
        <w:t>ou d’autres organisations</w:t>
      </w:r>
    </w:p>
    <w:p w:rsidR="004C29C9" w:rsidRPr="0002611B" w:rsidRDefault="004C29C9" w:rsidP="004C29C9">
      <w:pPr>
        <w:pStyle w:val="SingleTxt"/>
        <w:spacing w:after="0" w:line="120" w:lineRule="exact"/>
        <w:rPr>
          <w:sz w:val="10"/>
          <w:lang w:val="fr-CH"/>
        </w:rPr>
      </w:pPr>
    </w:p>
    <w:p w:rsidR="0018707A" w:rsidRPr="0002611B" w:rsidRDefault="004C29C9" w:rsidP="0018707A">
      <w:pPr>
        <w:pStyle w:val="SingleTxt"/>
        <w:rPr>
          <w:lang w:val="fr-CH"/>
        </w:rPr>
      </w:pPr>
      <w:r w:rsidRPr="0002611B">
        <w:rPr>
          <w:lang w:val="fr-CH"/>
        </w:rPr>
        <w:tab/>
      </w:r>
      <w:r w:rsidR="0018707A" w:rsidRPr="0002611B">
        <w:rPr>
          <w:lang w:val="fr-CH"/>
        </w:rPr>
        <w:t>Le Comité de sécurité souhaitera sans doute être informé des activités d’autres organes et organisations ayan</w:t>
      </w:r>
      <w:r w:rsidR="00E0408B">
        <w:rPr>
          <w:lang w:val="fr-CH"/>
        </w:rPr>
        <w:t>t une incidence sur ses travaux.</w:t>
      </w:r>
    </w:p>
    <w:p w:rsidR="004C29C9" w:rsidRPr="0002611B" w:rsidRDefault="004C29C9" w:rsidP="004C29C9">
      <w:pPr>
        <w:pStyle w:val="SingleTxt"/>
        <w:spacing w:after="0" w:line="120" w:lineRule="exact"/>
        <w:rPr>
          <w:sz w:val="10"/>
          <w:lang w:val="fr-CH"/>
        </w:rPr>
      </w:pPr>
    </w:p>
    <w:p w:rsidR="0018707A" w:rsidRPr="0002611B" w:rsidRDefault="0018707A" w:rsidP="004C2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3.</w:t>
      </w:r>
      <w:r w:rsidRPr="0002611B">
        <w:rPr>
          <w:lang w:val="fr-CH"/>
        </w:rPr>
        <w:tab/>
        <w:t xml:space="preserve">Mise en œuvre de l’Accord européen relatif au transport international </w:t>
      </w:r>
      <w:r w:rsidR="004C29C9" w:rsidRPr="0002611B">
        <w:rPr>
          <w:lang w:val="fr-CH"/>
        </w:rPr>
        <w:br/>
      </w:r>
      <w:r w:rsidRPr="0002611B">
        <w:rPr>
          <w:lang w:val="fr-CH"/>
        </w:rPr>
        <w:t>des marchandises dangereuses par voies de navigation intérieures (ADN)</w:t>
      </w:r>
    </w:p>
    <w:p w:rsidR="004C29C9" w:rsidRPr="0002611B" w:rsidRDefault="004C29C9" w:rsidP="004C29C9">
      <w:pPr>
        <w:pStyle w:val="SingleTxt"/>
        <w:spacing w:after="0" w:line="120" w:lineRule="exact"/>
        <w:rPr>
          <w:sz w:val="10"/>
          <w:lang w:val="fr-CH"/>
        </w:rPr>
      </w:pPr>
    </w:p>
    <w:p w:rsidR="0018707A" w:rsidRPr="0002611B" w:rsidRDefault="0018707A" w:rsidP="0018707A">
      <w:pPr>
        <w:pStyle w:val="SingleTxt"/>
        <w:rPr>
          <w:lang w:val="fr-CH"/>
        </w:rPr>
      </w:pPr>
      <w:r w:rsidRPr="0002611B">
        <w:rPr>
          <w:lang w:val="fr-CH"/>
        </w:rPr>
        <w:tab/>
        <w:t>a)</w:t>
      </w:r>
      <w:r w:rsidRPr="0002611B">
        <w:rPr>
          <w:lang w:val="fr-CH"/>
        </w:rPr>
        <w:tab/>
        <w:t>État de l’ADN</w:t>
      </w:r>
    </w:p>
    <w:p w:rsidR="0018707A" w:rsidRPr="0002611B" w:rsidRDefault="0018707A" w:rsidP="0018707A">
      <w:pPr>
        <w:pStyle w:val="SingleTxt"/>
        <w:rPr>
          <w:lang w:val="fr-CH"/>
        </w:rPr>
      </w:pPr>
      <w:r w:rsidRPr="0002611B">
        <w:rPr>
          <w:lang w:val="fr-CH"/>
        </w:rPr>
        <w:tab/>
        <w:t>Le Comité de sécurité sera informé de l’état de l’ADN.</w:t>
      </w:r>
    </w:p>
    <w:p w:rsidR="0018707A" w:rsidRPr="0002611B" w:rsidRDefault="0018707A" w:rsidP="0018707A">
      <w:pPr>
        <w:pStyle w:val="SingleTxt"/>
        <w:rPr>
          <w:lang w:val="fr-CH"/>
        </w:rPr>
      </w:pPr>
      <w:r w:rsidRPr="0002611B">
        <w:rPr>
          <w:lang w:val="fr-CH"/>
        </w:rPr>
        <w:tab/>
        <w:t>b)</w:t>
      </w:r>
      <w:r w:rsidRPr="0002611B">
        <w:rPr>
          <w:lang w:val="fr-CH"/>
        </w:rPr>
        <w:tab/>
        <w:t>Autorisations spéciales, dérogations et équivalences</w:t>
      </w:r>
    </w:p>
    <w:p w:rsidR="0018707A" w:rsidRPr="0002611B" w:rsidRDefault="0018707A" w:rsidP="0018707A">
      <w:pPr>
        <w:pStyle w:val="SingleTxt"/>
        <w:rPr>
          <w:lang w:val="fr-CH"/>
        </w:rPr>
      </w:pPr>
      <w:r w:rsidRPr="0002611B">
        <w:rPr>
          <w:lang w:val="fr-CH"/>
        </w:rPr>
        <w:tab/>
        <w:t xml:space="preserve">Les demandes de dérogation </w:t>
      </w:r>
      <w:r w:rsidR="0002611B">
        <w:rPr>
          <w:lang w:val="fr-CH"/>
        </w:rPr>
        <w:t xml:space="preserve">soumises par le </w:t>
      </w:r>
      <w:r w:rsidR="0015277B">
        <w:rPr>
          <w:lang w:val="fr-CH"/>
        </w:rPr>
        <w:t>G</w:t>
      </w:r>
      <w:r w:rsidR="0002611B">
        <w:rPr>
          <w:lang w:val="fr-CH"/>
        </w:rPr>
        <w:t>ouvernement né</w:t>
      </w:r>
      <w:r w:rsidRPr="0002611B">
        <w:rPr>
          <w:lang w:val="fr-CH"/>
        </w:rPr>
        <w:t>erlandais figurent dans les documents informels INF.4 et INF.6.</w:t>
      </w:r>
    </w:p>
    <w:p w:rsidR="0018707A" w:rsidRPr="0002611B" w:rsidRDefault="0018707A" w:rsidP="0018707A">
      <w:pPr>
        <w:pStyle w:val="SingleTxt"/>
        <w:rPr>
          <w:lang w:val="fr-CH"/>
        </w:rPr>
      </w:pPr>
      <w:r w:rsidRPr="0002611B">
        <w:rPr>
          <w:lang w:val="fr-CH"/>
        </w:rPr>
        <w:tab/>
        <w:t>c)</w:t>
      </w:r>
      <w:r w:rsidRPr="0002611B">
        <w:rPr>
          <w:lang w:val="fr-CH"/>
        </w:rPr>
        <w:tab/>
        <w:t>Interpréta</w:t>
      </w:r>
      <w:r w:rsidR="00E0408B">
        <w:rPr>
          <w:lang w:val="fr-CH"/>
        </w:rPr>
        <w:t>tion du Règlement annexé à l’ADN</w:t>
      </w:r>
    </w:p>
    <w:p w:rsidR="00A25BC6" w:rsidRPr="0002611B" w:rsidRDefault="00A25BC6" w:rsidP="00A25BC6">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821"/>
        <w:gridCol w:w="3667"/>
      </w:tblGrid>
      <w:tr w:rsidR="004C29C9" w:rsidRPr="0002611B" w:rsidTr="00F1784B">
        <w:tc>
          <w:tcPr>
            <w:tcW w:w="3766" w:type="dxa"/>
            <w:shd w:val="clear" w:color="auto" w:fill="auto"/>
          </w:tcPr>
          <w:p w:rsidR="004C29C9" w:rsidRPr="0002611B" w:rsidRDefault="00AD7BCA" w:rsidP="00E06BD6">
            <w:pPr>
              <w:spacing w:after="120"/>
              <w:rPr>
                <w:lang w:val="fr-CH"/>
              </w:rPr>
            </w:pPr>
            <w:hyperlink r:id="rId19" w:history="1">
              <w:r w:rsidR="004C29C9" w:rsidRPr="008C59F1">
                <w:rPr>
                  <w:rStyle w:val="Hyperlink"/>
                  <w:lang w:val="fr-CH"/>
                </w:rPr>
                <w:t>ECE/TRANS/WP.15/AC.2/2015/11</w:t>
              </w:r>
            </w:hyperlink>
            <w:r w:rsidR="004C29C9" w:rsidRPr="0002611B">
              <w:rPr>
                <w:lang w:val="fr-CH"/>
              </w:rPr>
              <w:t xml:space="preserve"> (Allemagne)</w:t>
            </w:r>
          </w:p>
        </w:tc>
        <w:tc>
          <w:tcPr>
            <w:tcW w:w="3614" w:type="dxa"/>
            <w:shd w:val="clear" w:color="auto" w:fill="auto"/>
          </w:tcPr>
          <w:p w:rsidR="004C29C9" w:rsidRPr="0002611B" w:rsidRDefault="004C29C9" w:rsidP="00E06BD6">
            <w:pPr>
              <w:spacing w:after="120"/>
              <w:rPr>
                <w:lang w:val="fr-CH"/>
              </w:rPr>
            </w:pPr>
            <w:r w:rsidRPr="0002611B">
              <w:rPr>
                <w:lang w:val="fr-CH"/>
              </w:rPr>
              <w:t>Obligations du chargeur et du déchargeur</w:t>
            </w:r>
            <w:r w:rsidR="0015277B">
              <w:rPr>
                <w:lang w:val="fr-CH"/>
              </w:rPr>
              <w:t>,</w:t>
            </w:r>
            <w:r w:rsidRPr="0002611B">
              <w:rPr>
                <w:lang w:val="fr-CH"/>
              </w:rPr>
              <w:t xml:space="preserve"> 1.4.3.3 s) et 1.4.3.7.1 j)</w:t>
            </w:r>
          </w:p>
        </w:tc>
      </w:tr>
      <w:tr w:rsidR="004C29C9" w:rsidRPr="0002611B" w:rsidTr="00F1784B">
        <w:tc>
          <w:tcPr>
            <w:tcW w:w="3766" w:type="dxa"/>
            <w:shd w:val="clear" w:color="auto" w:fill="auto"/>
          </w:tcPr>
          <w:p w:rsidR="004C29C9" w:rsidRPr="0002611B" w:rsidRDefault="00AD7BCA" w:rsidP="00E06BD6">
            <w:pPr>
              <w:spacing w:after="120"/>
              <w:rPr>
                <w:lang w:val="fr-CH"/>
              </w:rPr>
            </w:pPr>
            <w:hyperlink r:id="rId20" w:history="1">
              <w:r w:rsidR="004C29C9" w:rsidRPr="008C59F1">
                <w:rPr>
                  <w:rStyle w:val="Hyperlink"/>
                  <w:lang w:val="fr-CH"/>
                </w:rPr>
                <w:t>ECE/TRANS/WP.15/AC.2/2015/13</w:t>
              </w:r>
            </w:hyperlink>
            <w:r w:rsidR="004C29C9" w:rsidRPr="0002611B">
              <w:rPr>
                <w:lang w:val="fr-CH"/>
              </w:rPr>
              <w:t xml:space="preserve"> (Allemagne)</w:t>
            </w:r>
          </w:p>
        </w:tc>
        <w:tc>
          <w:tcPr>
            <w:tcW w:w="3614" w:type="dxa"/>
            <w:shd w:val="clear" w:color="auto" w:fill="auto"/>
          </w:tcPr>
          <w:p w:rsidR="004C29C9" w:rsidRPr="0002611B" w:rsidRDefault="004C29C9" w:rsidP="00E06BD6">
            <w:pPr>
              <w:spacing w:after="120"/>
              <w:rPr>
                <w:lang w:val="fr-CH"/>
              </w:rPr>
            </w:pPr>
            <w:r w:rsidRPr="0002611B">
              <w:rPr>
                <w:lang w:val="fr-CH"/>
              </w:rPr>
              <w:t xml:space="preserve">Prescriptions techniques relatives aux détecteurs de gaz et </w:t>
            </w:r>
            <w:proofErr w:type="spellStart"/>
            <w:r w:rsidRPr="0002611B">
              <w:rPr>
                <w:lang w:val="fr-CH"/>
              </w:rPr>
              <w:t>toximètres</w:t>
            </w:r>
            <w:proofErr w:type="spellEnd"/>
            <w:r w:rsidR="0015277B">
              <w:rPr>
                <w:lang w:val="fr-CH"/>
              </w:rPr>
              <w:t>,</w:t>
            </w:r>
            <w:r w:rsidRPr="0002611B">
              <w:rPr>
                <w:lang w:val="fr-CH"/>
              </w:rPr>
              <w:t xml:space="preserve"> 1.2.1</w:t>
            </w:r>
          </w:p>
        </w:tc>
      </w:tr>
      <w:tr w:rsidR="004C29C9" w:rsidRPr="0002611B" w:rsidTr="00F1784B">
        <w:tc>
          <w:tcPr>
            <w:tcW w:w="3766" w:type="dxa"/>
            <w:shd w:val="clear" w:color="auto" w:fill="auto"/>
          </w:tcPr>
          <w:p w:rsidR="004C29C9" w:rsidRPr="0002611B" w:rsidRDefault="00AD7BCA" w:rsidP="00E06BD6">
            <w:pPr>
              <w:spacing w:after="120"/>
              <w:rPr>
                <w:lang w:val="fr-CH"/>
              </w:rPr>
            </w:pPr>
            <w:hyperlink r:id="rId21" w:history="1">
              <w:r w:rsidR="004C29C9" w:rsidRPr="008C59F1">
                <w:rPr>
                  <w:rStyle w:val="Hyperlink"/>
                  <w:lang w:val="fr-CH"/>
                </w:rPr>
                <w:t>ECE/TRANS/WP.15/AC.2/2015/18</w:t>
              </w:r>
            </w:hyperlink>
            <w:r w:rsidR="004C29C9" w:rsidRPr="0002611B">
              <w:rPr>
                <w:lang w:val="fr-CH"/>
              </w:rPr>
              <w:t xml:space="preserve"> </w:t>
            </w:r>
            <w:r w:rsidR="004C29C9" w:rsidRPr="0002611B">
              <w:rPr>
                <w:lang w:val="fr-CH"/>
              </w:rPr>
              <w:br/>
              <w:t>(Pays-Bas)</w:t>
            </w:r>
          </w:p>
        </w:tc>
        <w:tc>
          <w:tcPr>
            <w:tcW w:w="3614" w:type="dxa"/>
            <w:shd w:val="clear" w:color="auto" w:fill="auto"/>
          </w:tcPr>
          <w:p w:rsidR="004C29C9" w:rsidRPr="0002611B" w:rsidRDefault="004C29C9" w:rsidP="00E06BD6">
            <w:pPr>
              <w:spacing w:after="120"/>
              <w:rPr>
                <w:lang w:val="fr-CH"/>
              </w:rPr>
            </w:pPr>
            <w:r w:rsidRPr="0002611B">
              <w:rPr>
                <w:lang w:val="fr-CH"/>
              </w:rPr>
              <w:t>Interprétations nationales</w:t>
            </w:r>
          </w:p>
        </w:tc>
      </w:tr>
      <w:tr w:rsidR="004C29C9" w:rsidRPr="0002611B" w:rsidTr="00F1784B">
        <w:tc>
          <w:tcPr>
            <w:tcW w:w="3766" w:type="dxa"/>
            <w:shd w:val="clear" w:color="auto" w:fill="auto"/>
          </w:tcPr>
          <w:p w:rsidR="004C29C9" w:rsidRPr="0002611B" w:rsidRDefault="004C29C9" w:rsidP="00A60321">
            <w:pPr>
              <w:spacing w:after="120"/>
              <w:rPr>
                <w:lang w:val="fr-CH"/>
              </w:rPr>
            </w:pPr>
            <w:r w:rsidRPr="0002611B">
              <w:rPr>
                <w:lang w:val="fr-CH"/>
              </w:rPr>
              <w:t>ECE/TRANS/WP.15/AC.2/2015/27 (</w:t>
            </w:r>
            <w:r w:rsidR="00A60321">
              <w:rPr>
                <w:lang w:val="fr-CH"/>
              </w:rPr>
              <w:t>s</w:t>
            </w:r>
            <w:r w:rsidRPr="0002611B">
              <w:rPr>
                <w:lang w:val="fr-CH"/>
              </w:rPr>
              <w:t xml:space="preserve">ociétés de </w:t>
            </w:r>
            <w:r w:rsidR="0015277B">
              <w:rPr>
                <w:lang w:val="fr-CH"/>
              </w:rPr>
              <w:t>classification ADN recommandées</w:t>
            </w:r>
            <w:r w:rsidRPr="0002611B">
              <w:rPr>
                <w:lang w:val="fr-CH"/>
              </w:rPr>
              <w:t>)</w:t>
            </w:r>
          </w:p>
        </w:tc>
        <w:tc>
          <w:tcPr>
            <w:tcW w:w="3614" w:type="dxa"/>
            <w:shd w:val="clear" w:color="auto" w:fill="auto"/>
          </w:tcPr>
          <w:p w:rsidR="004C29C9" w:rsidRPr="0002611B" w:rsidRDefault="004C29C9" w:rsidP="00E06BD6">
            <w:pPr>
              <w:spacing w:after="120"/>
              <w:rPr>
                <w:lang w:val="fr-CH"/>
              </w:rPr>
            </w:pPr>
            <w:proofErr w:type="spellStart"/>
            <w:r w:rsidRPr="0002611B">
              <w:rPr>
                <w:lang w:val="fr-CH"/>
              </w:rPr>
              <w:t>Cofferdams</w:t>
            </w:r>
            <w:proofErr w:type="spellEnd"/>
            <w:r w:rsidRPr="0002611B">
              <w:rPr>
                <w:lang w:val="fr-CH"/>
              </w:rPr>
              <w:t xml:space="preserve"> à bord de bateaux-citernes </w:t>
            </w:r>
            <w:r w:rsidR="0015277B">
              <w:rPr>
                <w:lang w:val="fr-CH"/>
              </w:rPr>
              <w:br/>
            </w:r>
            <w:r w:rsidRPr="0002611B">
              <w:rPr>
                <w:lang w:val="fr-CH"/>
              </w:rPr>
              <w:t>de type G</w:t>
            </w:r>
          </w:p>
        </w:tc>
      </w:tr>
      <w:tr w:rsidR="004C29C9" w:rsidRPr="0002611B" w:rsidTr="00F1784B">
        <w:tc>
          <w:tcPr>
            <w:tcW w:w="3766" w:type="dxa"/>
            <w:shd w:val="clear" w:color="auto" w:fill="auto"/>
          </w:tcPr>
          <w:p w:rsidR="004C29C9" w:rsidRPr="0002611B" w:rsidRDefault="004C29C9" w:rsidP="00E06BD6">
            <w:pPr>
              <w:spacing w:after="120"/>
              <w:rPr>
                <w:lang w:val="fr-CH"/>
              </w:rPr>
            </w:pPr>
            <w:r w:rsidRPr="0002611B">
              <w:rPr>
                <w:lang w:val="fr-CH"/>
              </w:rPr>
              <w:t xml:space="preserve">ECE/TRANS/WP.15/AC.2/2015/30 </w:t>
            </w:r>
            <w:r w:rsidRPr="0002611B">
              <w:rPr>
                <w:lang w:val="fr-CH"/>
              </w:rPr>
              <w:br/>
              <w:t>(Pays-Bas)</w:t>
            </w:r>
          </w:p>
        </w:tc>
        <w:tc>
          <w:tcPr>
            <w:tcW w:w="3614" w:type="dxa"/>
            <w:shd w:val="clear" w:color="auto" w:fill="auto"/>
          </w:tcPr>
          <w:p w:rsidR="004C29C9" w:rsidRPr="0002611B" w:rsidRDefault="004C29C9" w:rsidP="00A25BC6">
            <w:pPr>
              <w:spacing w:after="120"/>
              <w:rPr>
                <w:lang w:val="fr-CH"/>
              </w:rPr>
            </w:pPr>
            <w:r w:rsidRPr="0002611B">
              <w:rPr>
                <w:lang w:val="fr-CH"/>
              </w:rPr>
              <w:t xml:space="preserve">Demande d’interprétation </w:t>
            </w:r>
            <w:r w:rsidR="00A25BC6" w:rsidRPr="0002611B">
              <w:rPr>
                <w:lang w:val="fr-CH"/>
              </w:rPr>
              <w:t>–</w:t>
            </w:r>
            <w:r w:rsidRPr="0002611B">
              <w:rPr>
                <w:lang w:val="fr-CH"/>
              </w:rPr>
              <w:t xml:space="preserve"> 1.6.7.4.1</w:t>
            </w:r>
          </w:p>
        </w:tc>
      </w:tr>
      <w:tr w:rsidR="004C29C9" w:rsidRPr="0002611B" w:rsidTr="00F1784B">
        <w:tc>
          <w:tcPr>
            <w:tcW w:w="3766" w:type="dxa"/>
            <w:shd w:val="clear" w:color="auto" w:fill="auto"/>
          </w:tcPr>
          <w:p w:rsidR="004C29C9" w:rsidRPr="0002611B" w:rsidRDefault="000A5B83" w:rsidP="00E06BD6">
            <w:pPr>
              <w:spacing w:after="120"/>
              <w:rPr>
                <w:lang w:val="fr-CH"/>
              </w:rPr>
            </w:pPr>
            <w:r w:rsidRPr="0002611B">
              <w:rPr>
                <w:lang w:val="fr-CH"/>
              </w:rPr>
              <w:t>ECE/TRANS/WP.15/AC.2/2015/32 (Allemagne)</w:t>
            </w:r>
          </w:p>
        </w:tc>
        <w:tc>
          <w:tcPr>
            <w:tcW w:w="3614" w:type="dxa"/>
            <w:shd w:val="clear" w:color="auto" w:fill="auto"/>
          </w:tcPr>
          <w:p w:rsidR="004C29C9" w:rsidRPr="0002611B" w:rsidRDefault="000A5B83" w:rsidP="00A25BC6">
            <w:pPr>
              <w:spacing w:after="120"/>
              <w:rPr>
                <w:lang w:val="fr-CH"/>
              </w:rPr>
            </w:pPr>
            <w:r w:rsidRPr="0002611B">
              <w:rPr>
                <w:lang w:val="fr-CH"/>
              </w:rPr>
              <w:t xml:space="preserve">Interprétations nationales </w:t>
            </w:r>
            <w:r w:rsidR="00A25BC6" w:rsidRPr="0002611B">
              <w:rPr>
                <w:lang w:val="fr-CH"/>
              </w:rPr>
              <w:t>–</w:t>
            </w:r>
            <w:r w:rsidRPr="0002611B">
              <w:rPr>
                <w:lang w:val="fr-CH"/>
              </w:rPr>
              <w:t xml:space="preserve"> répon</w:t>
            </w:r>
            <w:r w:rsidR="00A5206F">
              <w:rPr>
                <w:lang w:val="fr-CH"/>
              </w:rPr>
              <w:t xml:space="preserve">se au document </w:t>
            </w:r>
            <w:hyperlink r:id="rId22" w:history="1">
              <w:r w:rsidR="00A5206F" w:rsidRPr="00A5206F">
                <w:rPr>
                  <w:rStyle w:val="Hyperlink"/>
                  <w:lang w:val="fr-CH"/>
                </w:rPr>
                <w:t>ECE/TRANS/WP.15/</w:t>
              </w:r>
              <w:r w:rsidR="00A5206F">
                <w:rPr>
                  <w:rStyle w:val="Hyperlink"/>
                  <w:lang w:val="fr-CH"/>
                </w:rPr>
                <w:t xml:space="preserve"> </w:t>
              </w:r>
              <w:r w:rsidRPr="00A5206F">
                <w:rPr>
                  <w:rStyle w:val="Hyperlink"/>
                  <w:lang w:val="fr-CH"/>
                </w:rPr>
                <w:t>AC.2/2015/18</w:t>
              </w:r>
            </w:hyperlink>
          </w:p>
        </w:tc>
      </w:tr>
    </w:tbl>
    <w:p w:rsidR="0015277B" w:rsidRPr="0002611B" w:rsidRDefault="0015277B" w:rsidP="000A5B83">
      <w:pPr>
        <w:pStyle w:val="SingleTxt"/>
        <w:spacing w:after="0" w:line="120" w:lineRule="exact"/>
        <w:rPr>
          <w:sz w:val="10"/>
          <w:lang w:val="fr-CH"/>
        </w:rPr>
      </w:pPr>
    </w:p>
    <w:p w:rsidR="0018707A" w:rsidRPr="0002611B" w:rsidRDefault="000A5B83" w:rsidP="0018707A">
      <w:pPr>
        <w:pStyle w:val="SingleTxt"/>
        <w:rPr>
          <w:lang w:val="fr-CH"/>
        </w:rPr>
      </w:pPr>
      <w:r w:rsidRPr="0002611B">
        <w:rPr>
          <w:lang w:val="fr-CH"/>
        </w:rPr>
        <w:tab/>
      </w:r>
      <w:r w:rsidR="0018707A" w:rsidRPr="0002611B">
        <w:rPr>
          <w:lang w:val="fr-CH"/>
        </w:rPr>
        <w:t>Le Comité de sécurité est invité à examiner l’interprétation de toute autre disposition du Règlement annexé à l’ADN qui est jugée ambiguë ou floue.</w:t>
      </w:r>
    </w:p>
    <w:p w:rsidR="0018707A" w:rsidRPr="0002611B" w:rsidRDefault="0018707A" w:rsidP="0018707A">
      <w:pPr>
        <w:pStyle w:val="SingleTxt"/>
        <w:rPr>
          <w:lang w:val="fr-CH"/>
        </w:rPr>
      </w:pPr>
      <w:r w:rsidRPr="0002611B">
        <w:rPr>
          <w:lang w:val="fr-CH"/>
        </w:rPr>
        <w:tab/>
        <w:t>d)</w:t>
      </w:r>
      <w:r w:rsidRPr="0002611B">
        <w:rPr>
          <w:lang w:val="fr-CH"/>
        </w:rPr>
        <w:tab/>
        <w:t>Formation des experts</w:t>
      </w:r>
    </w:p>
    <w:p w:rsidR="0018707A" w:rsidRPr="0002611B" w:rsidRDefault="0018707A" w:rsidP="0018707A">
      <w:pPr>
        <w:pStyle w:val="SingleTxt"/>
        <w:rPr>
          <w:lang w:val="fr-CH"/>
        </w:rPr>
      </w:pPr>
      <w:r w:rsidRPr="0002611B">
        <w:rPr>
          <w:lang w:val="fr-CH"/>
        </w:rPr>
        <w:tab/>
        <w:t xml:space="preserve">Le Comité de sécurité souhaitera peut-être examiner le rapport de la quatorzième réunion du groupe de travail informel </w:t>
      </w:r>
      <w:r w:rsidR="0015277B">
        <w:rPr>
          <w:lang w:val="fr-CH"/>
        </w:rPr>
        <w:t>de</w:t>
      </w:r>
      <w:r w:rsidRPr="0002611B">
        <w:rPr>
          <w:lang w:val="fr-CH"/>
        </w:rPr>
        <w:t xml:space="preserve"> la formation des experts (ECE/TRANS/WP.15/AC.2/2015/31) ainsi qu’une proposition visant à actualiser le</w:t>
      </w:r>
      <w:r w:rsidR="0015277B">
        <w:rPr>
          <w:lang w:val="fr-CH"/>
        </w:rPr>
        <w:t xml:space="preserve"> </w:t>
      </w:r>
      <w:r w:rsidRPr="0002611B">
        <w:rPr>
          <w:lang w:val="fr-CH"/>
        </w:rPr>
        <w:t>calendrier des travaux du groupe de travail informel (</w:t>
      </w:r>
      <w:hyperlink r:id="rId23" w:history="1">
        <w:r w:rsidRPr="008C59F1">
          <w:rPr>
            <w:rStyle w:val="Hyperlink"/>
            <w:lang w:val="fr-CH"/>
          </w:rPr>
          <w:t>ECE/TRANS/</w:t>
        </w:r>
        <w:r w:rsidR="008C59F1">
          <w:rPr>
            <w:rStyle w:val="Hyperlink"/>
            <w:lang w:val="fr-CH"/>
          </w:rPr>
          <w:t xml:space="preserve"> </w:t>
        </w:r>
        <w:r w:rsidRPr="008C59F1">
          <w:rPr>
            <w:rStyle w:val="Hyperlink"/>
            <w:lang w:val="fr-CH"/>
          </w:rPr>
          <w:t>WP.15/AC.2/2015/9</w:t>
        </w:r>
      </w:hyperlink>
      <w:r w:rsidRPr="0002611B">
        <w:rPr>
          <w:lang w:val="fr-CH"/>
        </w:rPr>
        <w:t>).</w:t>
      </w:r>
    </w:p>
    <w:p w:rsidR="0018707A" w:rsidRPr="0002611B" w:rsidRDefault="0018707A" w:rsidP="0018707A">
      <w:pPr>
        <w:pStyle w:val="SingleTxt"/>
        <w:rPr>
          <w:lang w:val="fr-CH"/>
        </w:rPr>
      </w:pPr>
      <w:r w:rsidRPr="0002611B">
        <w:rPr>
          <w:lang w:val="fr-CH"/>
        </w:rPr>
        <w:tab/>
        <w:t>Des statistiques portant sur les examens ont été soumises par la Bulgarie et les Pays-Bas (</w:t>
      </w:r>
      <w:r w:rsidR="0015277B">
        <w:rPr>
          <w:lang w:val="fr-CH"/>
        </w:rPr>
        <w:t>d</w:t>
      </w:r>
      <w:r w:rsidRPr="0002611B">
        <w:rPr>
          <w:lang w:val="fr-CH"/>
        </w:rPr>
        <w:t>ocuments informels INF.2 et INF.5).</w:t>
      </w:r>
    </w:p>
    <w:p w:rsidR="0018707A" w:rsidRPr="0002611B" w:rsidRDefault="0018707A" w:rsidP="001859F4">
      <w:pPr>
        <w:pStyle w:val="SingleTxt"/>
        <w:keepNext/>
        <w:rPr>
          <w:lang w:val="fr-CH"/>
        </w:rPr>
      </w:pPr>
      <w:r w:rsidRPr="0002611B">
        <w:rPr>
          <w:lang w:val="fr-CH"/>
        </w:rPr>
        <w:lastRenderedPageBreak/>
        <w:tab/>
        <w:t>e)</w:t>
      </w:r>
      <w:r w:rsidRPr="0002611B">
        <w:rPr>
          <w:lang w:val="fr-CH"/>
        </w:rPr>
        <w:tab/>
        <w:t>Questions relatives aux sociétés de classific</w:t>
      </w:r>
      <w:r w:rsidR="001859F4" w:rsidRPr="0002611B">
        <w:rPr>
          <w:lang w:val="fr-CH"/>
        </w:rPr>
        <w:t>ation</w:t>
      </w:r>
    </w:p>
    <w:p w:rsidR="0018707A" w:rsidRPr="0002611B" w:rsidRDefault="0018707A" w:rsidP="0018707A">
      <w:pPr>
        <w:pStyle w:val="SingleTxt"/>
        <w:rPr>
          <w:lang w:val="fr-CH"/>
        </w:rPr>
      </w:pPr>
      <w:r w:rsidRPr="0002611B">
        <w:rPr>
          <w:lang w:val="fr-CH"/>
        </w:rPr>
        <w:tab/>
        <w:t xml:space="preserve">La liste des sociétés de classification agréées par les Parties contractantes à l’ADN peut être consultée à l’adresse suivante: </w:t>
      </w:r>
      <w:r w:rsidR="001859F4" w:rsidRPr="0002611B">
        <w:rPr>
          <w:lang w:val="fr-CH"/>
        </w:rPr>
        <w:t xml:space="preserve">www.unece.org/trans/danger/ </w:t>
      </w:r>
      <w:proofErr w:type="spellStart"/>
      <w:r w:rsidR="001859F4" w:rsidRPr="0002611B">
        <w:rPr>
          <w:lang w:val="fr-CH"/>
        </w:rPr>
        <w:t>publi</w:t>
      </w:r>
      <w:proofErr w:type="spellEnd"/>
      <w:r w:rsidR="001859F4" w:rsidRPr="0002611B">
        <w:rPr>
          <w:lang w:val="fr-CH"/>
        </w:rPr>
        <w:t>/</w:t>
      </w:r>
      <w:proofErr w:type="spellStart"/>
      <w:r w:rsidR="001859F4" w:rsidRPr="0002611B">
        <w:rPr>
          <w:lang w:val="fr-CH"/>
        </w:rPr>
        <w:t>adn</w:t>
      </w:r>
      <w:proofErr w:type="spellEnd"/>
      <w:r w:rsidR="001859F4" w:rsidRPr="0002611B">
        <w:rPr>
          <w:lang w:val="fr-CH"/>
        </w:rPr>
        <w:t>/</w:t>
      </w:r>
      <w:r w:rsidRPr="0002611B">
        <w:rPr>
          <w:lang w:val="fr-CH"/>
        </w:rPr>
        <w:t xml:space="preserve">adnclassifications.html. Depuis la dernière session, la Bulgarie a agréé Bureau Veritas et </w:t>
      </w:r>
      <w:proofErr w:type="spellStart"/>
      <w:r w:rsidRPr="0002611B">
        <w:rPr>
          <w:lang w:val="fr-CH"/>
        </w:rPr>
        <w:t>Registro</w:t>
      </w:r>
      <w:proofErr w:type="spellEnd"/>
      <w:r w:rsidRPr="0002611B">
        <w:rPr>
          <w:lang w:val="fr-CH"/>
        </w:rPr>
        <w:t xml:space="preserve"> Italiano Navale.</w:t>
      </w:r>
    </w:p>
    <w:p w:rsidR="0018707A" w:rsidRPr="0002611B" w:rsidRDefault="0018707A" w:rsidP="0018707A">
      <w:pPr>
        <w:pStyle w:val="SingleTxt"/>
        <w:rPr>
          <w:lang w:val="fr-CH"/>
        </w:rPr>
      </w:pPr>
      <w:r w:rsidRPr="0002611B">
        <w:rPr>
          <w:lang w:val="fr-CH"/>
        </w:rPr>
        <w:tab/>
        <w:t>Les pays sont priés de faire savoir au secrétariat s’ils agréent DNV GL SE</w:t>
      </w:r>
      <w:r w:rsidR="00A60321">
        <w:rPr>
          <w:lang w:val="fr-CH"/>
        </w:rPr>
        <w:t>,</w:t>
      </w:r>
      <w:r w:rsidRPr="0002611B">
        <w:rPr>
          <w:lang w:val="fr-CH"/>
        </w:rPr>
        <w:t xml:space="preserve"> qui a succédé à </w:t>
      </w:r>
      <w:proofErr w:type="spellStart"/>
      <w:r w:rsidRPr="0002611B">
        <w:rPr>
          <w:lang w:val="fr-CH"/>
        </w:rPr>
        <w:t>Germanischer</w:t>
      </w:r>
      <w:proofErr w:type="spellEnd"/>
      <w:r w:rsidRPr="0002611B">
        <w:rPr>
          <w:lang w:val="fr-CH"/>
        </w:rPr>
        <w:t xml:space="preserve"> Lloyd. Depuis la dernière session, la Slovaquie et la Suisse ont envoyé des notifications à cet effet.</w:t>
      </w:r>
    </w:p>
    <w:p w:rsidR="0018707A" w:rsidRPr="0002611B" w:rsidRDefault="001859F4" w:rsidP="0018707A">
      <w:pPr>
        <w:pStyle w:val="SingleTxt"/>
        <w:rPr>
          <w:lang w:val="fr-CH"/>
        </w:rPr>
      </w:pPr>
      <w:r w:rsidRPr="0002611B">
        <w:rPr>
          <w:lang w:val="fr-CH"/>
        </w:rPr>
        <w:tab/>
      </w:r>
      <w:r w:rsidR="0018707A" w:rsidRPr="0002611B">
        <w:rPr>
          <w:lang w:val="fr-CH"/>
        </w:rPr>
        <w:t xml:space="preserve">Les sociétés de classification sont invitées à faire valoir auprès du Comité d’administration de l’ADN leur certification conformément à la norme EN ISO/IEC 17020:2012. Jusqu’à présent, des certifications ont été fournies pour Bureau Veritas, Lloyd’s </w:t>
      </w:r>
      <w:proofErr w:type="spellStart"/>
      <w:r w:rsidR="0018707A" w:rsidRPr="0002611B">
        <w:rPr>
          <w:lang w:val="fr-CH"/>
        </w:rPr>
        <w:t>Register</w:t>
      </w:r>
      <w:proofErr w:type="spellEnd"/>
      <w:r w:rsidR="0018707A" w:rsidRPr="0002611B">
        <w:rPr>
          <w:lang w:val="fr-CH"/>
        </w:rPr>
        <w:t xml:space="preserve"> et Shipping </w:t>
      </w:r>
      <w:proofErr w:type="spellStart"/>
      <w:r w:rsidR="0018707A" w:rsidRPr="0002611B">
        <w:rPr>
          <w:lang w:val="fr-CH"/>
        </w:rPr>
        <w:t>Register</w:t>
      </w:r>
      <w:proofErr w:type="spellEnd"/>
      <w:r w:rsidR="0018707A" w:rsidRPr="0002611B">
        <w:rPr>
          <w:lang w:val="fr-CH"/>
        </w:rPr>
        <w:t xml:space="preserve"> of Ukraine.</w:t>
      </w:r>
    </w:p>
    <w:p w:rsidR="0018707A" w:rsidRPr="0002611B" w:rsidRDefault="001859F4" w:rsidP="0018707A">
      <w:pPr>
        <w:pStyle w:val="SingleTxt"/>
        <w:rPr>
          <w:lang w:val="fr-CH"/>
        </w:rPr>
      </w:pPr>
      <w:r w:rsidRPr="0002611B">
        <w:rPr>
          <w:lang w:val="fr-CH"/>
        </w:rPr>
        <w:tab/>
      </w:r>
      <w:r w:rsidR="0018707A" w:rsidRPr="0002611B">
        <w:rPr>
          <w:lang w:val="fr-CH"/>
        </w:rPr>
        <w:t>Le document informel INF</w:t>
      </w:r>
      <w:r w:rsidR="00A60321">
        <w:rPr>
          <w:lang w:val="fr-CH"/>
        </w:rPr>
        <w:t>.</w:t>
      </w:r>
      <w:r w:rsidR="0018707A" w:rsidRPr="0002611B">
        <w:rPr>
          <w:lang w:val="fr-CH"/>
        </w:rPr>
        <w:t>3 contient le procès-verbal de la neuvième réunion des sociétés de c</w:t>
      </w:r>
      <w:r w:rsidRPr="0002611B">
        <w:rPr>
          <w:lang w:val="fr-CH"/>
        </w:rPr>
        <w:t>lassification ADN</w:t>
      </w:r>
      <w:r w:rsidR="00A60321">
        <w:rPr>
          <w:lang w:val="fr-CH"/>
        </w:rPr>
        <w:t xml:space="preserve"> recommandées</w:t>
      </w:r>
      <w:r w:rsidRPr="0002611B">
        <w:rPr>
          <w:lang w:val="fr-CH"/>
        </w:rPr>
        <w:t>.</w:t>
      </w:r>
    </w:p>
    <w:p w:rsidR="001859F4" w:rsidRPr="0002611B" w:rsidRDefault="001859F4" w:rsidP="001859F4">
      <w:pPr>
        <w:pStyle w:val="SingleTxt"/>
        <w:spacing w:after="0" w:line="120" w:lineRule="exact"/>
        <w:rPr>
          <w:sz w:val="10"/>
          <w:lang w:val="fr-CH"/>
        </w:rPr>
      </w:pPr>
    </w:p>
    <w:p w:rsidR="0018707A" w:rsidRPr="0002611B" w:rsidRDefault="0018707A" w:rsidP="001859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4.</w:t>
      </w:r>
      <w:r w:rsidRPr="0002611B">
        <w:rPr>
          <w:lang w:val="fr-CH"/>
        </w:rPr>
        <w:tab/>
        <w:t>Propositions d’amendements au Règlement annexé à l’ADN</w:t>
      </w:r>
    </w:p>
    <w:p w:rsidR="001859F4" w:rsidRPr="0002611B" w:rsidRDefault="001859F4" w:rsidP="001859F4">
      <w:pPr>
        <w:pStyle w:val="SingleTxt"/>
        <w:spacing w:after="0" w:line="120" w:lineRule="exact"/>
        <w:rPr>
          <w:sz w:val="10"/>
          <w:lang w:val="fr-CH"/>
        </w:rPr>
      </w:pPr>
    </w:p>
    <w:p w:rsidR="0018707A" w:rsidRPr="0002611B" w:rsidRDefault="001859F4" w:rsidP="0018707A">
      <w:pPr>
        <w:pStyle w:val="SingleTxt"/>
        <w:rPr>
          <w:lang w:val="fr-CH"/>
        </w:rPr>
      </w:pPr>
      <w:r w:rsidRPr="0002611B">
        <w:rPr>
          <w:lang w:val="fr-CH"/>
        </w:rPr>
        <w:tab/>
      </w:r>
      <w:r w:rsidR="0018707A" w:rsidRPr="0002611B">
        <w:rPr>
          <w:lang w:val="fr-CH"/>
        </w:rPr>
        <w:t>a)</w:t>
      </w:r>
      <w:r w:rsidR="0018707A" w:rsidRPr="0002611B">
        <w:rPr>
          <w:lang w:val="fr-CH"/>
        </w:rPr>
        <w:tab/>
        <w:t>Travaux de la Réunion commune RID/ADR/ADN</w:t>
      </w:r>
    </w:p>
    <w:p w:rsidR="0018707A" w:rsidRPr="0002611B" w:rsidRDefault="001859F4" w:rsidP="0018707A">
      <w:pPr>
        <w:pStyle w:val="SingleTxt"/>
        <w:rPr>
          <w:lang w:val="fr-CH"/>
        </w:rPr>
      </w:pPr>
      <w:r w:rsidRPr="0002611B">
        <w:rPr>
          <w:lang w:val="fr-CH"/>
        </w:rPr>
        <w:tab/>
      </w:r>
      <w:r w:rsidR="0018707A" w:rsidRPr="0002611B">
        <w:rPr>
          <w:lang w:val="fr-CH"/>
        </w:rPr>
        <w:t>Le Comité de sécurité souhaitera peut-être examiner les travaux réalisés par la Réunion commune RID/ADR/ADN à sa session de printemps 2015 (ECE/TRANS/WP.15/AC.1/138).</w:t>
      </w:r>
    </w:p>
    <w:p w:rsidR="0018707A" w:rsidRPr="0002611B" w:rsidRDefault="001859F4" w:rsidP="0018707A">
      <w:pPr>
        <w:pStyle w:val="SingleTxt"/>
        <w:rPr>
          <w:lang w:val="fr-CH"/>
        </w:rPr>
      </w:pPr>
      <w:r w:rsidRPr="0002611B">
        <w:rPr>
          <w:lang w:val="fr-CH"/>
        </w:rPr>
        <w:tab/>
      </w:r>
      <w:r w:rsidR="0018707A" w:rsidRPr="0002611B">
        <w:rPr>
          <w:lang w:val="fr-CH"/>
        </w:rPr>
        <w:t>Il souhaitera peut-être examiner aussi le rapport du Groupe de travail des transports de marchandises dangereuses (WP.15) sur sa quatre-vingt-dix-huitième session (ECE/TRANS/WP.15/228).</w:t>
      </w:r>
    </w:p>
    <w:p w:rsidR="0018707A" w:rsidRPr="0002611B" w:rsidRDefault="001859F4" w:rsidP="0018707A">
      <w:pPr>
        <w:pStyle w:val="SingleTxt"/>
        <w:rPr>
          <w:lang w:val="fr-CH"/>
        </w:rPr>
      </w:pPr>
      <w:r w:rsidRPr="0002611B">
        <w:rPr>
          <w:lang w:val="fr-CH"/>
        </w:rPr>
        <w:tab/>
      </w:r>
      <w:r w:rsidR="00A60321">
        <w:rPr>
          <w:lang w:val="fr-CH"/>
        </w:rPr>
        <w:t>b)</w:t>
      </w:r>
      <w:r w:rsidR="00A60321">
        <w:rPr>
          <w:lang w:val="fr-CH"/>
        </w:rPr>
        <w:tab/>
        <w:t>Autres propositions</w:t>
      </w:r>
    </w:p>
    <w:p w:rsidR="0018707A" w:rsidRPr="0002611B" w:rsidRDefault="001859F4" w:rsidP="0018707A">
      <w:pPr>
        <w:pStyle w:val="SingleTxt"/>
        <w:rPr>
          <w:lang w:val="fr-CH"/>
        </w:rPr>
      </w:pPr>
      <w:r w:rsidRPr="0002611B">
        <w:rPr>
          <w:lang w:val="fr-CH"/>
        </w:rPr>
        <w:tab/>
      </w:r>
      <w:r w:rsidR="0018707A" w:rsidRPr="0002611B">
        <w:rPr>
          <w:lang w:val="fr-CH"/>
        </w:rPr>
        <w:t>Les propositions d’amendem</w:t>
      </w:r>
      <w:r w:rsidRPr="0002611B">
        <w:rPr>
          <w:lang w:val="fr-CH"/>
        </w:rPr>
        <w:t>ents suivantes ont été soumises :</w:t>
      </w:r>
    </w:p>
    <w:p w:rsidR="001859F4" w:rsidRPr="0002611B" w:rsidRDefault="001859F4" w:rsidP="001859F4">
      <w:pPr>
        <w:pStyle w:val="SingleT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3821"/>
        <w:gridCol w:w="3667"/>
      </w:tblGrid>
      <w:tr w:rsidR="00A1075E" w:rsidRPr="0002611B" w:rsidTr="00F1784B">
        <w:tc>
          <w:tcPr>
            <w:tcW w:w="3766" w:type="dxa"/>
            <w:shd w:val="clear" w:color="auto" w:fill="auto"/>
          </w:tcPr>
          <w:p w:rsidR="00A1075E" w:rsidRPr="0002611B" w:rsidRDefault="00A1075E" w:rsidP="00E06BD6">
            <w:pPr>
              <w:spacing w:after="120"/>
              <w:rPr>
                <w:lang w:val="fr-CH"/>
              </w:rPr>
            </w:pPr>
            <w:r w:rsidRPr="0002611B">
              <w:rPr>
                <w:lang w:val="fr-CH"/>
              </w:rPr>
              <w:t>ECE/TRANS/WP.15/AC.2/2015/8 (Allemagne)</w:t>
            </w:r>
          </w:p>
        </w:tc>
        <w:tc>
          <w:tcPr>
            <w:tcW w:w="3614" w:type="dxa"/>
            <w:shd w:val="clear" w:color="auto" w:fill="auto"/>
          </w:tcPr>
          <w:p w:rsidR="00A1075E" w:rsidRPr="0002611B" w:rsidRDefault="00A1075E" w:rsidP="00E06BD6">
            <w:pPr>
              <w:spacing w:after="120"/>
              <w:rPr>
                <w:lang w:val="fr-CH"/>
              </w:rPr>
            </w:pPr>
            <w:r w:rsidRPr="0002611B">
              <w:rPr>
                <w:lang w:val="fr-CH"/>
              </w:rPr>
              <w:t>Prescriptions relatives aux réservoirs sous pression, armatures et tuyauteries pressurisées dans les installations d’extinction d’incendie</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24" w:history="1">
              <w:r w:rsidR="00A1075E" w:rsidRPr="008C59F1">
                <w:rPr>
                  <w:rStyle w:val="Hyperlink"/>
                  <w:lang w:val="fr-CH"/>
                </w:rPr>
                <w:t>ECE/TRANS/WP.15/AC.2/2015/10</w:t>
              </w:r>
            </w:hyperlink>
            <w:r w:rsidR="00A1075E" w:rsidRPr="0002611B">
              <w:rPr>
                <w:lang w:val="fr-CH"/>
              </w:rPr>
              <w:t xml:space="preserve"> (Allemagne)</w:t>
            </w:r>
          </w:p>
        </w:tc>
        <w:tc>
          <w:tcPr>
            <w:tcW w:w="3614" w:type="dxa"/>
            <w:shd w:val="clear" w:color="auto" w:fill="auto"/>
          </w:tcPr>
          <w:p w:rsidR="00A1075E" w:rsidRPr="0002611B" w:rsidRDefault="00A1075E" w:rsidP="00A1075E">
            <w:pPr>
              <w:spacing w:after="120"/>
              <w:rPr>
                <w:lang w:val="fr-CH"/>
              </w:rPr>
            </w:pPr>
            <w:r w:rsidRPr="0002611B">
              <w:rPr>
                <w:lang w:val="fr-CH"/>
              </w:rPr>
              <w:t xml:space="preserve">Proposition relative au tableau 7.2.4.77 – Moyens </w:t>
            </w:r>
            <w:proofErr w:type="gramStart"/>
            <w:r w:rsidRPr="0002611B">
              <w:rPr>
                <w:lang w:val="fr-CH"/>
              </w:rPr>
              <w:t>d’évacuation possibles</w:t>
            </w:r>
            <w:proofErr w:type="gramEnd"/>
            <w:r w:rsidRPr="0002611B">
              <w:rPr>
                <w:lang w:val="fr-CH"/>
              </w:rPr>
              <w:t xml:space="preserve"> en cas d’urgence</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25" w:history="1">
              <w:r w:rsidR="00A1075E" w:rsidRPr="008C59F1">
                <w:rPr>
                  <w:rStyle w:val="Hyperlink"/>
                  <w:lang w:val="fr-CH"/>
                </w:rPr>
                <w:t>ECE/TRANS/WP.15/AC.2/2015/12</w:t>
              </w:r>
            </w:hyperlink>
            <w:r w:rsidR="00A1075E" w:rsidRPr="0002611B">
              <w:rPr>
                <w:lang w:val="fr-CH"/>
              </w:rPr>
              <w:t xml:space="preserve"> (Allemagne)</w:t>
            </w:r>
          </w:p>
        </w:tc>
        <w:tc>
          <w:tcPr>
            <w:tcW w:w="3614" w:type="dxa"/>
            <w:shd w:val="clear" w:color="auto" w:fill="auto"/>
          </w:tcPr>
          <w:p w:rsidR="00A1075E" w:rsidRPr="0002611B" w:rsidRDefault="00A1075E" w:rsidP="00A1075E">
            <w:pPr>
              <w:spacing w:after="120"/>
              <w:rPr>
                <w:lang w:val="fr-CH"/>
              </w:rPr>
            </w:pPr>
            <w:r w:rsidRPr="0002611B">
              <w:rPr>
                <w:lang w:val="fr-CH"/>
              </w:rPr>
              <w:t>Prescription transitoire au 9.3.X.51.3 (Classe de température et groupe d’explosion)</w:t>
            </w:r>
          </w:p>
        </w:tc>
      </w:tr>
      <w:tr w:rsidR="00A1075E" w:rsidRPr="0002611B" w:rsidTr="00F1784B">
        <w:tc>
          <w:tcPr>
            <w:tcW w:w="3766" w:type="dxa"/>
            <w:shd w:val="clear" w:color="auto" w:fill="auto"/>
          </w:tcPr>
          <w:p w:rsidR="00A1075E" w:rsidRPr="0002611B" w:rsidRDefault="00A1075E" w:rsidP="00E06BD6">
            <w:pPr>
              <w:spacing w:after="120"/>
              <w:rPr>
                <w:lang w:val="fr-CH"/>
              </w:rPr>
            </w:pPr>
            <w:r w:rsidRPr="0002611B">
              <w:rPr>
                <w:lang w:val="fr-CH"/>
              </w:rPr>
              <w:t>ECE/TRANS/WP.15/AC.2/2015/14 (Allemagne)</w:t>
            </w:r>
          </w:p>
        </w:tc>
        <w:tc>
          <w:tcPr>
            <w:tcW w:w="3614" w:type="dxa"/>
            <w:shd w:val="clear" w:color="auto" w:fill="auto"/>
          </w:tcPr>
          <w:p w:rsidR="00A1075E" w:rsidRPr="0002611B" w:rsidRDefault="00A1075E" w:rsidP="00E06BD6">
            <w:pPr>
              <w:spacing w:after="120"/>
              <w:rPr>
                <w:lang w:val="fr-CH"/>
              </w:rPr>
            </w:pPr>
            <w:r w:rsidRPr="0002611B">
              <w:rPr>
                <w:lang w:val="fr-CH"/>
              </w:rPr>
              <w:t>Formation et examen des experts, chapitre 8.2</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26" w:history="1">
              <w:r w:rsidR="00A1075E" w:rsidRPr="008C59F1">
                <w:rPr>
                  <w:rStyle w:val="Hyperlink"/>
                  <w:lang w:val="fr-CH"/>
                </w:rPr>
                <w:t>ECE/TRANS/WP.15/AC.2/2015/15</w:t>
              </w:r>
            </w:hyperlink>
            <w:r w:rsidR="00A1075E" w:rsidRPr="0002611B">
              <w:rPr>
                <w:lang w:val="fr-CH"/>
              </w:rPr>
              <w:t xml:space="preserve"> (Allemagne)</w:t>
            </w:r>
          </w:p>
        </w:tc>
        <w:tc>
          <w:tcPr>
            <w:tcW w:w="3614" w:type="dxa"/>
            <w:shd w:val="clear" w:color="auto" w:fill="auto"/>
          </w:tcPr>
          <w:p w:rsidR="00A1075E" w:rsidRPr="0002611B" w:rsidRDefault="00A1075E" w:rsidP="00A1075E">
            <w:pPr>
              <w:spacing w:after="120"/>
              <w:rPr>
                <w:lang w:val="fr-CH"/>
              </w:rPr>
            </w:pPr>
            <w:r w:rsidRPr="0002611B">
              <w:rPr>
                <w:lang w:val="fr-CH"/>
              </w:rPr>
              <w:t>Correction de la version allemande des sections 9.3.2.22.4 et 9.3.3.22.4, dispositif permettant de décompresser sans danger les citernes à cargaison</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27" w:history="1">
              <w:r w:rsidR="00A1075E" w:rsidRPr="008C59F1">
                <w:rPr>
                  <w:rStyle w:val="Hyperlink"/>
                  <w:lang w:val="fr-CH"/>
                </w:rPr>
                <w:t>ECE/TRANS/WP.15/AC.2/2015/16</w:t>
              </w:r>
            </w:hyperlink>
            <w:r w:rsidR="00A1075E" w:rsidRPr="0002611B">
              <w:rPr>
                <w:lang w:val="fr-CH"/>
              </w:rPr>
              <w:t xml:space="preserve"> (Allemagne)</w:t>
            </w:r>
          </w:p>
        </w:tc>
        <w:tc>
          <w:tcPr>
            <w:tcW w:w="3614" w:type="dxa"/>
            <w:shd w:val="clear" w:color="auto" w:fill="auto"/>
          </w:tcPr>
          <w:p w:rsidR="00A1075E" w:rsidRPr="0002611B" w:rsidRDefault="00A1075E" w:rsidP="00E06BD6">
            <w:pPr>
              <w:spacing w:after="120"/>
              <w:rPr>
                <w:lang w:val="fr-CH"/>
              </w:rPr>
            </w:pPr>
            <w:r w:rsidRPr="0002611B">
              <w:rPr>
                <w:lang w:val="fr-CH"/>
              </w:rPr>
              <w:t>8.6.1.3 et 8.6.1.4 − Certificat d’agrément − Indications concernant l’installation d’</w:t>
            </w:r>
            <w:proofErr w:type="spellStart"/>
            <w:r w:rsidRPr="0002611B">
              <w:rPr>
                <w:lang w:val="fr-CH"/>
              </w:rPr>
              <w:t>inertisation</w:t>
            </w:r>
            <w:proofErr w:type="spellEnd"/>
          </w:p>
        </w:tc>
      </w:tr>
      <w:tr w:rsidR="00A1075E" w:rsidRPr="0002611B" w:rsidTr="00F1784B">
        <w:tc>
          <w:tcPr>
            <w:tcW w:w="3766" w:type="dxa"/>
            <w:shd w:val="clear" w:color="auto" w:fill="auto"/>
          </w:tcPr>
          <w:p w:rsidR="00A1075E" w:rsidRPr="0002611B" w:rsidRDefault="00AD7BCA" w:rsidP="00A1075E">
            <w:pPr>
              <w:keepNext/>
              <w:spacing w:after="120"/>
              <w:rPr>
                <w:lang w:val="fr-CH"/>
              </w:rPr>
            </w:pPr>
            <w:hyperlink r:id="rId28" w:history="1">
              <w:r w:rsidR="00A1075E" w:rsidRPr="008C59F1">
                <w:rPr>
                  <w:rStyle w:val="Hyperlink"/>
                  <w:lang w:val="fr-CH"/>
                </w:rPr>
                <w:t>ECE/TRANS/WP.15/AC.2/2015/17</w:t>
              </w:r>
            </w:hyperlink>
            <w:r w:rsidR="00A1075E" w:rsidRPr="0002611B">
              <w:rPr>
                <w:lang w:val="fr-CH"/>
              </w:rPr>
              <w:t xml:space="preserve"> (Allemagne)</w:t>
            </w:r>
          </w:p>
        </w:tc>
        <w:tc>
          <w:tcPr>
            <w:tcW w:w="3614" w:type="dxa"/>
            <w:shd w:val="clear" w:color="auto" w:fill="auto"/>
          </w:tcPr>
          <w:p w:rsidR="00A1075E" w:rsidRPr="0002611B" w:rsidRDefault="00A1075E" w:rsidP="00D869EE">
            <w:pPr>
              <w:keepNext/>
              <w:spacing w:after="120"/>
              <w:rPr>
                <w:lang w:val="fr-CH"/>
              </w:rPr>
            </w:pPr>
            <w:r w:rsidRPr="0002611B">
              <w:rPr>
                <w:lang w:val="fr-CH"/>
              </w:rPr>
              <w:t xml:space="preserve">1.2.1 Définition de </w:t>
            </w:r>
            <w:r w:rsidR="00D869EE" w:rsidRPr="0002611B">
              <w:rPr>
                <w:lang w:val="fr-CH"/>
              </w:rPr>
              <w:t>« </w:t>
            </w:r>
            <w:r w:rsidRPr="0002611B">
              <w:rPr>
                <w:lang w:val="fr-CH"/>
              </w:rPr>
              <w:t>Gaz naturel liquéfié (GNL) » dans la version allemande</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29" w:history="1">
              <w:r w:rsidR="00D869EE" w:rsidRPr="008C59F1">
                <w:rPr>
                  <w:rStyle w:val="Hyperlink"/>
                  <w:lang w:val="fr-CH"/>
                </w:rPr>
                <w:t>ECE/TRANS/WP.15/AC.2/2015/19</w:t>
              </w:r>
            </w:hyperlink>
            <w:r w:rsidR="00D869EE" w:rsidRPr="0002611B">
              <w:rPr>
                <w:lang w:val="fr-CH"/>
              </w:rPr>
              <w:t xml:space="preserve"> </w:t>
            </w:r>
            <w:r w:rsidR="008C59F1">
              <w:rPr>
                <w:lang w:val="fr-CH"/>
              </w:rPr>
              <w:br/>
            </w:r>
            <w:r w:rsidR="00D869EE" w:rsidRPr="0002611B">
              <w:rPr>
                <w:lang w:val="fr-CH"/>
              </w:rPr>
              <w:t>(UENF, ERSTU et OEB)</w:t>
            </w:r>
          </w:p>
        </w:tc>
        <w:tc>
          <w:tcPr>
            <w:tcW w:w="3614" w:type="dxa"/>
            <w:shd w:val="clear" w:color="auto" w:fill="auto"/>
          </w:tcPr>
          <w:p w:rsidR="00A1075E" w:rsidRPr="0002611B" w:rsidRDefault="00D869EE" w:rsidP="00E06BD6">
            <w:pPr>
              <w:spacing w:after="120"/>
              <w:rPr>
                <w:lang w:val="fr-CH"/>
              </w:rPr>
            </w:pPr>
            <w:r w:rsidRPr="0002611B">
              <w:rPr>
                <w:lang w:val="fr-CH"/>
              </w:rPr>
              <w:t>Matériaux de construction</w:t>
            </w:r>
          </w:p>
        </w:tc>
      </w:tr>
      <w:tr w:rsidR="00A1075E" w:rsidRPr="0002611B" w:rsidTr="00F1784B">
        <w:tc>
          <w:tcPr>
            <w:tcW w:w="3766" w:type="dxa"/>
            <w:shd w:val="clear" w:color="auto" w:fill="auto"/>
          </w:tcPr>
          <w:p w:rsidR="00A1075E" w:rsidRPr="0002611B" w:rsidRDefault="00AD7BCA" w:rsidP="00A60321">
            <w:pPr>
              <w:spacing w:after="120"/>
              <w:rPr>
                <w:lang w:val="fr-CH"/>
              </w:rPr>
            </w:pPr>
            <w:hyperlink r:id="rId30" w:history="1">
              <w:r w:rsidR="00D869EE" w:rsidRPr="008C59F1">
                <w:rPr>
                  <w:rStyle w:val="Hyperlink"/>
                  <w:lang w:val="fr-CH"/>
                </w:rPr>
                <w:t>ECE/TRANS/WP.15/AC.2/2015/19/</w:t>
              </w:r>
              <w:r w:rsidR="00A60321" w:rsidRPr="008C59F1">
                <w:rPr>
                  <w:rStyle w:val="Hyperlink"/>
                  <w:lang w:val="fr-CH"/>
                </w:rPr>
                <w:t>Corr.</w:t>
              </w:r>
              <w:r w:rsidR="00D869EE" w:rsidRPr="008C59F1">
                <w:rPr>
                  <w:rStyle w:val="Hyperlink"/>
                  <w:lang w:val="fr-CH"/>
                </w:rPr>
                <w:t>1</w:t>
              </w:r>
            </w:hyperlink>
            <w:r w:rsidR="00D869EE" w:rsidRPr="0002611B">
              <w:rPr>
                <w:lang w:val="fr-CH"/>
              </w:rPr>
              <w:t xml:space="preserve"> (UENF, ERSTU et OEB) </w:t>
            </w:r>
            <w:r w:rsidR="00D869EE" w:rsidRPr="0002611B">
              <w:rPr>
                <w:lang w:val="fr-CH"/>
              </w:rPr>
              <w:br/>
              <w:t>(en français seulement)</w:t>
            </w:r>
          </w:p>
        </w:tc>
        <w:tc>
          <w:tcPr>
            <w:tcW w:w="3614" w:type="dxa"/>
            <w:shd w:val="clear" w:color="auto" w:fill="auto"/>
          </w:tcPr>
          <w:p w:rsidR="00A1075E" w:rsidRPr="0002611B" w:rsidRDefault="00D869EE" w:rsidP="00E06BD6">
            <w:pPr>
              <w:spacing w:after="120"/>
              <w:rPr>
                <w:lang w:val="fr-CH"/>
              </w:rPr>
            </w:pPr>
            <w:r w:rsidRPr="0002611B">
              <w:rPr>
                <w:lang w:val="fr-CH"/>
              </w:rPr>
              <w:t>Matériaux de construction</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31" w:history="1">
              <w:r w:rsidR="00D869EE" w:rsidRPr="008C59F1">
                <w:rPr>
                  <w:rStyle w:val="Hyperlink"/>
                  <w:lang w:val="fr-CH"/>
                </w:rPr>
                <w:t>ECE/TRANS/WP.15/AC.2/2015/20</w:t>
              </w:r>
            </w:hyperlink>
            <w:r w:rsidR="00D869EE" w:rsidRPr="0002611B">
              <w:rPr>
                <w:lang w:val="fr-CH"/>
              </w:rPr>
              <w:t xml:space="preserve"> (</w:t>
            </w:r>
            <w:proofErr w:type="spellStart"/>
            <w:r w:rsidR="00D869EE" w:rsidRPr="0002611B">
              <w:rPr>
                <w:lang w:val="fr-CH"/>
              </w:rPr>
              <w:t>FuelsEurope</w:t>
            </w:r>
            <w:proofErr w:type="spellEnd"/>
            <w:r w:rsidR="00D869EE" w:rsidRPr="0002611B">
              <w:rPr>
                <w:lang w:val="fr-CH"/>
              </w:rPr>
              <w:t>)</w:t>
            </w:r>
          </w:p>
        </w:tc>
        <w:tc>
          <w:tcPr>
            <w:tcW w:w="3614" w:type="dxa"/>
            <w:shd w:val="clear" w:color="auto" w:fill="auto"/>
          </w:tcPr>
          <w:p w:rsidR="00A1075E" w:rsidRPr="0002611B" w:rsidRDefault="00D869EE" w:rsidP="00F1784B">
            <w:pPr>
              <w:spacing w:after="120"/>
              <w:rPr>
                <w:lang w:val="fr-CH"/>
              </w:rPr>
            </w:pPr>
            <w:r w:rsidRPr="0002611B">
              <w:rPr>
                <w:bCs/>
                <w:lang w:val="fr-CH"/>
              </w:rPr>
              <w:t>Proposition de dérogation à la prescription du 7.2.4.25.5 selon laquelle les mélanges gaz-air survenant lors du chargement d’huiles de chauffe lourdes doivent être renvoyés à terre (</w:t>
            </w:r>
            <w:r w:rsidR="00F1784B">
              <w:rPr>
                <w:bCs/>
                <w:lang w:val="fr-CH"/>
              </w:rPr>
              <w:t>n</w:t>
            </w:r>
            <w:r w:rsidR="00F1784B" w:rsidRPr="00F1784B">
              <w:rPr>
                <w:bCs/>
                <w:vertAlign w:val="superscript"/>
                <w:lang w:val="fr-CH"/>
              </w:rPr>
              <w:t>o</w:t>
            </w:r>
            <w:r w:rsidR="00F1784B">
              <w:rPr>
                <w:bCs/>
                <w:lang w:val="fr-CH"/>
              </w:rPr>
              <w:t> ONU </w:t>
            </w:r>
            <w:r w:rsidRPr="0002611B">
              <w:rPr>
                <w:bCs/>
                <w:lang w:val="fr-CH"/>
              </w:rPr>
              <w:t>3082)</w:t>
            </w:r>
          </w:p>
        </w:tc>
      </w:tr>
      <w:tr w:rsidR="00A1075E" w:rsidRPr="0002611B" w:rsidTr="00F1784B">
        <w:tc>
          <w:tcPr>
            <w:tcW w:w="3766" w:type="dxa"/>
            <w:shd w:val="clear" w:color="auto" w:fill="auto"/>
          </w:tcPr>
          <w:p w:rsidR="00A1075E" w:rsidRPr="0002611B" w:rsidRDefault="00D869EE" w:rsidP="00E06BD6">
            <w:pPr>
              <w:spacing w:after="120"/>
              <w:rPr>
                <w:lang w:val="fr-CH"/>
              </w:rPr>
            </w:pPr>
            <w:r w:rsidRPr="0002611B">
              <w:rPr>
                <w:lang w:val="fr-CH"/>
              </w:rPr>
              <w:t>ECE/TRANS/WP.15/AC.2/2015/21 (Belgique)</w:t>
            </w:r>
          </w:p>
        </w:tc>
        <w:tc>
          <w:tcPr>
            <w:tcW w:w="3614" w:type="dxa"/>
            <w:shd w:val="clear" w:color="auto" w:fill="auto"/>
          </w:tcPr>
          <w:p w:rsidR="00A1075E" w:rsidRPr="0002611B" w:rsidRDefault="00D869EE" w:rsidP="00E06BD6">
            <w:pPr>
              <w:spacing w:after="120"/>
              <w:rPr>
                <w:lang w:val="fr-CH"/>
              </w:rPr>
            </w:pPr>
            <w:r w:rsidRPr="0002611B">
              <w:rPr>
                <w:lang w:val="fr-CH"/>
              </w:rPr>
              <w:t>Signal avertisseur au 9.1.0.40.2.3</w:t>
            </w:r>
          </w:p>
        </w:tc>
      </w:tr>
      <w:tr w:rsidR="00A1075E" w:rsidRPr="0002611B" w:rsidTr="00F1784B">
        <w:tc>
          <w:tcPr>
            <w:tcW w:w="3766" w:type="dxa"/>
            <w:shd w:val="clear" w:color="auto" w:fill="auto"/>
          </w:tcPr>
          <w:p w:rsidR="00A1075E" w:rsidRPr="0002611B" w:rsidRDefault="00AD7BCA" w:rsidP="00E06BD6">
            <w:pPr>
              <w:spacing w:after="120"/>
              <w:rPr>
                <w:lang w:val="fr-CH"/>
              </w:rPr>
            </w:pPr>
            <w:hyperlink r:id="rId32" w:history="1">
              <w:r w:rsidR="00D869EE" w:rsidRPr="008C59F1">
                <w:rPr>
                  <w:rStyle w:val="Hyperlink"/>
                  <w:lang w:val="fr-CH"/>
                </w:rPr>
                <w:t>ECE/TRANS/WP.15/AC.2/2015/22</w:t>
              </w:r>
            </w:hyperlink>
            <w:r w:rsidR="00D869EE" w:rsidRPr="0002611B">
              <w:rPr>
                <w:lang w:val="fr-CH"/>
              </w:rPr>
              <w:t xml:space="preserve"> (Belgique)</w:t>
            </w:r>
          </w:p>
        </w:tc>
        <w:tc>
          <w:tcPr>
            <w:tcW w:w="3614" w:type="dxa"/>
            <w:shd w:val="clear" w:color="auto" w:fill="auto"/>
          </w:tcPr>
          <w:p w:rsidR="00A1075E" w:rsidRPr="0002611B" w:rsidRDefault="00D869EE" w:rsidP="00E06BD6">
            <w:pPr>
              <w:spacing w:after="120"/>
              <w:rPr>
                <w:lang w:val="fr-CH"/>
              </w:rPr>
            </w:pPr>
            <w:r w:rsidRPr="0002611B">
              <w:rPr>
                <w:lang w:val="fr-CH"/>
              </w:rPr>
              <w:t>Dispositif d’arrêt de l’installation à terre</w:t>
            </w:r>
          </w:p>
        </w:tc>
      </w:tr>
      <w:tr w:rsidR="00D869EE" w:rsidRPr="0002611B" w:rsidTr="00F1784B">
        <w:tc>
          <w:tcPr>
            <w:tcW w:w="3766" w:type="dxa"/>
            <w:shd w:val="clear" w:color="auto" w:fill="auto"/>
          </w:tcPr>
          <w:p w:rsidR="00D869EE" w:rsidRPr="0002611B" w:rsidRDefault="00AD7BCA" w:rsidP="00A60321">
            <w:pPr>
              <w:spacing w:after="120"/>
              <w:rPr>
                <w:lang w:val="fr-CH"/>
              </w:rPr>
            </w:pPr>
            <w:hyperlink r:id="rId33" w:history="1">
              <w:r w:rsidR="00D869EE" w:rsidRPr="008C59F1">
                <w:rPr>
                  <w:rStyle w:val="Hyperlink"/>
                  <w:lang w:val="fr-CH"/>
                </w:rPr>
                <w:t>ECE/TRANS/WP.15/AC.2/2015/23</w:t>
              </w:r>
            </w:hyperlink>
            <w:r w:rsidR="00D869EE" w:rsidRPr="0002611B">
              <w:rPr>
                <w:lang w:val="fr-CH"/>
              </w:rPr>
              <w:t xml:space="preserve"> (</w:t>
            </w:r>
            <w:r w:rsidR="00A60321">
              <w:rPr>
                <w:lang w:val="fr-CH"/>
              </w:rPr>
              <w:t>s</w:t>
            </w:r>
            <w:r w:rsidR="00D869EE" w:rsidRPr="0002611B">
              <w:rPr>
                <w:lang w:val="fr-CH"/>
              </w:rPr>
              <w:t>ociétés de classification ADN recommandées)</w:t>
            </w:r>
          </w:p>
        </w:tc>
        <w:tc>
          <w:tcPr>
            <w:tcW w:w="3614" w:type="dxa"/>
            <w:shd w:val="clear" w:color="auto" w:fill="auto"/>
          </w:tcPr>
          <w:p w:rsidR="00D869EE" w:rsidRPr="0002611B" w:rsidRDefault="00D869EE" w:rsidP="00A60321">
            <w:pPr>
              <w:spacing w:after="120"/>
              <w:rPr>
                <w:lang w:val="fr-CH"/>
              </w:rPr>
            </w:pPr>
            <w:r w:rsidRPr="0002611B">
              <w:rPr>
                <w:lang w:val="fr-CH"/>
              </w:rPr>
              <w:t>Stabilité à l’état intact de</w:t>
            </w:r>
            <w:r w:rsidR="00A60321">
              <w:rPr>
                <w:lang w:val="fr-CH"/>
              </w:rPr>
              <w:t>s</w:t>
            </w:r>
            <w:r w:rsidRPr="0002611B">
              <w:rPr>
                <w:lang w:val="fr-CH"/>
              </w:rPr>
              <w:t xml:space="preserve"> bateaux-citernes de type N </w:t>
            </w:r>
            <w:r w:rsidR="00A60321">
              <w:rPr>
                <w:lang w:val="fr-CH"/>
              </w:rPr>
              <w:t>équipés de</w:t>
            </w:r>
            <w:r w:rsidRPr="0002611B">
              <w:rPr>
                <w:lang w:val="fr-CH"/>
              </w:rPr>
              <w:t xml:space="preserve"> compartiments </w:t>
            </w:r>
            <w:r w:rsidR="00A60321">
              <w:rPr>
                <w:lang w:val="fr-CH"/>
              </w:rPr>
              <w:t>à</w:t>
            </w:r>
            <w:r w:rsidRPr="0002611B">
              <w:rPr>
                <w:lang w:val="fr-CH"/>
              </w:rPr>
              <w:t xml:space="preserve"> double coque pour</w:t>
            </w:r>
            <w:r w:rsidR="00A60321">
              <w:rPr>
                <w:lang w:val="fr-CH"/>
              </w:rPr>
              <w:t xml:space="preserve"> </w:t>
            </w:r>
            <w:r w:rsidRPr="0002611B">
              <w:rPr>
                <w:lang w:val="fr-CH"/>
              </w:rPr>
              <w:t>le</w:t>
            </w:r>
            <w:r w:rsidR="00A60321">
              <w:rPr>
                <w:lang w:val="fr-CH"/>
              </w:rPr>
              <w:t> </w:t>
            </w:r>
            <w:r w:rsidRPr="0002611B">
              <w:rPr>
                <w:lang w:val="fr-CH"/>
              </w:rPr>
              <w:t>ballastage (</w:t>
            </w:r>
            <w:r w:rsidR="00A60321">
              <w:rPr>
                <w:lang w:val="fr-CH"/>
              </w:rPr>
              <w:t xml:space="preserve">citernes à cargaison de largeur inférieure à </w:t>
            </w:r>
            <w:r w:rsidRPr="0002611B">
              <w:rPr>
                <w:lang w:val="fr-CH"/>
              </w:rPr>
              <w:t>0,7</w:t>
            </w:r>
            <w:r w:rsidR="00A60321">
              <w:rPr>
                <w:lang w:val="fr-CH"/>
              </w:rPr>
              <w:t>0</w:t>
            </w:r>
            <w:r w:rsidRPr="0002611B">
              <w:rPr>
                <w:lang w:val="fr-CH"/>
              </w:rPr>
              <w:t xml:space="preserve"> B)</w:t>
            </w:r>
          </w:p>
        </w:tc>
      </w:tr>
      <w:tr w:rsidR="00D869EE" w:rsidRPr="0002611B" w:rsidTr="00F1784B">
        <w:tc>
          <w:tcPr>
            <w:tcW w:w="3766" w:type="dxa"/>
            <w:shd w:val="clear" w:color="auto" w:fill="auto"/>
          </w:tcPr>
          <w:p w:rsidR="00D869EE" w:rsidRPr="0002611B" w:rsidRDefault="00AD7BCA" w:rsidP="00A60321">
            <w:pPr>
              <w:spacing w:after="120"/>
              <w:rPr>
                <w:lang w:val="fr-CH"/>
              </w:rPr>
            </w:pPr>
            <w:hyperlink r:id="rId34" w:history="1">
              <w:r w:rsidR="00D869EE" w:rsidRPr="008C59F1">
                <w:rPr>
                  <w:rStyle w:val="Hyperlink"/>
                  <w:lang w:val="fr-CH"/>
                </w:rPr>
                <w:t>ECE/TRANS/WP.15/AC.2/2015/24</w:t>
              </w:r>
            </w:hyperlink>
            <w:r w:rsidR="00D869EE" w:rsidRPr="0002611B">
              <w:rPr>
                <w:lang w:val="fr-CH"/>
              </w:rPr>
              <w:t xml:space="preserve"> (</w:t>
            </w:r>
            <w:r w:rsidR="00A60321">
              <w:rPr>
                <w:lang w:val="fr-CH"/>
              </w:rPr>
              <w:t>s</w:t>
            </w:r>
            <w:r w:rsidR="00D869EE" w:rsidRPr="0002611B">
              <w:rPr>
                <w:lang w:val="fr-CH"/>
              </w:rPr>
              <w:t>ociétés de classification ADN recommandées)</w:t>
            </w:r>
          </w:p>
        </w:tc>
        <w:tc>
          <w:tcPr>
            <w:tcW w:w="3614" w:type="dxa"/>
            <w:shd w:val="clear" w:color="auto" w:fill="auto"/>
          </w:tcPr>
          <w:p w:rsidR="00D869EE" w:rsidRPr="0002611B" w:rsidRDefault="00D869EE" w:rsidP="00A60321">
            <w:pPr>
              <w:spacing w:after="120"/>
              <w:rPr>
                <w:lang w:val="fr-CH"/>
              </w:rPr>
            </w:pPr>
            <w:r w:rsidRPr="0002611B">
              <w:rPr>
                <w:lang w:val="fr-CH"/>
              </w:rPr>
              <w:t>Stade intermédiaire d’envahissement (9</w:t>
            </w:r>
            <w:r w:rsidR="00A60321">
              <w:rPr>
                <w:lang w:val="fr-CH"/>
              </w:rPr>
              <w:t>.3.x.13.</w:t>
            </w:r>
            <w:r w:rsidRPr="0002611B">
              <w:rPr>
                <w:lang w:val="fr-CH"/>
              </w:rPr>
              <w:t>3)</w:t>
            </w:r>
          </w:p>
        </w:tc>
      </w:tr>
      <w:tr w:rsidR="00D869EE" w:rsidRPr="0002611B" w:rsidTr="00F1784B">
        <w:tc>
          <w:tcPr>
            <w:tcW w:w="3766" w:type="dxa"/>
            <w:shd w:val="clear" w:color="auto" w:fill="auto"/>
          </w:tcPr>
          <w:p w:rsidR="00D869EE" w:rsidRPr="0002611B" w:rsidRDefault="00D869EE" w:rsidP="00A60321">
            <w:pPr>
              <w:spacing w:after="120"/>
              <w:rPr>
                <w:lang w:val="fr-CH"/>
              </w:rPr>
            </w:pPr>
            <w:r w:rsidRPr="0002611B">
              <w:rPr>
                <w:lang w:val="fr-CH"/>
              </w:rPr>
              <w:t>ECE/TRANS/WP.15/AC.2/2015/25 (</w:t>
            </w:r>
            <w:r w:rsidR="00A60321">
              <w:rPr>
                <w:lang w:val="fr-CH"/>
              </w:rPr>
              <w:t>s</w:t>
            </w:r>
            <w:r w:rsidRPr="0002611B">
              <w:rPr>
                <w:lang w:val="fr-CH"/>
              </w:rPr>
              <w:t>ociétés de classification ADN recommandées)</w:t>
            </w:r>
          </w:p>
        </w:tc>
        <w:tc>
          <w:tcPr>
            <w:tcW w:w="3614" w:type="dxa"/>
            <w:shd w:val="clear" w:color="auto" w:fill="auto"/>
          </w:tcPr>
          <w:p w:rsidR="00D869EE" w:rsidRPr="0002611B" w:rsidRDefault="00D869EE" w:rsidP="00E06BD6">
            <w:pPr>
              <w:spacing w:after="120"/>
              <w:rPr>
                <w:lang w:val="fr-CH"/>
              </w:rPr>
            </w:pPr>
            <w:r w:rsidRPr="0002611B">
              <w:rPr>
                <w:bCs/>
                <w:lang w:val="fr-CH"/>
              </w:rPr>
              <w:t>Installation d’air comprimé sur le pont</w:t>
            </w:r>
          </w:p>
        </w:tc>
      </w:tr>
      <w:tr w:rsidR="00D869EE" w:rsidRPr="0002611B" w:rsidTr="00F1784B">
        <w:tc>
          <w:tcPr>
            <w:tcW w:w="3766" w:type="dxa"/>
            <w:shd w:val="clear" w:color="auto" w:fill="auto"/>
          </w:tcPr>
          <w:p w:rsidR="00D869EE" w:rsidRPr="0002611B" w:rsidRDefault="00D869EE" w:rsidP="00A60321">
            <w:pPr>
              <w:spacing w:after="120"/>
              <w:rPr>
                <w:lang w:val="fr-CH"/>
              </w:rPr>
            </w:pPr>
            <w:r w:rsidRPr="0002611B">
              <w:rPr>
                <w:lang w:val="fr-CH"/>
              </w:rPr>
              <w:t>ECE/TRANS/WP.15/AC.2/2015/26 (</w:t>
            </w:r>
            <w:r w:rsidR="00A60321">
              <w:rPr>
                <w:lang w:val="fr-CH"/>
              </w:rPr>
              <w:t>s</w:t>
            </w:r>
            <w:r w:rsidRPr="0002611B">
              <w:rPr>
                <w:lang w:val="fr-CH"/>
              </w:rPr>
              <w:t>ociétés de classification ADN recommandées)</w:t>
            </w:r>
          </w:p>
        </w:tc>
        <w:tc>
          <w:tcPr>
            <w:tcW w:w="3614" w:type="dxa"/>
            <w:shd w:val="clear" w:color="auto" w:fill="auto"/>
          </w:tcPr>
          <w:p w:rsidR="00D869EE" w:rsidRPr="0002611B" w:rsidRDefault="00D869EE" w:rsidP="00D869EE">
            <w:pPr>
              <w:spacing w:after="120"/>
              <w:rPr>
                <w:lang w:val="fr-CH"/>
              </w:rPr>
            </w:pPr>
            <w:r w:rsidRPr="0002611B">
              <w:rPr>
                <w:lang w:val="fr-CH"/>
              </w:rPr>
              <w:t>Dispositions transitoires concernant la modification d’un bateau-citerne au 1.6.7.5.1 c)</w:t>
            </w:r>
          </w:p>
        </w:tc>
      </w:tr>
      <w:tr w:rsidR="00D869EE" w:rsidRPr="0002611B" w:rsidTr="00F1784B">
        <w:tc>
          <w:tcPr>
            <w:tcW w:w="3766" w:type="dxa"/>
            <w:shd w:val="clear" w:color="auto" w:fill="auto"/>
          </w:tcPr>
          <w:p w:rsidR="00D869EE" w:rsidRPr="0002611B" w:rsidRDefault="00D869EE" w:rsidP="00E06BD6">
            <w:pPr>
              <w:spacing w:after="120"/>
              <w:rPr>
                <w:lang w:val="fr-CH"/>
              </w:rPr>
            </w:pPr>
            <w:r w:rsidRPr="0002611B">
              <w:rPr>
                <w:lang w:val="fr-CH"/>
              </w:rPr>
              <w:t>ECE/TRANS/WP.15/AC.2/2015/28 (Belgique)</w:t>
            </w:r>
          </w:p>
        </w:tc>
        <w:tc>
          <w:tcPr>
            <w:tcW w:w="3614" w:type="dxa"/>
            <w:shd w:val="clear" w:color="auto" w:fill="auto"/>
          </w:tcPr>
          <w:p w:rsidR="00D869EE" w:rsidRPr="0002611B" w:rsidRDefault="00D869EE" w:rsidP="00A60321">
            <w:pPr>
              <w:spacing w:after="120"/>
              <w:rPr>
                <w:lang w:val="fr-CH"/>
              </w:rPr>
            </w:pPr>
            <w:r w:rsidRPr="0002611B">
              <w:rPr>
                <w:bCs/>
                <w:lang w:val="fr-CH"/>
              </w:rPr>
              <w:t xml:space="preserve">Certificat technique du </w:t>
            </w:r>
            <w:r w:rsidR="00A60321">
              <w:rPr>
                <w:bCs/>
                <w:lang w:val="fr-CH"/>
              </w:rPr>
              <w:t>bateau</w:t>
            </w:r>
          </w:p>
        </w:tc>
      </w:tr>
      <w:tr w:rsidR="00A1075E" w:rsidRPr="0002611B" w:rsidTr="00F1784B">
        <w:tc>
          <w:tcPr>
            <w:tcW w:w="3766" w:type="dxa"/>
            <w:shd w:val="clear" w:color="auto" w:fill="auto"/>
          </w:tcPr>
          <w:p w:rsidR="00A1075E" w:rsidRPr="0002611B" w:rsidRDefault="00D869EE" w:rsidP="00E06BD6">
            <w:pPr>
              <w:spacing w:after="120"/>
              <w:rPr>
                <w:lang w:val="fr-CH"/>
              </w:rPr>
            </w:pPr>
            <w:r w:rsidRPr="0002611B">
              <w:rPr>
                <w:lang w:val="fr-CH"/>
              </w:rPr>
              <w:t>ECE/TRANS/WP.15/AC.2/2015/32 (Allemagne)</w:t>
            </w:r>
          </w:p>
        </w:tc>
        <w:tc>
          <w:tcPr>
            <w:tcW w:w="3614" w:type="dxa"/>
            <w:shd w:val="clear" w:color="auto" w:fill="auto"/>
          </w:tcPr>
          <w:p w:rsidR="00A1075E" w:rsidRPr="0002611B" w:rsidRDefault="00D869EE" w:rsidP="00D869EE">
            <w:pPr>
              <w:spacing w:after="120"/>
              <w:rPr>
                <w:lang w:val="fr-CH"/>
              </w:rPr>
            </w:pPr>
            <w:r w:rsidRPr="0002611B">
              <w:rPr>
                <w:lang w:val="fr-CH"/>
              </w:rPr>
              <w:t>Interprétations nationales – répon</w:t>
            </w:r>
            <w:r w:rsidR="008C59F1">
              <w:rPr>
                <w:lang w:val="fr-CH"/>
              </w:rPr>
              <w:t xml:space="preserve">se au document </w:t>
            </w:r>
            <w:hyperlink r:id="rId35" w:history="1">
              <w:r w:rsidR="008C59F1" w:rsidRPr="008C59F1">
                <w:rPr>
                  <w:rStyle w:val="Hyperlink"/>
                  <w:lang w:val="fr-CH"/>
                </w:rPr>
                <w:t>ECE/TRANS/WP.15/</w:t>
              </w:r>
              <w:r w:rsidR="008C59F1">
                <w:rPr>
                  <w:rStyle w:val="Hyperlink"/>
                  <w:lang w:val="fr-CH"/>
                </w:rPr>
                <w:t xml:space="preserve"> </w:t>
              </w:r>
              <w:r w:rsidRPr="008C59F1">
                <w:rPr>
                  <w:rStyle w:val="Hyperlink"/>
                  <w:lang w:val="fr-CH"/>
                </w:rPr>
                <w:t>AC.2/2015/18</w:t>
              </w:r>
            </w:hyperlink>
          </w:p>
        </w:tc>
      </w:tr>
      <w:tr w:rsidR="00D869EE" w:rsidRPr="0002611B" w:rsidTr="00F1784B">
        <w:tc>
          <w:tcPr>
            <w:tcW w:w="3766" w:type="dxa"/>
            <w:shd w:val="clear" w:color="auto" w:fill="auto"/>
          </w:tcPr>
          <w:p w:rsidR="00D869EE" w:rsidRPr="0002611B" w:rsidRDefault="00AD7BCA" w:rsidP="00E06BD6">
            <w:pPr>
              <w:spacing w:after="120"/>
              <w:rPr>
                <w:lang w:val="fr-CH"/>
              </w:rPr>
            </w:pPr>
            <w:hyperlink r:id="rId36" w:history="1">
              <w:r w:rsidR="00D869EE" w:rsidRPr="008C59F1">
                <w:rPr>
                  <w:rStyle w:val="Hyperlink"/>
                  <w:lang w:val="fr-CH"/>
                </w:rPr>
                <w:t>ECE/TRANS/WP.15/AC.2/2015/33</w:t>
              </w:r>
            </w:hyperlink>
            <w:r w:rsidR="00D869EE" w:rsidRPr="0002611B">
              <w:rPr>
                <w:lang w:val="fr-CH"/>
              </w:rPr>
              <w:t xml:space="preserve"> </w:t>
            </w:r>
            <w:r w:rsidR="00D869EE" w:rsidRPr="0002611B">
              <w:rPr>
                <w:lang w:val="fr-CH"/>
              </w:rPr>
              <w:br/>
              <w:t>(UENF, ERSTU et OEB)</w:t>
            </w:r>
          </w:p>
        </w:tc>
        <w:tc>
          <w:tcPr>
            <w:tcW w:w="3614" w:type="dxa"/>
            <w:shd w:val="clear" w:color="auto" w:fill="auto"/>
          </w:tcPr>
          <w:p w:rsidR="00D869EE" w:rsidRPr="0002611B" w:rsidRDefault="00D869EE" w:rsidP="00E06BD6">
            <w:pPr>
              <w:spacing w:after="120"/>
              <w:rPr>
                <w:lang w:val="fr-CH"/>
              </w:rPr>
            </w:pPr>
            <w:r w:rsidRPr="0002611B">
              <w:rPr>
                <w:bCs/>
                <w:lang w:val="fr-CH"/>
              </w:rPr>
              <w:t>Prescriptions de l’ADN en liaison avec les différentes matières – Exigences applicables aux équipements électriques</w:t>
            </w:r>
          </w:p>
        </w:tc>
      </w:tr>
    </w:tbl>
    <w:p w:rsidR="00A1075E" w:rsidRPr="0002611B" w:rsidRDefault="00A1075E" w:rsidP="001859F4">
      <w:pPr>
        <w:pStyle w:val="SingleTxt"/>
        <w:spacing w:after="0" w:line="120" w:lineRule="exact"/>
        <w:rPr>
          <w:sz w:val="10"/>
          <w:lang w:val="fr-CH"/>
        </w:rPr>
      </w:pPr>
    </w:p>
    <w:p w:rsidR="00A1075E" w:rsidRPr="0002611B" w:rsidRDefault="00A1075E" w:rsidP="001859F4">
      <w:pPr>
        <w:pStyle w:val="SingleTxt"/>
        <w:spacing w:after="0" w:line="120" w:lineRule="exact"/>
        <w:rPr>
          <w:sz w:val="10"/>
          <w:lang w:val="fr-CH"/>
        </w:rPr>
      </w:pPr>
    </w:p>
    <w:p w:rsidR="0018707A" w:rsidRPr="0002611B" w:rsidRDefault="0018707A" w:rsidP="007A2F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5.</w:t>
      </w:r>
      <w:r w:rsidRPr="0002611B">
        <w:rPr>
          <w:lang w:val="fr-CH"/>
        </w:rPr>
        <w:tab/>
        <w:t>Rapports d</w:t>
      </w:r>
      <w:r w:rsidR="00A60321">
        <w:rPr>
          <w:lang w:val="fr-CH"/>
        </w:rPr>
        <w:t>es groupes de travail informels</w:t>
      </w:r>
    </w:p>
    <w:p w:rsidR="007A2F11" w:rsidRPr="0002611B" w:rsidRDefault="007A2F11" w:rsidP="007A2F11">
      <w:pPr>
        <w:pStyle w:val="SingleTxt"/>
        <w:spacing w:after="0" w:line="120" w:lineRule="exact"/>
        <w:rPr>
          <w:sz w:val="10"/>
          <w:lang w:val="fr-CH"/>
        </w:rPr>
      </w:pPr>
    </w:p>
    <w:p w:rsidR="0018707A" w:rsidRPr="0002611B" w:rsidRDefault="007A2F11" w:rsidP="0018707A">
      <w:pPr>
        <w:pStyle w:val="SingleTxt"/>
        <w:rPr>
          <w:lang w:val="fr-CH"/>
        </w:rPr>
      </w:pPr>
      <w:r w:rsidRPr="0002611B">
        <w:rPr>
          <w:lang w:val="fr-CH"/>
        </w:rPr>
        <w:tab/>
      </w:r>
      <w:r w:rsidR="0018707A" w:rsidRPr="0002611B">
        <w:rPr>
          <w:lang w:val="fr-CH"/>
        </w:rPr>
        <w:t>Le Comité de sécurité est invité à examiner le rapport sur la troisième réunion du</w:t>
      </w:r>
      <w:r w:rsidR="00A60321">
        <w:rPr>
          <w:lang w:val="fr-CH"/>
        </w:rPr>
        <w:t xml:space="preserve"> </w:t>
      </w:r>
      <w:r w:rsidR="0018707A" w:rsidRPr="0002611B">
        <w:rPr>
          <w:lang w:val="fr-CH"/>
        </w:rPr>
        <w:t xml:space="preserve">groupe de travail informel </w:t>
      </w:r>
      <w:r w:rsidR="00A60321">
        <w:rPr>
          <w:lang w:val="fr-CH"/>
        </w:rPr>
        <w:t>du</w:t>
      </w:r>
      <w:r w:rsidR="0018707A" w:rsidRPr="0002611B">
        <w:rPr>
          <w:lang w:val="fr-CH"/>
        </w:rPr>
        <w:t xml:space="preserve"> dégazage des citernes (ECE/TRANS/WP.15/</w:t>
      </w:r>
      <w:r w:rsidR="00A60321">
        <w:rPr>
          <w:lang w:val="fr-CH"/>
        </w:rPr>
        <w:t xml:space="preserve"> </w:t>
      </w:r>
      <w:r w:rsidR="0018707A" w:rsidRPr="0002611B">
        <w:rPr>
          <w:lang w:val="fr-CH"/>
        </w:rPr>
        <w:t>AC.2/2015/29). Les rapports d’autres groupes de travail informels reçus après la publication du présent ordre du jour annoté seront présenté</w:t>
      </w:r>
      <w:r w:rsidRPr="0002611B">
        <w:rPr>
          <w:lang w:val="fr-CH"/>
        </w:rPr>
        <w:t>s dans des documents informels.</w:t>
      </w:r>
    </w:p>
    <w:p w:rsidR="007A2F11" w:rsidRPr="0002611B" w:rsidRDefault="007A2F11" w:rsidP="007A2F11">
      <w:pPr>
        <w:pStyle w:val="SingleTxt"/>
        <w:spacing w:after="0" w:line="120" w:lineRule="exact"/>
        <w:rPr>
          <w:sz w:val="10"/>
          <w:lang w:val="fr-CH"/>
        </w:rPr>
      </w:pPr>
    </w:p>
    <w:p w:rsidR="0018707A" w:rsidRPr="0002611B" w:rsidRDefault="0018707A" w:rsidP="007A2F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lastRenderedPageBreak/>
        <w:tab/>
        <w:t>6.</w:t>
      </w:r>
      <w:r w:rsidRPr="0002611B">
        <w:rPr>
          <w:lang w:val="fr-CH"/>
        </w:rPr>
        <w:tab/>
        <w:t>Programme de tra</w:t>
      </w:r>
      <w:r w:rsidR="00A60321">
        <w:rPr>
          <w:lang w:val="fr-CH"/>
        </w:rPr>
        <w:t>vail et calendrier des réunions</w:t>
      </w:r>
    </w:p>
    <w:p w:rsidR="007A2F11" w:rsidRPr="0002611B" w:rsidRDefault="007A2F11" w:rsidP="007A2F11">
      <w:pPr>
        <w:pStyle w:val="SingleTxt"/>
        <w:spacing w:after="0" w:line="120" w:lineRule="exact"/>
        <w:rPr>
          <w:sz w:val="10"/>
          <w:lang w:val="fr-CH"/>
        </w:rPr>
      </w:pPr>
    </w:p>
    <w:p w:rsidR="0018707A" w:rsidRPr="0002611B" w:rsidRDefault="0018707A" w:rsidP="0018707A">
      <w:pPr>
        <w:pStyle w:val="SingleTxt"/>
        <w:rPr>
          <w:lang w:val="fr-CH"/>
        </w:rPr>
      </w:pPr>
      <w:r w:rsidRPr="0002611B">
        <w:rPr>
          <w:lang w:val="fr-CH"/>
        </w:rPr>
        <w:tab/>
        <w:t xml:space="preserve">La quinzième session du Comité d’administration </w:t>
      </w:r>
      <w:r w:rsidR="007A2F11" w:rsidRPr="0002611B">
        <w:rPr>
          <w:lang w:val="fr-CH"/>
        </w:rPr>
        <w:t>de l’ADN s’ouvrira le 28 </w:t>
      </w:r>
      <w:r w:rsidRPr="0002611B">
        <w:rPr>
          <w:lang w:val="fr-CH"/>
        </w:rPr>
        <w:t xml:space="preserve">août 2015 à </w:t>
      </w:r>
      <w:r w:rsidR="00A60321">
        <w:rPr>
          <w:lang w:val="fr-CH"/>
        </w:rPr>
        <w:t>midi</w:t>
      </w:r>
      <w:r w:rsidRPr="0002611B">
        <w:rPr>
          <w:lang w:val="fr-CH"/>
        </w:rPr>
        <w:t xml:space="preserve">. La vingt-huitième session du Comité de sécurité de l’ADN devrait se tenir à Genève du 25 au 29 janvier 2016. La seizième session du Comité d’administration de l’ADN est prévue le 29 janvier 2016. La date limite de communication des documents pour ces réunions est le 30 </w:t>
      </w:r>
      <w:r w:rsidR="007A2F11" w:rsidRPr="0002611B">
        <w:rPr>
          <w:lang w:val="fr-CH"/>
        </w:rPr>
        <w:t>o</w:t>
      </w:r>
      <w:r w:rsidRPr="0002611B">
        <w:rPr>
          <w:lang w:val="fr-CH"/>
        </w:rPr>
        <w:t>ctobre 2015.</w:t>
      </w:r>
    </w:p>
    <w:p w:rsidR="007A2F11" w:rsidRPr="0002611B" w:rsidRDefault="007A2F11" w:rsidP="007A2F11">
      <w:pPr>
        <w:pStyle w:val="SingleTxt"/>
        <w:spacing w:after="0" w:line="120" w:lineRule="exact"/>
        <w:rPr>
          <w:sz w:val="10"/>
          <w:lang w:val="fr-CH"/>
        </w:rPr>
      </w:pPr>
    </w:p>
    <w:p w:rsidR="0018707A" w:rsidRPr="0002611B" w:rsidRDefault="0018707A" w:rsidP="007A2F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7.</w:t>
      </w:r>
      <w:r w:rsidRPr="0002611B">
        <w:rPr>
          <w:lang w:val="fr-CH"/>
        </w:rPr>
        <w:tab/>
        <w:t>Questions diverses</w:t>
      </w:r>
    </w:p>
    <w:p w:rsidR="007A2F11" w:rsidRPr="0002611B" w:rsidRDefault="007A2F11" w:rsidP="007A2F11">
      <w:pPr>
        <w:pStyle w:val="SingleTxt"/>
        <w:spacing w:after="0" w:line="120" w:lineRule="exact"/>
        <w:rPr>
          <w:sz w:val="10"/>
          <w:lang w:val="fr-CH"/>
        </w:rPr>
      </w:pPr>
    </w:p>
    <w:p w:rsidR="0018707A" w:rsidRPr="0002611B" w:rsidRDefault="007A2F11" w:rsidP="0018707A">
      <w:pPr>
        <w:pStyle w:val="SingleTxt"/>
        <w:rPr>
          <w:lang w:val="fr-CH"/>
        </w:rPr>
      </w:pPr>
      <w:r w:rsidRPr="0002611B">
        <w:rPr>
          <w:lang w:val="fr-CH"/>
        </w:rPr>
        <w:tab/>
      </w:r>
      <w:r w:rsidR="0018707A" w:rsidRPr="0002611B">
        <w:rPr>
          <w:lang w:val="fr-CH"/>
        </w:rPr>
        <w:t>Le Comité de sécurité est invité à examiner d’autres questions se rapportant à ses travaux au titre de ce point de l’ordre du jour.</w:t>
      </w:r>
    </w:p>
    <w:p w:rsidR="007A2F11" w:rsidRPr="0002611B" w:rsidRDefault="007A2F11" w:rsidP="007A2F11">
      <w:pPr>
        <w:pStyle w:val="SingleTxt"/>
        <w:spacing w:after="0" w:line="120" w:lineRule="exact"/>
        <w:rPr>
          <w:sz w:val="10"/>
          <w:lang w:val="fr-CH"/>
        </w:rPr>
      </w:pPr>
    </w:p>
    <w:p w:rsidR="0018707A" w:rsidRPr="0002611B" w:rsidRDefault="0018707A" w:rsidP="007A2F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611B">
        <w:rPr>
          <w:lang w:val="fr-CH"/>
        </w:rPr>
        <w:tab/>
        <w:t>8.</w:t>
      </w:r>
      <w:r w:rsidRPr="0002611B">
        <w:rPr>
          <w:lang w:val="fr-CH"/>
        </w:rPr>
        <w:tab/>
        <w:t>Adoption du rapport</w:t>
      </w:r>
    </w:p>
    <w:p w:rsidR="007A2F11" w:rsidRPr="0002611B" w:rsidRDefault="007A2F11" w:rsidP="007A2F11">
      <w:pPr>
        <w:pStyle w:val="SingleTxt"/>
        <w:spacing w:after="0" w:line="120" w:lineRule="exact"/>
        <w:rPr>
          <w:sz w:val="10"/>
          <w:lang w:val="fr-CH"/>
        </w:rPr>
      </w:pPr>
    </w:p>
    <w:p w:rsidR="0061245F" w:rsidRPr="0002611B" w:rsidRDefault="0018707A" w:rsidP="005750B4">
      <w:pPr>
        <w:pStyle w:val="SingleTxt"/>
        <w:spacing w:after="0" w:line="240" w:lineRule="auto"/>
        <w:rPr>
          <w:lang w:val="fr-CH"/>
        </w:rPr>
      </w:pPr>
      <w:r w:rsidRPr="0002611B">
        <w:rPr>
          <w:lang w:val="fr-CH"/>
        </w:rPr>
        <w:tab/>
        <w:t xml:space="preserve">Le Comité de sécurité souhaitera peut-être adopter le rapport </w:t>
      </w:r>
      <w:r w:rsidR="00A60321">
        <w:rPr>
          <w:lang w:val="fr-CH"/>
        </w:rPr>
        <w:t>de</w:t>
      </w:r>
      <w:r w:rsidRPr="0002611B">
        <w:rPr>
          <w:lang w:val="fr-CH"/>
        </w:rPr>
        <w:t xml:space="preserve"> sa vingt-septième session sur la base d’un projet établi par le secrétariat.</w:t>
      </w:r>
    </w:p>
    <w:p w:rsidR="005750B4" w:rsidRPr="00E0408B" w:rsidRDefault="00E0408B" w:rsidP="00E0408B">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750B4" w:rsidRPr="00E0408B" w:rsidSect="0061245F">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4T14:17:00Z" w:initials="Start">
    <w:p w:rsidR="0061245F" w:rsidRDefault="006124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NO&gt;&gt;N1512362F&lt;&lt;ODS JOB NO&gt;&gt;</w:t>
      </w:r>
    </w:p>
    <w:p w:rsidR="0061245F" w:rsidRDefault="0061245F">
      <w:pPr>
        <w:pStyle w:val="CommentText"/>
      </w:pPr>
      <w:r>
        <w:t>&lt;&lt;ODS DOC SYMBOL1&gt;&gt;ECE/TRANS/WP.15/AC.2/55/Add.1&lt;&lt;ODS DOC SYMBOL1&gt;&gt;</w:t>
      </w:r>
    </w:p>
    <w:p w:rsidR="0061245F" w:rsidRDefault="0061245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DD" w:rsidRDefault="005608DD" w:rsidP="00F3330B">
      <w:pPr>
        <w:spacing w:line="240" w:lineRule="auto"/>
      </w:pPr>
      <w:r>
        <w:separator/>
      </w:r>
    </w:p>
  </w:endnote>
  <w:endnote w:type="continuationSeparator" w:id="0">
    <w:p w:rsidR="005608DD" w:rsidRDefault="005608D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1245F" w:rsidTr="0061245F">
      <w:trPr>
        <w:jc w:val="center"/>
      </w:trPr>
      <w:tc>
        <w:tcPr>
          <w:tcW w:w="5126" w:type="dxa"/>
          <w:shd w:val="clear" w:color="auto" w:fill="auto"/>
        </w:tcPr>
        <w:p w:rsidR="0061245F" w:rsidRPr="0061245F" w:rsidRDefault="0061245F" w:rsidP="006124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6641">
            <w:rPr>
              <w:b w:val="0"/>
              <w:w w:val="103"/>
              <w:sz w:val="14"/>
            </w:rPr>
            <w:t>GE.15-09638</w:t>
          </w:r>
          <w:r>
            <w:rPr>
              <w:b w:val="0"/>
              <w:w w:val="103"/>
              <w:sz w:val="14"/>
            </w:rPr>
            <w:fldChar w:fldCharType="end"/>
          </w:r>
        </w:p>
      </w:tc>
      <w:tc>
        <w:tcPr>
          <w:tcW w:w="5127" w:type="dxa"/>
          <w:shd w:val="clear" w:color="auto" w:fill="auto"/>
        </w:tcPr>
        <w:p w:rsidR="0061245F" w:rsidRPr="0061245F" w:rsidRDefault="0061245F" w:rsidP="0061245F">
          <w:pPr>
            <w:pStyle w:val="Footer"/>
            <w:rPr>
              <w:w w:val="103"/>
            </w:rPr>
          </w:pPr>
          <w:r>
            <w:rPr>
              <w:w w:val="103"/>
            </w:rPr>
            <w:fldChar w:fldCharType="begin"/>
          </w:r>
          <w:r>
            <w:rPr>
              <w:w w:val="103"/>
            </w:rPr>
            <w:instrText xml:space="preserve"> PAGE  \* Arabic  \* MERGEFORMAT </w:instrText>
          </w:r>
          <w:r>
            <w:rPr>
              <w:w w:val="103"/>
            </w:rPr>
            <w:fldChar w:fldCharType="separate"/>
          </w:r>
          <w:r w:rsidR="00AD7BC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7BCA">
            <w:rPr>
              <w:noProof/>
              <w:w w:val="103"/>
            </w:rPr>
            <w:t>4</w:t>
          </w:r>
          <w:r>
            <w:rPr>
              <w:w w:val="103"/>
            </w:rPr>
            <w:fldChar w:fldCharType="end"/>
          </w:r>
        </w:p>
      </w:tc>
    </w:tr>
  </w:tbl>
  <w:p w:rsidR="0061245F" w:rsidRPr="0061245F" w:rsidRDefault="0061245F" w:rsidP="0061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1245F" w:rsidTr="0061245F">
      <w:trPr>
        <w:jc w:val="center"/>
      </w:trPr>
      <w:tc>
        <w:tcPr>
          <w:tcW w:w="5126" w:type="dxa"/>
          <w:shd w:val="clear" w:color="auto" w:fill="auto"/>
        </w:tcPr>
        <w:p w:rsidR="0061245F" w:rsidRPr="0061245F" w:rsidRDefault="0061245F" w:rsidP="006124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D7BCA">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7BCA">
            <w:rPr>
              <w:noProof/>
              <w:w w:val="103"/>
            </w:rPr>
            <w:t>5</w:t>
          </w:r>
          <w:r>
            <w:rPr>
              <w:w w:val="103"/>
            </w:rPr>
            <w:fldChar w:fldCharType="end"/>
          </w:r>
        </w:p>
      </w:tc>
      <w:tc>
        <w:tcPr>
          <w:tcW w:w="5127" w:type="dxa"/>
          <w:shd w:val="clear" w:color="auto" w:fill="auto"/>
        </w:tcPr>
        <w:p w:rsidR="0061245F" w:rsidRPr="0061245F" w:rsidRDefault="0061245F" w:rsidP="006124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6641">
            <w:rPr>
              <w:b w:val="0"/>
              <w:w w:val="103"/>
              <w:sz w:val="14"/>
            </w:rPr>
            <w:t>GE.15-09638</w:t>
          </w:r>
          <w:r>
            <w:rPr>
              <w:b w:val="0"/>
              <w:w w:val="103"/>
              <w:sz w:val="14"/>
            </w:rPr>
            <w:fldChar w:fldCharType="end"/>
          </w:r>
        </w:p>
      </w:tc>
    </w:tr>
  </w:tbl>
  <w:p w:rsidR="0061245F" w:rsidRPr="0061245F" w:rsidRDefault="0061245F" w:rsidP="00612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5F" w:rsidRDefault="0061245F">
    <w:pPr>
      <w:pStyle w:val="Footer"/>
    </w:pPr>
    <w:r>
      <w:rPr>
        <w:noProof/>
        <w:lang w:val="en-GB" w:eastAsia="en-GB"/>
      </w:rPr>
      <w:drawing>
        <wp:anchor distT="0" distB="0" distL="114300" distR="114300" simplePos="0" relativeHeight="251658240" behindDoc="0" locked="0" layoutInCell="1" allowOverlap="1" wp14:anchorId="12A34795" wp14:editId="1CFDCFF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5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5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1245F" w:rsidTr="0061245F">
      <w:tc>
        <w:tcPr>
          <w:tcW w:w="3859" w:type="dxa"/>
        </w:tcPr>
        <w:p w:rsidR="0061245F" w:rsidRDefault="0061245F" w:rsidP="0061245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76641">
            <w:rPr>
              <w:b w:val="0"/>
              <w:sz w:val="20"/>
            </w:rPr>
            <w:t>GE.15-09638 (F)</w:t>
          </w:r>
          <w:r>
            <w:rPr>
              <w:b w:val="0"/>
              <w:sz w:val="20"/>
            </w:rPr>
            <w:fldChar w:fldCharType="end"/>
          </w:r>
          <w:r>
            <w:rPr>
              <w:b w:val="0"/>
              <w:sz w:val="20"/>
            </w:rPr>
            <w:t xml:space="preserve">    240615    2</w:t>
          </w:r>
          <w:r w:rsidR="006A5208">
            <w:rPr>
              <w:b w:val="0"/>
              <w:sz w:val="20"/>
            </w:rPr>
            <w:t>6</w:t>
          </w:r>
          <w:r>
            <w:rPr>
              <w:b w:val="0"/>
              <w:sz w:val="20"/>
            </w:rPr>
            <w:t>0615</w:t>
          </w:r>
        </w:p>
        <w:p w:rsidR="0061245F" w:rsidRPr="0061245F" w:rsidRDefault="0061245F" w:rsidP="0061245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76641">
            <w:rPr>
              <w:rFonts w:ascii="Barcode 3 of 9 by request" w:hAnsi="Barcode 3 of 9 by request"/>
              <w:b w:val="0"/>
              <w:spacing w:val="0"/>
              <w:w w:val="100"/>
              <w:sz w:val="24"/>
            </w:rPr>
            <w:t>*1509638*</w:t>
          </w:r>
          <w:r>
            <w:rPr>
              <w:rFonts w:ascii="Barcode 3 of 9 by request" w:hAnsi="Barcode 3 of 9 by request"/>
              <w:b w:val="0"/>
              <w:spacing w:val="0"/>
              <w:w w:val="100"/>
              <w:sz w:val="24"/>
            </w:rPr>
            <w:fldChar w:fldCharType="end"/>
          </w:r>
        </w:p>
      </w:tc>
      <w:tc>
        <w:tcPr>
          <w:tcW w:w="5127" w:type="dxa"/>
        </w:tcPr>
        <w:p w:rsidR="0061245F" w:rsidRDefault="0061245F" w:rsidP="0061245F">
          <w:pPr>
            <w:pStyle w:val="Footer"/>
            <w:spacing w:line="240" w:lineRule="atLeast"/>
            <w:jc w:val="right"/>
            <w:rPr>
              <w:b w:val="0"/>
              <w:sz w:val="20"/>
            </w:rPr>
          </w:pPr>
          <w:r>
            <w:rPr>
              <w:b w:val="0"/>
              <w:noProof/>
              <w:sz w:val="20"/>
              <w:lang w:val="en-GB" w:eastAsia="en-GB"/>
            </w:rPr>
            <w:drawing>
              <wp:inline distT="0" distB="0" distL="0" distR="0" wp14:anchorId="5020BA82" wp14:editId="129FDD6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1245F" w:rsidRPr="0061245F" w:rsidRDefault="0061245F" w:rsidP="0061245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DD" w:rsidRPr="004C29C9" w:rsidRDefault="004C29C9" w:rsidP="004C29C9">
      <w:pPr>
        <w:pStyle w:val="Footer"/>
        <w:spacing w:after="80"/>
        <w:ind w:left="792"/>
        <w:rPr>
          <w:sz w:val="16"/>
        </w:rPr>
      </w:pPr>
      <w:r w:rsidRPr="004C29C9">
        <w:rPr>
          <w:sz w:val="16"/>
        </w:rPr>
        <w:t>__________________</w:t>
      </w:r>
    </w:p>
  </w:footnote>
  <w:footnote w:type="continuationSeparator" w:id="0">
    <w:p w:rsidR="005608DD" w:rsidRPr="004C29C9" w:rsidRDefault="004C29C9" w:rsidP="004C29C9">
      <w:pPr>
        <w:pStyle w:val="Footer"/>
        <w:spacing w:after="80"/>
        <w:ind w:left="792"/>
        <w:rPr>
          <w:sz w:val="16"/>
        </w:rPr>
      </w:pPr>
      <w:r w:rsidRPr="004C29C9">
        <w:rPr>
          <w:sz w:val="16"/>
        </w:rPr>
        <w:t>__________________</w:t>
      </w:r>
    </w:p>
  </w:footnote>
  <w:footnote w:id="1">
    <w:p w:rsidR="004C29C9" w:rsidRPr="0002611B" w:rsidRDefault="004C29C9" w:rsidP="004C29C9">
      <w:pPr>
        <w:pStyle w:val="FootnoteText"/>
        <w:tabs>
          <w:tab w:val="right" w:pos="1195"/>
          <w:tab w:val="left" w:pos="1267"/>
          <w:tab w:val="left" w:pos="1742"/>
          <w:tab w:val="left" w:pos="2218"/>
          <w:tab w:val="left" w:pos="2693"/>
        </w:tabs>
        <w:ind w:left="1267" w:right="1260" w:hanging="432"/>
        <w:rPr>
          <w:spacing w:val="5"/>
          <w:w w:val="104"/>
          <w:szCs w:val="17"/>
          <w:lang w:val="fr-CH"/>
        </w:rPr>
      </w:pPr>
      <w:r w:rsidRPr="0002611B">
        <w:rPr>
          <w:lang w:val="fr-CH"/>
        </w:rPr>
        <w:tab/>
      </w:r>
      <w:r w:rsidRPr="0002611B">
        <w:rPr>
          <w:rStyle w:val="FootnoteReference"/>
          <w:szCs w:val="17"/>
          <w:lang w:val="fr-CH"/>
        </w:rPr>
        <w:footnoteRef/>
      </w:r>
      <w:r w:rsidRPr="0002611B">
        <w:rPr>
          <w:szCs w:val="17"/>
          <w:lang w:val="fr-CH"/>
        </w:rPr>
        <w:t xml:space="preserve"> </w:t>
      </w:r>
      <w:r w:rsidRPr="0002611B">
        <w:rPr>
          <w:szCs w:val="17"/>
          <w:lang w:val="fr-CH"/>
        </w:rPr>
        <w:tab/>
        <w:t xml:space="preserve">Diffusé en allemand par la Commission centrale pour la navigation du Rhin sous la cote </w:t>
      </w:r>
      <w:r w:rsidRPr="0002611B">
        <w:rPr>
          <w:szCs w:val="17"/>
          <w:lang w:val="fr-CH"/>
        </w:rPr>
        <w:br/>
        <w:t>CCNR-ZKR/ADN/WP.15/AC.2/55/Add.1</w:t>
      </w:r>
      <w:r w:rsidRPr="0002611B">
        <w:rPr>
          <w:iCs/>
          <w:szCs w:val="17"/>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61245F" w:rsidTr="0061245F">
      <w:trPr>
        <w:trHeight w:hRule="exact" w:val="864"/>
        <w:jc w:val="center"/>
      </w:trPr>
      <w:tc>
        <w:tcPr>
          <w:tcW w:w="4882" w:type="dxa"/>
          <w:shd w:val="clear" w:color="auto" w:fill="auto"/>
          <w:vAlign w:val="bottom"/>
        </w:tcPr>
        <w:p w:rsidR="0061245F" w:rsidRPr="0061245F" w:rsidRDefault="0061245F" w:rsidP="0061245F">
          <w:pPr>
            <w:pStyle w:val="Header"/>
            <w:spacing w:after="80"/>
            <w:rPr>
              <w:b/>
            </w:rPr>
          </w:pPr>
          <w:r>
            <w:rPr>
              <w:b/>
            </w:rPr>
            <w:fldChar w:fldCharType="begin"/>
          </w:r>
          <w:r>
            <w:rPr>
              <w:b/>
            </w:rPr>
            <w:instrText xml:space="preserve"> DOCVARIABLE "sss1" \* MERGEFORMAT </w:instrText>
          </w:r>
          <w:r>
            <w:rPr>
              <w:b/>
            </w:rPr>
            <w:fldChar w:fldCharType="separate"/>
          </w:r>
          <w:r w:rsidR="00E76641">
            <w:rPr>
              <w:b/>
            </w:rPr>
            <w:t>ECE/TRANS/WP.15/AC.2/55/Add.1</w:t>
          </w:r>
          <w:r>
            <w:rPr>
              <w:b/>
            </w:rPr>
            <w:fldChar w:fldCharType="end"/>
          </w:r>
        </w:p>
      </w:tc>
      <w:tc>
        <w:tcPr>
          <w:tcW w:w="5127" w:type="dxa"/>
          <w:shd w:val="clear" w:color="auto" w:fill="auto"/>
          <w:vAlign w:val="bottom"/>
        </w:tcPr>
        <w:p w:rsidR="0061245F" w:rsidRDefault="0061245F" w:rsidP="0061245F">
          <w:pPr>
            <w:pStyle w:val="Header"/>
          </w:pPr>
        </w:p>
      </w:tc>
    </w:tr>
  </w:tbl>
  <w:p w:rsidR="0061245F" w:rsidRPr="0061245F" w:rsidRDefault="0061245F" w:rsidP="00612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61245F" w:rsidTr="0061245F">
      <w:trPr>
        <w:trHeight w:hRule="exact" w:val="864"/>
        <w:jc w:val="center"/>
      </w:trPr>
      <w:tc>
        <w:tcPr>
          <w:tcW w:w="4882" w:type="dxa"/>
          <w:shd w:val="clear" w:color="auto" w:fill="auto"/>
          <w:vAlign w:val="bottom"/>
        </w:tcPr>
        <w:p w:rsidR="0061245F" w:rsidRDefault="0061245F" w:rsidP="0061245F">
          <w:pPr>
            <w:pStyle w:val="Header"/>
          </w:pPr>
        </w:p>
      </w:tc>
      <w:tc>
        <w:tcPr>
          <w:tcW w:w="5127" w:type="dxa"/>
          <w:shd w:val="clear" w:color="auto" w:fill="auto"/>
          <w:vAlign w:val="bottom"/>
        </w:tcPr>
        <w:p w:rsidR="0061245F" w:rsidRPr="0061245F" w:rsidRDefault="0061245F" w:rsidP="0061245F">
          <w:pPr>
            <w:pStyle w:val="Header"/>
            <w:spacing w:after="80"/>
            <w:jc w:val="right"/>
            <w:rPr>
              <w:b/>
            </w:rPr>
          </w:pPr>
          <w:r>
            <w:rPr>
              <w:b/>
            </w:rPr>
            <w:fldChar w:fldCharType="begin"/>
          </w:r>
          <w:r>
            <w:rPr>
              <w:b/>
            </w:rPr>
            <w:instrText xml:space="preserve"> DOCVARIABLE "sss1" \* MERGEFORMAT </w:instrText>
          </w:r>
          <w:r>
            <w:rPr>
              <w:b/>
            </w:rPr>
            <w:fldChar w:fldCharType="separate"/>
          </w:r>
          <w:r w:rsidR="00E76641">
            <w:rPr>
              <w:b/>
            </w:rPr>
            <w:t>ECE/TRANS/WP.15/AC.2/55/Add.1</w:t>
          </w:r>
          <w:r>
            <w:rPr>
              <w:b/>
            </w:rPr>
            <w:fldChar w:fldCharType="end"/>
          </w:r>
        </w:p>
      </w:tc>
    </w:tr>
  </w:tbl>
  <w:p w:rsidR="0061245F" w:rsidRPr="0061245F" w:rsidRDefault="0061245F" w:rsidP="00612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1245F" w:rsidTr="0061245F">
      <w:trPr>
        <w:trHeight w:hRule="exact" w:val="864"/>
      </w:trPr>
      <w:tc>
        <w:tcPr>
          <w:tcW w:w="1267" w:type="dxa"/>
          <w:tcBorders>
            <w:bottom w:val="single" w:sz="4" w:space="0" w:color="auto"/>
          </w:tcBorders>
          <w:shd w:val="clear" w:color="auto" w:fill="auto"/>
          <w:vAlign w:val="bottom"/>
        </w:tcPr>
        <w:p w:rsidR="0061245F" w:rsidRDefault="0061245F" w:rsidP="0061245F">
          <w:pPr>
            <w:pStyle w:val="Header"/>
            <w:spacing w:after="120"/>
          </w:pPr>
        </w:p>
      </w:tc>
      <w:tc>
        <w:tcPr>
          <w:tcW w:w="2059" w:type="dxa"/>
          <w:tcBorders>
            <w:bottom w:val="single" w:sz="4" w:space="0" w:color="auto"/>
          </w:tcBorders>
          <w:shd w:val="clear" w:color="auto" w:fill="auto"/>
          <w:vAlign w:val="bottom"/>
        </w:tcPr>
        <w:p w:rsidR="0061245F" w:rsidRPr="0061245F" w:rsidRDefault="0061245F" w:rsidP="0061245F">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61245F" w:rsidRDefault="0061245F" w:rsidP="0061245F">
          <w:pPr>
            <w:pStyle w:val="Header"/>
            <w:spacing w:after="120"/>
          </w:pPr>
        </w:p>
      </w:tc>
      <w:tc>
        <w:tcPr>
          <w:tcW w:w="6653" w:type="dxa"/>
          <w:gridSpan w:val="4"/>
          <w:tcBorders>
            <w:bottom w:val="single" w:sz="4" w:space="0" w:color="auto"/>
          </w:tcBorders>
          <w:shd w:val="clear" w:color="auto" w:fill="auto"/>
          <w:vAlign w:val="bottom"/>
        </w:tcPr>
        <w:p w:rsidR="0061245F" w:rsidRPr="0061245F" w:rsidRDefault="0061245F" w:rsidP="0061245F">
          <w:pPr>
            <w:spacing w:after="80" w:line="240" w:lineRule="auto"/>
            <w:jc w:val="right"/>
            <w:rPr>
              <w:position w:val="-4"/>
            </w:rPr>
          </w:pPr>
          <w:r>
            <w:rPr>
              <w:position w:val="-4"/>
              <w:sz w:val="40"/>
            </w:rPr>
            <w:t>ECE</w:t>
          </w:r>
          <w:r>
            <w:rPr>
              <w:position w:val="-4"/>
            </w:rPr>
            <w:t>/TRANS/WP.15/AC.2/55/Add.1</w:t>
          </w:r>
        </w:p>
      </w:tc>
    </w:tr>
    <w:tr w:rsidR="0061245F" w:rsidRPr="0061245F" w:rsidTr="0061245F">
      <w:trPr>
        <w:gridAfter w:val="1"/>
        <w:wAfter w:w="18" w:type="dxa"/>
        <w:trHeight w:hRule="exact" w:val="2880"/>
      </w:trPr>
      <w:tc>
        <w:tcPr>
          <w:tcW w:w="1267" w:type="dxa"/>
          <w:tcBorders>
            <w:top w:val="single" w:sz="4" w:space="0" w:color="auto"/>
            <w:bottom w:val="single" w:sz="12" w:space="0" w:color="auto"/>
          </w:tcBorders>
          <w:shd w:val="clear" w:color="auto" w:fill="auto"/>
        </w:tcPr>
        <w:p w:rsidR="0061245F" w:rsidRPr="0061245F" w:rsidRDefault="0061245F" w:rsidP="0061245F">
          <w:pPr>
            <w:pStyle w:val="Header"/>
            <w:spacing w:before="120" w:line="240" w:lineRule="auto"/>
            <w:ind w:left="-72"/>
            <w:jc w:val="center"/>
          </w:pPr>
          <w:r>
            <w:t xml:space="preserve">  </w:t>
          </w:r>
          <w:r>
            <w:rPr>
              <w:noProof/>
              <w:lang w:val="en-GB" w:eastAsia="en-GB"/>
            </w:rPr>
            <w:drawing>
              <wp:inline distT="0" distB="0" distL="0" distR="0" wp14:anchorId="7F9C8D90" wp14:editId="33EFD3F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1245F" w:rsidRPr="0061245F" w:rsidRDefault="0061245F" w:rsidP="0061245F">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61245F" w:rsidRPr="0061245F" w:rsidRDefault="0061245F" w:rsidP="0061245F">
          <w:pPr>
            <w:pStyle w:val="Header"/>
            <w:spacing w:before="109"/>
          </w:pPr>
        </w:p>
      </w:tc>
      <w:tc>
        <w:tcPr>
          <w:tcW w:w="3280" w:type="dxa"/>
          <w:tcBorders>
            <w:top w:val="single" w:sz="4" w:space="0" w:color="auto"/>
            <w:bottom w:val="single" w:sz="12" w:space="0" w:color="auto"/>
          </w:tcBorders>
          <w:shd w:val="clear" w:color="auto" w:fill="auto"/>
        </w:tcPr>
        <w:p w:rsidR="0061245F" w:rsidRDefault="0061245F" w:rsidP="0061245F">
          <w:pPr>
            <w:pStyle w:val="Distribution"/>
            <w:rPr>
              <w:color w:val="000000"/>
            </w:rPr>
          </w:pPr>
          <w:r>
            <w:rPr>
              <w:color w:val="000000"/>
            </w:rPr>
            <w:t xml:space="preserve">Distr. </w:t>
          </w:r>
          <w:proofErr w:type="spellStart"/>
          <w:r>
            <w:rPr>
              <w:color w:val="000000"/>
            </w:rPr>
            <w:t>générale</w:t>
          </w:r>
          <w:proofErr w:type="spellEnd"/>
        </w:p>
        <w:p w:rsidR="0061245F" w:rsidRDefault="0061245F" w:rsidP="0061245F">
          <w:pPr>
            <w:pStyle w:val="Publication"/>
            <w:rPr>
              <w:color w:val="000000"/>
            </w:rPr>
          </w:pPr>
          <w:r>
            <w:rPr>
              <w:color w:val="000000"/>
            </w:rPr>
            <w:t xml:space="preserve">12 </w:t>
          </w:r>
          <w:proofErr w:type="spellStart"/>
          <w:r>
            <w:rPr>
              <w:color w:val="000000"/>
            </w:rPr>
            <w:t>juin</w:t>
          </w:r>
          <w:proofErr w:type="spellEnd"/>
          <w:r>
            <w:rPr>
              <w:color w:val="000000"/>
            </w:rPr>
            <w:t xml:space="preserve"> 2015</w:t>
          </w:r>
        </w:p>
        <w:p w:rsidR="0061245F" w:rsidRDefault="0061245F" w:rsidP="0061245F">
          <w:proofErr w:type="spellStart"/>
          <w:r>
            <w:t>Français</w:t>
          </w:r>
          <w:proofErr w:type="spellEnd"/>
        </w:p>
        <w:p w:rsidR="0061245F" w:rsidRPr="0061245F" w:rsidRDefault="0061245F" w:rsidP="0061245F">
          <w:pPr>
            <w:pStyle w:val="Original"/>
            <w:rPr>
              <w:color w:val="000000"/>
            </w:rPr>
          </w:pPr>
          <w:r>
            <w:rPr>
              <w:color w:val="000000"/>
            </w:rPr>
            <w:t xml:space="preserve">Original : </w:t>
          </w:r>
          <w:proofErr w:type="spellStart"/>
          <w:r>
            <w:rPr>
              <w:color w:val="000000"/>
            </w:rPr>
            <w:t>anglais</w:t>
          </w:r>
          <w:proofErr w:type="spellEnd"/>
        </w:p>
      </w:tc>
    </w:tr>
  </w:tbl>
  <w:p w:rsidR="0061245F" w:rsidRPr="0061245F" w:rsidRDefault="0061245F" w:rsidP="0061245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638*"/>
    <w:docVar w:name="CreationDt" w:val="6/24/2015 2:16: PM"/>
    <w:docVar w:name="DocCategory" w:val="Doc"/>
    <w:docVar w:name="DocType" w:val="Final"/>
    <w:docVar w:name="DutyStation" w:val="Geneva"/>
    <w:docVar w:name="FooterJN" w:val="GE.15-09638"/>
    <w:docVar w:name="jobn" w:val="GE.15-09638 (F)"/>
    <w:docVar w:name="jobnDT" w:val="GE.15-09638 (F)   240615"/>
    <w:docVar w:name="jobnDTDT" w:val="GE.15-09638 (F)   240615   240615"/>
    <w:docVar w:name="JobNo" w:val="GE.1509638F"/>
    <w:docVar w:name="JobNo2" w:val="GE.1512362F"/>
    <w:docVar w:name="LocalDrive" w:val="0"/>
    <w:docVar w:name="OandT" w:val="Nath V."/>
    <w:docVar w:name="PaperSize" w:val="A4"/>
    <w:docVar w:name="sss1" w:val="ECE/TRANS/WP.15/AC.2/55/Add.1"/>
    <w:docVar w:name="sss2" w:val="-"/>
    <w:docVar w:name="Symbol1" w:val="ECE/TRANS/WP.15/AC.2/55/Add.1"/>
    <w:docVar w:name="Symbol2" w:val="-"/>
  </w:docVars>
  <w:rsids>
    <w:rsidRoot w:val="005608DD"/>
    <w:rsid w:val="000015B8"/>
    <w:rsid w:val="000046A5"/>
    <w:rsid w:val="000055FB"/>
    <w:rsid w:val="00016483"/>
    <w:rsid w:val="00022173"/>
    <w:rsid w:val="0002226F"/>
    <w:rsid w:val="00022B4A"/>
    <w:rsid w:val="000249FF"/>
    <w:rsid w:val="00025DE5"/>
    <w:rsid w:val="0002611B"/>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A5B83"/>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277B"/>
    <w:rsid w:val="00155B70"/>
    <w:rsid w:val="00160E65"/>
    <w:rsid w:val="00161368"/>
    <w:rsid w:val="0016199B"/>
    <w:rsid w:val="00162C83"/>
    <w:rsid w:val="001639FC"/>
    <w:rsid w:val="00163D26"/>
    <w:rsid w:val="00164BB5"/>
    <w:rsid w:val="00166384"/>
    <w:rsid w:val="001709F1"/>
    <w:rsid w:val="00180387"/>
    <w:rsid w:val="00183EBF"/>
    <w:rsid w:val="001859F4"/>
    <w:rsid w:val="00186793"/>
    <w:rsid w:val="0018707A"/>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561E"/>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29C9"/>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186F"/>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08DD"/>
    <w:rsid w:val="005669CA"/>
    <w:rsid w:val="005750B4"/>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45F"/>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208"/>
    <w:rsid w:val="006A5910"/>
    <w:rsid w:val="006B1ABC"/>
    <w:rsid w:val="006B5951"/>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2F11"/>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9F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075E"/>
    <w:rsid w:val="00A12DBB"/>
    <w:rsid w:val="00A150A7"/>
    <w:rsid w:val="00A157E7"/>
    <w:rsid w:val="00A210DD"/>
    <w:rsid w:val="00A21443"/>
    <w:rsid w:val="00A22ED0"/>
    <w:rsid w:val="00A24099"/>
    <w:rsid w:val="00A25BC6"/>
    <w:rsid w:val="00A264B0"/>
    <w:rsid w:val="00A2768E"/>
    <w:rsid w:val="00A33E3C"/>
    <w:rsid w:val="00A3426E"/>
    <w:rsid w:val="00A353ED"/>
    <w:rsid w:val="00A375D9"/>
    <w:rsid w:val="00A43CAC"/>
    <w:rsid w:val="00A45E20"/>
    <w:rsid w:val="00A46DB8"/>
    <w:rsid w:val="00A5206F"/>
    <w:rsid w:val="00A52DF2"/>
    <w:rsid w:val="00A55810"/>
    <w:rsid w:val="00A56E3B"/>
    <w:rsid w:val="00A57C5A"/>
    <w:rsid w:val="00A60321"/>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BCA"/>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0532"/>
    <w:rsid w:val="00D513A1"/>
    <w:rsid w:val="00D57D07"/>
    <w:rsid w:val="00D618E7"/>
    <w:rsid w:val="00D619A2"/>
    <w:rsid w:val="00D66AB5"/>
    <w:rsid w:val="00D676A0"/>
    <w:rsid w:val="00D70856"/>
    <w:rsid w:val="00D73117"/>
    <w:rsid w:val="00D73D86"/>
    <w:rsid w:val="00D8335C"/>
    <w:rsid w:val="00D869EE"/>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408B"/>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6641"/>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84B"/>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61245F"/>
    <w:rPr>
      <w:sz w:val="16"/>
      <w:szCs w:val="16"/>
    </w:rPr>
  </w:style>
  <w:style w:type="paragraph" w:styleId="CommentText">
    <w:name w:val="annotation text"/>
    <w:basedOn w:val="Normal"/>
    <w:link w:val="CommentTextChar"/>
    <w:uiPriority w:val="99"/>
    <w:semiHidden/>
    <w:unhideWhenUsed/>
    <w:rsid w:val="0061245F"/>
    <w:pPr>
      <w:spacing w:line="240" w:lineRule="auto"/>
    </w:pPr>
    <w:rPr>
      <w:szCs w:val="20"/>
    </w:rPr>
  </w:style>
  <w:style w:type="character" w:customStyle="1" w:styleId="CommentTextChar">
    <w:name w:val="Comment Text Char"/>
    <w:basedOn w:val="DefaultParagraphFont"/>
    <w:link w:val="CommentText"/>
    <w:uiPriority w:val="99"/>
    <w:semiHidden/>
    <w:rsid w:val="0061245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61245F"/>
    <w:rPr>
      <w:b/>
      <w:bCs/>
    </w:rPr>
  </w:style>
  <w:style w:type="character" w:customStyle="1" w:styleId="CommentSubjectChar">
    <w:name w:val="Comment Subject Char"/>
    <w:basedOn w:val="CommentTextChar"/>
    <w:link w:val="CommentSubject"/>
    <w:uiPriority w:val="99"/>
    <w:semiHidden/>
    <w:rsid w:val="0061245F"/>
    <w:rPr>
      <w:rFonts w:ascii="Times New Roman" w:hAnsi="Times New Roman"/>
      <w:b/>
      <w:bCs/>
      <w:spacing w:val="4"/>
      <w:w w:val="103"/>
      <w:kern w:val="14"/>
    </w:rPr>
  </w:style>
  <w:style w:type="character" w:styleId="Hyperlink">
    <w:name w:val="Hyperlink"/>
    <w:basedOn w:val="DefaultParagraphFont"/>
    <w:uiPriority w:val="99"/>
    <w:unhideWhenUsed/>
    <w:rsid w:val="001859F4"/>
    <w:rPr>
      <w:color w:val="0000FF" w:themeColor="hyperlink"/>
      <w:u w:val="single"/>
    </w:rPr>
  </w:style>
  <w:style w:type="character" w:styleId="FollowedHyperlink">
    <w:name w:val="FollowedHyperlink"/>
    <w:basedOn w:val="DefaultParagraphFont"/>
    <w:uiPriority w:val="99"/>
    <w:semiHidden/>
    <w:unhideWhenUsed/>
    <w:rsid w:val="008C5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61245F"/>
    <w:rPr>
      <w:sz w:val="16"/>
      <w:szCs w:val="16"/>
    </w:rPr>
  </w:style>
  <w:style w:type="paragraph" w:styleId="CommentText">
    <w:name w:val="annotation text"/>
    <w:basedOn w:val="Normal"/>
    <w:link w:val="CommentTextChar"/>
    <w:uiPriority w:val="99"/>
    <w:semiHidden/>
    <w:unhideWhenUsed/>
    <w:rsid w:val="0061245F"/>
    <w:pPr>
      <w:spacing w:line="240" w:lineRule="auto"/>
    </w:pPr>
    <w:rPr>
      <w:szCs w:val="20"/>
    </w:rPr>
  </w:style>
  <w:style w:type="character" w:customStyle="1" w:styleId="CommentTextChar">
    <w:name w:val="Comment Text Char"/>
    <w:basedOn w:val="DefaultParagraphFont"/>
    <w:link w:val="CommentText"/>
    <w:uiPriority w:val="99"/>
    <w:semiHidden/>
    <w:rsid w:val="0061245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61245F"/>
    <w:rPr>
      <w:b/>
      <w:bCs/>
    </w:rPr>
  </w:style>
  <w:style w:type="character" w:customStyle="1" w:styleId="CommentSubjectChar">
    <w:name w:val="Comment Subject Char"/>
    <w:basedOn w:val="CommentTextChar"/>
    <w:link w:val="CommentSubject"/>
    <w:uiPriority w:val="99"/>
    <w:semiHidden/>
    <w:rsid w:val="0061245F"/>
    <w:rPr>
      <w:rFonts w:ascii="Times New Roman" w:hAnsi="Times New Roman"/>
      <w:b/>
      <w:bCs/>
      <w:spacing w:val="4"/>
      <w:w w:val="103"/>
      <w:kern w:val="14"/>
    </w:rPr>
  </w:style>
  <w:style w:type="character" w:styleId="Hyperlink">
    <w:name w:val="Hyperlink"/>
    <w:basedOn w:val="DefaultParagraphFont"/>
    <w:uiPriority w:val="99"/>
    <w:unhideWhenUsed/>
    <w:rsid w:val="001859F4"/>
    <w:rPr>
      <w:color w:val="0000FF" w:themeColor="hyperlink"/>
      <w:u w:val="single"/>
    </w:rPr>
  </w:style>
  <w:style w:type="character" w:styleId="FollowedHyperlink">
    <w:name w:val="FollowedHyperlink"/>
    <w:basedOn w:val="DefaultParagraphFont"/>
    <w:uiPriority w:val="99"/>
    <w:semiHidden/>
    <w:unhideWhenUsed/>
    <w:rsid w:val="008C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fr/ECE/TRANS/WP.15/AC.2/54" TargetMode="External"/><Relationship Id="rId26" Type="http://schemas.openxmlformats.org/officeDocument/2006/relationships/hyperlink" Target="http://undocs.org/fr/ECE/TRANS/WP.15/AC.2/2015/15" TargetMode="External"/><Relationship Id="rId21" Type="http://schemas.openxmlformats.org/officeDocument/2006/relationships/hyperlink" Target="http://undocs.org/fr/ECE/TRANS/WP.15/AC.2/2015/18" TargetMode="External"/><Relationship Id="rId34" Type="http://schemas.openxmlformats.org/officeDocument/2006/relationships/hyperlink" Target="http://undocs.org/fr/ECE/TRANS/WP.15/AC.2/2015/2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ECE/TRANS/243/Corr.1" TargetMode="External"/><Relationship Id="rId25" Type="http://schemas.openxmlformats.org/officeDocument/2006/relationships/hyperlink" Target="http://undocs.org/fr/ECE/TRANS/WP.15/AC.2/2015/12" TargetMode="External"/><Relationship Id="rId33" Type="http://schemas.openxmlformats.org/officeDocument/2006/relationships/hyperlink" Target="http://undocs.org/fr/ECE/TRANS/WP.15/AC.2/2015/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fr/ECE/TRANS/WP.15/AC.2/55" TargetMode="External"/><Relationship Id="rId20" Type="http://schemas.openxmlformats.org/officeDocument/2006/relationships/hyperlink" Target="http://undocs.org/fr/ECE/TRANS/WP.15/AC.2/2015/13" TargetMode="External"/><Relationship Id="rId29" Type="http://schemas.openxmlformats.org/officeDocument/2006/relationships/hyperlink" Target="http://undocs.org/fr/ECE/TRANS/WP.15/AC.2/201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ECE/TRANS/WP.15/AC.2/2015/10" TargetMode="External"/><Relationship Id="rId32" Type="http://schemas.openxmlformats.org/officeDocument/2006/relationships/hyperlink" Target="http://undocs.org/fr/ECE/TRANS/WP.15/AC.2/2015/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ECE/TRANS/WP.15/AC.2/2015/9" TargetMode="External"/><Relationship Id="rId28" Type="http://schemas.openxmlformats.org/officeDocument/2006/relationships/hyperlink" Target="http://undocs.org/fr/ECE/TRANS/WP.15/AC.2/2015/17" TargetMode="External"/><Relationship Id="rId36" Type="http://schemas.openxmlformats.org/officeDocument/2006/relationships/hyperlink" Target="http://undocs.org/fr/ECE/TRANS/WP.15/AC.2/2015/33" TargetMode="External"/><Relationship Id="rId10" Type="http://schemas.openxmlformats.org/officeDocument/2006/relationships/header" Target="header2.xml"/><Relationship Id="rId19" Type="http://schemas.openxmlformats.org/officeDocument/2006/relationships/hyperlink" Target="http://undocs.org/fr/ECE/TRANS/WP.15/AC.2/2015/11" TargetMode="External"/><Relationship Id="rId31" Type="http://schemas.openxmlformats.org/officeDocument/2006/relationships/hyperlink" Target="http://undocs.org/fr/ECE/TRANS/WP.15/AC.2/2015/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ECE/TRANS/WP.15/AC.2/2015/18" TargetMode="External"/><Relationship Id="rId27" Type="http://schemas.openxmlformats.org/officeDocument/2006/relationships/hyperlink" Target="http://undocs.org/fr/ECE/TRANS/WP.15/AC.2/2015/16" TargetMode="External"/><Relationship Id="rId30" Type="http://schemas.openxmlformats.org/officeDocument/2006/relationships/hyperlink" Target="http://undocs.org/fr/ECE/TRANS/WP.15/AC.2/2015/19/Corr.1" TargetMode="External"/><Relationship Id="rId35" Type="http://schemas.openxmlformats.org/officeDocument/2006/relationships/hyperlink" Target="http://undocs.org/fr/ECE/TRANS/WP.15/AC.2/2015/18" TargetMode="Externa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1FC6-6F48-4F53-BF77-C5B5C839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Caillot</cp:lastModifiedBy>
  <cp:revision>2</cp:revision>
  <cp:lastPrinted>2015-06-26T07:24:00Z</cp:lastPrinted>
  <dcterms:created xsi:type="dcterms:W3CDTF">2015-08-11T15:46:00Z</dcterms:created>
  <dcterms:modified xsi:type="dcterms:W3CDTF">2015-08-11T15:46:00Z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1509638F</vt:lpwstr>
  </property>
  <property fmtid="{D5CDD505-2E9C-101B-9397-08002B2CF9AE}" pid="3" name="ODSRefJobNo">
    <vt:lpwstr>1512362F</vt:lpwstr>
  </property>
  <property fmtid="{D5CDD505-2E9C-101B-9397-08002B2CF9AE}" pid="4" name="Symbol1">
    <vt:lpwstr>ECE/TRANS/WP.15/AC.2/55/Add.1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12 juin 2015</vt:lpwstr>
  </property>
  <property fmtid="{D5CDD505-2E9C-101B-9397-08002B2CF9AE}" pid="9" name="Original">
    <vt:lpwstr>anglais</vt:lpwstr>
  </property>
  <property fmtid="{D5CDD505-2E9C-101B-9397-08002B2CF9AE}" pid="10" name="Release Date">
    <vt:lpwstr>240615</vt:lpwstr>
  </property>
  <property fmtid="{D5CDD505-2E9C-101B-9397-08002B2CF9AE}" pid="11" name="Comment">
    <vt:lpwstr/>
  </property>
  <property fmtid="{D5CDD505-2E9C-101B-9397-08002B2CF9AE}" pid="12" name="DraftPages">
    <vt:lpwstr> </vt:lpwstr>
  </property>
  <property fmtid="{D5CDD505-2E9C-101B-9397-08002B2CF9AE}" pid="13" name="Operator">
    <vt:lpwstr>Nath V.</vt:lpwstr>
  </property>
</Properties>
</file>