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0E49D3">
              <w:fldChar w:fldCharType="begin"/>
            </w:r>
            <w:r w:rsidR="000E49D3">
              <w:instrText xml:space="preserve"> FILLIN  "Введите символ после ЕCE/"  \* MERGEFORMAT </w:instrText>
            </w:r>
            <w:r w:rsidR="000E49D3">
              <w:fldChar w:fldCharType="separate"/>
            </w:r>
            <w:r w:rsidR="00CB4AE3">
              <w:t>TRANS/WP.15/AC.1/2015/23</w:t>
            </w:r>
            <w:r w:rsidR="000E49D3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B4AE3">
              <w:t xml:space="preserve">19 </w:t>
            </w:r>
            <w:proofErr w:type="spellStart"/>
            <w:r w:rsidR="00CB4AE3">
              <w:t>June</w:t>
            </w:r>
            <w:proofErr w:type="spellEnd"/>
            <w:r w:rsidR="00CB4AE3">
              <w:t xml:space="preserve"> 2015</w:t>
            </w:r>
            <w:r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B4AE3" w:rsidRPr="00CB4AE3" w:rsidRDefault="00CB4AE3" w:rsidP="00CB4AE3">
      <w:pPr>
        <w:spacing w:before="120"/>
        <w:rPr>
          <w:sz w:val="28"/>
          <w:szCs w:val="28"/>
        </w:rPr>
      </w:pPr>
      <w:r w:rsidRPr="00CB4AE3">
        <w:rPr>
          <w:sz w:val="28"/>
          <w:szCs w:val="28"/>
        </w:rPr>
        <w:t>Комитет по внутреннему транспорту</w:t>
      </w:r>
    </w:p>
    <w:p w:rsidR="00CB4AE3" w:rsidRPr="00CB4AE3" w:rsidRDefault="00CB4AE3" w:rsidP="00CB4AE3">
      <w:pPr>
        <w:spacing w:before="120"/>
        <w:rPr>
          <w:b/>
          <w:sz w:val="24"/>
          <w:szCs w:val="24"/>
        </w:rPr>
      </w:pPr>
      <w:r w:rsidRPr="00CB4AE3">
        <w:rPr>
          <w:b/>
          <w:sz w:val="24"/>
          <w:szCs w:val="24"/>
        </w:rPr>
        <w:t>Рабочая группа по перевозкам опасных грузов</w:t>
      </w:r>
    </w:p>
    <w:p w:rsidR="00CB4AE3" w:rsidRPr="00231F50" w:rsidRDefault="00CB4AE3" w:rsidP="00231F50">
      <w:pPr>
        <w:spacing w:before="120"/>
        <w:rPr>
          <w:b/>
        </w:rPr>
      </w:pPr>
      <w:r w:rsidRPr="00231F50">
        <w:rPr>
          <w:b/>
        </w:rPr>
        <w:t>Совместное совещание Комиссии экспертов МПОГ</w:t>
      </w:r>
      <w:r w:rsidR="00231F50" w:rsidRPr="00231F50">
        <w:rPr>
          <w:b/>
        </w:rPr>
        <w:br/>
      </w:r>
      <w:r w:rsidRPr="00231F50">
        <w:rPr>
          <w:b/>
        </w:rPr>
        <w:t>и Рабочей группы по перевозкам опасных грузов</w:t>
      </w:r>
    </w:p>
    <w:p w:rsidR="00CB4AE3" w:rsidRPr="00CB4AE3" w:rsidRDefault="00CB4AE3" w:rsidP="00CB4AE3">
      <w:r w:rsidRPr="00CB4AE3">
        <w:t>Женева, 15−25 сентября 2015 года</w:t>
      </w:r>
    </w:p>
    <w:p w:rsidR="00CB4AE3" w:rsidRPr="00CB4AE3" w:rsidRDefault="00CB4AE3" w:rsidP="00CB4AE3">
      <w:r w:rsidRPr="00CB4AE3">
        <w:t>Пункт 2 предварительной повестки дня</w:t>
      </w:r>
    </w:p>
    <w:p w:rsidR="00CB4AE3" w:rsidRPr="00231F50" w:rsidRDefault="00CB4AE3" w:rsidP="00CB4AE3">
      <w:pPr>
        <w:rPr>
          <w:b/>
        </w:rPr>
      </w:pPr>
      <w:r w:rsidRPr="00231F50">
        <w:rPr>
          <w:b/>
        </w:rPr>
        <w:t>Согласование с Рекомендация</w:t>
      </w:r>
      <w:r w:rsidR="00231F50">
        <w:rPr>
          <w:b/>
        </w:rPr>
        <w:t>ми Организации</w:t>
      </w:r>
      <w:r w:rsidR="00231F50" w:rsidRPr="00231F50">
        <w:rPr>
          <w:b/>
        </w:rPr>
        <w:br/>
      </w:r>
      <w:r w:rsidRPr="00231F50">
        <w:rPr>
          <w:b/>
        </w:rPr>
        <w:t>Объединенных Наций</w:t>
      </w:r>
      <w:r w:rsidR="00231F50" w:rsidRPr="00231F50">
        <w:rPr>
          <w:b/>
        </w:rPr>
        <w:t xml:space="preserve"> </w:t>
      </w:r>
      <w:r w:rsidRPr="00231F50">
        <w:rPr>
          <w:b/>
        </w:rPr>
        <w:t>по перевозке опасных грузов</w:t>
      </w:r>
    </w:p>
    <w:p w:rsidR="00CB4AE3" w:rsidRPr="00CB4AE3" w:rsidRDefault="00CB4AE3" w:rsidP="00231F50">
      <w:pPr>
        <w:pStyle w:val="HChGR"/>
      </w:pPr>
      <w:r w:rsidRPr="00CB4AE3">
        <w:tab/>
      </w:r>
      <w:r w:rsidRPr="00CB4AE3">
        <w:tab/>
        <w:t>Докла</w:t>
      </w:r>
      <w:r w:rsidR="00231F50">
        <w:t>д Специальной рабочей группы по</w:t>
      </w:r>
      <w:r w:rsidR="00231F50">
        <w:rPr>
          <w:lang w:val="en-US"/>
        </w:rPr>
        <w:t> </w:t>
      </w:r>
      <w:r w:rsidR="00231F50">
        <w:t>согласованию МПОГ/ДОПОГ/ВОПОГ с</w:t>
      </w:r>
      <w:r w:rsidR="00231F50">
        <w:rPr>
          <w:lang w:val="en-US"/>
        </w:rPr>
        <w:t> </w:t>
      </w:r>
      <w:r w:rsidRPr="00CB4AE3">
        <w:t>Рекомендациями Организации Объединенных Наций по перевозке опасных грузов</w:t>
      </w:r>
    </w:p>
    <w:p w:rsidR="00CB4AE3" w:rsidRPr="00CB4AE3" w:rsidRDefault="00CB4AE3" w:rsidP="007D62B1">
      <w:pPr>
        <w:pStyle w:val="H1GR"/>
        <w:spacing w:line="220" w:lineRule="exact"/>
      </w:pPr>
      <w:r w:rsidRPr="00CB4AE3">
        <w:tab/>
      </w:r>
      <w:r w:rsidRPr="00CB4AE3">
        <w:tab/>
        <w:t>Записка секретариата</w:t>
      </w:r>
      <w:r w:rsidR="00082156" w:rsidRPr="00082156">
        <w:rPr>
          <w:rStyle w:val="FootnoteReference"/>
          <w:b w:val="0"/>
          <w:spacing w:val="5"/>
          <w:w w:val="104"/>
          <w:lang w:val="en-GB"/>
        </w:rPr>
        <w:footnoteReference w:id="1"/>
      </w:r>
      <w:r w:rsidR="00082156" w:rsidRPr="000E49D3">
        <w:rPr>
          <w:rStyle w:val="FootnoteReference"/>
          <w:b w:val="0"/>
          <w:spacing w:val="5"/>
          <w:w w:val="104"/>
        </w:rPr>
        <w:t xml:space="preserve">, </w:t>
      </w:r>
      <w:r w:rsidR="00082156" w:rsidRPr="00082156">
        <w:rPr>
          <w:rStyle w:val="FootnoteReference"/>
          <w:b w:val="0"/>
          <w:spacing w:val="5"/>
          <w:w w:val="104"/>
          <w:lang w:val="en-GB"/>
        </w:rPr>
        <w:footnoteReference w:id="2"/>
      </w:r>
      <w:r w:rsidRPr="00CB4AE3">
        <w:t xml:space="preserve"> </w:t>
      </w:r>
    </w:p>
    <w:p w:rsidR="00CB4AE3" w:rsidRPr="00CB4AE3" w:rsidRDefault="00CB4AE3" w:rsidP="007D62B1">
      <w:pPr>
        <w:pStyle w:val="HChGR"/>
        <w:spacing w:line="260" w:lineRule="exact"/>
      </w:pPr>
      <w:r w:rsidRPr="00CB4AE3">
        <w:tab/>
        <w:t>I.</w:t>
      </w:r>
      <w:r w:rsidRPr="00CB4AE3">
        <w:tab/>
        <w:t>Общие вопросы</w:t>
      </w:r>
    </w:p>
    <w:p w:rsidR="00CB4AE3" w:rsidRPr="00CB4AE3" w:rsidRDefault="00CB4AE3" w:rsidP="0044570A">
      <w:pPr>
        <w:pStyle w:val="SingleTxtGR"/>
        <w:spacing w:line="230" w:lineRule="atLeast"/>
      </w:pPr>
      <w:r w:rsidRPr="00CB4AE3">
        <w:t>1.</w:t>
      </w:r>
      <w:r w:rsidRPr="00CB4AE3">
        <w:tab/>
        <w:t xml:space="preserve">Специальная рабочая группа по </w:t>
      </w:r>
      <w:r w:rsidR="007D62B1">
        <w:t>согласованию МПОГ/ДОПОГ/ВОПОГ с</w:t>
      </w:r>
      <w:r w:rsidR="007D62B1">
        <w:rPr>
          <w:lang w:val="en-US"/>
        </w:rPr>
        <w:t> </w:t>
      </w:r>
      <w:r w:rsidRPr="00CB4AE3">
        <w:t>Рекомендациями Организации Объединенных Наций по перевозке опасных грузов провела свою сессию в Женеве 21–22 апреля 2015 года под председ</w:t>
      </w:r>
      <w:r w:rsidRPr="00CB4AE3">
        <w:t>а</w:t>
      </w:r>
      <w:r w:rsidRPr="00CB4AE3">
        <w:t>тельством г-на К. Пфоваделя (Франция).</w:t>
      </w:r>
    </w:p>
    <w:p w:rsidR="00CB4AE3" w:rsidRPr="00CB4AE3" w:rsidRDefault="00CB4AE3" w:rsidP="0044570A">
      <w:pPr>
        <w:pStyle w:val="SingleTxtGR"/>
        <w:spacing w:line="230" w:lineRule="atLeast"/>
      </w:pPr>
      <w:r w:rsidRPr="00CB4AE3">
        <w:t>2.</w:t>
      </w:r>
      <w:r w:rsidRPr="00CB4AE3">
        <w:tab/>
        <w:t>В работе сессии приняли участие представители Германии, Испании, Н</w:t>
      </w:r>
      <w:r w:rsidRPr="00CB4AE3">
        <w:t>и</w:t>
      </w:r>
      <w:r w:rsidRPr="00CB4AE3">
        <w:t>дерландов, Соединенного Королевства, Франции, Швейцарии, Швеции, Це</w:t>
      </w:r>
      <w:r w:rsidRPr="00CB4AE3">
        <w:t>н</w:t>
      </w:r>
      <w:r w:rsidRPr="00CB4AE3">
        <w:t>тральной комиссии судоходства по Рейну (ЦКСР), Межправительственной о</w:t>
      </w:r>
      <w:r w:rsidRPr="00CB4AE3">
        <w:t>р</w:t>
      </w:r>
      <w:r w:rsidRPr="00CB4AE3">
        <w:t>ганизации по международным железнодорожным перевозкам (ОТИФ), Евр</w:t>
      </w:r>
      <w:r w:rsidRPr="00CB4AE3">
        <w:t>о</w:t>
      </w:r>
      <w:r w:rsidRPr="00CB4AE3">
        <w:lastRenderedPageBreak/>
        <w:t>пейского совета химической промышленности (ЕСФХП) и Федерации европе</w:t>
      </w:r>
      <w:r w:rsidRPr="00CB4AE3">
        <w:t>й</w:t>
      </w:r>
      <w:r w:rsidRPr="00CB4AE3">
        <w:t>ских ассоциаций производителей аэрозолей (ФЕА).</w:t>
      </w:r>
    </w:p>
    <w:p w:rsidR="00CB4AE3" w:rsidRPr="00CB4AE3" w:rsidRDefault="00CB4AE3" w:rsidP="00082156">
      <w:pPr>
        <w:pStyle w:val="SingleTxtGR"/>
      </w:pPr>
      <w:r w:rsidRPr="00CB4AE3">
        <w:t>3.</w:t>
      </w:r>
      <w:r w:rsidRPr="00CB4AE3">
        <w:tab/>
        <w:t>Сессия проводилась на английском языке без устного перевода. Подг</w:t>
      </w:r>
      <w:r w:rsidRPr="00CB4AE3">
        <w:t>о</w:t>
      </w:r>
      <w:r w:rsidRPr="00CB4AE3">
        <w:t>товленная секретариатом нижеследующая документация, включая повестку дня, была опубликована в качестве неофициальных документов, размещенных на веб</w:t>
      </w:r>
      <w:r w:rsidR="009E5EDB">
        <w:t>-</w:t>
      </w:r>
      <w:r w:rsidRPr="00CB4AE3">
        <w:t>сайте Отдела транспорта ЕЭК ООН:</w:t>
      </w:r>
    </w:p>
    <w:p w:rsidR="00CB4AE3" w:rsidRPr="00F36FD2" w:rsidRDefault="00CB4AE3" w:rsidP="00F36FD2">
      <w:pPr>
        <w:pStyle w:val="SingleTxtGR"/>
        <w:ind w:left="5670" w:hanging="4536"/>
        <w:rPr>
          <w:spacing w:val="2"/>
        </w:rPr>
      </w:pPr>
      <w:r w:rsidRPr="00CB4AE3">
        <w:t>ECE/TRANS/WP.15/AC.1/HAR/2015/1/Rev.1</w:t>
      </w:r>
      <w:r w:rsidRPr="00CB4AE3">
        <w:tab/>
      </w:r>
      <w:r w:rsidRPr="00F36FD2">
        <w:rPr>
          <w:spacing w:val="2"/>
        </w:rPr>
        <w:t>Согласование с Типовыми пр</w:t>
      </w:r>
      <w:r w:rsidRPr="00F36FD2">
        <w:rPr>
          <w:spacing w:val="2"/>
        </w:rPr>
        <w:t>а</w:t>
      </w:r>
      <w:r w:rsidRPr="00F36FD2">
        <w:rPr>
          <w:spacing w:val="2"/>
        </w:rPr>
        <w:t>вилами Организации Объед</w:t>
      </w:r>
      <w:r w:rsidRPr="00F36FD2">
        <w:rPr>
          <w:spacing w:val="2"/>
        </w:rPr>
        <w:t>и</w:t>
      </w:r>
      <w:r w:rsidRPr="00F36FD2">
        <w:rPr>
          <w:spacing w:val="2"/>
        </w:rPr>
        <w:t>ненных Наций по перевозке опасных грузов</w:t>
      </w:r>
    </w:p>
    <w:p w:rsidR="00CB4AE3" w:rsidRPr="00CB4AE3" w:rsidRDefault="00CB4AE3" w:rsidP="00082156">
      <w:pPr>
        <w:pStyle w:val="SingleTxtGR"/>
      </w:pPr>
      <w:r w:rsidRPr="00CB4AE3">
        <w:t>ECE/TRANS/WP.15/AC.1/HAR/2015/2</w:t>
      </w:r>
      <w:r w:rsidRPr="00CB4AE3">
        <w:tab/>
      </w:r>
      <w:r w:rsidRPr="00CB4AE3">
        <w:tab/>
        <w:t>Комментарии Испании</w:t>
      </w:r>
    </w:p>
    <w:p w:rsidR="00CB4AE3" w:rsidRPr="00CB4AE3" w:rsidRDefault="00CB4AE3" w:rsidP="00082156">
      <w:pPr>
        <w:pStyle w:val="SingleTxtGR"/>
      </w:pPr>
      <w:r w:rsidRPr="00CB4AE3">
        <w:t>ECE/TRANS/WP.15/AC.1/HAR/2015/3</w:t>
      </w:r>
      <w:r w:rsidRPr="00CB4AE3">
        <w:tab/>
      </w:r>
      <w:r w:rsidRPr="00CB4AE3">
        <w:tab/>
        <w:t>Записка секретариата</w:t>
      </w:r>
    </w:p>
    <w:p w:rsidR="00CB4AE3" w:rsidRPr="00CB4AE3" w:rsidRDefault="00CB4AE3" w:rsidP="00082156">
      <w:pPr>
        <w:pStyle w:val="SingleTxtGR"/>
      </w:pPr>
      <w:r w:rsidRPr="00CB4AE3">
        <w:t>4.</w:t>
      </w:r>
      <w:r w:rsidRPr="00CB4AE3">
        <w:tab/>
        <w:t>Базовыми документами были 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</w:t>
      </w:r>
      <w:r w:rsidRPr="00CB4AE3">
        <w:t>о</w:t>
      </w:r>
      <w:r w:rsidRPr="00CB4AE3">
        <w:t>го Совета Организации Объединенных Наций и приложения к нему, распр</w:t>
      </w:r>
      <w:r w:rsidRPr="00CB4AE3">
        <w:t>о</w:t>
      </w:r>
      <w:r w:rsidRPr="00CB4AE3">
        <w:t>страненные секретариатом в качестве документов ST/SG/AC.10/42 и Add.1–3.</w:t>
      </w:r>
    </w:p>
    <w:p w:rsidR="00CB4AE3" w:rsidRPr="00CB4AE3" w:rsidRDefault="00CB4AE3" w:rsidP="00082156">
      <w:pPr>
        <w:pStyle w:val="SingleTxtGR"/>
      </w:pPr>
      <w:r w:rsidRPr="00CB4AE3">
        <w:t>5.</w:t>
      </w:r>
      <w:r w:rsidRPr="00CB4AE3">
        <w:tab/>
        <w:t>Специальная рабочая группа утвердила подготовленную секретариатом предварительную повестку дня (ECE/TRANS/WP.15/AC.1/HAR/7).</w:t>
      </w:r>
    </w:p>
    <w:p w:rsidR="00CB4AE3" w:rsidRPr="00CB4AE3" w:rsidRDefault="00CB4AE3" w:rsidP="00F36FD2">
      <w:pPr>
        <w:pStyle w:val="HChGR"/>
      </w:pPr>
      <w:r w:rsidRPr="00CB4AE3">
        <w:tab/>
        <w:t>II.</w:t>
      </w:r>
      <w:r w:rsidRPr="00CB4AE3">
        <w:tab/>
        <w:t>Согласование МПОГ/ДОПОГ/ВОПОГ с Рекомендациями Организации Объединенных Наций по перевозке опасных грузов, Типовые правила</w:t>
      </w:r>
    </w:p>
    <w:p w:rsidR="00CB4AE3" w:rsidRPr="00CB4AE3" w:rsidRDefault="00CB4AE3" w:rsidP="00082156">
      <w:pPr>
        <w:pStyle w:val="SingleTxtGR"/>
      </w:pPr>
      <w:r w:rsidRPr="00CB4AE3">
        <w:t>6.</w:t>
      </w:r>
      <w:r w:rsidRPr="00CB4AE3">
        <w:tab/>
        <w:t xml:space="preserve">Проекты поправок к МПОГ/ДОПОГ/ВОПОГ, предложенные Специальной рабочей группой, содержатся в добавлении к настоящему докладу </w:t>
      </w:r>
      <w:r w:rsidRPr="00F36FD2">
        <w:rPr>
          <w:spacing w:val="0"/>
          <w:w w:val="100"/>
          <w:kern w:val="0"/>
        </w:rPr>
        <w:t>(ECE/TRANS/</w:t>
      </w:r>
      <w:r w:rsidR="00F36FD2">
        <w:rPr>
          <w:spacing w:val="0"/>
          <w:w w:val="100"/>
          <w:kern w:val="0"/>
        </w:rPr>
        <w:br/>
      </w:r>
      <w:r w:rsidRPr="00F36FD2">
        <w:rPr>
          <w:spacing w:val="0"/>
          <w:w w:val="100"/>
          <w:kern w:val="0"/>
        </w:rPr>
        <w:t>WP.15/AC.1/2015/23/Add.1).</w:t>
      </w:r>
      <w:r w:rsidRPr="00CB4AE3">
        <w:t xml:space="preserve"> Рабочая группа решила, что изложенные ниже зам</w:t>
      </w:r>
      <w:r w:rsidRPr="00CB4AE3">
        <w:t>е</w:t>
      </w:r>
      <w:r w:rsidRPr="00CB4AE3">
        <w:t>чания должны быть доведены до сведения Совместного совещания, и некот</w:t>
      </w:r>
      <w:r w:rsidRPr="00CB4AE3">
        <w:t>о</w:t>
      </w:r>
      <w:r w:rsidRPr="00CB4AE3">
        <w:t>рые тексты были заключены в квадратные скобки в ожидании принятия реш</w:t>
      </w:r>
      <w:r w:rsidRPr="00CB4AE3">
        <w:t>е</w:t>
      </w:r>
      <w:r w:rsidRPr="00CB4AE3">
        <w:t>ний по ним Совместным совещанием.</w:t>
      </w:r>
    </w:p>
    <w:p w:rsidR="00CB4AE3" w:rsidRPr="00CB4AE3" w:rsidRDefault="00CB4AE3" w:rsidP="00F36FD2">
      <w:pPr>
        <w:pStyle w:val="H1GR"/>
      </w:pPr>
      <w:r w:rsidRPr="00CB4AE3">
        <w:tab/>
      </w:r>
      <w:r w:rsidRPr="00CB4AE3">
        <w:tab/>
        <w:t>Новый пункт 2.1.2.8</w:t>
      </w:r>
    </w:p>
    <w:p w:rsidR="00CB4AE3" w:rsidRPr="00CB4AE3" w:rsidRDefault="00CB4AE3" w:rsidP="00082156">
      <w:pPr>
        <w:pStyle w:val="SingleTxtGR"/>
      </w:pPr>
      <w:r w:rsidRPr="00CB4AE3">
        <w:t>7.</w:t>
      </w:r>
      <w:r w:rsidRPr="00CB4AE3">
        <w:tab/>
        <w:t>По мнению представителя Германии, новый пункт 2.1.2.8 должен прим</w:t>
      </w:r>
      <w:r w:rsidRPr="00CB4AE3">
        <w:t>е</w:t>
      </w:r>
      <w:r w:rsidRPr="00CB4AE3">
        <w:t xml:space="preserve">няться на основе не только </w:t>
      </w:r>
      <w:r w:rsidR="009E5EDB">
        <w:t>результатов испытаний</w:t>
      </w:r>
      <w:r w:rsidRPr="00CB4AE3">
        <w:t>, но и опыта. Специальная рабочая группа сочла, что это мнение может быть доведено до сведения Со</w:t>
      </w:r>
      <w:r w:rsidRPr="00CB4AE3">
        <w:t>в</w:t>
      </w:r>
      <w:r w:rsidRPr="00CB4AE3">
        <w:t>местного совещания</w:t>
      </w:r>
      <w:r w:rsidR="00377422">
        <w:t>, однако</w:t>
      </w:r>
      <w:r w:rsidRPr="00CB4AE3">
        <w:t xml:space="preserve"> предлагаемые отступления от Типовых правил ООН следует </w:t>
      </w:r>
      <w:r w:rsidR="00377422" w:rsidRPr="00CB4AE3">
        <w:t xml:space="preserve">сначала </w:t>
      </w:r>
      <w:r w:rsidRPr="00CB4AE3">
        <w:t>предложить вниманию Подкомитета экспертов Организ</w:t>
      </w:r>
      <w:r w:rsidRPr="00CB4AE3">
        <w:t>а</w:t>
      </w:r>
      <w:r w:rsidRPr="00CB4AE3">
        <w:t>ции Объединенных Наций по перевозке опасных грузов.</w:t>
      </w:r>
    </w:p>
    <w:p w:rsidR="00CB4AE3" w:rsidRPr="00CB4AE3" w:rsidRDefault="00CB4AE3" w:rsidP="00082156">
      <w:pPr>
        <w:pStyle w:val="SingleTxtGR"/>
      </w:pPr>
      <w:r w:rsidRPr="00CB4AE3">
        <w:t>8.</w:t>
      </w:r>
      <w:r w:rsidRPr="00CB4AE3">
        <w:tab/>
        <w:t xml:space="preserve">Что касается ссылки на компетентные органы, то Специальная рабочая группа согласилась добавить </w:t>
      </w:r>
      <w:r w:rsidRPr="00377422">
        <w:rPr>
          <w:caps/>
        </w:rPr>
        <w:t>примечание</w:t>
      </w:r>
      <w:r w:rsidRPr="00CB4AE3">
        <w:t xml:space="preserve"> 1, в котором будет четко указано, на какой компетентный орган </w:t>
      </w:r>
      <w:r w:rsidR="00377422">
        <w:t>сделана</w:t>
      </w:r>
      <w:r w:rsidRPr="00CB4AE3">
        <w:t xml:space="preserve"> ссылка. Было отмечено, что ссылки на компетентный орган в многосторонних догов</w:t>
      </w:r>
      <w:r w:rsidR="007D62B1">
        <w:t>орах, таких как ДОПОГ, вводят в </w:t>
      </w:r>
      <w:r w:rsidRPr="00CB4AE3">
        <w:t>заблуждение, так как они могут относиться к компетентному органу каждой страны, затрагиваемой перевозкой. Этот вопрос поднимался в прошлом, и се</w:t>
      </w:r>
      <w:r w:rsidRPr="00CB4AE3">
        <w:t>к</w:t>
      </w:r>
      <w:r w:rsidRPr="00CB4AE3">
        <w:t>ретариат подготовил в это</w:t>
      </w:r>
      <w:r w:rsidR="00377422">
        <w:t>й связи</w:t>
      </w:r>
      <w:r w:rsidRPr="00CB4AE3">
        <w:t xml:space="preserve"> неофициальный документ </w:t>
      </w:r>
      <w:r w:rsidR="00377422">
        <w:t>(</w:t>
      </w:r>
      <w:r w:rsidRPr="00CB4AE3">
        <w:t>INF.48, предста</w:t>
      </w:r>
      <w:r w:rsidRPr="00CB4AE3">
        <w:t>в</w:t>
      </w:r>
      <w:r w:rsidRPr="00CB4AE3">
        <w:t>ленный на осенней сессии 2011 года</w:t>
      </w:r>
      <w:r w:rsidR="00377422">
        <w:t>)</w:t>
      </w:r>
      <w:r w:rsidRPr="00CB4AE3">
        <w:t>, но еще не успел подготовить более о</w:t>
      </w:r>
      <w:r w:rsidRPr="00CB4AE3">
        <w:t>б</w:t>
      </w:r>
      <w:r w:rsidRPr="00CB4AE3">
        <w:t>стоятельный документ.</w:t>
      </w:r>
    </w:p>
    <w:p w:rsidR="00CB4AE3" w:rsidRPr="00CB4AE3" w:rsidRDefault="00CB4AE3" w:rsidP="007D62B1">
      <w:pPr>
        <w:pStyle w:val="SingleTxtGR"/>
        <w:pageBreakBefore/>
      </w:pPr>
      <w:r w:rsidRPr="00CB4AE3">
        <w:lastRenderedPageBreak/>
        <w:t>9.</w:t>
      </w:r>
      <w:r w:rsidRPr="00CB4AE3">
        <w:tab/>
        <w:t xml:space="preserve">В связи с </w:t>
      </w:r>
      <w:r w:rsidRPr="00377422">
        <w:rPr>
          <w:caps/>
        </w:rPr>
        <w:t>примечанием</w:t>
      </w:r>
      <w:r w:rsidRPr="00CB4AE3">
        <w:t xml:space="preserve"> 1 к пункту 2.0.0.2 Типовых правил ООН (</w:t>
      </w:r>
      <w:r w:rsidRPr="00377422">
        <w:rPr>
          <w:caps/>
        </w:rPr>
        <w:t>примечание</w:t>
      </w:r>
      <w:r w:rsidRPr="00CB4AE3">
        <w:t xml:space="preserve"> 2 к пункту 2.1.2.8 МПОГ/ДОПОГ/ВОПОГ) Специальная раб</w:t>
      </w:r>
      <w:r w:rsidRPr="00CB4AE3">
        <w:t>о</w:t>
      </w:r>
      <w:r w:rsidRPr="00CB4AE3">
        <w:t xml:space="preserve">чая группа отметила, что оно сформулировано так, что не носит обязательного характера (в английском тексте использована глагольная форма "should" вместо "shall"). Некоторые делегации </w:t>
      </w:r>
      <w:r w:rsidR="00377422">
        <w:t>сочли</w:t>
      </w:r>
      <w:r w:rsidRPr="00CB4AE3">
        <w:t>, что нецелесообразно включать требов</w:t>
      </w:r>
      <w:r w:rsidRPr="00CB4AE3">
        <w:t>а</w:t>
      </w:r>
      <w:r w:rsidRPr="00CB4AE3">
        <w:t xml:space="preserve">ния, касающиеся компетентных органов, в правила, </w:t>
      </w:r>
      <w:r w:rsidR="00325387">
        <w:t xml:space="preserve">подобные </w:t>
      </w:r>
      <w:r w:rsidRPr="00CB4AE3">
        <w:t>содержа</w:t>
      </w:r>
      <w:r w:rsidR="00325387">
        <w:t>щимся</w:t>
      </w:r>
      <w:r w:rsidR="007D62B1">
        <w:t xml:space="preserve"> в </w:t>
      </w:r>
      <w:r w:rsidRPr="00CB4AE3">
        <w:t>МПОГ/ДОПОГ/ВОПОГ. Другие сочли, что в контексте многостороннего дог</w:t>
      </w:r>
      <w:r w:rsidRPr="00CB4AE3">
        <w:t>о</w:t>
      </w:r>
      <w:r w:rsidRPr="00CB4AE3">
        <w:t>вора, регулирующего международную перевозку, каждая из Договаривающихся сторон обязана соблюдать положения договора и что поэтому вполне допустимо включать такие требования</w:t>
      </w:r>
      <w:r w:rsidR="001A4CBC">
        <w:t>,</w:t>
      </w:r>
      <w:r w:rsidRPr="00CB4AE3">
        <w:t xml:space="preserve"> как условия, при которых компетентным органам позволено в одностороннем порядке </w:t>
      </w:r>
      <w:proofErr w:type="gramStart"/>
      <w:r w:rsidRPr="00CB4AE3">
        <w:t>разрешать</w:t>
      </w:r>
      <w:proofErr w:type="gramEnd"/>
      <w:r w:rsidRPr="00CB4AE3">
        <w:t xml:space="preserve"> отступления от МПОГ/ДОПОГ/</w:t>
      </w:r>
      <w:r w:rsidR="000A31F0">
        <w:br/>
      </w:r>
      <w:r w:rsidRPr="00CB4AE3">
        <w:t>ВОПОГ. Совместное совещание, возможно, пожелает рассмотреть этот вопрос.</w:t>
      </w:r>
    </w:p>
    <w:p w:rsidR="00CB4AE3" w:rsidRPr="00CB4AE3" w:rsidRDefault="00CB4AE3" w:rsidP="000A31F0">
      <w:pPr>
        <w:pStyle w:val="H1GR"/>
      </w:pPr>
      <w:r w:rsidRPr="00CB4AE3">
        <w:tab/>
      </w:r>
      <w:r w:rsidRPr="00CB4AE3">
        <w:tab/>
        <w:t>Изделия/приборы, которые в случае пожара могут выделять диоксины</w:t>
      </w:r>
    </w:p>
    <w:p w:rsidR="00CB4AE3" w:rsidRPr="00CB4AE3" w:rsidRDefault="00CB4AE3" w:rsidP="00082156">
      <w:pPr>
        <w:pStyle w:val="SingleTxtGR"/>
      </w:pPr>
      <w:r w:rsidRPr="00CB4AE3">
        <w:t>10.</w:t>
      </w:r>
      <w:r w:rsidRPr="00CB4AE3">
        <w:tab/>
        <w:t>Специальная рабочая группа отметила некоторые различия между терм</w:t>
      </w:r>
      <w:r w:rsidRPr="00CB4AE3">
        <w:t>и</w:t>
      </w:r>
      <w:r w:rsidRPr="00CB4AE3">
        <w:t>нологией, используемой в Типовых пра</w:t>
      </w:r>
      <w:r w:rsidR="00325387">
        <w:t xml:space="preserve">вилах ООН и в МПОГ/ДОПОГ/ВОПОГ: </w:t>
      </w:r>
      <w:r w:rsidRPr="00CB4AE3">
        <w:t>иногда в Типовых правилах ООН используется слово "изделия", а в МПОГ/</w:t>
      </w:r>
      <w:r w:rsidR="000A31F0">
        <w:br/>
      </w:r>
      <w:r w:rsidRPr="00CB4AE3">
        <w:t>ДОП</w:t>
      </w:r>
      <w:r w:rsidR="001A4CBC">
        <w:t>ОГ/ВОПОГ в аналогичных случаях −</w:t>
      </w:r>
      <w:r w:rsidRPr="00CB4AE3">
        <w:t xml:space="preserve"> слово "прибор</w:t>
      </w:r>
      <w:r w:rsidR="00325387">
        <w:t>ы"</w:t>
      </w:r>
      <w:r w:rsidRPr="00CB4AE3">
        <w:t>. Совместное сов</w:t>
      </w:r>
      <w:r w:rsidRPr="00CB4AE3">
        <w:t>е</w:t>
      </w:r>
      <w:r w:rsidRPr="00CB4AE3">
        <w:t>щание, возможно, пожелает рассмотреть вопрос о приведении терминологии МПОГ/ДОПОГ/ВОПОГ в соответствие с Типовыми правилами ООН. В резул</w:t>
      </w:r>
      <w:r w:rsidRPr="00CB4AE3">
        <w:t>ь</w:t>
      </w:r>
      <w:r w:rsidRPr="00CB4AE3">
        <w:t>тате слова "изделия" и "приборы" в описании кода "М</w:t>
      </w:r>
      <w:proofErr w:type="gramStart"/>
      <w:r w:rsidRPr="00CB4AE3">
        <w:t>2</w:t>
      </w:r>
      <w:proofErr w:type="gramEnd"/>
      <w:r w:rsidRPr="00CB4AE3">
        <w:t>" в подразделе 2.2.9.3 были заключены в квадратные скобки, учитывая, что изменение терминологии вызовет также необходимость внесения последующих поправок в другие пун</w:t>
      </w:r>
      <w:r w:rsidRPr="00CB4AE3">
        <w:t>к</w:t>
      </w:r>
      <w:r w:rsidRPr="00CB4AE3">
        <w:t xml:space="preserve">ты, например 1.1.3.6.3, 2.2.9.1.2, 2.2.9.1.5, </w:t>
      </w:r>
      <w:r w:rsidR="00325387">
        <w:t>а также</w:t>
      </w:r>
      <w:r w:rsidRPr="00CB4AE3">
        <w:t xml:space="preserve"> в P906 (2).</w:t>
      </w:r>
    </w:p>
    <w:p w:rsidR="00CB4AE3" w:rsidRPr="00CB4AE3" w:rsidRDefault="00325387" w:rsidP="000A31F0">
      <w:pPr>
        <w:pStyle w:val="H1GR"/>
      </w:pPr>
      <w:r>
        <w:tab/>
      </w:r>
      <w:r>
        <w:tab/>
        <w:t>Дв</w:t>
      </w:r>
      <w:r w:rsidR="001A4CBC">
        <w:t>игатели внутреннего сгорания/м</w:t>
      </w:r>
      <w:r>
        <w:t>ашины</w:t>
      </w:r>
      <w:r w:rsidR="00CB4AE3" w:rsidRPr="00CB4AE3">
        <w:t xml:space="preserve"> с двигателем внутреннего сгорания</w:t>
      </w:r>
    </w:p>
    <w:p w:rsidR="00CB4AE3" w:rsidRPr="00CB4AE3" w:rsidRDefault="00CB4AE3" w:rsidP="00082156">
      <w:pPr>
        <w:pStyle w:val="SingleTxtGR"/>
      </w:pPr>
      <w:r w:rsidRPr="00CB4AE3">
        <w:t>11.</w:t>
      </w:r>
      <w:r w:rsidRPr="00CB4AE3">
        <w:tab/>
        <w:t>В связи с введением № ООН 3528, 3529 и 3530 было отмечено, что уже имели место продолжительные обсуждения вопросов, касающихся соотве</w:t>
      </w:r>
      <w:r w:rsidRPr="00CB4AE3">
        <w:t>т</w:t>
      </w:r>
      <w:r w:rsidRPr="00CB4AE3">
        <w:t>ствующе</w:t>
      </w:r>
      <w:r w:rsidR="00325387">
        <w:t>й значимости</w:t>
      </w:r>
      <w:r w:rsidRPr="00CB4AE3">
        <w:t xml:space="preserve"> изъятий в разделе 1.1.3 и в специальных положениях главы 3.3, таких как специальное положение 363. Специальная рабочая группа сочла, что дух Рекомендаций ООН будет соблюден лучше, если изъятия в о</w:t>
      </w:r>
      <w:r w:rsidRPr="00CB4AE3">
        <w:t>т</w:t>
      </w:r>
      <w:r w:rsidRPr="00CB4AE3">
        <w:t>ношении транспортных средств, двигателей и машин, передвигающихся сам</w:t>
      </w:r>
      <w:r w:rsidRPr="00CB4AE3">
        <w:t>о</w:t>
      </w:r>
      <w:r w:rsidRPr="00CB4AE3">
        <w:t>стоятельно по дороге, будут помещены в раздел 1.1.3, а изъятия, касающиеся транспортных средств, двигателей или машин, перевозимых в качестве груза, будут рассматриваться в специальных положениях главы 3.3. Председатель с</w:t>
      </w:r>
      <w:r w:rsidRPr="00CB4AE3">
        <w:t>о</w:t>
      </w:r>
      <w:r w:rsidRPr="00CB4AE3">
        <w:t>общил, что для решения всех этих вопросов об изъятиях правительство Фра</w:t>
      </w:r>
      <w:r w:rsidRPr="00CB4AE3">
        <w:t>н</w:t>
      </w:r>
      <w:r w:rsidRPr="00CB4AE3">
        <w:t>ции намерено представить комплексное предложение.</w:t>
      </w:r>
    </w:p>
    <w:p w:rsidR="00CB4AE3" w:rsidRPr="00CB4AE3" w:rsidRDefault="00CB4AE3" w:rsidP="000A31F0">
      <w:pPr>
        <w:pStyle w:val="H1GR"/>
      </w:pPr>
      <w:r w:rsidRPr="00CB4AE3">
        <w:tab/>
      </w:r>
      <w:r w:rsidRPr="00CB4AE3">
        <w:tab/>
        <w:t>Алюминия побочные продукты плавки</w:t>
      </w:r>
    </w:p>
    <w:p w:rsidR="00CB4AE3" w:rsidRPr="00CB4AE3" w:rsidRDefault="00CB4AE3" w:rsidP="00082156">
      <w:pPr>
        <w:pStyle w:val="SingleTxtGR"/>
      </w:pPr>
      <w:r w:rsidRPr="00CB4AE3">
        <w:t>12.</w:t>
      </w:r>
      <w:r w:rsidRPr="00CB4AE3">
        <w:tab/>
        <w:t>На основе информации, представленной Испанией, Специальная рабочая группа решила, что № ООН 3170, группы упаковки II и III, не следует лишать кода "ВК</w:t>
      </w:r>
      <w:proofErr w:type="gramStart"/>
      <w:r w:rsidRPr="00CB4AE3">
        <w:t>1</w:t>
      </w:r>
      <w:proofErr w:type="gramEnd"/>
      <w:r w:rsidRPr="00CB4AE3">
        <w:t>", потому что в специальном положении 244 Типовых правил ООН указано, что крытые брезентом контейнеры для массовых грузов могут испол</w:t>
      </w:r>
      <w:r w:rsidRPr="00CB4AE3">
        <w:t>ь</w:t>
      </w:r>
      <w:r w:rsidRPr="00CB4AE3">
        <w:t xml:space="preserve">зоваться для внутренних перевозок. Группа согласилась также внести поправки в CV37/CW37, чтобы избежать дублирования со специальным положением 244. Группа решила согласовать формулировку CV37/CW37 с формулировкой </w:t>
      </w:r>
      <w:r w:rsidR="00325387">
        <w:t>СП</w:t>
      </w:r>
      <w:r w:rsidRPr="00CB4AE3">
        <w:t>24</w:t>
      </w:r>
      <w:r w:rsidR="001A4CBC">
        <w:t>4</w:t>
      </w:r>
      <w:r w:rsidR="00145CE0">
        <w:t xml:space="preserve"> </w:t>
      </w:r>
      <w:r w:rsidR="00145CE0">
        <w:lastRenderedPageBreak/>
        <w:t>с изменениями, внесенными в девятнадцатом</w:t>
      </w:r>
      <w:r w:rsidRPr="00CB4AE3">
        <w:t xml:space="preserve"> пересмотренном издании Тип</w:t>
      </w:r>
      <w:r w:rsidRPr="00CB4AE3">
        <w:t>о</w:t>
      </w:r>
      <w:r w:rsidRPr="00CB4AE3">
        <w:t xml:space="preserve">вых правил ООН. Совместное совещание, возможно, пожелает рассмотреть возможность исключения также требования в отношении предупреждающего знака, предусмотренного в CV37/CW37, </w:t>
      </w:r>
      <w:r w:rsidR="00145CE0">
        <w:t xml:space="preserve">так </w:t>
      </w:r>
      <w:r w:rsidRPr="00CB4AE3">
        <w:t>как это требование отсутствует в Типовых правилах ООН.</w:t>
      </w:r>
    </w:p>
    <w:p w:rsidR="00CB4AE3" w:rsidRPr="00CB4AE3" w:rsidRDefault="00CB4AE3" w:rsidP="000A31F0">
      <w:pPr>
        <w:pStyle w:val="H1GR"/>
      </w:pPr>
      <w:r w:rsidRPr="00CB4AE3">
        <w:tab/>
      </w:r>
      <w:r w:rsidRPr="00CB4AE3">
        <w:tab/>
        <w:t>Полимеризующиеся вещества</w:t>
      </w:r>
    </w:p>
    <w:p w:rsidR="00CB4AE3" w:rsidRPr="00CB4AE3" w:rsidRDefault="00CB4AE3" w:rsidP="00082156">
      <w:pPr>
        <w:pStyle w:val="SingleTxtGR"/>
      </w:pPr>
      <w:r w:rsidRPr="00CB4AE3">
        <w:t>13.</w:t>
      </w:r>
      <w:r w:rsidRPr="00CB4AE3">
        <w:tab/>
        <w:t>В отношении новых позиций класса 4.1, предусмотренных для полимер</w:t>
      </w:r>
      <w:r w:rsidRPr="00CB4AE3">
        <w:t>и</w:t>
      </w:r>
      <w:r w:rsidRPr="00CB4AE3">
        <w:t xml:space="preserve">зующихся веществ (№ ООН 3531, 3532, 3533, 3534), Специальная рабочая группа решила использовать ту же логику назначения условий перевозки, что и для самореактивных веществ типа F (№ ООН 3229, 3230, 3239 и 3240). Однако Совместному совещанию следует рассмотреть вопрос о том, приемлем ли этот подход </w:t>
      </w:r>
      <w:r w:rsidR="00145CE0">
        <w:t>с точки зрения</w:t>
      </w:r>
      <w:r w:rsidRPr="00CB4AE3">
        <w:t xml:space="preserve"> транспортной категории, так как это приведет к испол</w:t>
      </w:r>
      <w:r w:rsidRPr="00CB4AE3">
        <w:t>ь</w:t>
      </w:r>
      <w:r w:rsidRPr="00CB4AE3">
        <w:t>зованию транспортной категории 1 или 2, тогда как легковоспламеняющиеся твердые вещества группы упаковки III относятся, как правило, к транспортной категории 3. Условия перевозки в цистернах МПОГ/ДОПОГ также должны быть проверены Ра</w:t>
      </w:r>
      <w:r w:rsidR="001A4CBC">
        <w:t>бочей группой</w:t>
      </w:r>
      <w:r w:rsidRPr="00CB4AE3">
        <w:t xml:space="preserve"> по цистернам.</w:t>
      </w:r>
    </w:p>
    <w:p w:rsidR="00CB4AE3" w:rsidRPr="00CB4AE3" w:rsidRDefault="00CB4AE3" w:rsidP="000A31F0">
      <w:pPr>
        <w:pStyle w:val="H1GR"/>
      </w:pPr>
      <w:r w:rsidRPr="00CB4AE3">
        <w:tab/>
      </w:r>
      <w:r w:rsidRPr="00CB4AE3">
        <w:tab/>
        <w:t>Пункт 2.2.9.1.7</w:t>
      </w:r>
    </w:p>
    <w:p w:rsidR="00CB4AE3" w:rsidRPr="00CB4AE3" w:rsidRDefault="00CB4AE3" w:rsidP="00082156">
      <w:pPr>
        <w:pStyle w:val="SingleTxtGR"/>
      </w:pPr>
      <w:r w:rsidRPr="00CB4AE3">
        <w:t>14.</w:t>
      </w:r>
      <w:r w:rsidRPr="00CB4AE3">
        <w:tab/>
      </w:r>
      <w:proofErr w:type="gramStart"/>
      <w:r w:rsidRPr="00CB4AE3">
        <w:t>В связи с поправками к последнему примечанию к пункту 2.2.9.1.7 (соо</w:t>
      </w:r>
      <w:r w:rsidRPr="00CB4AE3">
        <w:t>т</w:t>
      </w:r>
      <w:r w:rsidRPr="00CB4AE3">
        <w:t>ветствующему специальному положению 240 в Типовых правилах ООН) было отмечено, что</w:t>
      </w:r>
      <w:r w:rsidR="00507755" w:rsidRPr="00507755">
        <w:t xml:space="preserve"> </w:t>
      </w:r>
      <w:r w:rsidR="00507755" w:rsidRPr="00CB4AE3">
        <w:t xml:space="preserve">по </w:t>
      </w:r>
      <w:r w:rsidR="00507755">
        <w:t>просьбе</w:t>
      </w:r>
      <w:r w:rsidR="00507755" w:rsidRPr="00CB4AE3">
        <w:t xml:space="preserve"> Совместного совещания, прозвучавше</w:t>
      </w:r>
      <w:r w:rsidR="00507755">
        <w:t>й</w:t>
      </w:r>
      <w:r w:rsidR="00507755" w:rsidRPr="00CB4AE3">
        <w:t xml:space="preserve"> в ходе его сессии в марте 2014</w:t>
      </w:r>
      <w:r w:rsidR="00507755">
        <w:t xml:space="preserve"> года,</w:t>
      </w:r>
      <w:r w:rsidRPr="00CB4AE3">
        <w:t xml:space="preserve"> правительство Франции уже представило предлож</w:t>
      </w:r>
      <w:r w:rsidRPr="00CB4AE3">
        <w:t>е</w:t>
      </w:r>
      <w:r w:rsidRPr="00CB4AE3">
        <w:t>ние о литиевых батареях, содержащихся в транспортных средствах и оборуд</w:t>
      </w:r>
      <w:r w:rsidRPr="00CB4AE3">
        <w:t>о</w:t>
      </w:r>
      <w:r w:rsidRPr="00CB4AE3">
        <w:t xml:space="preserve">вании, отнесенных к № ООН 3166 и 3171, </w:t>
      </w:r>
      <w:r w:rsidR="00507755">
        <w:t>которое отражено</w:t>
      </w:r>
      <w:r w:rsidR="000A31F0">
        <w:t xml:space="preserve"> в докуме</w:t>
      </w:r>
      <w:r w:rsidR="000A31F0">
        <w:t>н</w:t>
      </w:r>
      <w:r w:rsidR="000A31F0">
        <w:t>те</w:t>
      </w:r>
      <w:r w:rsidR="00507755">
        <w:t> </w:t>
      </w:r>
      <w:r w:rsidRPr="00CB4AE3">
        <w:t>ECE/TRANS</w:t>
      </w:r>
      <w:proofErr w:type="gramEnd"/>
      <w:r w:rsidRPr="00CB4AE3">
        <w:t xml:space="preserve">/WP.15/AC.1/2014/51 </w:t>
      </w:r>
      <w:r w:rsidRPr="000A31F0">
        <w:rPr>
          <w:spacing w:val="2"/>
        </w:rPr>
        <w:t>(см. также ECE/TRANS/WP.15/AC.1/134, пункт 27, и ECE/TRANS/WP.15/AC.1/136, пункт 33).</w:t>
      </w:r>
      <w:r w:rsidRPr="00CB4AE3">
        <w:t xml:space="preserve"> Совместное совещание р</w:t>
      </w:r>
      <w:r w:rsidRPr="00CB4AE3">
        <w:t>е</w:t>
      </w:r>
      <w:r w:rsidRPr="00CB4AE3">
        <w:t xml:space="preserve">шило </w:t>
      </w:r>
      <w:r w:rsidR="00507755">
        <w:t>включить</w:t>
      </w:r>
      <w:r w:rsidRPr="00CB4AE3">
        <w:t xml:space="preserve"> эти положения в специально</w:t>
      </w:r>
      <w:r w:rsidR="00507755">
        <w:t>е положение</w:t>
      </w:r>
      <w:r w:rsidRPr="00CB4AE3">
        <w:t>. Однако с учетом того, что Подкомитет экспертов Организации Объединенных Наций будет обсуждать эти вопросы в более общем контексте, это предложение необходимо будет ра</w:t>
      </w:r>
      <w:r w:rsidRPr="00CB4AE3">
        <w:t>с</w:t>
      </w:r>
      <w:r w:rsidRPr="00CB4AE3">
        <w:t xml:space="preserve">смотреть вновь в свете рекомендаций Подкомитета. </w:t>
      </w:r>
      <w:proofErr w:type="gramStart"/>
      <w:r w:rsidR="00507755">
        <w:t>Данные</w:t>
      </w:r>
      <w:r w:rsidRPr="00CB4AE3">
        <w:t xml:space="preserve"> поправки необх</w:t>
      </w:r>
      <w:r w:rsidRPr="00CB4AE3">
        <w:t>о</w:t>
      </w:r>
      <w:r w:rsidRPr="00CB4AE3">
        <w:t>димо будет рассмотреть в свете предложения, которое будет представлено Францией, в котором</w:t>
      </w:r>
      <w:r w:rsidR="00507755">
        <w:t xml:space="preserve"> будут</w:t>
      </w:r>
      <w:r w:rsidRPr="00CB4AE3">
        <w:t xml:space="preserve"> глобально рассматрива</w:t>
      </w:r>
      <w:r w:rsidR="00507755">
        <w:t>ть</w:t>
      </w:r>
      <w:r w:rsidRPr="00CB4AE3">
        <w:t>ся вопросы, касающиеся двигателей, машин, транспортных средств и специального положения 363 и к</w:t>
      </w:r>
      <w:r w:rsidRPr="00CB4AE3">
        <w:t>о</w:t>
      </w:r>
      <w:r w:rsidRPr="00CB4AE3">
        <w:t>торое будет обсуждаться на сентябрьской сессии Совместного совещания вм</w:t>
      </w:r>
      <w:r w:rsidRPr="00CB4AE3">
        <w:t>е</w:t>
      </w:r>
      <w:r w:rsidRPr="00CB4AE3">
        <w:t>сте с другими вопросами, касающимися согласования с Типовыми правилами ООН.</w:t>
      </w:r>
      <w:proofErr w:type="gramEnd"/>
    </w:p>
    <w:p w:rsidR="00CB4AE3" w:rsidRPr="00CB4AE3" w:rsidRDefault="00CB4AE3" w:rsidP="000A31F0">
      <w:pPr>
        <w:pStyle w:val="H1GR"/>
      </w:pPr>
      <w:r w:rsidRPr="00CB4AE3">
        <w:tab/>
      </w:r>
      <w:r w:rsidRPr="00CB4AE3">
        <w:tab/>
        <w:t>Грузовые транспортные единицы</w:t>
      </w:r>
    </w:p>
    <w:p w:rsidR="00CB4AE3" w:rsidRPr="00CB4AE3" w:rsidRDefault="00CB4AE3" w:rsidP="009E5EDB">
      <w:pPr>
        <w:pStyle w:val="SingleTxtGR"/>
        <w:spacing w:line="230" w:lineRule="atLeast"/>
      </w:pPr>
      <w:r w:rsidRPr="00CB4AE3">
        <w:t>15.</w:t>
      </w:r>
      <w:r w:rsidRPr="00CB4AE3">
        <w:tab/>
        <w:t>При обсуждении пункта 3 а) инструкции по упаковке P910 было отмеч</w:t>
      </w:r>
      <w:r w:rsidRPr="00CB4AE3">
        <w:t>е</w:t>
      </w:r>
      <w:r w:rsidRPr="00CB4AE3">
        <w:t xml:space="preserve">но, что в его тексте упоминается "перегрузка между грузовыми транспортными единицами", тогда как в аналогичном тексте, например в тексте </w:t>
      </w:r>
      <w:r w:rsidR="00507755">
        <w:t>пункта</w:t>
      </w:r>
      <w:r w:rsidRPr="00CB4AE3">
        <w:t xml:space="preserve"> 4.1.1.1, упоминается "перегрузка между транспортными единицами". Было также отм</w:t>
      </w:r>
      <w:r w:rsidRPr="00CB4AE3">
        <w:t>е</w:t>
      </w:r>
      <w:r w:rsidRPr="00CB4AE3">
        <w:t xml:space="preserve">чено, что в </w:t>
      </w:r>
      <w:r w:rsidR="00507755">
        <w:t>пункте</w:t>
      </w:r>
      <w:r w:rsidRPr="00CB4AE3">
        <w:t xml:space="preserve"> 4.1.1.1 Типовых правил ООН используется термин "грузовая транспортная единица": это означает, что перегрузка осуществляется между различными транспортными единицами, такими как контейнеры, транспортные средства или вагоны, а не только между транспортными единицами, определе</w:t>
      </w:r>
      <w:r w:rsidRPr="00CB4AE3">
        <w:t>н</w:t>
      </w:r>
      <w:r w:rsidRPr="00CB4AE3">
        <w:t>ными в ДОПОГ. Тогда был задан вопрос о том, следует ли заменить термин "грузовая транспортная единица" на "транспортное средство/вагон или конте</w:t>
      </w:r>
      <w:r w:rsidRPr="00CB4AE3">
        <w:t>й</w:t>
      </w:r>
      <w:r w:rsidRPr="00CB4AE3">
        <w:lastRenderedPageBreak/>
        <w:t>нер", но так как термин "грузовая транспортная</w:t>
      </w:r>
      <w:r w:rsidR="001A4CBC">
        <w:t xml:space="preserve"> единица" был определен в гл</w:t>
      </w:r>
      <w:r w:rsidR="001A4CBC">
        <w:t>а</w:t>
      </w:r>
      <w:r w:rsidR="001A4CBC">
        <w:t>ве </w:t>
      </w:r>
      <w:r w:rsidRPr="00CB4AE3">
        <w:t xml:space="preserve">1.2, Специальная рабочая группа решила, что текст должен быть таким же, как и в Типовых правилах ООН. Поскольку некоторые делегации сочли, что это может явиться основанием для более подробного обзора существующего текста с целью обеспечения согласованности, секретариат вызвался подготовить такой обзор, чтобы проверить, можно ли использовать термин "грузовая транспортная единица" в других местах. Было отмечено, что </w:t>
      </w:r>
      <w:r w:rsidRPr="002418C5">
        <w:rPr>
          <w:caps/>
        </w:rPr>
        <w:t>примечание</w:t>
      </w:r>
      <w:r w:rsidRPr="00CB4AE3">
        <w:t xml:space="preserve"> к определению "грузовая транспортная единица" следует в таком случае исключить.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Специальное положение 363</w:t>
      </w:r>
    </w:p>
    <w:p w:rsidR="00CB4AE3" w:rsidRPr="00CB4AE3" w:rsidRDefault="00CB4AE3" w:rsidP="00082156">
      <w:pPr>
        <w:pStyle w:val="SingleTxtGR"/>
      </w:pPr>
      <w:r w:rsidRPr="00CB4AE3">
        <w:t>16.</w:t>
      </w:r>
      <w:r w:rsidRPr="00CB4AE3">
        <w:tab/>
        <w:t>По мнению Специальной рабочей группы, это измененное специальное положение необходимо будет рассмотреть в свете предложения, которое должно быть представлено Францией (см. также пункт 11). В связи с подпунктом g) был задан вопрос о том, следует ли требовать маркировку в виде табличек оранжевого цвета, когда требуется информационное табло. Однако было отм</w:t>
      </w:r>
      <w:r w:rsidRPr="00CB4AE3">
        <w:t>е</w:t>
      </w:r>
      <w:r w:rsidRPr="00CB4AE3">
        <w:t>чено, что тако</w:t>
      </w:r>
      <w:r w:rsidR="002418C5">
        <w:t>е</w:t>
      </w:r>
      <w:r w:rsidRPr="00CB4AE3">
        <w:t xml:space="preserve"> требова</w:t>
      </w:r>
      <w:r w:rsidR="002418C5">
        <w:t>ние</w:t>
      </w:r>
      <w:r w:rsidRPr="00CB4AE3">
        <w:t xml:space="preserve"> не предусмотрено в Типовых правилах ООН. Был также задан вопрос о необходимости транспорт</w:t>
      </w:r>
      <w:r w:rsidR="009E5EDB">
        <w:t>ного документа, так как в </w:t>
      </w:r>
      <w:r w:rsidRPr="00CB4AE3">
        <w:t xml:space="preserve">настоящее время </w:t>
      </w:r>
      <w:r w:rsidR="002418C5">
        <w:t>он</w:t>
      </w:r>
      <w:r w:rsidR="002418C5" w:rsidRPr="00CB4AE3">
        <w:t xml:space="preserve"> </w:t>
      </w:r>
      <w:r w:rsidRPr="00CB4AE3">
        <w:t>не требуется.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P</w:t>
      </w:r>
      <w:r w:rsidR="002418C5">
        <w:t xml:space="preserve">200 (3) </w:t>
      </w:r>
      <w:r w:rsidRPr="00CB4AE3">
        <w:t>d), примечание</w:t>
      </w:r>
    </w:p>
    <w:p w:rsidR="00CB4AE3" w:rsidRPr="00CB4AE3" w:rsidRDefault="00CB4AE3" w:rsidP="00082156">
      <w:pPr>
        <w:pStyle w:val="SingleTxtGR"/>
      </w:pPr>
      <w:r w:rsidRPr="00CB4AE3">
        <w:t>17.</w:t>
      </w:r>
      <w:r w:rsidRPr="00CB4AE3">
        <w:tab/>
        <w:t>Специальная рабочая группа сочла, что слова "при условии утверждения компетентным органом страны использования" долж</w:t>
      </w:r>
      <w:r w:rsidR="001A4CBC">
        <w:t>ны</w:t>
      </w:r>
      <w:r w:rsidRPr="00CB4AE3">
        <w:t xml:space="preserve"> быть заменены </w:t>
      </w:r>
      <w:proofErr w:type="gramStart"/>
      <w:r w:rsidRPr="00CB4AE3">
        <w:t>на</w:t>
      </w:r>
      <w:proofErr w:type="gramEnd"/>
      <w:r w:rsidRPr="00CB4AE3">
        <w:t xml:space="preserve"> "</w:t>
      </w:r>
      <w:proofErr w:type="gramStart"/>
      <w:r w:rsidRPr="00CB4AE3">
        <w:t>при</w:t>
      </w:r>
      <w:proofErr w:type="gramEnd"/>
      <w:r w:rsidRPr="00CB4AE3">
        <w:t xml:space="preserve"> условии утверждения компетентным органом или назначенн</w:t>
      </w:r>
      <w:r w:rsidR="002418C5">
        <w:t>ым</w:t>
      </w:r>
      <w:r w:rsidRPr="00CB4AE3">
        <w:t xml:space="preserve"> </w:t>
      </w:r>
      <w:r w:rsidR="002418C5">
        <w:t>им</w:t>
      </w:r>
      <w:r w:rsidRPr="00CB4AE3">
        <w:t xml:space="preserve"> органом, выдавш</w:t>
      </w:r>
      <w:r w:rsidR="002418C5">
        <w:t>им</w:t>
      </w:r>
      <w:r w:rsidRPr="00CB4AE3">
        <w:t xml:space="preserve"> официальное утверждение типа".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P200 (11), таблица</w:t>
      </w:r>
    </w:p>
    <w:p w:rsidR="00CB4AE3" w:rsidRPr="00CB4AE3" w:rsidRDefault="00CB4AE3" w:rsidP="00082156">
      <w:pPr>
        <w:pStyle w:val="SingleTxtGR"/>
      </w:pPr>
      <w:r w:rsidRPr="00CB4AE3">
        <w:t>18.</w:t>
      </w:r>
      <w:r w:rsidRPr="00CB4AE3">
        <w:tab/>
        <w:t>Специальная рабочая группа согласилась поместить под заголовком нек</w:t>
      </w:r>
      <w:r w:rsidRPr="00CB4AE3">
        <w:t>о</w:t>
      </w:r>
      <w:r w:rsidRPr="00CB4AE3">
        <w:t xml:space="preserve">торых стандартов ISO </w:t>
      </w:r>
      <w:r w:rsidRPr="002418C5">
        <w:rPr>
          <w:caps/>
        </w:rPr>
        <w:t>примечание</w:t>
      </w:r>
      <w:r w:rsidRPr="00CB4AE3">
        <w:t xml:space="preserve">, в котором будет заявлено, что вариант EN отвечает требованиям и может также использоваться. Это заявление было заключено в квадратные скобки в случае </w:t>
      </w:r>
      <w:r w:rsidR="002418C5">
        <w:t xml:space="preserve">стандарта </w:t>
      </w:r>
      <w:r w:rsidRPr="00CB4AE3">
        <w:t>ISO 24431:2006, так как Группа не была уверена, существует ли эквивалентный стандарт EN.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Маркировка</w:t>
      </w:r>
      <w:r w:rsidR="002418C5">
        <w:t>/маркировочный знак</w:t>
      </w:r>
      <w:r w:rsidRPr="00CB4AE3">
        <w:t xml:space="preserve"> (marking/mark)</w:t>
      </w:r>
    </w:p>
    <w:p w:rsidR="00CB4AE3" w:rsidRPr="00CB4AE3" w:rsidRDefault="00CB4AE3" w:rsidP="00082156">
      <w:pPr>
        <w:pStyle w:val="SingleTxtGR"/>
      </w:pPr>
      <w:r w:rsidRPr="00CB4AE3">
        <w:t>19.</w:t>
      </w:r>
      <w:r w:rsidRPr="00CB4AE3">
        <w:tab/>
        <w:t xml:space="preserve">Специальная рабочая группа отметила, что использование слов "marking" </w:t>
      </w:r>
      <w:r w:rsidR="0026768B">
        <w:t xml:space="preserve">(маркировка) </w:t>
      </w:r>
      <w:r w:rsidRPr="00CB4AE3">
        <w:t>и "mark"</w:t>
      </w:r>
      <w:r w:rsidR="002418C5">
        <w:t xml:space="preserve"> (маркировочный знак)</w:t>
      </w:r>
      <w:r w:rsidRPr="00CB4AE3">
        <w:t xml:space="preserve"> было рационализировано в Тип</w:t>
      </w:r>
      <w:r w:rsidRPr="00CB4AE3">
        <w:t>о</w:t>
      </w:r>
      <w:r w:rsidRPr="00CB4AE3">
        <w:t xml:space="preserve">вых правилах ООН. Секретариат соответственно отразил изменения в проекте предложения о </w:t>
      </w:r>
      <w:r w:rsidR="0026768B">
        <w:t>согласовании</w:t>
      </w:r>
      <w:r w:rsidRPr="00CB4AE3">
        <w:t>, однако было отмечено, что рационализация должна также быть осуществлена в некоторых частях, относящихся к МПОГ/</w:t>
      </w:r>
      <w:r w:rsidR="0026768B">
        <w:br/>
      </w:r>
      <w:r w:rsidRPr="00CB4AE3">
        <w:t xml:space="preserve">ДОПОГ/ВОПОГ. Секретариату было предложено подготовить </w:t>
      </w:r>
      <w:r w:rsidR="0026768B">
        <w:t xml:space="preserve">соответствующее </w:t>
      </w:r>
      <w:r w:rsidRPr="00CB4AE3">
        <w:t>конкретное предложение.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Минимальн</w:t>
      </w:r>
      <w:r w:rsidR="0026768B">
        <w:t>ые размеры</w:t>
      </w:r>
      <w:r w:rsidRPr="00CB4AE3">
        <w:t xml:space="preserve"> маркировочных знаков на цистернах</w:t>
      </w:r>
    </w:p>
    <w:p w:rsidR="00CB4AE3" w:rsidRPr="00CB4AE3" w:rsidRDefault="00CB4AE3" w:rsidP="00082156">
      <w:pPr>
        <w:pStyle w:val="SingleTxtGR"/>
      </w:pPr>
      <w:r w:rsidRPr="00CB4AE3">
        <w:t>20.</w:t>
      </w:r>
      <w:r w:rsidRPr="00CB4AE3">
        <w:tab/>
      </w:r>
      <w:proofErr w:type="gramStart"/>
      <w:r w:rsidRPr="00CB4AE3">
        <w:t xml:space="preserve">Что касается возможности </w:t>
      </w:r>
      <w:r w:rsidR="0026768B">
        <w:t>уменьшения</w:t>
      </w:r>
      <w:r w:rsidRPr="00CB4AE3">
        <w:t xml:space="preserve"> минимально</w:t>
      </w:r>
      <w:r w:rsidR="0026768B">
        <w:t>го размера боковых сторон</w:t>
      </w:r>
      <w:r w:rsidRPr="00CB4AE3">
        <w:t xml:space="preserve"> маркировочных знаков веществ, перевозимых при повышенной темп</w:t>
      </w:r>
      <w:r w:rsidRPr="00CB4AE3">
        <w:t>е</w:t>
      </w:r>
      <w:r w:rsidRPr="00CB4AE3">
        <w:t xml:space="preserve">ратуре, и веществ, опасных для окружающей среды, с 250 мм до 100 мм, если </w:t>
      </w:r>
      <w:r w:rsidRPr="00CB4AE3">
        <w:lastRenderedPageBreak/>
        <w:t>имеющаяся площадь поверхности не позволяет прикрепить предписанные зн</w:t>
      </w:r>
      <w:r w:rsidRPr="00CB4AE3">
        <w:t>а</w:t>
      </w:r>
      <w:r w:rsidRPr="00CB4AE3">
        <w:t>ки, то Специальная рабочая группа предположила, что то, что разрешено для переносных цистерн, должно быть разрешено и для контейнеров-цистерн, о</w:t>
      </w:r>
      <w:r w:rsidRPr="00CB4AE3">
        <w:t>д</w:t>
      </w:r>
      <w:r w:rsidRPr="00CB4AE3">
        <w:t>нако возник вопрос о том, должно</w:t>
      </w:r>
      <w:proofErr w:type="gramEnd"/>
      <w:r w:rsidRPr="00CB4AE3">
        <w:t xml:space="preserve"> ли это касаться всех типов цистерн, включая вагоны-цистерны и автоцистерны. Альтернат</w:t>
      </w:r>
      <w:r w:rsidR="007D62B1">
        <w:t>ивные варианты были заключены в </w:t>
      </w:r>
      <w:r w:rsidRPr="00CB4AE3">
        <w:t xml:space="preserve">квадратные скобки в </w:t>
      </w:r>
      <w:r w:rsidR="0026768B">
        <w:t>разделе</w:t>
      </w:r>
      <w:r w:rsidRPr="00CB4AE3">
        <w:t xml:space="preserve"> 5.3.3 и </w:t>
      </w:r>
      <w:r w:rsidR="0026768B">
        <w:t xml:space="preserve">пункте </w:t>
      </w:r>
      <w:r w:rsidRPr="00CB4AE3">
        <w:t>5.3.6.2.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Пункт 6.2.2.7.4 q) и r)</w:t>
      </w:r>
      <w:r w:rsidR="007D62B1">
        <w:t>; новые маркировочные знаки для </w:t>
      </w:r>
      <w:r w:rsidRPr="00CB4AE3">
        <w:t>композитных баллонов</w:t>
      </w:r>
    </w:p>
    <w:p w:rsidR="00CB4AE3" w:rsidRPr="00CB4AE3" w:rsidRDefault="00CB4AE3" w:rsidP="00082156">
      <w:pPr>
        <w:pStyle w:val="SingleTxtGR"/>
      </w:pPr>
      <w:r w:rsidRPr="00CB4AE3">
        <w:t>21.</w:t>
      </w:r>
      <w:r w:rsidRPr="00CB4AE3">
        <w:tab/>
        <w:t>Специальная рабочая группа сочла, что новые маркировочные знаки, тр</w:t>
      </w:r>
      <w:r w:rsidRPr="00CB4AE3">
        <w:t>е</w:t>
      </w:r>
      <w:r w:rsidRPr="00CB4AE3">
        <w:t xml:space="preserve">буемые в пункте 6.2.2.7.4 q) и r), могут быть неактуальны для композитных баллонов, которые не соответствуют рекомендациям ООН, и что если это так, то в пункт 6.2.3.9.2 должны быть внесены </w:t>
      </w:r>
      <w:r w:rsidR="001A4CBC">
        <w:t>изменения. Совместному совещанию</w:t>
      </w:r>
      <w:r w:rsidRPr="00CB4AE3">
        <w:t xml:space="preserve"> предлагается уточнить этот вопрос.</w:t>
      </w:r>
    </w:p>
    <w:p w:rsidR="00CB4AE3" w:rsidRPr="00CB4AE3" w:rsidRDefault="00CB4AE3" w:rsidP="009E5EDB">
      <w:pPr>
        <w:pStyle w:val="H1GR"/>
      </w:pPr>
      <w:r w:rsidRPr="00CB4AE3">
        <w:tab/>
      </w:r>
      <w:r w:rsidRPr="00CB4AE3">
        <w:tab/>
        <w:t>Указания в транспортном документе</w:t>
      </w:r>
    </w:p>
    <w:p w:rsidR="00CB4AE3" w:rsidRPr="00CB4AE3" w:rsidRDefault="00CB4AE3" w:rsidP="00082156">
      <w:pPr>
        <w:pStyle w:val="SingleTxtGR"/>
      </w:pPr>
      <w:r w:rsidRPr="00CB4AE3">
        <w:t>22.</w:t>
      </w:r>
      <w:r w:rsidRPr="00CB4AE3">
        <w:tab/>
        <w:t>Что касается нового пункта 5.4.1.1.20, то Специальная рабочая группа сочла, что секретариат должен довести до сведения Подкомитета экспертов О</w:t>
      </w:r>
      <w:r w:rsidRPr="00CB4AE3">
        <w:t>р</w:t>
      </w:r>
      <w:r w:rsidRPr="00CB4AE3">
        <w:t>ганизации Объединенных Наций проблему редакционного характера в соотве</w:t>
      </w:r>
      <w:r w:rsidRPr="00CB4AE3">
        <w:t>т</w:t>
      </w:r>
      <w:r w:rsidRPr="00CB4AE3">
        <w:t>ствующем пункте Типовых правил ООН.</w:t>
      </w:r>
    </w:p>
    <w:p w:rsidR="00CB4AE3" w:rsidRPr="00CB4AE3" w:rsidRDefault="00CB4AE3" w:rsidP="00082156">
      <w:pPr>
        <w:pStyle w:val="SingleTxtGR"/>
      </w:pPr>
      <w:r w:rsidRPr="00CB4AE3">
        <w:t>23.</w:t>
      </w:r>
      <w:r w:rsidRPr="00CB4AE3">
        <w:tab/>
        <w:t>Что касается нового пункта 5.4.1.1.21, то возник вопрос о том, необход</w:t>
      </w:r>
      <w:r w:rsidRPr="00CB4AE3">
        <w:t>и</w:t>
      </w:r>
      <w:r w:rsidRPr="00CB4AE3">
        <w:t xml:space="preserve">мо ли дублировать в разделе 5.4.1 положение специального положения 363, учитывая, что это дублирование, по-видимому, не является систематическим (например, отсутствие </w:t>
      </w:r>
      <w:r w:rsidR="0026768B">
        <w:t>аналогичного</w:t>
      </w:r>
      <w:r w:rsidRPr="00CB4AE3">
        <w:t xml:space="preserve"> пункта в указаниях в транспортном док</w:t>
      </w:r>
      <w:r w:rsidRPr="00CB4AE3">
        <w:t>у</w:t>
      </w:r>
      <w:r w:rsidRPr="00CB4AE3">
        <w:t>менте в случае применения специальн</w:t>
      </w:r>
      <w:r w:rsidR="0026768B">
        <w:t>ого положения</w:t>
      </w:r>
      <w:r w:rsidRPr="00CB4AE3">
        <w:t xml:space="preserve"> 373 или 378).</w:t>
      </w:r>
    </w:p>
    <w:p w:rsidR="00CB4AE3" w:rsidRPr="00CB4AE3" w:rsidRDefault="00CB4AE3" w:rsidP="009E5EDB">
      <w:pPr>
        <w:pStyle w:val="HChGR"/>
      </w:pPr>
      <w:r w:rsidRPr="00CB4AE3">
        <w:tab/>
        <w:t>III.</w:t>
      </w:r>
      <w:r w:rsidRPr="00CB4AE3">
        <w:tab/>
        <w:t>Утверждение доклада</w:t>
      </w:r>
    </w:p>
    <w:p w:rsidR="009D6B18" w:rsidRDefault="00CB4AE3" w:rsidP="00082156">
      <w:pPr>
        <w:pStyle w:val="SingleTxtGR"/>
      </w:pPr>
      <w:r w:rsidRPr="00CB4AE3">
        <w:t>24.</w:t>
      </w:r>
      <w:r w:rsidRPr="00CB4AE3">
        <w:tab/>
        <w:t>Специальная рабочая группа заочно утвердила доклад о работе своей сессии на основе проекта, подготовленного секретариатом.</w:t>
      </w:r>
    </w:p>
    <w:p w:rsidR="00082156" w:rsidRPr="00082156" w:rsidRDefault="00082156" w:rsidP="000821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2156" w:rsidRPr="00082156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8B" w:rsidRDefault="0026768B">
      <w:r>
        <w:rPr>
          <w:lang w:val="en-US"/>
        </w:rPr>
        <w:tab/>
      </w:r>
      <w:r>
        <w:separator/>
      </w:r>
    </w:p>
  </w:endnote>
  <w:endnote w:type="continuationSeparator" w:id="0">
    <w:p w:rsidR="0026768B" w:rsidRDefault="0026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8B" w:rsidRPr="009A6F4A" w:rsidRDefault="0026768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9D3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lang w:val="en-US"/>
      </w:rPr>
      <w:tab/>
    </w:r>
    <w:r w:rsidR="00AD2881">
      <w:rPr>
        <w:lang w:val="en-US"/>
      </w:rPr>
      <w:t>GE.15-</w:t>
    </w:r>
    <w:r w:rsidR="00AD2881">
      <w:t>10130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8B" w:rsidRPr="009A6F4A" w:rsidRDefault="00AD2881">
    <w:pPr>
      <w:pStyle w:val="Footer"/>
      <w:rPr>
        <w:lang w:val="en-US"/>
      </w:rPr>
    </w:pPr>
    <w:r>
      <w:rPr>
        <w:lang w:val="en-US"/>
      </w:rPr>
      <w:t>GE.15-</w:t>
    </w:r>
    <w:r>
      <w:t>10130</w:t>
    </w:r>
    <w:r w:rsidR="0026768B">
      <w:rPr>
        <w:lang w:val="en-US"/>
      </w:rPr>
      <w:tab/>
    </w:r>
    <w:r w:rsidR="0026768B">
      <w:rPr>
        <w:rStyle w:val="PageNumber"/>
      </w:rPr>
      <w:fldChar w:fldCharType="begin"/>
    </w:r>
    <w:r w:rsidR="0026768B">
      <w:rPr>
        <w:rStyle w:val="PageNumber"/>
      </w:rPr>
      <w:instrText xml:space="preserve"> PAGE </w:instrText>
    </w:r>
    <w:r w:rsidR="0026768B">
      <w:rPr>
        <w:rStyle w:val="PageNumber"/>
      </w:rPr>
      <w:fldChar w:fldCharType="separate"/>
    </w:r>
    <w:r w:rsidR="000E49D3">
      <w:rPr>
        <w:rStyle w:val="PageNumber"/>
        <w:noProof/>
      </w:rPr>
      <w:t>5</w:t>
    </w:r>
    <w:r w:rsidR="0026768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65"/>
      <w:gridCol w:w="4634"/>
      <w:gridCol w:w="1356"/>
    </w:tblGrid>
    <w:tr w:rsidR="0026768B" w:rsidTr="00296D2C">
      <w:trPr>
        <w:trHeight w:val="438"/>
      </w:trPr>
      <w:tc>
        <w:tcPr>
          <w:tcW w:w="4068" w:type="dxa"/>
          <w:vAlign w:val="bottom"/>
        </w:tcPr>
        <w:p w:rsidR="0026768B" w:rsidRPr="00AD2881" w:rsidRDefault="0026768B" w:rsidP="009D6B18">
          <w:r>
            <w:rPr>
              <w:lang w:val="en-US"/>
            </w:rPr>
            <w:t>GE.15</w:t>
          </w:r>
          <w:r w:rsidR="00AD2881">
            <w:rPr>
              <w:lang w:val="en-US"/>
            </w:rPr>
            <w:t>-</w:t>
          </w:r>
          <w:r w:rsidR="00AD2881">
            <w:t>10130</w:t>
          </w:r>
          <w:r>
            <w:rPr>
              <w:lang w:val="en-US"/>
            </w:rPr>
            <w:t xml:space="preserve">  (R)</w:t>
          </w:r>
          <w:r w:rsidR="00AD2881">
            <w:t xml:space="preserve">  020715  020715</w:t>
          </w:r>
        </w:p>
      </w:tc>
      <w:tc>
        <w:tcPr>
          <w:tcW w:w="4663" w:type="dxa"/>
          <w:vMerge w:val="restart"/>
          <w:vAlign w:val="bottom"/>
        </w:tcPr>
        <w:p w:rsidR="0026768B" w:rsidRDefault="0026768B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53F1EEA" wp14:editId="0191D02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26768B" w:rsidRDefault="0044570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5E190D0" wp14:editId="497D4FDB">
                <wp:extent cx="714777" cy="714777"/>
                <wp:effectExtent l="0" t="0" r="9525" b="9525"/>
                <wp:docPr id="3" name="Рисунок 3" descr="http://undocs.org/m2/QRCode2.ashx?DS=ECE/TRANS/WP.15/AC.1/2015/2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2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770" cy="71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768B" w:rsidRPr="00797A78" w:rsidTr="00296D2C">
      <w:tc>
        <w:tcPr>
          <w:tcW w:w="4068" w:type="dxa"/>
          <w:vAlign w:val="bottom"/>
        </w:tcPr>
        <w:p w:rsidR="0026768B" w:rsidRPr="0044570A" w:rsidRDefault="0044570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4570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26768B" w:rsidRDefault="0026768B" w:rsidP="00296D2C"/>
      </w:tc>
      <w:tc>
        <w:tcPr>
          <w:tcW w:w="1124" w:type="dxa"/>
          <w:vMerge/>
        </w:tcPr>
        <w:p w:rsidR="0026768B" w:rsidRDefault="0026768B" w:rsidP="00296D2C"/>
      </w:tc>
    </w:tr>
  </w:tbl>
  <w:p w:rsidR="0026768B" w:rsidRDefault="0026768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8B" w:rsidRPr="00F71F63" w:rsidRDefault="0026768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6768B" w:rsidRPr="00F71F63" w:rsidRDefault="0026768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6768B" w:rsidRPr="00635E86" w:rsidRDefault="0026768B" w:rsidP="00635E86">
      <w:pPr>
        <w:pStyle w:val="Footer"/>
      </w:pPr>
    </w:p>
  </w:footnote>
  <w:footnote w:id="1">
    <w:p w:rsidR="0026768B" w:rsidRPr="00082156" w:rsidRDefault="0026768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82156">
        <w:rPr>
          <w:lang w:val="ru-RU"/>
        </w:rPr>
        <w:tab/>
      </w:r>
      <w:bookmarkStart w:id="3" w:name="lt_pId179"/>
      <w:r w:rsidRPr="00082156">
        <w:rPr>
          <w:lang w:val="ru-RU"/>
        </w:rPr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>
        <w:rPr>
          <w:lang w:val="ru-RU"/>
        </w:rPr>
        <w:br/>
      </w:r>
      <w:r w:rsidRPr="00082156">
        <w:rPr>
          <w:lang w:val="ru-RU"/>
        </w:rPr>
        <w:t>на 2014–2015 годы (ECE/TRANS/240, пункт 100; ECE/TRANS/2014/23, направление деятельности 9, пункт 9.2).</w:t>
      </w:r>
      <w:bookmarkEnd w:id="3"/>
    </w:p>
  </w:footnote>
  <w:footnote w:id="2">
    <w:p w:rsidR="0026768B" w:rsidRPr="00082156" w:rsidRDefault="0026768B">
      <w:pPr>
        <w:pStyle w:val="FootnoteText"/>
        <w:rPr>
          <w:lang w:val="ru-RU"/>
        </w:rPr>
      </w:pPr>
      <w:r w:rsidRPr="00082156">
        <w:rPr>
          <w:lang w:val="ru-RU"/>
        </w:rPr>
        <w:tab/>
      </w:r>
      <w:r>
        <w:rPr>
          <w:rStyle w:val="FootnoteReference"/>
        </w:rPr>
        <w:footnoteRef/>
      </w:r>
      <w:r w:rsidRPr="00082156">
        <w:rPr>
          <w:lang w:val="ru-RU"/>
        </w:rPr>
        <w:tab/>
      </w:r>
      <w:bookmarkStart w:id="4" w:name="lt_pId182"/>
      <w:r w:rsidRPr="00082156">
        <w:rPr>
          <w:lang w:val="ru-RU"/>
        </w:rPr>
        <w:t>Распространено Межправительственной организацией по международным железнодорожным перевозкам (ОТИФ) в качестве документа OTIF/RID/RC/2015/23.</w:t>
      </w:r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8B" w:rsidRPr="00E71A0F" w:rsidRDefault="0026768B">
    <w:pPr>
      <w:pStyle w:val="Header"/>
      <w:rPr>
        <w:lang w:val="en-US"/>
      </w:rPr>
    </w:pPr>
    <w:r>
      <w:rPr>
        <w:lang w:val="en-US"/>
      </w:rPr>
      <w:t>ECE/</w:t>
    </w:r>
    <w:r w:rsidR="00AD2881">
      <w:rPr>
        <w:lang w:val="en-US"/>
      </w:rPr>
      <w:t>TRANS/WP.15/AC.1/2015/23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8B" w:rsidRPr="009A6F4A" w:rsidRDefault="0026768B">
    <w:pPr>
      <w:pStyle w:val="Header"/>
      <w:rPr>
        <w:lang w:val="en-US"/>
      </w:rPr>
    </w:pPr>
    <w:r>
      <w:rPr>
        <w:lang w:val="en-US"/>
      </w:rPr>
      <w:tab/>
    </w:r>
    <w:r w:rsidR="00C915E5">
      <w:rPr>
        <w:lang w:val="en-US"/>
      </w:rPr>
      <w:t>ECE/TRANS/WP.15/AC.1/2015/23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E3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2156"/>
    <w:rsid w:val="00086182"/>
    <w:rsid w:val="00090891"/>
    <w:rsid w:val="00092E62"/>
    <w:rsid w:val="00097975"/>
    <w:rsid w:val="000A31F0"/>
    <w:rsid w:val="000A3DDF"/>
    <w:rsid w:val="000A60A0"/>
    <w:rsid w:val="000C3688"/>
    <w:rsid w:val="000D6863"/>
    <w:rsid w:val="000E49D3"/>
    <w:rsid w:val="00117AEE"/>
    <w:rsid w:val="00145CE0"/>
    <w:rsid w:val="001463F7"/>
    <w:rsid w:val="0015769C"/>
    <w:rsid w:val="00180752"/>
    <w:rsid w:val="00185076"/>
    <w:rsid w:val="0018543C"/>
    <w:rsid w:val="00190231"/>
    <w:rsid w:val="00192ABD"/>
    <w:rsid w:val="001A4CBC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1F50"/>
    <w:rsid w:val="00232D42"/>
    <w:rsid w:val="00237334"/>
    <w:rsid w:val="002418C5"/>
    <w:rsid w:val="002444F4"/>
    <w:rsid w:val="002629A0"/>
    <w:rsid w:val="0026768B"/>
    <w:rsid w:val="0028492B"/>
    <w:rsid w:val="00291C8F"/>
    <w:rsid w:val="00296D2C"/>
    <w:rsid w:val="002A4EE8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25387"/>
    <w:rsid w:val="00332891"/>
    <w:rsid w:val="00356BB2"/>
    <w:rsid w:val="00360477"/>
    <w:rsid w:val="00367FC9"/>
    <w:rsid w:val="003711A1"/>
    <w:rsid w:val="00372123"/>
    <w:rsid w:val="00377422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4570A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07755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62B1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94099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5EDB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2881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915E5"/>
    <w:rsid w:val="00CA609E"/>
    <w:rsid w:val="00CA7DA4"/>
    <w:rsid w:val="00CB31FB"/>
    <w:rsid w:val="00CB4AE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B4F2D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36FD2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1510130R</vt:lpstr>
      <vt:lpstr>1510130R</vt:lpstr>
    </vt:vector>
  </TitlesOfParts>
  <Manager>Киселев</Manager>
  <Company>CSD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1510130R</dc:title>
  <dc:subject>ECE/TRANS/WP.15/AC.1/2015/23</dc:subject>
  <dc:creator>Antipova Uliana</dc:creator>
  <dc:description>Final</dc:description>
  <cp:lastModifiedBy>barrio-champeau</cp:lastModifiedBy>
  <cp:revision>2</cp:revision>
  <cp:lastPrinted>2015-07-02T15:00:00Z</cp:lastPrinted>
  <dcterms:created xsi:type="dcterms:W3CDTF">2015-08-03T08:04:00Z</dcterms:created>
  <dcterms:modified xsi:type="dcterms:W3CDTF">2015-08-03T08:04:00Z</dcterms:modified>
</cp:coreProperties>
</file>