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0B5C5" w14:textId="596BB8A4" w:rsidR="0023575C" w:rsidRPr="0024451B" w:rsidRDefault="00EB6A54" w:rsidP="00B115DE">
      <w:pPr>
        <w:pStyle w:val="HChG"/>
        <w:ind w:right="0" w:firstLine="0"/>
        <w:jc w:val="center"/>
        <w:rPr>
          <w:rFonts w:ascii="Times New Roman Bold" w:hAnsi="Times New Roman Bold"/>
          <w:bCs/>
          <w:spacing w:val="-2"/>
        </w:rPr>
      </w:pPr>
      <w:r w:rsidRPr="0024451B">
        <w:t>Draft f</w:t>
      </w:r>
      <w:r w:rsidRPr="0024451B">
        <w:rPr>
          <w:bCs/>
          <w:spacing w:val="-2"/>
        </w:rPr>
        <w:t>indings</w:t>
      </w:r>
      <w:r w:rsidRPr="0024451B">
        <w:rPr>
          <w:spacing w:val="-2"/>
        </w:rPr>
        <w:t xml:space="preserve"> and </w:t>
      </w:r>
      <w:r w:rsidRPr="0024451B">
        <w:rPr>
          <w:bCs/>
          <w:spacing w:val="-2"/>
        </w:rPr>
        <w:t>recommendations</w:t>
      </w:r>
      <w:r w:rsidRPr="0024451B">
        <w:rPr>
          <w:spacing w:val="-2"/>
        </w:rPr>
        <w:t xml:space="preserve"> with regard to communication</w:t>
      </w:r>
      <w:r w:rsidRPr="0024451B">
        <w:t xml:space="preserve"> ACCC/C/2015/135 concerning compliance by France</w:t>
      </w:r>
    </w:p>
    <w:p w14:paraId="5BE9FD7D" w14:textId="1CE2CD25" w:rsidR="009E5900" w:rsidRPr="0024451B" w:rsidRDefault="00696B24" w:rsidP="00FD4FFF">
      <w:pPr>
        <w:pStyle w:val="HChG"/>
        <w:ind w:left="1395" w:right="0" w:hanging="720"/>
        <w:jc w:val="both"/>
      </w:pPr>
      <w:r w:rsidRPr="0024451B">
        <w:tab/>
      </w:r>
      <w:r w:rsidRPr="0024451B">
        <w:tab/>
      </w:r>
      <w:r w:rsidRPr="0024451B">
        <w:tab/>
      </w:r>
      <w:r w:rsidRPr="0024451B">
        <w:tab/>
      </w:r>
      <w:r w:rsidRPr="0024451B">
        <w:tab/>
      </w:r>
      <w:r w:rsidR="009E5900" w:rsidRPr="0024451B">
        <w:t xml:space="preserve">Adopted by the Compliance Committee on </w:t>
      </w:r>
      <w:r w:rsidR="0013259A" w:rsidRPr="0024451B">
        <w:t>…</w:t>
      </w:r>
    </w:p>
    <w:p w14:paraId="3AAE83B8" w14:textId="77777777" w:rsidR="0023575C" w:rsidRPr="0024451B" w:rsidRDefault="0023575C" w:rsidP="00FD4FFF">
      <w:pPr>
        <w:pStyle w:val="HChG"/>
        <w:ind w:left="1395" w:right="0" w:hanging="720"/>
        <w:jc w:val="both"/>
      </w:pPr>
      <w:r w:rsidRPr="0024451B">
        <w:t>I.</w:t>
      </w:r>
      <w:r w:rsidRPr="0024451B">
        <w:tab/>
      </w:r>
      <w:r w:rsidR="00D971FB" w:rsidRPr="0024451B">
        <w:t>Introduction</w:t>
      </w:r>
      <w:bookmarkStart w:id="0" w:name="_GoBack"/>
      <w:bookmarkEnd w:id="0"/>
    </w:p>
    <w:p w14:paraId="5400057B" w14:textId="44DB1202" w:rsidR="0036373B" w:rsidRPr="0024451B" w:rsidRDefault="00D0509A" w:rsidP="006953AF">
      <w:pPr>
        <w:pStyle w:val="SingleTxtG"/>
        <w:numPr>
          <w:ilvl w:val="0"/>
          <w:numId w:val="3"/>
        </w:numPr>
        <w:ind w:left="1100" w:right="0" w:firstLine="0"/>
      </w:pPr>
      <w:r w:rsidRPr="0024451B">
        <w:t>On 4 November 2015</w:t>
      </w:r>
      <w:r w:rsidR="00961752" w:rsidRPr="0024451B">
        <w:t>,</w:t>
      </w:r>
      <w:r w:rsidR="006573A4" w:rsidRPr="0024451B">
        <w:t xml:space="preserve"> </w:t>
      </w:r>
      <w:r w:rsidR="00611CC7" w:rsidRPr="0024451B">
        <w:t>Mr</w:t>
      </w:r>
      <w:r w:rsidR="008B4019" w:rsidRPr="0024451B">
        <w:t>.</w:t>
      </w:r>
      <w:r w:rsidR="00611CC7" w:rsidRPr="0024451B">
        <w:t xml:space="preserve"> Patrick </w:t>
      </w:r>
      <w:proofErr w:type="spellStart"/>
      <w:r w:rsidR="00611CC7" w:rsidRPr="0024451B">
        <w:t>Janin</w:t>
      </w:r>
      <w:proofErr w:type="spellEnd"/>
      <w:r w:rsidR="009D4463" w:rsidRPr="0024451B">
        <w:t xml:space="preserve"> (</w:t>
      </w:r>
      <w:r w:rsidRPr="0024451B">
        <w:t>the c</w:t>
      </w:r>
      <w:r w:rsidR="00EE691E" w:rsidRPr="0024451B">
        <w:t>ommunicant)</w:t>
      </w:r>
      <w:r w:rsidR="0048092E" w:rsidRPr="0024451B">
        <w:t xml:space="preserve"> </w:t>
      </w:r>
      <w:r w:rsidRPr="0024451B">
        <w:t>submitted a communication to</w:t>
      </w:r>
      <w:r w:rsidR="000C4677" w:rsidRPr="0024451B">
        <w:t xml:space="preserve"> the Com</w:t>
      </w:r>
      <w:r w:rsidR="009835E5" w:rsidRPr="0024451B">
        <w:t xml:space="preserve">pliance Committee under the </w:t>
      </w:r>
      <w:r w:rsidR="00BC433D" w:rsidRPr="0024451B">
        <w:t xml:space="preserve">Convention on Access to Information, Public Participation in Decision-making and Access to Justice in Environmental Matters (Aarhus Convention) </w:t>
      </w:r>
      <w:r w:rsidR="009835E5" w:rsidRPr="0024451B">
        <w:t>alleging a failure by France to comply with its obligations under article 9(2) of the Convention</w:t>
      </w:r>
      <w:r w:rsidR="0036373B" w:rsidRPr="0024451B">
        <w:t>.</w:t>
      </w:r>
    </w:p>
    <w:p w14:paraId="1FDF1F25" w14:textId="4815B1FF" w:rsidR="00611CC7" w:rsidRPr="0024451B" w:rsidRDefault="00895AC3" w:rsidP="00696B24">
      <w:pPr>
        <w:pStyle w:val="SingleTxtG"/>
        <w:numPr>
          <w:ilvl w:val="0"/>
          <w:numId w:val="3"/>
        </w:numPr>
        <w:ind w:left="1100" w:right="0" w:firstLine="0"/>
      </w:pPr>
      <w:r w:rsidRPr="0024451B">
        <w:t>More specifically</w:t>
      </w:r>
      <w:r w:rsidR="008120F7" w:rsidRPr="0024451B">
        <w:t>, the c</w:t>
      </w:r>
      <w:r w:rsidR="0036373B" w:rsidRPr="0024451B">
        <w:t>ommunicant allege</w:t>
      </w:r>
      <w:r w:rsidR="006D4DED" w:rsidRPr="0024451B">
        <w:t>s</w:t>
      </w:r>
      <w:r w:rsidR="0036373B" w:rsidRPr="0024451B">
        <w:t xml:space="preserve"> that </w:t>
      </w:r>
      <w:r w:rsidR="00696B24" w:rsidRPr="0024451B">
        <w:t>a decision by</w:t>
      </w:r>
      <w:r w:rsidR="005277B4" w:rsidRPr="0024451B">
        <w:t xml:space="preserve"> </w:t>
      </w:r>
      <w:r w:rsidR="00555AAE" w:rsidRPr="0024451B">
        <w:t xml:space="preserve">the </w:t>
      </w:r>
      <w:r w:rsidR="00016262" w:rsidRPr="0024451B">
        <w:t xml:space="preserve">Conseil </w:t>
      </w:r>
      <w:proofErr w:type="spellStart"/>
      <w:r w:rsidR="00016262" w:rsidRPr="0024451B">
        <w:t>d’État</w:t>
      </w:r>
      <w:proofErr w:type="spellEnd"/>
      <w:r w:rsidR="00555AAE" w:rsidRPr="0024451B">
        <w:t xml:space="preserve"> </w:t>
      </w:r>
      <w:r w:rsidR="00696B24" w:rsidRPr="0024451B">
        <w:t xml:space="preserve">to dismiss, for lack of standing, </w:t>
      </w:r>
      <w:r w:rsidR="00791E57" w:rsidRPr="0024451B">
        <w:t>his</w:t>
      </w:r>
      <w:r w:rsidR="005277B4" w:rsidRPr="0024451B">
        <w:t xml:space="preserve"> petition</w:t>
      </w:r>
      <w:r w:rsidR="00696B24" w:rsidRPr="0024451B">
        <w:t xml:space="preserve"> against a ministerial order authorizing the destruction of animal pests </w:t>
      </w:r>
      <w:r w:rsidRPr="0024451B">
        <w:t>violate</w:t>
      </w:r>
      <w:r w:rsidR="009835E5" w:rsidRPr="0024451B">
        <w:t>d</w:t>
      </w:r>
      <w:r w:rsidR="005277B4" w:rsidRPr="0024451B">
        <w:t xml:space="preserve"> article 9</w:t>
      </w:r>
      <w:r w:rsidRPr="0024451B">
        <w:t>(</w:t>
      </w:r>
      <w:r w:rsidR="00BC433D" w:rsidRPr="0024451B">
        <w:t>2</w:t>
      </w:r>
      <w:r w:rsidRPr="0024451B">
        <w:t>)</w:t>
      </w:r>
      <w:r w:rsidR="009A0EEC" w:rsidRPr="0024451B">
        <w:t xml:space="preserve"> of the Convention</w:t>
      </w:r>
      <w:r w:rsidR="00555AAE" w:rsidRPr="0024451B">
        <w:t>.</w:t>
      </w:r>
    </w:p>
    <w:p w14:paraId="4DBA91A7" w14:textId="7383EDD7" w:rsidR="003D0BF1" w:rsidRPr="0024451B" w:rsidRDefault="005053A4" w:rsidP="006953AF">
      <w:pPr>
        <w:pStyle w:val="SingleTxtG"/>
        <w:numPr>
          <w:ilvl w:val="0"/>
          <w:numId w:val="3"/>
        </w:numPr>
        <w:ind w:left="1100" w:right="0" w:firstLine="0"/>
      </w:pPr>
      <w:r w:rsidRPr="0024451B">
        <w:t>A</w:t>
      </w:r>
      <w:r w:rsidR="008633FA" w:rsidRPr="0024451B">
        <w:t>t its fifty-first meeting (Geneva, 15-18 December 2015)</w:t>
      </w:r>
      <w:r w:rsidR="00EF75C9" w:rsidRPr="0024451B">
        <w:t xml:space="preserve">, </w:t>
      </w:r>
      <w:r w:rsidRPr="0024451B">
        <w:t xml:space="preserve">the Committee determined </w:t>
      </w:r>
      <w:r w:rsidR="00747658" w:rsidRPr="0024451B">
        <w:t xml:space="preserve">on a preliminary basis </w:t>
      </w:r>
      <w:r w:rsidRPr="0024451B">
        <w:t>that the communication was admissible</w:t>
      </w:r>
      <w:r w:rsidR="00D31736" w:rsidRPr="0024451B">
        <w:t>.</w:t>
      </w:r>
    </w:p>
    <w:p w14:paraId="09728AE3" w14:textId="4072E9A4" w:rsidR="00747658" w:rsidRPr="0024451B" w:rsidRDefault="00747658" w:rsidP="006953AF">
      <w:pPr>
        <w:pStyle w:val="SingleTxtG"/>
        <w:numPr>
          <w:ilvl w:val="0"/>
          <w:numId w:val="3"/>
        </w:numPr>
        <w:ind w:left="1100" w:right="0" w:firstLine="0"/>
      </w:pPr>
      <w:r w:rsidRPr="0024451B">
        <w:t>Pursuant to paragraph 22 of the annex to decision I/7 of the Meeting of the Parties to the Convention, the communication was forwarded to the Party concerned on 11 March 2016.</w:t>
      </w:r>
    </w:p>
    <w:p w14:paraId="0A46EA6E" w14:textId="1379FC8B" w:rsidR="000817E0" w:rsidRPr="0024451B" w:rsidRDefault="00194EF4" w:rsidP="006953AF">
      <w:pPr>
        <w:pStyle w:val="SingleTxtG"/>
        <w:numPr>
          <w:ilvl w:val="0"/>
          <w:numId w:val="3"/>
        </w:numPr>
        <w:ind w:left="1100" w:right="0" w:firstLine="0"/>
      </w:pPr>
      <w:r w:rsidRPr="0024451B">
        <w:t>On 9 August 2016</w:t>
      </w:r>
      <w:r w:rsidR="009835E5" w:rsidRPr="0024451B">
        <w:t>,</w:t>
      </w:r>
      <w:r w:rsidRPr="0024451B">
        <w:t xml:space="preserve"> the </w:t>
      </w:r>
      <w:r w:rsidR="00991006" w:rsidRPr="0024451B">
        <w:t>Part</w:t>
      </w:r>
      <w:r w:rsidR="00EE691E" w:rsidRPr="0024451B">
        <w:t>y</w:t>
      </w:r>
      <w:r w:rsidR="00991006" w:rsidRPr="0024451B">
        <w:t xml:space="preserve"> concerned provided its response </w:t>
      </w:r>
      <w:r w:rsidR="00EE691E" w:rsidRPr="0024451B">
        <w:t xml:space="preserve">to the communication, </w:t>
      </w:r>
      <w:r w:rsidR="000817E0" w:rsidRPr="0024451B">
        <w:t xml:space="preserve">and </w:t>
      </w:r>
      <w:r w:rsidRPr="0024451B">
        <w:t xml:space="preserve">on </w:t>
      </w:r>
      <w:r w:rsidR="00747658" w:rsidRPr="0024451B">
        <w:br/>
      </w:r>
      <w:r w:rsidRPr="0024451B">
        <w:t>19 September 2016</w:t>
      </w:r>
      <w:r w:rsidR="009835E5" w:rsidRPr="0024451B">
        <w:t>,</w:t>
      </w:r>
      <w:r w:rsidRPr="0024451B">
        <w:t xml:space="preserve"> </w:t>
      </w:r>
      <w:r w:rsidR="000817E0" w:rsidRPr="0024451B">
        <w:t>the communicant provided comments thereon.</w:t>
      </w:r>
    </w:p>
    <w:p w14:paraId="5D9C27C5" w14:textId="1227CE30" w:rsidR="00747658" w:rsidRPr="0024451B" w:rsidRDefault="00747658" w:rsidP="006953AF">
      <w:pPr>
        <w:pStyle w:val="SingleTxtG"/>
        <w:numPr>
          <w:ilvl w:val="0"/>
          <w:numId w:val="3"/>
        </w:numPr>
        <w:ind w:left="1100" w:right="0" w:firstLine="0"/>
      </w:pPr>
      <w:r w:rsidRPr="0024451B">
        <w:t xml:space="preserve">On 23 May 2018, the Committee wrote to the Party concerned and the communicant seeking their </w:t>
      </w:r>
      <w:r w:rsidR="00D51F12" w:rsidRPr="0024451B">
        <w:t>views on whether</w:t>
      </w:r>
      <w:r w:rsidRPr="0024451B">
        <w:t>, given the substance of the communication, they would consider it appropriate for the Committee to proceed to commence its</w:t>
      </w:r>
      <w:r w:rsidR="007904C2" w:rsidRPr="0024451B">
        <w:t xml:space="preserve"> </w:t>
      </w:r>
      <w:r w:rsidRPr="0024451B">
        <w:t>deliberations on the substance of the communication without holding</w:t>
      </w:r>
      <w:r w:rsidR="00D51F12" w:rsidRPr="0024451B">
        <w:t xml:space="preserve"> a hearing</w:t>
      </w:r>
      <w:r w:rsidRPr="0024451B">
        <w:t>.</w:t>
      </w:r>
      <w:r w:rsidR="007904C2" w:rsidRPr="0024451B">
        <w:t xml:space="preserve"> At the same time, the Committee invited the Party concerned and the communicant, should they each be of the view that a hearing is not needed, to provide any final written submissions by 27 June 2018.</w:t>
      </w:r>
    </w:p>
    <w:p w14:paraId="4AAE980B" w14:textId="77777777" w:rsidR="00C633C6" w:rsidRPr="0024451B" w:rsidRDefault="00747658" w:rsidP="006953AF">
      <w:pPr>
        <w:pStyle w:val="SingleTxtG"/>
        <w:numPr>
          <w:ilvl w:val="0"/>
          <w:numId w:val="3"/>
        </w:numPr>
        <w:ind w:left="1100" w:right="0" w:firstLine="0"/>
      </w:pPr>
      <w:r w:rsidRPr="0024451B">
        <w:t>On 1 June 2018 and 8 May 2018</w:t>
      </w:r>
      <w:r w:rsidR="00D51F12" w:rsidRPr="0024451B">
        <w:t xml:space="preserve">, the communicant and the Party concerned each </w:t>
      </w:r>
      <w:r w:rsidR="007904C2" w:rsidRPr="0024451B">
        <w:t>submitted comments to the effect that it was appropriate for the Committee</w:t>
      </w:r>
      <w:r w:rsidRPr="0024451B">
        <w:t xml:space="preserve"> to proceed to commence its deliberations without holding a hearing</w:t>
      </w:r>
      <w:r w:rsidR="007904C2" w:rsidRPr="0024451B">
        <w:t>,</w:t>
      </w:r>
      <w:r w:rsidR="00D51F12" w:rsidRPr="0024451B">
        <w:t xml:space="preserve"> respectively.</w:t>
      </w:r>
    </w:p>
    <w:p w14:paraId="270BB1EB" w14:textId="77777777" w:rsidR="006B2152" w:rsidRPr="0024451B" w:rsidRDefault="006B2152" w:rsidP="006953AF">
      <w:pPr>
        <w:pStyle w:val="SingleTxtG"/>
        <w:numPr>
          <w:ilvl w:val="0"/>
          <w:numId w:val="3"/>
        </w:numPr>
        <w:ind w:left="1100" w:right="0" w:firstLine="0"/>
      </w:pPr>
      <w:r w:rsidRPr="0024451B">
        <w:t>On 26 June 2018 the Party concerned submitted additional written submissions.</w:t>
      </w:r>
      <w:r w:rsidR="009A0EEC" w:rsidRPr="0024451B">
        <w:t xml:space="preserve"> The communicant did not provide any further written submissions.</w:t>
      </w:r>
    </w:p>
    <w:p w14:paraId="06B548A2" w14:textId="4B117665" w:rsidR="007904C2" w:rsidRPr="0024451B" w:rsidRDefault="007904C2" w:rsidP="006953AF">
      <w:pPr>
        <w:pStyle w:val="SingleTxtG"/>
        <w:numPr>
          <w:ilvl w:val="0"/>
          <w:numId w:val="3"/>
        </w:numPr>
        <w:ind w:left="1100" w:right="0" w:firstLine="0"/>
        <w:rPr>
          <w:i/>
        </w:rPr>
      </w:pPr>
      <w:r w:rsidRPr="00451BCF">
        <w:rPr>
          <w:iCs/>
        </w:rPr>
        <w:t xml:space="preserve">The Committee completed its draft findings </w:t>
      </w:r>
      <w:r w:rsidR="00451BCF">
        <w:rPr>
          <w:iCs/>
        </w:rPr>
        <w:t>through its electronic decision-making procedure on 1 November 2019.</w:t>
      </w:r>
      <w:r w:rsidRPr="00451BCF">
        <w:rPr>
          <w:iCs/>
        </w:rPr>
        <w:t xml:space="preserve"> In accordance with paragraph 34 of the annex to decision I/7, the draft findings were then forwarded for comments to the Party concerned and the communicant on </w:t>
      </w:r>
      <w:r w:rsidR="00451BCF" w:rsidRPr="00451BCF">
        <w:rPr>
          <w:iCs/>
        </w:rPr>
        <w:t>6 November 2019.</w:t>
      </w:r>
      <w:r w:rsidR="00451BCF" w:rsidRPr="00451BCF">
        <w:rPr>
          <w:iCs/>
        </w:rPr>
        <w:t xml:space="preserve"> </w:t>
      </w:r>
      <w:r w:rsidRPr="00451BCF">
        <w:rPr>
          <w:iCs/>
        </w:rPr>
        <w:t xml:space="preserve">Both were invited to provide comments by </w:t>
      </w:r>
      <w:r w:rsidR="00451BCF" w:rsidRPr="00451BCF">
        <w:rPr>
          <w:iCs/>
        </w:rPr>
        <w:t>18 December 2019</w:t>
      </w:r>
      <w:r w:rsidR="00451BCF" w:rsidRPr="00451BCF">
        <w:rPr>
          <w:iCs/>
        </w:rPr>
        <w:t>.</w:t>
      </w:r>
      <w:r w:rsidR="00451BCF" w:rsidRPr="0024451B">
        <w:rPr>
          <w:i/>
        </w:rPr>
        <w:t xml:space="preserve"> </w:t>
      </w:r>
      <w:r w:rsidR="00244DC1" w:rsidRPr="0024451B">
        <w:rPr>
          <w:i/>
        </w:rPr>
        <w:t>T</w:t>
      </w:r>
      <w:r w:rsidRPr="0024451B">
        <w:rPr>
          <w:i/>
        </w:rPr>
        <w:t>he Party concerned and the communicant provided comments on […] and […] respectively.</w:t>
      </w:r>
    </w:p>
    <w:p w14:paraId="73B03488" w14:textId="77777777" w:rsidR="003A1551" w:rsidRPr="0024451B" w:rsidRDefault="001132E8" w:rsidP="006953AF">
      <w:pPr>
        <w:pStyle w:val="SingleTxtG"/>
        <w:numPr>
          <w:ilvl w:val="0"/>
          <w:numId w:val="3"/>
        </w:numPr>
        <w:tabs>
          <w:tab w:val="clear" w:pos="1711"/>
          <w:tab w:val="num" w:pos="1170"/>
        </w:tabs>
        <w:ind w:left="1170" w:right="0" w:firstLine="0"/>
      </w:pPr>
      <w:r w:rsidRPr="0024451B">
        <w:rPr>
          <w:i/>
        </w:rPr>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r w:rsidR="003A1551" w:rsidRPr="0024451B">
        <w:rPr>
          <w:i/>
        </w:rPr>
        <w:t>.</w:t>
      </w:r>
    </w:p>
    <w:p w14:paraId="49DC42C3" w14:textId="77777777" w:rsidR="003A1551" w:rsidRPr="0024451B" w:rsidRDefault="003A1551" w:rsidP="00B115DE">
      <w:pPr>
        <w:pStyle w:val="HChG"/>
        <w:tabs>
          <w:tab w:val="left" w:pos="7740"/>
        </w:tabs>
        <w:ind w:left="1395" w:right="0" w:hanging="720"/>
        <w:jc w:val="both"/>
      </w:pPr>
      <w:r w:rsidRPr="0024451B">
        <w:lastRenderedPageBreak/>
        <w:t>II.</w:t>
      </w:r>
      <w:r w:rsidRPr="0024451B">
        <w:tab/>
        <w:t>Summary of facts, evidence and issues</w:t>
      </w:r>
      <w:r w:rsidRPr="0024451B">
        <w:rPr>
          <w:b w:val="0"/>
          <w:sz w:val="20"/>
          <w:vertAlign w:val="superscript"/>
        </w:rPr>
        <w:footnoteReference w:id="2"/>
      </w:r>
      <w:r w:rsidR="00244DC1" w:rsidRPr="0024451B">
        <w:tab/>
      </w:r>
    </w:p>
    <w:p w14:paraId="21FA0856" w14:textId="12CAF40D" w:rsidR="003A1551" w:rsidRPr="0024451B" w:rsidRDefault="003A1551" w:rsidP="00B115DE">
      <w:pPr>
        <w:pStyle w:val="H1G"/>
        <w:numPr>
          <w:ilvl w:val="0"/>
          <w:numId w:val="5"/>
        </w:numPr>
        <w:ind w:right="0"/>
        <w:jc w:val="both"/>
      </w:pPr>
      <w:r w:rsidRPr="0024451B">
        <w:t>Legal framework</w:t>
      </w:r>
    </w:p>
    <w:p w14:paraId="101E8863" w14:textId="77777777" w:rsidR="00B550AE" w:rsidRPr="0024451B" w:rsidRDefault="00B550AE" w:rsidP="00B550AE">
      <w:pPr>
        <w:ind w:left="1134"/>
        <w:rPr>
          <w:b/>
          <w:bCs/>
        </w:rPr>
      </w:pPr>
      <w:r w:rsidRPr="0024451B">
        <w:rPr>
          <w:b/>
          <w:bCs/>
        </w:rPr>
        <w:t>Legislation concerning pests</w:t>
      </w:r>
    </w:p>
    <w:p w14:paraId="7E62F9D4" w14:textId="77777777" w:rsidR="00B550AE" w:rsidRPr="0024451B" w:rsidRDefault="00B550AE" w:rsidP="00B550AE">
      <w:pPr>
        <w:ind w:left="1134"/>
        <w:rPr>
          <w:i/>
          <w:iCs/>
        </w:rPr>
      </w:pPr>
    </w:p>
    <w:p w14:paraId="36173F3D" w14:textId="31470E98" w:rsidR="003A1551" w:rsidRPr="0024451B" w:rsidRDefault="003A1551" w:rsidP="00B115DE">
      <w:pPr>
        <w:pStyle w:val="SingleTxtG"/>
        <w:numPr>
          <w:ilvl w:val="0"/>
          <w:numId w:val="3"/>
        </w:numPr>
        <w:tabs>
          <w:tab w:val="clear" w:pos="1711"/>
          <w:tab w:val="num" w:pos="1170"/>
        </w:tabs>
        <w:ind w:left="1170" w:right="0" w:firstLine="0"/>
      </w:pPr>
      <w:bookmarkStart w:id="1" w:name="_Ref15476501"/>
      <w:r w:rsidRPr="0024451B">
        <w:t>Ar</w:t>
      </w:r>
      <w:r w:rsidR="00044AD7" w:rsidRPr="0024451B">
        <w:t>ticle L</w:t>
      </w:r>
      <w:r w:rsidR="005F0BB9" w:rsidRPr="0024451B">
        <w:t xml:space="preserve"> </w:t>
      </w:r>
      <w:r w:rsidR="00044AD7" w:rsidRPr="0024451B">
        <w:t>427-6</w:t>
      </w:r>
      <w:r w:rsidR="005F0BB9" w:rsidRPr="0024451B">
        <w:t xml:space="preserve"> of the Environmental Code provides </w:t>
      </w:r>
      <w:r w:rsidR="009649E4" w:rsidRPr="0024451B">
        <w:t xml:space="preserve">the legal basis </w:t>
      </w:r>
      <w:r w:rsidR="005F0BB9" w:rsidRPr="0024451B">
        <w:t xml:space="preserve">for </w:t>
      </w:r>
      <w:r w:rsidR="009649E4" w:rsidRPr="0024451B">
        <w:t xml:space="preserve">establishing </w:t>
      </w:r>
      <w:r w:rsidR="00961752" w:rsidRPr="0024451B">
        <w:t xml:space="preserve">by ministerial order </w:t>
      </w:r>
      <w:r w:rsidR="009649E4" w:rsidRPr="0024451B">
        <w:t>a list of native animal species to be classified as pests, the periods stipulated for their destruction,</w:t>
      </w:r>
      <w:r w:rsidR="005F0BB9" w:rsidRPr="0024451B">
        <w:t xml:space="preserve"> and </w:t>
      </w:r>
      <w:r w:rsidR="009649E4" w:rsidRPr="0024451B">
        <w:t xml:space="preserve">the methods of </w:t>
      </w:r>
      <w:r w:rsidR="005F0BB9" w:rsidRPr="0024451B">
        <w:t xml:space="preserve">destruction </w:t>
      </w:r>
      <w:r w:rsidR="009649E4" w:rsidRPr="0024451B">
        <w:t>to be used</w:t>
      </w:r>
      <w:r w:rsidR="005F0BB9" w:rsidRPr="0024451B">
        <w:t>.</w:t>
      </w:r>
      <w:r w:rsidR="005F0BB9" w:rsidRPr="0024451B">
        <w:rPr>
          <w:rStyle w:val="FootnoteReference"/>
        </w:rPr>
        <w:footnoteReference w:id="3"/>
      </w:r>
      <w:bookmarkEnd w:id="1"/>
      <w:r w:rsidR="00961752" w:rsidRPr="0024451B">
        <w:t xml:space="preserve"> </w:t>
      </w:r>
    </w:p>
    <w:p w14:paraId="34E1DF80" w14:textId="477726C4" w:rsidR="00B550AE" w:rsidRPr="0024451B" w:rsidRDefault="00B550AE" w:rsidP="00B550AE">
      <w:pPr>
        <w:pStyle w:val="SingleTxtG"/>
        <w:tabs>
          <w:tab w:val="num" w:pos="1170"/>
        </w:tabs>
        <w:ind w:right="0"/>
        <w:rPr>
          <w:b/>
          <w:bCs/>
        </w:rPr>
      </w:pPr>
      <w:r w:rsidRPr="0024451B">
        <w:rPr>
          <w:b/>
          <w:bCs/>
        </w:rPr>
        <w:t xml:space="preserve">Public </w:t>
      </w:r>
      <w:r w:rsidR="00233D7E" w:rsidRPr="0024451B">
        <w:rPr>
          <w:b/>
          <w:bCs/>
        </w:rPr>
        <w:t>p</w:t>
      </w:r>
      <w:r w:rsidRPr="0024451B">
        <w:rPr>
          <w:b/>
          <w:bCs/>
        </w:rPr>
        <w:t>articipation</w:t>
      </w:r>
    </w:p>
    <w:p w14:paraId="58481142" w14:textId="1C8D06F8" w:rsidR="001D0D61" w:rsidRPr="0024451B" w:rsidRDefault="001D0D61" w:rsidP="006953AF">
      <w:pPr>
        <w:pStyle w:val="SingleTxtG"/>
        <w:numPr>
          <w:ilvl w:val="0"/>
          <w:numId w:val="3"/>
        </w:numPr>
        <w:tabs>
          <w:tab w:val="clear" w:pos="1711"/>
          <w:tab w:val="num" w:pos="1170"/>
        </w:tabs>
        <w:ind w:left="1170" w:right="0" w:firstLine="0"/>
      </w:pPr>
      <w:bookmarkStart w:id="2" w:name="_Ref15476011"/>
      <w:r w:rsidRPr="0024451B">
        <w:t xml:space="preserve">Article 7 of the </w:t>
      </w:r>
      <w:r w:rsidR="000C1B90" w:rsidRPr="0024451B">
        <w:t xml:space="preserve">Constitutional </w:t>
      </w:r>
      <w:r w:rsidRPr="0024451B">
        <w:t>Charter for the Environment establishes the right for everyone to participate in public decision-making likely to affect the environment, in the conditions and to the extent provided for by law.</w:t>
      </w:r>
      <w:r w:rsidRPr="0024451B">
        <w:rPr>
          <w:rStyle w:val="FootnoteReference"/>
        </w:rPr>
        <w:footnoteReference w:id="4"/>
      </w:r>
      <w:bookmarkEnd w:id="2"/>
    </w:p>
    <w:p w14:paraId="5FCAF00F" w14:textId="2512B424" w:rsidR="003A1551" w:rsidRPr="0024451B" w:rsidRDefault="003A1551" w:rsidP="00B115DE">
      <w:pPr>
        <w:pStyle w:val="SingleTxtG"/>
        <w:numPr>
          <w:ilvl w:val="0"/>
          <w:numId w:val="3"/>
        </w:numPr>
        <w:tabs>
          <w:tab w:val="clear" w:pos="1711"/>
          <w:tab w:val="num" w:pos="1170"/>
        </w:tabs>
        <w:ind w:left="1170" w:right="0" w:firstLine="0"/>
      </w:pPr>
      <w:bookmarkStart w:id="3" w:name="_Ref15476895"/>
      <w:r w:rsidRPr="0024451B">
        <w:t>A</w:t>
      </w:r>
      <w:r w:rsidR="00461A83" w:rsidRPr="0024451B">
        <w:t xml:space="preserve">rticle L 120-1 of the Environmental Code sets out the procedure for public </w:t>
      </w:r>
      <w:r w:rsidR="000C1B90" w:rsidRPr="0024451B">
        <w:t>participation</w:t>
      </w:r>
      <w:r w:rsidR="00461A83" w:rsidRPr="0024451B">
        <w:t xml:space="preserve"> </w:t>
      </w:r>
      <w:r w:rsidR="00BA200B" w:rsidRPr="0024451B">
        <w:t>in decision-making affecting the environment.</w:t>
      </w:r>
      <w:r w:rsidR="00BA200B" w:rsidRPr="0024451B">
        <w:rPr>
          <w:rStyle w:val="FootnoteReference"/>
        </w:rPr>
        <w:footnoteReference w:id="5"/>
      </w:r>
      <w:bookmarkEnd w:id="3"/>
    </w:p>
    <w:p w14:paraId="07685C8C" w14:textId="29BB5696" w:rsidR="00B550AE" w:rsidRPr="0024451B" w:rsidRDefault="00B550AE" w:rsidP="00B550AE">
      <w:pPr>
        <w:pStyle w:val="SingleTxtG"/>
        <w:tabs>
          <w:tab w:val="num" w:pos="1170"/>
        </w:tabs>
        <w:ind w:right="0"/>
        <w:rPr>
          <w:b/>
          <w:bCs/>
        </w:rPr>
      </w:pPr>
      <w:r w:rsidRPr="0024451B">
        <w:rPr>
          <w:b/>
          <w:bCs/>
        </w:rPr>
        <w:t xml:space="preserve">Access to </w:t>
      </w:r>
      <w:r w:rsidR="00233D7E" w:rsidRPr="0024451B">
        <w:rPr>
          <w:b/>
          <w:bCs/>
        </w:rPr>
        <w:t>j</w:t>
      </w:r>
      <w:r w:rsidRPr="0024451B">
        <w:rPr>
          <w:b/>
          <w:bCs/>
        </w:rPr>
        <w:t>ustice</w:t>
      </w:r>
    </w:p>
    <w:p w14:paraId="49B32C51" w14:textId="5766B653" w:rsidR="00F239C2" w:rsidRPr="0024451B" w:rsidRDefault="003A1551" w:rsidP="00BF0131">
      <w:pPr>
        <w:pStyle w:val="SingleTxtG"/>
        <w:numPr>
          <w:ilvl w:val="0"/>
          <w:numId w:val="3"/>
        </w:numPr>
        <w:tabs>
          <w:tab w:val="clear" w:pos="1711"/>
          <w:tab w:val="num" w:pos="1170"/>
        </w:tabs>
        <w:ind w:left="1170" w:right="0" w:firstLine="0"/>
        <w:rPr>
          <w:bCs/>
          <w:iCs/>
        </w:rPr>
      </w:pPr>
      <w:r w:rsidRPr="0024451B">
        <w:t xml:space="preserve"> </w:t>
      </w:r>
      <w:bookmarkStart w:id="4" w:name="_Ref19189374"/>
      <w:r w:rsidR="00B75EE5" w:rsidRPr="0024451B">
        <w:t xml:space="preserve">Under </w:t>
      </w:r>
      <w:r w:rsidR="00244DC1" w:rsidRPr="0024451B">
        <w:t xml:space="preserve">the </w:t>
      </w:r>
      <w:r w:rsidR="00B75EE5" w:rsidRPr="0024451B">
        <w:t>administrative case law of the Party concerned, to have s</w:t>
      </w:r>
      <w:r w:rsidR="000C2AA7" w:rsidRPr="0024451B">
        <w:t>tanding to challenge an administrative decision</w:t>
      </w:r>
      <w:r w:rsidR="00B75EE5" w:rsidRPr="0024451B">
        <w:t xml:space="preserve">, the petitioner must have a </w:t>
      </w:r>
      <w:r w:rsidR="000C2AA7" w:rsidRPr="0024451B">
        <w:t>sufficient</w:t>
      </w:r>
      <w:r w:rsidR="00BF0131" w:rsidRPr="0024451B">
        <w:t>ly</w:t>
      </w:r>
      <w:r w:rsidR="000C2AA7" w:rsidRPr="0024451B">
        <w:t xml:space="preserve"> </w:t>
      </w:r>
      <w:r w:rsidR="00BF0131" w:rsidRPr="0024451B">
        <w:t xml:space="preserve">definite, </w:t>
      </w:r>
      <w:r w:rsidR="000C2AA7" w:rsidRPr="0024451B">
        <w:t xml:space="preserve">direct </w:t>
      </w:r>
      <w:r w:rsidR="00BF0131" w:rsidRPr="0024451B">
        <w:t xml:space="preserve">personal </w:t>
      </w:r>
      <w:r w:rsidR="000C2AA7" w:rsidRPr="0024451B">
        <w:t>interest.</w:t>
      </w:r>
      <w:r w:rsidR="000C2AA7" w:rsidRPr="0024451B">
        <w:rPr>
          <w:rStyle w:val="FootnoteReference"/>
        </w:rPr>
        <w:footnoteReference w:id="6"/>
      </w:r>
      <w:r w:rsidR="00B63208" w:rsidRPr="0024451B">
        <w:t xml:space="preserve"> The petitioner must show that the act he or she is seeking to have annulled places him or her in a special position</w:t>
      </w:r>
      <w:r w:rsidR="00244DC1" w:rsidRPr="0024451B">
        <w:t>.</w:t>
      </w:r>
      <w:r w:rsidR="00B63208" w:rsidRPr="0024451B">
        <w:rPr>
          <w:rStyle w:val="FootnoteReference"/>
        </w:rPr>
        <w:footnoteReference w:id="7"/>
      </w:r>
      <w:r w:rsidR="000A1870" w:rsidRPr="0024451B">
        <w:t xml:space="preserve"> The administrative court will find this interest sufficient provided that the harm to the petitioner </w:t>
      </w:r>
      <w:r w:rsidR="00961752" w:rsidRPr="0024451B">
        <w:t>is not</w:t>
      </w:r>
      <w:r w:rsidR="000A1870" w:rsidRPr="0024451B">
        <w:t xml:space="preserve"> unduly indefinite or indirect.</w:t>
      </w:r>
      <w:r w:rsidR="000A1870" w:rsidRPr="0024451B">
        <w:rPr>
          <w:rStyle w:val="FootnoteReference"/>
        </w:rPr>
        <w:footnoteReference w:id="8"/>
      </w:r>
      <w:bookmarkEnd w:id="4"/>
    </w:p>
    <w:p w14:paraId="79B807DF" w14:textId="507923DF" w:rsidR="003D28EE" w:rsidRPr="0024451B" w:rsidRDefault="00961752" w:rsidP="006953AF">
      <w:pPr>
        <w:pStyle w:val="SingleTxtG"/>
        <w:numPr>
          <w:ilvl w:val="0"/>
          <w:numId w:val="3"/>
        </w:numPr>
        <w:tabs>
          <w:tab w:val="clear" w:pos="1711"/>
          <w:tab w:val="num" w:pos="1170"/>
        </w:tabs>
        <w:ind w:left="1170" w:right="0" w:firstLine="0"/>
        <w:rPr>
          <w:bCs/>
          <w:iCs/>
        </w:rPr>
      </w:pPr>
      <w:bookmarkStart w:id="5" w:name="_Ref15487368"/>
      <w:r w:rsidRPr="0024451B">
        <w:rPr>
          <w:bCs/>
          <w:iCs/>
        </w:rPr>
        <w:t>More specifically, w</w:t>
      </w:r>
      <w:r w:rsidR="003D28EE" w:rsidRPr="0024451B">
        <w:rPr>
          <w:bCs/>
          <w:iCs/>
        </w:rPr>
        <w:t xml:space="preserve">hen an appeal is lodged by </w:t>
      </w:r>
      <w:r w:rsidR="00F239C2" w:rsidRPr="0024451B">
        <w:rPr>
          <w:bCs/>
          <w:iCs/>
        </w:rPr>
        <w:t>a natural person,</w:t>
      </w:r>
      <w:r w:rsidR="003D28EE" w:rsidRPr="0024451B">
        <w:rPr>
          <w:bCs/>
          <w:iCs/>
        </w:rPr>
        <w:t xml:space="preserve"> </w:t>
      </w:r>
      <w:r w:rsidR="000C1B90" w:rsidRPr="0024451B">
        <w:rPr>
          <w:bCs/>
          <w:iCs/>
        </w:rPr>
        <w:t xml:space="preserve">a non-recognized association or other legal person, </w:t>
      </w:r>
      <w:r w:rsidR="003D28EE" w:rsidRPr="0024451B">
        <w:rPr>
          <w:bCs/>
          <w:iCs/>
        </w:rPr>
        <w:t>the interest on which the applicant relies must meet the following conditions:</w:t>
      </w:r>
      <w:bookmarkEnd w:id="5"/>
    </w:p>
    <w:p w14:paraId="2412FE29" w14:textId="77777777" w:rsidR="003D28EE" w:rsidRPr="0024451B" w:rsidRDefault="003D28EE" w:rsidP="006953AF">
      <w:pPr>
        <w:pStyle w:val="SingleTxtG"/>
        <w:numPr>
          <w:ilvl w:val="0"/>
          <w:numId w:val="4"/>
        </w:numPr>
        <w:ind w:right="9"/>
        <w:rPr>
          <w:bCs/>
          <w:iCs/>
        </w:rPr>
      </w:pPr>
      <w:r w:rsidRPr="0024451B">
        <w:rPr>
          <w:bCs/>
          <w:iCs/>
        </w:rPr>
        <w:t xml:space="preserve">The interest must be legitimate: </w:t>
      </w:r>
      <w:r w:rsidR="00F239C2" w:rsidRPr="0024451B">
        <w:rPr>
          <w:bCs/>
          <w:iCs/>
        </w:rPr>
        <w:t>I</w:t>
      </w:r>
      <w:r w:rsidRPr="0024451B">
        <w:rPr>
          <w:bCs/>
          <w:iCs/>
        </w:rPr>
        <w:t>t cannot be intended to safeguard an illegitimate situation</w:t>
      </w:r>
      <w:r w:rsidR="00F239C2" w:rsidRPr="0024451B">
        <w:rPr>
          <w:bCs/>
          <w:iCs/>
        </w:rPr>
        <w:t>.</w:t>
      </w:r>
      <w:r w:rsidRPr="0024451B">
        <w:rPr>
          <w:bCs/>
          <w:iCs/>
        </w:rPr>
        <w:t xml:space="preserve"> </w:t>
      </w:r>
      <w:r w:rsidR="00F239C2" w:rsidRPr="0024451B">
        <w:rPr>
          <w:bCs/>
          <w:iCs/>
        </w:rPr>
        <w:t>I</w:t>
      </w:r>
      <w:r w:rsidRPr="0024451B">
        <w:rPr>
          <w:bCs/>
          <w:iCs/>
        </w:rPr>
        <w:t>t can be of a moral or material nature, individual or collective</w:t>
      </w:r>
      <w:r w:rsidR="00147246" w:rsidRPr="0024451B">
        <w:rPr>
          <w:bCs/>
          <w:iCs/>
        </w:rPr>
        <w:t>. It must, however, be to a certain degree specific in nature</w:t>
      </w:r>
      <w:r w:rsidR="00151A14" w:rsidRPr="0024451B">
        <w:rPr>
          <w:bCs/>
          <w:iCs/>
        </w:rPr>
        <w:t>;</w:t>
      </w:r>
      <w:r w:rsidRPr="0024451B">
        <w:rPr>
          <w:bCs/>
          <w:iCs/>
        </w:rPr>
        <w:t xml:space="preserve"> </w:t>
      </w:r>
    </w:p>
    <w:p w14:paraId="07AD2006" w14:textId="77777777" w:rsidR="003D28EE" w:rsidRPr="0024451B" w:rsidRDefault="003D28EE" w:rsidP="006953AF">
      <w:pPr>
        <w:pStyle w:val="SingleTxtG"/>
        <w:numPr>
          <w:ilvl w:val="0"/>
          <w:numId w:val="4"/>
        </w:numPr>
        <w:ind w:right="9"/>
        <w:rPr>
          <w:bCs/>
          <w:iCs/>
        </w:rPr>
      </w:pPr>
      <w:r w:rsidRPr="0024451B">
        <w:rPr>
          <w:bCs/>
          <w:iCs/>
        </w:rPr>
        <w:t xml:space="preserve">It must be relevant and </w:t>
      </w:r>
      <w:r w:rsidR="00346E8D" w:rsidRPr="0024451B">
        <w:rPr>
          <w:bCs/>
          <w:iCs/>
        </w:rPr>
        <w:t>appropriate</w:t>
      </w:r>
      <w:r w:rsidRPr="0024451B">
        <w:rPr>
          <w:bCs/>
          <w:iCs/>
        </w:rPr>
        <w:t xml:space="preserve">: </w:t>
      </w:r>
      <w:r w:rsidR="00151A14" w:rsidRPr="0024451B">
        <w:rPr>
          <w:bCs/>
          <w:iCs/>
        </w:rPr>
        <w:t>T</w:t>
      </w:r>
      <w:r w:rsidR="00346E8D" w:rsidRPr="0024451B">
        <w:rPr>
          <w:bCs/>
          <w:iCs/>
        </w:rPr>
        <w:t>he applicant’s status must be connected with the decision at issue</w:t>
      </w:r>
      <w:r w:rsidR="00151A14" w:rsidRPr="0024451B">
        <w:rPr>
          <w:bCs/>
          <w:iCs/>
        </w:rPr>
        <w:t>;</w:t>
      </w:r>
      <w:r w:rsidRPr="0024451B">
        <w:rPr>
          <w:bCs/>
          <w:iCs/>
        </w:rPr>
        <w:t xml:space="preserve"> </w:t>
      </w:r>
    </w:p>
    <w:p w14:paraId="17B23157" w14:textId="6C334206" w:rsidR="003D28EE" w:rsidRPr="0024451B" w:rsidRDefault="003D28EE" w:rsidP="006953AF">
      <w:pPr>
        <w:pStyle w:val="SingleTxtG"/>
        <w:numPr>
          <w:ilvl w:val="0"/>
          <w:numId w:val="4"/>
        </w:numPr>
        <w:ind w:right="9"/>
        <w:rPr>
          <w:bCs/>
          <w:iCs/>
        </w:rPr>
      </w:pPr>
      <w:r w:rsidRPr="0024451B">
        <w:rPr>
          <w:bCs/>
          <w:iCs/>
        </w:rPr>
        <w:t xml:space="preserve">The interest in acting must be sufficiently personal: </w:t>
      </w:r>
      <w:r w:rsidR="00151A14" w:rsidRPr="0024451B">
        <w:rPr>
          <w:bCs/>
          <w:iCs/>
        </w:rPr>
        <w:t>T</w:t>
      </w:r>
      <w:r w:rsidRPr="0024451B">
        <w:rPr>
          <w:bCs/>
          <w:iCs/>
        </w:rPr>
        <w:t xml:space="preserve">he applicant requires an interest of his or her own. </w:t>
      </w:r>
    </w:p>
    <w:p w14:paraId="2A1BA20F" w14:textId="7778A55C" w:rsidR="003D28EE" w:rsidRPr="0024451B" w:rsidRDefault="003D28EE" w:rsidP="006953AF">
      <w:pPr>
        <w:pStyle w:val="SingleTxtG"/>
        <w:numPr>
          <w:ilvl w:val="0"/>
          <w:numId w:val="4"/>
        </w:numPr>
        <w:ind w:right="9"/>
        <w:rPr>
          <w:bCs/>
          <w:iCs/>
        </w:rPr>
      </w:pPr>
      <w:r w:rsidRPr="0024451B">
        <w:rPr>
          <w:bCs/>
          <w:iCs/>
        </w:rPr>
        <w:t>The nature of the interest invoked by the applicant to establish the link between the interest alleged by the applicant and the contested measure</w:t>
      </w:r>
      <w:r w:rsidR="000C1B90" w:rsidRPr="0024451B">
        <w:rPr>
          <w:bCs/>
          <w:iCs/>
        </w:rPr>
        <w:t xml:space="preserve"> must be direct (or not unduly indirect)</w:t>
      </w:r>
      <w:r w:rsidRPr="0024451B">
        <w:rPr>
          <w:bCs/>
          <w:iCs/>
        </w:rPr>
        <w:t xml:space="preserve">. </w:t>
      </w:r>
    </w:p>
    <w:p w14:paraId="0124EFEC" w14:textId="77777777" w:rsidR="003D28EE" w:rsidRPr="0024451B" w:rsidRDefault="003D28EE" w:rsidP="00B115DE">
      <w:pPr>
        <w:pStyle w:val="SingleTxtG"/>
        <w:numPr>
          <w:ilvl w:val="0"/>
          <w:numId w:val="4"/>
        </w:numPr>
        <w:ind w:right="9"/>
        <w:rPr>
          <w:bCs/>
          <w:iCs/>
        </w:rPr>
      </w:pPr>
      <w:r w:rsidRPr="0024451B">
        <w:rPr>
          <w:bCs/>
          <w:iCs/>
        </w:rPr>
        <w:t xml:space="preserve">Finally, the interest to act must be </w:t>
      </w:r>
      <w:r w:rsidR="00346E8D" w:rsidRPr="0024451B">
        <w:rPr>
          <w:bCs/>
          <w:iCs/>
        </w:rPr>
        <w:t>definite</w:t>
      </w:r>
      <w:r w:rsidRPr="0024451B">
        <w:rPr>
          <w:bCs/>
          <w:iCs/>
        </w:rPr>
        <w:t>.</w:t>
      </w:r>
      <w:r w:rsidRPr="0024451B">
        <w:rPr>
          <w:rStyle w:val="FootnoteReference"/>
          <w:bCs/>
          <w:iCs/>
        </w:rPr>
        <w:footnoteReference w:id="9"/>
      </w:r>
    </w:p>
    <w:p w14:paraId="0114D561" w14:textId="6F300DFD" w:rsidR="009C0667" w:rsidRPr="0024451B" w:rsidRDefault="00C33249" w:rsidP="00B115DE">
      <w:pPr>
        <w:pStyle w:val="SingleTxtG"/>
        <w:numPr>
          <w:ilvl w:val="0"/>
          <w:numId w:val="3"/>
        </w:numPr>
        <w:tabs>
          <w:tab w:val="clear" w:pos="1711"/>
          <w:tab w:val="num" w:pos="1170"/>
        </w:tabs>
        <w:ind w:left="1170" w:right="0" w:firstLine="0"/>
      </w:pPr>
      <w:r w:rsidRPr="0024451B">
        <w:lastRenderedPageBreak/>
        <w:t>Pursuant to article L. 142 of the Environmental Code, environmental protection associations have standing to bring proceedings before the administrative courts for any complaint relating to the object</w:t>
      </w:r>
      <w:r w:rsidR="00961752" w:rsidRPr="0024451B">
        <w:t>ives</w:t>
      </w:r>
      <w:r w:rsidRPr="0024451B">
        <w:t xml:space="preserve"> of the association as set out in their articles of association.</w:t>
      </w:r>
      <w:r w:rsidRPr="0024451B">
        <w:rPr>
          <w:rStyle w:val="FootnoteReference"/>
        </w:rPr>
        <w:footnoteReference w:id="10"/>
      </w:r>
      <w:r w:rsidRPr="0024451B">
        <w:t xml:space="preserve"> </w:t>
      </w:r>
    </w:p>
    <w:p w14:paraId="174A96E6" w14:textId="7DA061CE" w:rsidR="009C0667" w:rsidRPr="0024451B" w:rsidRDefault="009C0667" w:rsidP="006953AF">
      <w:pPr>
        <w:pStyle w:val="SingleTxtG"/>
        <w:numPr>
          <w:ilvl w:val="0"/>
          <w:numId w:val="3"/>
        </w:numPr>
        <w:tabs>
          <w:tab w:val="clear" w:pos="1711"/>
          <w:tab w:val="num" w:pos="1170"/>
        </w:tabs>
        <w:ind w:left="1170" w:right="0" w:firstLine="0"/>
      </w:pPr>
      <w:r w:rsidRPr="0024451B">
        <w:t>The assessment of whether a petitioner has a sufficiently definite, direct personal interest is to be made by the administrative courts.</w:t>
      </w:r>
      <w:r w:rsidRPr="0024451B">
        <w:rPr>
          <w:rStyle w:val="FootnoteReference"/>
        </w:rPr>
        <w:footnoteReference w:id="11"/>
      </w:r>
    </w:p>
    <w:p w14:paraId="238BBE6C" w14:textId="77777777" w:rsidR="00F6121E" w:rsidRPr="0024451B" w:rsidRDefault="00F6121E" w:rsidP="00B115DE">
      <w:pPr>
        <w:pStyle w:val="H1G"/>
        <w:tabs>
          <w:tab w:val="num" w:pos="1200"/>
        </w:tabs>
        <w:ind w:left="851" w:right="0" w:firstLine="0"/>
        <w:jc w:val="both"/>
      </w:pPr>
      <w:r w:rsidRPr="0024451B">
        <w:t>B.</w:t>
      </w:r>
      <w:r w:rsidRPr="0024451B">
        <w:tab/>
        <w:t>Facts</w:t>
      </w:r>
    </w:p>
    <w:p w14:paraId="4314FDA7" w14:textId="4403D5AB" w:rsidR="000C21CB" w:rsidRPr="0024451B" w:rsidRDefault="00F6121E" w:rsidP="006953AF">
      <w:pPr>
        <w:pStyle w:val="SingleTxtG"/>
        <w:numPr>
          <w:ilvl w:val="0"/>
          <w:numId w:val="3"/>
        </w:numPr>
        <w:tabs>
          <w:tab w:val="clear" w:pos="1711"/>
          <w:tab w:val="num" w:pos="1170"/>
        </w:tabs>
        <w:ind w:left="1170" w:right="0" w:firstLine="0"/>
      </w:pPr>
      <w:r w:rsidRPr="0024451B">
        <w:t xml:space="preserve"> </w:t>
      </w:r>
      <w:r w:rsidR="000C21CB" w:rsidRPr="0024451B">
        <w:t>On 30 June 2015</w:t>
      </w:r>
      <w:r w:rsidR="001915A1" w:rsidRPr="0024451B">
        <w:t>,</w:t>
      </w:r>
      <w:r w:rsidR="000C21CB" w:rsidRPr="0024451B">
        <w:t xml:space="preserve"> the Minister of Ecology, Sustainable Development and Energy issued a ministerial order implementing </w:t>
      </w:r>
      <w:r w:rsidR="003506B4" w:rsidRPr="0024451B">
        <w:t>a</w:t>
      </w:r>
      <w:r w:rsidR="000C21CB" w:rsidRPr="0024451B">
        <w:t xml:space="preserve">rticle R. 427-6 of the Environmental Code (see para. </w:t>
      </w:r>
      <w:r w:rsidR="000C21CB" w:rsidRPr="0024451B">
        <w:fldChar w:fldCharType="begin"/>
      </w:r>
      <w:r w:rsidR="000C21CB" w:rsidRPr="0024451B">
        <w:instrText xml:space="preserve"> REF _Ref15476501 \r \h </w:instrText>
      </w:r>
      <w:r w:rsidR="00823EC8" w:rsidRPr="0024451B">
        <w:instrText xml:space="preserve"> \* MERGEFORMAT </w:instrText>
      </w:r>
      <w:r w:rsidR="000C21CB" w:rsidRPr="0024451B">
        <w:fldChar w:fldCharType="separate"/>
      </w:r>
      <w:r w:rsidR="00451BCF">
        <w:rPr>
          <w:cs/>
        </w:rPr>
        <w:t>‎</w:t>
      </w:r>
      <w:r w:rsidR="00451BCF">
        <w:t>11</w:t>
      </w:r>
      <w:r w:rsidR="000C21CB" w:rsidRPr="0024451B">
        <w:fldChar w:fldCharType="end"/>
      </w:r>
      <w:r w:rsidR="000C21CB" w:rsidRPr="0024451B">
        <w:t xml:space="preserve"> above) and establishing a list of species of animals classified as pests, the periods stipulated for their destruction and the method of destruction to be us</w:t>
      </w:r>
      <w:r w:rsidR="00A64D70" w:rsidRPr="0024451B">
        <w:t xml:space="preserve">ed </w:t>
      </w:r>
      <w:r w:rsidR="00CD7934" w:rsidRPr="0024451B">
        <w:t>(</w:t>
      </w:r>
      <w:r w:rsidR="004648D4" w:rsidRPr="0024451B">
        <w:t xml:space="preserve">the </w:t>
      </w:r>
      <w:r w:rsidR="00CD7934" w:rsidRPr="0024451B">
        <w:t>2015 Order)</w:t>
      </w:r>
      <w:r w:rsidR="000C21CB" w:rsidRPr="0024451B">
        <w:t>.</w:t>
      </w:r>
      <w:r w:rsidR="000C21CB" w:rsidRPr="0024451B">
        <w:rPr>
          <w:rStyle w:val="FootnoteReference"/>
        </w:rPr>
        <w:footnoteReference w:id="12"/>
      </w:r>
    </w:p>
    <w:p w14:paraId="1753CBA5" w14:textId="0B424FAC" w:rsidR="00F6121E" w:rsidRPr="0024451B" w:rsidRDefault="00F6121E" w:rsidP="00B115DE">
      <w:pPr>
        <w:pStyle w:val="SingleTxtG"/>
        <w:numPr>
          <w:ilvl w:val="0"/>
          <w:numId w:val="3"/>
        </w:numPr>
        <w:tabs>
          <w:tab w:val="clear" w:pos="1711"/>
          <w:tab w:val="num" w:pos="1170"/>
        </w:tabs>
        <w:ind w:left="1170" w:right="0" w:firstLine="0"/>
      </w:pPr>
      <w:bookmarkStart w:id="6" w:name="_Ref16084119"/>
      <w:r w:rsidRPr="0024451B">
        <w:t>O</w:t>
      </w:r>
      <w:r w:rsidR="0039163E" w:rsidRPr="0024451B">
        <w:t>n 10 August 2015</w:t>
      </w:r>
      <w:r w:rsidR="004453A2" w:rsidRPr="0024451B">
        <w:t>,</w:t>
      </w:r>
      <w:r w:rsidR="0039163E" w:rsidRPr="0024451B">
        <w:t xml:space="preserve"> t</w:t>
      </w:r>
      <w:r w:rsidR="00685A1E" w:rsidRPr="0024451B">
        <w:t xml:space="preserve">he </w:t>
      </w:r>
      <w:r w:rsidR="00D054D6" w:rsidRPr="0024451B">
        <w:t>c</w:t>
      </w:r>
      <w:r w:rsidR="00685A1E" w:rsidRPr="0024451B">
        <w:t xml:space="preserve">ommunicant </w:t>
      </w:r>
      <w:r w:rsidR="0039163E" w:rsidRPr="0024451B">
        <w:t xml:space="preserve">filed a petition to the Conseil </w:t>
      </w:r>
      <w:proofErr w:type="spellStart"/>
      <w:r w:rsidR="0039163E" w:rsidRPr="0024451B">
        <w:t>d'</w:t>
      </w:r>
      <w:r w:rsidR="00696B24" w:rsidRPr="0024451B">
        <w:t>État</w:t>
      </w:r>
      <w:proofErr w:type="spellEnd"/>
      <w:r w:rsidR="0039163E" w:rsidRPr="0024451B">
        <w:t xml:space="preserve"> </w:t>
      </w:r>
      <w:r w:rsidR="002E7566" w:rsidRPr="0024451B">
        <w:t xml:space="preserve">requesting </w:t>
      </w:r>
      <w:r w:rsidR="008120F7" w:rsidRPr="0024451B">
        <w:t xml:space="preserve">the annulment of </w:t>
      </w:r>
      <w:r w:rsidR="000C21CB" w:rsidRPr="0024451B">
        <w:t>the</w:t>
      </w:r>
      <w:r w:rsidR="008120F7" w:rsidRPr="0024451B">
        <w:t xml:space="preserve"> </w:t>
      </w:r>
      <w:r w:rsidR="00CD7934" w:rsidRPr="0024451B">
        <w:t>2015 Order</w:t>
      </w:r>
      <w:r w:rsidR="008120F7" w:rsidRPr="0024451B">
        <w:t xml:space="preserve"> on the ground of</w:t>
      </w:r>
      <w:r w:rsidR="00D054D6" w:rsidRPr="0024451B">
        <w:t xml:space="preserve"> ultra vires.</w:t>
      </w:r>
      <w:r w:rsidR="004071D0" w:rsidRPr="0024451B">
        <w:rPr>
          <w:rStyle w:val="FootnoteReference"/>
        </w:rPr>
        <w:t xml:space="preserve"> </w:t>
      </w:r>
      <w:r w:rsidR="004071D0" w:rsidRPr="0024451B">
        <w:rPr>
          <w:rStyle w:val="FootnoteReference"/>
        </w:rPr>
        <w:footnoteReference w:id="13"/>
      </w:r>
      <w:r w:rsidR="008A513F" w:rsidRPr="0024451B">
        <w:t xml:space="preserve"> Specifically, t</w:t>
      </w:r>
      <w:r w:rsidR="00D054D6" w:rsidRPr="0024451B">
        <w:t xml:space="preserve">he </w:t>
      </w:r>
      <w:r w:rsidR="008A513F" w:rsidRPr="0024451B">
        <w:t xml:space="preserve">communicant </w:t>
      </w:r>
      <w:r w:rsidR="00A21EEE" w:rsidRPr="0024451B">
        <w:t>alleged</w:t>
      </w:r>
      <w:r w:rsidR="009E6455" w:rsidRPr="0024451B">
        <w:t xml:space="preserve"> </w:t>
      </w:r>
      <w:r w:rsidR="0028366D" w:rsidRPr="0024451B">
        <w:t xml:space="preserve">the </w:t>
      </w:r>
      <w:r w:rsidR="00D054D6" w:rsidRPr="0024451B">
        <w:t xml:space="preserve">infringement of </w:t>
      </w:r>
      <w:r w:rsidR="003506B4" w:rsidRPr="0024451B">
        <w:t>a</w:t>
      </w:r>
      <w:r w:rsidR="00A21EEE" w:rsidRPr="0024451B">
        <w:t xml:space="preserve">rticle 7 of the Charter for the Environment (see para. </w:t>
      </w:r>
      <w:r w:rsidR="00A21EEE" w:rsidRPr="0024451B">
        <w:fldChar w:fldCharType="begin"/>
      </w:r>
      <w:r w:rsidR="00A21EEE" w:rsidRPr="0024451B">
        <w:instrText xml:space="preserve"> REF _Ref15476011 \r \h </w:instrText>
      </w:r>
      <w:r w:rsidR="00823EC8" w:rsidRPr="0024451B">
        <w:instrText xml:space="preserve"> \* MERGEFORMAT </w:instrText>
      </w:r>
      <w:r w:rsidR="00A21EEE" w:rsidRPr="0024451B">
        <w:fldChar w:fldCharType="separate"/>
      </w:r>
      <w:r w:rsidR="00451BCF">
        <w:rPr>
          <w:cs/>
        </w:rPr>
        <w:t>‎</w:t>
      </w:r>
      <w:r w:rsidR="00451BCF">
        <w:t>12</w:t>
      </w:r>
      <w:r w:rsidR="00A21EEE" w:rsidRPr="0024451B">
        <w:fldChar w:fldCharType="end"/>
      </w:r>
      <w:r w:rsidR="00A21EEE" w:rsidRPr="0024451B">
        <w:t xml:space="preserve"> above)</w:t>
      </w:r>
      <w:r w:rsidR="00CD7934" w:rsidRPr="0024451B">
        <w:t xml:space="preserve"> because</w:t>
      </w:r>
      <w:r w:rsidR="00D054D6" w:rsidRPr="0024451B">
        <w:t xml:space="preserve"> the public consultation procedure</w:t>
      </w:r>
      <w:r w:rsidR="00606CFC" w:rsidRPr="0024451B">
        <w:t xml:space="preserve"> regarding the preparation of the 2015 Order,</w:t>
      </w:r>
      <w:r w:rsidR="00D054D6" w:rsidRPr="0024451B">
        <w:t xml:space="preserve"> organized </w:t>
      </w:r>
      <w:r w:rsidR="005300B5" w:rsidRPr="0024451B">
        <w:t>pursuant to</w:t>
      </w:r>
      <w:r w:rsidR="00D054D6" w:rsidRPr="0024451B">
        <w:t xml:space="preserve"> </w:t>
      </w:r>
      <w:r w:rsidR="003506B4" w:rsidRPr="0024451B">
        <w:t>a</w:t>
      </w:r>
      <w:r w:rsidR="005300B5" w:rsidRPr="0024451B">
        <w:t xml:space="preserve">rticle L. 120-1 of </w:t>
      </w:r>
      <w:r w:rsidR="00D054D6" w:rsidRPr="0024451B">
        <w:t>the Environmental Cod</w:t>
      </w:r>
      <w:r w:rsidR="005300B5" w:rsidRPr="0024451B">
        <w:t>e</w:t>
      </w:r>
      <w:r w:rsidR="009E6455" w:rsidRPr="0024451B">
        <w:t xml:space="preserve"> (see para. </w:t>
      </w:r>
      <w:r w:rsidR="009E6455" w:rsidRPr="0024451B">
        <w:fldChar w:fldCharType="begin"/>
      </w:r>
      <w:r w:rsidR="009E6455" w:rsidRPr="0024451B">
        <w:instrText xml:space="preserve"> REF _Ref15476895 \r \h </w:instrText>
      </w:r>
      <w:r w:rsidR="00823EC8" w:rsidRPr="0024451B">
        <w:instrText xml:space="preserve"> \* MERGEFORMAT </w:instrText>
      </w:r>
      <w:r w:rsidR="009E6455" w:rsidRPr="0024451B">
        <w:fldChar w:fldCharType="separate"/>
      </w:r>
      <w:r w:rsidR="00451BCF">
        <w:rPr>
          <w:cs/>
        </w:rPr>
        <w:t>‎</w:t>
      </w:r>
      <w:r w:rsidR="00451BCF">
        <w:t>13</w:t>
      </w:r>
      <w:r w:rsidR="009E6455" w:rsidRPr="0024451B">
        <w:fldChar w:fldCharType="end"/>
      </w:r>
      <w:r w:rsidR="009E6455" w:rsidRPr="0024451B">
        <w:t xml:space="preserve"> above)</w:t>
      </w:r>
      <w:r w:rsidR="00D054D6" w:rsidRPr="0024451B">
        <w:t xml:space="preserve"> and in which the communicant </w:t>
      </w:r>
      <w:r w:rsidR="009A0EEC" w:rsidRPr="0024451B">
        <w:t xml:space="preserve">personally </w:t>
      </w:r>
      <w:r w:rsidR="00D054D6" w:rsidRPr="0024451B">
        <w:t>took part</w:t>
      </w:r>
      <w:r w:rsidR="006B2152" w:rsidRPr="0024451B">
        <w:t>,</w:t>
      </w:r>
      <w:r w:rsidR="00D054D6" w:rsidRPr="0024451B">
        <w:t xml:space="preserve"> </w:t>
      </w:r>
      <w:r w:rsidR="00606CFC" w:rsidRPr="0024451B">
        <w:t>was defective</w:t>
      </w:r>
      <w:r w:rsidR="00D054D6" w:rsidRPr="0024451B">
        <w:t>.</w:t>
      </w:r>
      <w:r w:rsidR="00D054D6" w:rsidRPr="0024451B">
        <w:rPr>
          <w:rStyle w:val="FootnoteReference"/>
        </w:rPr>
        <w:footnoteReference w:id="14"/>
      </w:r>
      <w:r w:rsidR="00823EC8" w:rsidRPr="0024451B">
        <w:t xml:space="preserve"> The communicant also claimed that article R. 427-6 of the Environmental Code was insufficiently precise in that it </w:t>
      </w:r>
      <w:r w:rsidR="00606CFC" w:rsidRPr="0024451B">
        <w:t>failed</w:t>
      </w:r>
      <w:r w:rsidR="00823EC8" w:rsidRPr="0024451B">
        <w:t xml:space="preserve"> to provide the safeguards required for effective exercise of the right of public participation and fail</w:t>
      </w:r>
      <w:r w:rsidR="00606CFC" w:rsidRPr="0024451B">
        <w:t>ed</w:t>
      </w:r>
      <w:r w:rsidR="00823EC8" w:rsidRPr="0024451B">
        <w:t xml:space="preserve"> to comply with article 7 of the Charter for the Environment.</w:t>
      </w:r>
      <w:r w:rsidR="00823EC8" w:rsidRPr="0024451B">
        <w:rPr>
          <w:rStyle w:val="FootnoteReference"/>
        </w:rPr>
        <w:footnoteReference w:id="15"/>
      </w:r>
      <w:bookmarkEnd w:id="6"/>
    </w:p>
    <w:p w14:paraId="04B83E2E" w14:textId="7C684B57" w:rsidR="00F6121E" w:rsidRPr="0024451B" w:rsidRDefault="00F6121E" w:rsidP="00B115DE">
      <w:pPr>
        <w:pStyle w:val="SingleTxtG"/>
        <w:numPr>
          <w:ilvl w:val="0"/>
          <w:numId w:val="3"/>
        </w:numPr>
        <w:tabs>
          <w:tab w:val="clear" w:pos="1711"/>
          <w:tab w:val="num" w:pos="1170"/>
        </w:tabs>
        <w:ind w:left="1170" w:right="0" w:firstLine="0"/>
      </w:pPr>
      <w:r w:rsidRPr="0024451B">
        <w:t xml:space="preserve"> T</w:t>
      </w:r>
      <w:r w:rsidR="009A0EEC" w:rsidRPr="0024451B">
        <w:t>he communicant’s petition</w:t>
      </w:r>
      <w:r w:rsidR="00D054D6" w:rsidRPr="0024451B">
        <w:t xml:space="preserve"> asked the </w:t>
      </w:r>
      <w:r w:rsidR="00016262" w:rsidRPr="0024451B">
        <w:t xml:space="preserve">Conseil </w:t>
      </w:r>
      <w:proofErr w:type="spellStart"/>
      <w:r w:rsidR="00016262" w:rsidRPr="0024451B">
        <w:t>d’État</w:t>
      </w:r>
      <w:proofErr w:type="spellEnd"/>
      <w:r w:rsidR="004453A2" w:rsidRPr="0024451B">
        <w:t xml:space="preserve"> </w:t>
      </w:r>
      <w:r w:rsidR="00D054D6" w:rsidRPr="0024451B">
        <w:t xml:space="preserve">to refer the matter to the Constitutional Council for a priority preliminary ruling on the issue of whether </w:t>
      </w:r>
      <w:r w:rsidR="00752CC3" w:rsidRPr="0024451B">
        <w:t>a</w:t>
      </w:r>
      <w:r w:rsidR="00D054D6" w:rsidRPr="0024451B">
        <w:t xml:space="preserve">rticle L. 120-1 of the Environmental Code </w:t>
      </w:r>
      <w:r w:rsidR="00606CFC" w:rsidRPr="0024451B">
        <w:t>was</w:t>
      </w:r>
      <w:r w:rsidR="00D054D6" w:rsidRPr="0024451B">
        <w:t xml:space="preserve"> consistent with the requirements of </w:t>
      </w:r>
      <w:r w:rsidR="00823EC8" w:rsidRPr="0024451B">
        <w:t>a</w:t>
      </w:r>
      <w:r w:rsidR="00D054D6" w:rsidRPr="0024451B">
        <w:t>rticle 7 of the Charter for the Environment.</w:t>
      </w:r>
      <w:r w:rsidR="002E0B10" w:rsidRPr="0024451B">
        <w:rPr>
          <w:rStyle w:val="FootnoteReference"/>
        </w:rPr>
        <w:footnoteReference w:id="16"/>
      </w:r>
    </w:p>
    <w:p w14:paraId="2B3617E5" w14:textId="590A29FE" w:rsidR="00A02B40" w:rsidRPr="0024451B" w:rsidRDefault="00B71C0D" w:rsidP="006953AF">
      <w:pPr>
        <w:pStyle w:val="SingleTxtG"/>
        <w:numPr>
          <w:ilvl w:val="0"/>
          <w:numId w:val="3"/>
        </w:numPr>
        <w:tabs>
          <w:tab w:val="clear" w:pos="1711"/>
          <w:tab w:val="num" w:pos="1170"/>
        </w:tabs>
        <w:ind w:left="1170" w:right="0" w:firstLine="0"/>
      </w:pPr>
      <w:r w:rsidRPr="0024451B">
        <w:t>On 28 August 2015, t</w:t>
      </w:r>
      <w:r w:rsidR="00A02B40" w:rsidRPr="0024451B">
        <w:t xml:space="preserve">he Conseil </w:t>
      </w:r>
      <w:proofErr w:type="spellStart"/>
      <w:r w:rsidR="00A02B40" w:rsidRPr="0024451B">
        <w:t>d’État</w:t>
      </w:r>
      <w:proofErr w:type="spellEnd"/>
      <w:r w:rsidR="00A02B40" w:rsidRPr="0024451B">
        <w:t xml:space="preserve"> informed the parties that it might base its decision on a point of its own motion, namely that the communicant could not demonstrate an interest giving him standing to request </w:t>
      </w:r>
      <w:r w:rsidR="004453A2" w:rsidRPr="0024451B">
        <w:t xml:space="preserve">the </w:t>
      </w:r>
      <w:r w:rsidR="00A02B40" w:rsidRPr="0024451B">
        <w:t>annulment of the 2015 Order.</w:t>
      </w:r>
      <w:r w:rsidR="00A02B40" w:rsidRPr="0024451B">
        <w:rPr>
          <w:rStyle w:val="FootnoteReference"/>
        </w:rPr>
        <w:footnoteReference w:id="17"/>
      </w:r>
    </w:p>
    <w:p w14:paraId="553F73F9" w14:textId="32145267" w:rsidR="00FF4002" w:rsidRPr="0024451B" w:rsidRDefault="00FF4002" w:rsidP="006953AF">
      <w:pPr>
        <w:pStyle w:val="SingleTxtG"/>
        <w:numPr>
          <w:ilvl w:val="0"/>
          <w:numId w:val="3"/>
        </w:numPr>
        <w:tabs>
          <w:tab w:val="clear" w:pos="1711"/>
          <w:tab w:val="num" w:pos="1170"/>
        </w:tabs>
        <w:ind w:left="1170" w:right="0" w:firstLine="0"/>
      </w:pPr>
      <w:bookmarkStart w:id="7" w:name="_Ref19191638"/>
      <w:r w:rsidRPr="0024451B">
        <w:t xml:space="preserve">On 7 September 2015, the communicant submitted a statement </w:t>
      </w:r>
      <w:r w:rsidR="000F257B" w:rsidRPr="0024451B">
        <w:t xml:space="preserve">to the Conseil </w:t>
      </w:r>
      <w:proofErr w:type="spellStart"/>
      <w:r w:rsidR="000F257B" w:rsidRPr="0024451B">
        <w:t>d’État</w:t>
      </w:r>
      <w:proofErr w:type="spellEnd"/>
      <w:r w:rsidR="000F257B" w:rsidRPr="0024451B">
        <w:t xml:space="preserve"> </w:t>
      </w:r>
      <w:r w:rsidRPr="0024451B">
        <w:t xml:space="preserve">in which he claimed to have an interest in requesting the annulment of the 2015 Order for three reasons. Firstly, article 7 of the Charter </w:t>
      </w:r>
      <w:r w:rsidR="002B711E" w:rsidRPr="0024451B">
        <w:t>for</w:t>
      </w:r>
      <w:r w:rsidRPr="0024451B">
        <w:t xml:space="preserve"> the Environment and article 9 of the Convention </w:t>
      </w:r>
      <w:r w:rsidR="000F257B" w:rsidRPr="0024451B">
        <w:t>mean that everyone has the right to</w:t>
      </w:r>
      <w:r w:rsidRPr="0024451B">
        <w:t xml:space="preserve"> </w:t>
      </w:r>
      <w:r w:rsidR="002B711E" w:rsidRPr="0024451B">
        <w:t xml:space="preserve">participate in, and </w:t>
      </w:r>
      <w:r w:rsidRPr="0024451B">
        <w:t>initiate proceedings against</w:t>
      </w:r>
      <w:r w:rsidR="002B711E" w:rsidRPr="0024451B">
        <w:t>,</w:t>
      </w:r>
      <w:r w:rsidRPr="0024451B">
        <w:t xml:space="preserve"> decisions that affect the environment. Secondly, he </w:t>
      </w:r>
      <w:r w:rsidR="000F257B" w:rsidRPr="0024451B">
        <w:t>participated in the public participation procedure</w:t>
      </w:r>
      <w:r w:rsidRPr="0024451B">
        <w:t xml:space="preserve"> during the preparation of the 2015 Order. Thirdly, he has a long-standing personal interest in wildlife and its preservation, has held responsible posts in several </w:t>
      </w:r>
      <w:r w:rsidR="001915A1" w:rsidRPr="0024451B">
        <w:t xml:space="preserve">nature protection </w:t>
      </w:r>
      <w:r w:rsidRPr="0024451B">
        <w:t>associations engaged in this area and has published numerous articles on the subject.</w:t>
      </w:r>
      <w:r w:rsidRPr="0024451B">
        <w:rPr>
          <w:rStyle w:val="FootnoteReference"/>
        </w:rPr>
        <w:footnoteReference w:id="18"/>
      </w:r>
      <w:bookmarkEnd w:id="7"/>
    </w:p>
    <w:p w14:paraId="7E50F1BE" w14:textId="0D990B9E" w:rsidR="00FF4002" w:rsidRPr="0024451B" w:rsidRDefault="00F6121E" w:rsidP="006953AF">
      <w:pPr>
        <w:pStyle w:val="SingleTxtG"/>
        <w:numPr>
          <w:ilvl w:val="0"/>
          <w:numId w:val="3"/>
        </w:numPr>
        <w:tabs>
          <w:tab w:val="clear" w:pos="1711"/>
          <w:tab w:val="num" w:pos="1170"/>
        </w:tabs>
        <w:ind w:left="1170" w:right="0" w:firstLine="0"/>
      </w:pPr>
      <w:r w:rsidRPr="0024451B">
        <w:t xml:space="preserve"> </w:t>
      </w:r>
      <w:r w:rsidR="00FF4002" w:rsidRPr="0024451B">
        <w:t>On 6 October</w:t>
      </w:r>
      <w:r w:rsidR="000F257B" w:rsidRPr="0024451B">
        <w:t xml:space="preserve"> 2015</w:t>
      </w:r>
      <w:r w:rsidR="00FF4002" w:rsidRPr="0024451B">
        <w:t>, the Ministry of Ecology, Sustainable Development and Energy</w:t>
      </w:r>
      <w:r w:rsidR="000F257B" w:rsidRPr="0024451B">
        <w:t xml:space="preserve"> presented its submissions, contending</w:t>
      </w:r>
      <w:r w:rsidR="00FF4002" w:rsidRPr="0024451B">
        <w:t xml:space="preserve"> that the petition was inadmissible because the communicant </w:t>
      </w:r>
      <w:r w:rsidR="000F257B" w:rsidRPr="0024451B">
        <w:t xml:space="preserve">had </w:t>
      </w:r>
      <w:r w:rsidR="00FF4002" w:rsidRPr="0024451B">
        <w:t>failed to demonstrate a personal interest in contesting the 2015 Order.</w:t>
      </w:r>
      <w:r w:rsidR="00FF4002" w:rsidRPr="0024451B">
        <w:rPr>
          <w:rStyle w:val="FootnoteReference"/>
        </w:rPr>
        <w:footnoteReference w:id="19"/>
      </w:r>
    </w:p>
    <w:p w14:paraId="02570182" w14:textId="0EC35C4A" w:rsidR="00F6121E" w:rsidRPr="0024451B" w:rsidRDefault="00F6121E" w:rsidP="00B115DE">
      <w:pPr>
        <w:pStyle w:val="SingleTxtG"/>
        <w:numPr>
          <w:ilvl w:val="0"/>
          <w:numId w:val="3"/>
        </w:numPr>
        <w:tabs>
          <w:tab w:val="clear" w:pos="1711"/>
          <w:tab w:val="num" w:pos="1170"/>
        </w:tabs>
        <w:ind w:left="1170" w:right="0" w:firstLine="0"/>
      </w:pPr>
      <w:bookmarkStart w:id="8" w:name="_Ref16084133"/>
      <w:r w:rsidRPr="0024451B">
        <w:lastRenderedPageBreak/>
        <w:t>B</w:t>
      </w:r>
      <w:r w:rsidR="00D054D6" w:rsidRPr="0024451B">
        <w:t xml:space="preserve">y </w:t>
      </w:r>
      <w:r w:rsidR="008120F7" w:rsidRPr="0024451B">
        <w:t xml:space="preserve">decision no. 392550 </w:t>
      </w:r>
      <w:r w:rsidR="00D054D6" w:rsidRPr="0024451B">
        <w:t>of 23 October 2015</w:t>
      </w:r>
      <w:r w:rsidR="006B2152" w:rsidRPr="0024451B">
        <w:t xml:space="preserve">, </w:t>
      </w:r>
      <w:r w:rsidR="008120F7" w:rsidRPr="0024451B">
        <w:t xml:space="preserve">the </w:t>
      </w:r>
      <w:r w:rsidR="00016262" w:rsidRPr="0024451B">
        <w:t xml:space="preserve">Conseil </w:t>
      </w:r>
      <w:proofErr w:type="spellStart"/>
      <w:r w:rsidR="00016262" w:rsidRPr="0024451B">
        <w:t>d’État</w:t>
      </w:r>
      <w:proofErr w:type="spellEnd"/>
      <w:r w:rsidR="008120F7" w:rsidRPr="0024451B">
        <w:t xml:space="preserve"> </w:t>
      </w:r>
      <w:r w:rsidR="000016D4" w:rsidRPr="0024451B">
        <w:t>found the communicant’s petition inadmissible</w:t>
      </w:r>
      <w:r w:rsidR="00D054D6" w:rsidRPr="0024451B">
        <w:t xml:space="preserve"> </w:t>
      </w:r>
      <w:r w:rsidR="00FF4002" w:rsidRPr="0024451B">
        <w:t xml:space="preserve">for </w:t>
      </w:r>
      <w:r w:rsidR="002E0B10" w:rsidRPr="0024451B">
        <w:t>lack</w:t>
      </w:r>
      <w:r w:rsidR="00FF4002" w:rsidRPr="0024451B">
        <w:t xml:space="preserve"> of</w:t>
      </w:r>
      <w:r w:rsidR="002E0B10" w:rsidRPr="0024451B">
        <w:t xml:space="preserve"> standin</w:t>
      </w:r>
      <w:r w:rsidR="000F257B" w:rsidRPr="0024451B">
        <w:t xml:space="preserve">g on the ground that the </w:t>
      </w:r>
      <w:r w:rsidR="000016D4" w:rsidRPr="0024451B">
        <w:t xml:space="preserve">communicant </w:t>
      </w:r>
      <w:r w:rsidR="000F257B" w:rsidRPr="0024451B">
        <w:t xml:space="preserve">had </w:t>
      </w:r>
      <w:r w:rsidR="002E0B10" w:rsidRPr="0024451B">
        <w:t>failed to demonstrate</w:t>
      </w:r>
      <w:r w:rsidR="00D054D6" w:rsidRPr="0024451B">
        <w:t xml:space="preserve"> a definite, direct personal interest in the annulment of the </w:t>
      </w:r>
      <w:r w:rsidR="002F670A" w:rsidRPr="0024451B">
        <w:t>2015</w:t>
      </w:r>
      <w:r w:rsidR="00D054D6" w:rsidRPr="0024451B">
        <w:t xml:space="preserve"> Order.</w:t>
      </w:r>
      <w:r w:rsidR="008120F7" w:rsidRPr="0024451B">
        <w:rPr>
          <w:rStyle w:val="FootnoteReference"/>
        </w:rPr>
        <w:footnoteReference w:id="20"/>
      </w:r>
      <w:bookmarkEnd w:id="8"/>
    </w:p>
    <w:p w14:paraId="5EE198E3" w14:textId="77777777" w:rsidR="00F6121E" w:rsidRPr="0024451B" w:rsidRDefault="00F6121E" w:rsidP="00B115DE">
      <w:pPr>
        <w:pStyle w:val="H1G"/>
        <w:tabs>
          <w:tab w:val="num" w:pos="1200"/>
        </w:tabs>
        <w:ind w:left="851" w:right="0" w:firstLine="0"/>
        <w:jc w:val="both"/>
      </w:pPr>
      <w:r w:rsidRPr="0024451B">
        <w:t>C.</w:t>
      </w:r>
      <w:r w:rsidRPr="0024451B">
        <w:tab/>
        <w:t xml:space="preserve">Admissibility </w:t>
      </w:r>
    </w:p>
    <w:p w14:paraId="0FB3334F" w14:textId="7AC925F6" w:rsidR="00F6121E" w:rsidRPr="0024451B" w:rsidRDefault="00F6121E" w:rsidP="00B115DE">
      <w:pPr>
        <w:pStyle w:val="SingleTxtG"/>
        <w:numPr>
          <w:ilvl w:val="0"/>
          <w:numId w:val="3"/>
        </w:numPr>
        <w:tabs>
          <w:tab w:val="clear" w:pos="1711"/>
          <w:tab w:val="num" w:pos="1170"/>
        </w:tabs>
        <w:ind w:left="1170" w:right="0" w:firstLine="0"/>
      </w:pPr>
      <w:r w:rsidRPr="0024451B">
        <w:t>T</w:t>
      </w:r>
      <w:r w:rsidR="006A648B" w:rsidRPr="0024451B">
        <w:t xml:space="preserve">he Party concerned challenges the admissibility of the communication </w:t>
      </w:r>
      <w:r w:rsidR="004E1AB8" w:rsidRPr="0024451B">
        <w:t>for two reasons. F</w:t>
      </w:r>
      <w:r w:rsidR="00791E57" w:rsidRPr="0024451B">
        <w:t>irstly</w:t>
      </w:r>
      <w:r w:rsidR="00823EC8" w:rsidRPr="0024451B">
        <w:t>,</w:t>
      </w:r>
      <w:r w:rsidR="00791E57" w:rsidRPr="0024451B">
        <w:t xml:space="preserve"> the </w:t>
      </w:r>
      <w:r w:rsidR="00D30D48" w:rsidRPr="0024451B">
        <w:t>Party concerned submits that the 2015 Order</w:t>
      </w:r>
      <w:r w:rsidR="00791E57" w:rsidRPr="0024451B">
        <w:t xml:space="preserve"> </w:t>
      </w:r>
      <w:r w:rsidR="00743E8D" w:rsidRPr="0024451B">
        <w:t xml:space="preserve">falls outsider article 9(2) of the Convention because it </w:t>
      </w:r>
      <w:r w:rsidR="00791E57" w:rsidRPr="0024451B">
        <w:t>does not concern matters within the scope of article 6</w:t>
      </w:r>
      <w:r w:rsidR="00D30D48" w:rsidRPr="0024451B">
        <w:t xml:space="preserve">. </w:t>
      </w:r>
      <w:r w:rsidR="00E95532" w:rsidRPr="0024451B">
        <w:t xml:space="preserve">Secondly, </w:t>
      </w:r>
      <w:r w:rsidR="00743E8D" w:rsidRPr="0024451B">
        <w:t xml:space="preserve">it </w:t>
      </w:r>
      <w:r w:rsidR="00D30D48" w:rsidRPr="0024451B">
        <w:t>submits</w:t>
      </w:r>
      <w:r w:rsidR="00E95532" w:rsidRPr="0024451B">
        <w:t xml:space="preserve"> that the criteria for standing </w:t>
      </w:r>
      <w:r w:rsidR="00D30D48" w:rsidRPr="0024451B">
        <w:t xml:space="preserve">in its administrative case law </w:t>
      </w:r>
      <w:r w:rsidR="00E95532" w:rsidRPr="0024451B">
        <w:t>are objective and in full accordance with the spirit of article 9</w:t>
      </w:r>
      <w:r w:rsidR="00D30D48" w:rsidRPr="0024451B">
        <w:t>(</w:t>
      </w:r>
      <w:r w:rsidR="00E95532" w:rsidRPr="0024451B">
        <w:t>2</w:t>
      </w:r>
      <w:r w:rsidR="00D30D48" w:rsidRPr="0024451B">
        <w:t>)</w:t>
      </w:r>
      <w:r w:rsidR="00E95532" w:rsidRPr="0024451B">
        <w:t>.</w:t>
      </w:r>
      <w:r w:rsidR="00791E57" w:rsidRPr="0024451B">
        <w:rPr>
          <w:rStyle w:val="FootnoteReference"/>
        </w:rPr>
        <w:footnoteReference w:id="21"/>
      </w:r>
    </w:p>
    <w:p w14:paraId="68C404F6" w14:textId="43F6F303" w:rsidR="00C35F0E" w:rsidRPr="0024451B" w:rsidRDefault="00F6121E" w:rsidP="00B115DE">
      <w:pPr>
        <w:pStyle w:val="SingleTxtG"/>
        <w:numPr>
          <w:ilvl w:val="0"/>
          <w:numId w:val="3"/>
        </w:numPr>
        <w:tabs>
          <w:tab w:val="clear" w:pos="1711"/>
          <w:tab w:val="num" w:pos="1170"/>
        </w:tabs>
        <w:ind w:left="1170" w:right="0" w:firstLine="0"/>
        <w:rPr>
          <w:bCs/>
          <w:iCs/>
        </w:rPr>
      </w:pPr>
      <w:r w:rsidRPr="0024451B">
        <w:t xml:space="preserve"> T</w:t>
      </w:r>
      <w:r w:rsidR="009A0EEC" w:rsidRPr="0024451B">
        <w:t xml:space="preserve">he communicant </w:t>
      </w:r>
      <w:r w:rsidR="005312D1" w:rsidRPr="0024451B">
        <w:t>does</w:t>
      </w:r>
      <w:r w:rsidR="009A0EEC" w:rsidRPr="0024451B">
        <w:t xml:space="preserve"> not make any submissions concerning the admissibility of his communication nor reply to the submissions </w:t>
      </w:r>
      <w:r w:rsidR="00880F98" w:rsidRPr="0024451B">
        <w:t>of</w:t>
      </w:r>
      <w:r w:rsidR="009A0EEC" w:rsidRPr="0024451B">
        <w:t xml:space="preserve"> the Party concerned on this point.</w:t>
      </w:r>
    </w:p>
    <w:p w14:paraId="42FF321A" w14:textId="77777777" w:rsidR="00C35F0E" w:rsidRPr="0024451B" w:rsidRDefault="00C35F0E" w:rsidP="00C35F0E">
      <w:pPr>
        <w:pStyle w:val="H1G"/>
        <w:tabs>
          <w:tab w:val="num" w:pos="1200"/>
        </w:tabs>
        <w:ind w:left="1200" w:right="0" w:hanging="525"/>
        <w:jc w:val="both"/>
      </w:pPr>
      <w:r w:rsidRPr="0024451B">
        <w:t>D.</w:t>
      </w:r>
      <w:r w:rsidRPr="0024451B">
        <w:tab/>
        <w:t>Substantive issues</w:t>
      </w:r>
    </w:p>
    <w:p w14:paraId="5331D607" w14:textId="1E448CEA" w:rsidR="00C35F0E" w:rsidRPr="0024451B" w:rsidRDefault="005D0025" w:rsidP="005D0025">
      <w:pPr>
        <w:pStyle w:val="SingleTxtG"/>
        <w:tabs>
          <w:tab w:val="num" w:pos="1134"/>
        </w:tabs>
        <w:ind w:left="1100" w:firstLine="34"/>
        <w:rPr>
          <w:b/>
        </w:rPr>
      </w:pPr>
      <w:r w:rsidRPr="0024451B">
        <w:rPr>
          <w:b/>
        </w:rPr>
        <w:t xml:space="preserve"> </w:t>
      </w:r>
      <w:r w:rsidR="00C35F0E" w:rsidRPr="0024451B">
        <w:rPr>
          <w:b/>
        </w:rPr>
        <w:t xml:space="preserve">Applicability of articles 6, 7 and 8 </w:t>
      </w:r>
    </w:p>
    <w:p w14:paraId="39ECA86E" w14:textId="74C17EA2" w:rsidR="00C35F0E" w:rsidRPr="0024451B" w:rsidRDefault="00C35F0E" w:rsidP="005D0025">
      <w:pPr>
        <w:pStyle w:val="SingleTxtG"/>
        <w:numPr>
          <w:ilvl w:val="0"/>
          <w:numId w:val="3"/>
        </w:numPr>
        <w:tabs>
          <w:tab w:val="clear" w:pos="1711"/>
          <w:tab w:val="num" w:pos="1134"/>
        </w:tabs>
        <w:ind w:left="1170" w:right="0" w:firstLine="34"/>
        <w:rPr>
          <w:bCs/>
          <w:iCs/>
        </w:rPr>
      </w:pPr>
      <w:r w:rsidRPr="0024451B">
        <w:rPr>
          <w:bCs/>
          <w:iCs/>
        </w:rPr>
        <w:t xml:space="preserve"> </w:t>
      </w:r>
      <w:bookmarkStart w:id="9" w:name="_Ref16068227"/>
      <w:r w:rsidRPr="0024451B">
        <w:rPr>
          <w:bCs/>
          <w:iCs/>
        </w:rPr>
        <w:t>Th</w:t>
      </w:r>
      <w:r w:rsidR="00140824" w:rsidRPr="0024451B">
        <w:rPr>
          <w:bCs/>
          <w:iCs/>
        </w:rPr>
        <w:t>e communicant a</w:t>
      </w:r>
      <w:r w:rsidR="00012044" w:rsidRPr="0024451B">
        <w:rPr>
          <w:bCs/>
          <w:iCs/>
        </w:rPr>
        <w:t>sserts</w:t>
      </w:r>
      <w:r w:rsidR="00140824" w:rsidRPr="0024451B">
        <w:rPr>
          <w:bCs/>
          <w:iCs/>
        </w:rPr>
        <w:t xml:space="preserve"> that the </w:t>
      </w:r>
      <w:r w:rsidR="00FD17FD" w:rsidRPr="0024451B">
        <w:rPr>
          <w:bCs/>
          <w:iCs/>
        </w:rPr>
        <w:t>2015 Order</w:t>
      </w:r>
      <w:r w:rsidR="002B603E" w:rsidRPr="0024451B">
        <w:rPr>
          <w:bCs/>
          <w:iCs/>
        </w:rPr>
        <w:t xml:space="preserve"> </w:t>
      </w:r>
      <w:r w:rsidR="00140824" w:rsidRPr="0024451B">
        <w:rPr>
          <w:bCs/>
          <w:iCs/>
        </w:rPr>
        <w:t>is covered by articles 6</w:t>
      </w:r>
      <w:r w:rsidR="00743E8D" w:rsidRPr="0024451B">
        <w:rPr>
          <w:bCs/>
          <w:iCs/>
        </w:rPr>
        <w:t xml:space="preserve"> to </w:t>
      </w:r>
      <w:r w:rsidR="00140824" w:rsidRPr="0024451B">
        <w:rPr>
          <w:bCs/>
          <w:iCs/>
        </w:rPr>
        <w:t>8</w:t>
      </w:r>
      <w:r w:rsidR="00743E8D" w:rsidRPr="0024451B">
        <w:rPr>
          <w:bCs/>
          <w:iCs/>
        </w:rPr>
        <w:t xml:space="preserve"> of the Convention</w:t>
      </w:r>
      <w:r w:rsidR="00651ADE" w:rsidRPr="0024451B">
        <w:rPr>
          <w:bCs/>
          <w:iCs/>
        </w:rPr>
        <w:t xml:space="preserve">, </w:t>
      </w:r>
      <w:r w:rsidR="00743E8D" w:rsidRPr="0024451B">
        <w:rPr>
          <w:bCs/>
          <w:iCs/>
        </w:rPr>
        <w:t>though he does not further</w:t>
      </w:r>
      <w:r w:rsidR="00651ADE" w:rsidRPr="0024451B">
        <w:rPr>
          <w:bCs/>
          <w:iCs/>
        </w:rPr>
        <w:t xml:space="preserve"> </w:t>
      </w:r>
      <w:r w:rsidR="00743E8D" w:rsidRPr="0024451B">
        <w:rPr>
          <w:bCs/>
          <w:iCs/>
        </w:rPr>
        <w:t>substantiate this assertion</w:t>
      </w:r>
      <w:r w:rsidR="00012044" w:rsidRPr="0024451B">
        <w:rPr>
          <w:bCs/>
          <w:iCs/>
        </w:rPr>
        <w:t>.</w:t>
      </w:r>
      <w:r w:rsidR="00140824" w:rsidRPr="0024451B">
        <w:rPr>
          <w:rStyle w:val="FootnoteReference"/>
        </w:rPr>
        <w:footnoteReference w:id="22"/>
      </w:r>
      <w:bookmarkEnd w:id="9"/>
    </w:p>
    <w:p w14:paraId="47064E4A" w14:textId="2581F1DE" w:rsidR="00C35F0E" w:rsidRPr="0024451B" w:rsidRDefault="00C35F0E" w:rsidP="005D0025">
      <w:pPr>
        <w:pStyle w:val="SingleTxtG"/>
        <w:numPr>
          <w:ilvl w:val="0"/>
          <w:numId w:val="3"/>
        </w:numPr>
        <w:tabs>
          <w:tab w:val="clear" w:pos="1711"/>
          <w:tab w:val="num" w:pos="1134"/>
        </w:tabs>
        <w:ind w:left="1170" w:right="0" w:firstLine="34"/>
        <w:rPr>
          <w:bCs/>
          <w:iCs/>
        </w:rPr>
      </w:pPr>
      <w:r w:rsidRPr="0024451B">
        <w:rPr>
          <w:bCs/>
          <w:iCs/>
        </w:rPr>
        <w:t xml:space="preserve"> T</w:t>
      </w:r>
      <w:r w:rsidR="00012044" w:rsidRPr="0024451B">
        <w:rPr>
          <w:bCs/>
          <w:iCs/>
        </w:rPr>
        <w:t xml:space="preserve">he Party concerned </w:t>
      </w:r>
      <w:r w:rsidR="00E62BFB" w:rsidRPr="0024451B">
        <w:rPr>
          <w:bCs/>
          <w:iCs/>
        </w:rPr>
        <w:t>state</w:t>
      </w:r>
      <w:r w:rsidR="002B603E" w:rsidRPr="0024451B">
        <w:rPr>
          <w:bCs/>
          <w:iCs/>
        </w:rPr>
        <w:t>s</w:t>
      </w:r>
      <w:r w:rsidR="00012044" w:rsidRPr="0024451B">
        <w:rPr>
          <w:bCs/>
          <w:iCs/>
        </w:rPr>
        <w:t xml:space="preserve"> that the </w:t>
      </w:r>
      <w:r w:rsidR="00E62BFB" w:rsidRPr="0024451B">
        <w:rPr>
          <w:bCs/>
          <w:iCs/>
        </w:rPr>
        <w:t>2015 Order</w:t>
      </w:r>
      <w:r w:rsidR="00012044" w:rsidRPr="0024451B">
        <w:rPr>
          <w:bCs/>
          <w:iCs/>
        </w:rPr>
        <w:t xml:space="preserve"> </w:t>
      </w:r>
      <w:r w:rsidR="003F45F3" w:rsidRPr="0024451B">
        <w:rPr>
          <w:bCs/>
          <w:iCs/>
        </w:rPr>
        <w:t xml:space="preserve">is not an administrative decision permitting </w:t>
      </w:r>
      <w:r w:rsidR="00743E8D" w:rsidRPr="0024451B">
        <w:rPr>
          <w:bCs/>
          <w:iCs/>
        </w:rPr>
        <w:t xml:space="preserve">an activity </w:t>
      </w:r>
      <w:r w:rsidR="00012044" w:rsidRPr="0024451B">
        <w:rPr>
          <w:bCs/>
          <w:iCs/>
        </w:rPr>
        <w:t>within the scope of article 6</w:t>
      </w:r>
      <w:r w:rsidR="002B603E" w:rsidRPr="0024451B">
        <w:rPr>
          <w:bCs/>
          <w:iCs/>
        </w:rPr>
        <w:t>. It submits</w:t>
      </w:r>
      <w:r w:rsidR="00815AA6" w:rsidRPr="0024451B">
        <w:rPr>
          <w:bCs/>
          <w:iCs/>
        </w:rPr>
        <w:t xml:space="preserve"> </w:t>
      </w:r>
      <w:r w:rsidR="002B603E" w:rsidRPr="0024451B">
        <w:rPr>
          <w:bCs/>
          <w:iCs/>
        </w:rPr>
        <w:t xml:space="preserve">that the </w:t>
      </w:r>
      <w:r w:rsidR="00743E8D" w:rsidRPr="0024451B">
        <w:rPr>
          <w:bCs/>
          <w:iCs/>
        </w:rPr>
        <w:t>O</w:t>
      </w:r>
      <w:r w:rsidR="002B603E" w:rsidRPr="0024451B">
        <w:rPr>
          <w:bCs/>
          <w:iCs/>
        </w:rPr>
        <w:t xml:space="preserve">rder </w:t>
      </w:r>
      <w:r w:rsidR="001866F9" w:rsidRPr="0024451B">
        <w:rPr>
          <w:bCs/>
          <w:iCs/>
        </w:rPr>
        <w:t xml:space="preserve">instead </w:t>
      </w:r>
      <w:r w:rsidR="00743E8D" w:rsidRPr="0024451B">
        <w:rPr>
          <w:bCs/>
          <w:iCs/>
        </w:rPr>
        <w:t xml:space="preserve">frames </w:t>
      </w:r>
      <w:r w:rsidR="001E5E6C" w:rsidRPr="0024451B">
        <w:rPr>
          <w:bCs/>
          <w:iCs/>
        </w:rPr>
        <w:t xml:space="preserve">a regulatory mechanism to control animal species classified as pests </w:t>
      </w:r>
      <w:r w:rsidR="003F45F3" w:rsidRPr="0024451B">
        <w:rPr>
          <w:bCs/>
          <w:iCs/>
        </w:rPr>
        <w:t>found in mainland France</w:t>
      </w:r>
      <w:r w:rsidR="001E5E6C" w:rsidRPr="0024451B">
        <w:rPr>
          <w:bCs/>
          <w:iCs/>
        </w:rPr>
        <w:t xml:space="preserve"> </w:t>
      </w:r>
      <w:r w:rsidR="003F45F3" w:rsidRPr="0024451B">
        <w:rPr>
          <w:bCs/>
          <w:iCs/>
        </w:rPr>
        <w:t>and</w:t>
      </w:r>
      <w:r w:rsidR="001E5E6C" w:rsidRPr="0024451B">
        <w:rPr>
          <w:bCs/>
          <w:iCs/>
        </w:rPr>
        <w:t xml:space="preserve"> </w:t>
      </w:r>
      <w:r w:rsidR="002B603E" w:rsidRPr="0024451B">
        <w:rPr>
          <w:bCs/>
          <w:iCs/>
        </w:rPr>
        <w:t xml:space="preserve">therefore </w:t>
      </w:r>
      <w:r w:rsidRPr="0024451B">
        <w:rPr>
          <w:bCs/>
          <w:iCs/>
        </w:rPr>
        <w:t>falls under</w:t>
      </w:r>
      <w:r w:rsidR="001E5E6C" w:rsidRPr="0024451B">
        <w:rPr>
          <w:bCs/>
          <w:iCs/>
        </w:rPr>
        <w:t xml:space="preserve"> article 8</w:t>
      </w:r>
      <w:r w:rsidR="00815AA6" w:rsidRPr="0024451B">
        <w:rPr>
          <w:bCs/>
          <w:iCs/>
        </w:rPr>
        <w:t xml:space="preserve"> of Convention</w:t>
      </w:r>
      <w:r w:rsidR="001E5E6C" w:rsidRPr="0024451B">
        <w:rPr>
          <w:bCs/>
          <w:iCs/>
        </w:rPr>
        <w:t>.</w:t>
      </w:r>
      <w:r w:rsidR="001E5E6C" w:rsidRPr="0024451B">
        <w:rPr>
          <w:rStyle w:val="FootnoteReference"/>
          <w:bCs/>
          <w:iCs/>
        </w:rPr>
        <w:footnoteReference w:id="23"/>
      </w:r>
    </w:p>
    <w:p w14:paraId="57F64DEA" w14:textId="5C7353FC" w:rsidR="00C35F0E" w:rsidRPr="0024451B" w:rsidRDefault="005D0025" w:rsidP="005D0025">
      <w:pPr>
        <w:pStyle w:val="SingleTxtG"/>
        <w:tabs>
          <w:tab w:val="num" w:pos="1134"/>
        </w:tabs>
        <w:ind w:left="1100" w:hanging="107"/>
        <w:rPr>
          <w:b/>
        </w:rPr>
      </w:pPr>
      <w:r w:rsidRPr="0024451B">
        <w:rPr>
          <w:b/>
        </w:rPr>
        <w:t xml:space="preserve">    </w:t>
      </w:r>
      <w:r w:rsidR="00C35F0E" w:rsidRPr="0024451B">
        <w:rPr>
          <w:b/>
        </w:rPr>
        <w:t>Article 9(2)</w:t>
      </w:r>
    </w:p>
    <w:p w14:paraId="1F17EC77" w14:textId="6EB32E0C" w:rsidR="00C35F0E" w:rsidRPr="0024451B" w:rsidRDefault="00C35F0E" w:rsidP="005D0025">
      <w:pPr>
        <w:pStyle w:val="SingleTxtG"/>
        <w:numPr>
          <w:ilvl w:val="0"/>
          <w:numId w:val="3"/>
        </w:numPr>
        <w:tabs>
          <w:tab w:val="clear" w:pos="1711"/>
          <w:tab w:val="num" w:pos="1134"/>
        </w:tabs>
        <w:ind w:left="1170" w:right="0" w:firstLine="34"/>
        <w:rPr>
          <w:bCs/>
          <w:iCs/>
        </w:rPr>
      </w:pPr>
      <w:r w:rsidRPr="0024451B">
        <w:rPr>
          <w:bCs/>
          <w:iCs/>
        </w:rPr>
        <w:t xml:space="preserve"> T</w:t>
      </w:r>
      <w:r w:rsidR="002B603E" w:rsidRPr="0024451B">
        <w:rPr>
          <w:bCs/>
          <w:iCs/>
        </w:rPr>
        <w:t xml:space="preserve">he communicant </w:t>
      </w:r>
      <w:r w:rsidR="001740AA" w:rsidRPr="0024451B">
        <w:rPr>
          <w:bCs/>
          <w:iCs/>
        </w:rPr>
        <w:t>submit</w:t>
      </w:r>
      <w:r w:rsidR="002B603E" w:rsidRPr="0024451B">
        <w:rPr>
          <w:bCs/>
          <w:iCs/>
        </w:rPr>
        <w:t xml:space="preserve">s that his communication </w:t>
      </w:r>
      <w:r w:rsidR="00F1551C" w:rsidRPr="0024451B">
        <w:rPr>
          <w:bCs/>
          <w:iCs/>
        </w:rPr>
        <w:t xml:space="preserve">exclusively concerns </w:t>
      </w:r>
      <w:r w:rsidR="00563248" w:rsidRPr="0024451B">
        <w:rPr>
          <w:bCs/>
          <w:iCs/>
        </w:rPr>
        <w:t xml:space="preserve">compliance with article 9(2) </w:t>
      </w:r>
      <w:r w:rsidR="00803061" w:rsidRPr="0024451B">
        <w:rPr>
          <w:bCs/>
          <w:iCs/>
        </w:rPr>
        <w:t>of the Convention</w:t>
      </w:r>
      <w:r w:rsidR="00563248" w:rsidRPr="0024451B">
        <w:rPr>
          <w:bCs/>
          <w:iCs/>
        </w:rPr>
        <w:t xml:space="preserve"> with respect to his personal right to have standing to challenge the 2015 Order</w:t>
      </w:r>
      <w:r w:rsidR="002B603E" w:rsidRPr="0024451B">
        <w:rPr>
          <w:bCs/>
          <w:iCs/>
        </w:rPr>
        <w:t>.</w:t>
      </w:r>
      <w:r w:rsidR="002B603E" w:rsidRPr="0024451B">
        <w:rPr>
          <w:rStyle w:val="FootnoteReference"/>
          <w:bCs/>
          <w:iCs/>
        </w:rPr>
        <w:footnoteReference w:id="24"/>
      </w:r>
    </w:p>
    <w:p w14:paraId="73D75EA1" w14:textId="55DE36EA" w:rsidR="00C35F0E" w:rsidRPr="0024451B" w:rsidRDefault="00C35F0E" w:rsidP="005D0025">
      <w:pPr>
        <w:pStyle w:val="SingleTxtG"/>
        <w:numPr>
          <w:ilvl w:val="0"/>
          <w:numId w:val="3"/>
        </w:numPr>
        <w:tabs>
          <w:tab w:val="clear" w:pos="1711"/>
          <w:tab w:val="num" w:pos="1134"/>
        </w:tabs>
        <w:ind w:left="1170" w:right="0" w:firstLine="34"/>
        <w:rPr>
          <w:bCs/>
          <w:iCs/>
        </w:rPr>
      </w:pPr>
      <w:r w:rsidRPr="0024451B">
        <w:rPr>
          <w:bCs/>
          <w:iCs/>
        </w:rPr>
        <w:t xml:space="preserve"> The communicant acknowledges that he was able initiate a review procedure before a court of law within the meaning of article 9(2) but alleges that as a result of the Conseil </w:t>
      </w:r>
      <w:proofErr w:type="spellStart"/>
      <w:r w:rsidRPr="0024451B">
        <w:rPr>
          <w:bCs/>
          <w:iCs/>
        </w:rPr>
        <w:t>d’État’s</w:t>
      </w:r>
      <w:proofErr w:type="spellEnd"/>
      <w:r w:rsidRPr="0024451B">
        <w:rPr>
          <w:bCs/>
          <w:iCs/>
        </w:rPr>
        <w:t xml:space="preserve"> very restrictive assessment of his legal interest </w:t>
      </w:r>
      <w:r w:rsidR="0071307D" w:rsidRPr="0024451B">
        <w:rPr>
          <w:bCs/>
          <w:iCs/>
        </w:rPr>
        <w:t>to</w:t>
      </w:r>
      <w:r w:rsidRPr="0024451B">
        <w:rPr>
          <w:bCs/>
          <w:iCs/>
        </w:rPr>
        <w:t xml:space="preserve"> bring proceedings, the substance of his petition was not considered, and his request for a referral to the Constitutional Council for a priority preliminary ruling was dismissed without consideration.</w:t>
      </w:r>
      <w:r w:rsidRPr="0024451B">
        <w:rPr>
          <w:rStyle w:val="FootnoteReference"/>
        </w:rPr>
        <w:footnoteReference w:id="25"/>
      </w:r>
    </w:p>
    <w:p w14:paraId="285638AE" w14:textId="4BEF27C5" w:rsidR="00B36921" w:rsidRPr="0024451B" w:rsidRDefault="00C35F0E" w:rsidP="00DE1C5B">
      <w:pPr>
        <w:pStyle w:val="SingleTxtG"/>
        <w:numPr>
          <w:ilvl w:val="0"/>
          <w:numId w:val="3"/>
        </w:numPr>
        <w:tabs>
          <w:tab w:val="clear" w:pos="1711"/>
          <w:tab w:val="num" w:pos="1134"/>
        </w:tabs>
        <w:ind w:left="1170" w:right="0" w:firstLine="34"/>
        <w:rPr>
          <w:bCs/>
          <w:iCs/>
        </w:rPr>
      </w:pPr>
      <w:r w:rsidRPr="0024451B">
        <w:rPr>
          <w:bCs/>
          <w:iCs/>
        </w:rPr>
        <w:t xml:space="preserve"> </w:t>
      </w:r>
      <w:bookmarkStart w:id="10" w:name="_Ref19188808"/>
      <w:r w:rsidR="00803061" w:rsidRPr="0024451B">
        <w:rPr>
          <w:bCs/>
          <w:iCs/>
        </w:rPr>
        <w:t xml:space="preserve">The communicant states that he does not </w:t>
      </w:r>
      <w:r w:rsidR="00B36921" w:rsidRPr="0024451B">
        <w:rPr>
          <w:bCs/>
          <w:iCs/>
        </w:rPr>
        <w:t>dispute that article 9(2) allows</w:t>
      </w:r>
      <w:r w:rsidR="00803061" w:rsidRPr="0024451B">
        <w:rPr>
          <w:bCs/>
          <w:iCs/>
        </w:rPr>
        <w:t xml:space="preserve"> Parties </w:t>
      </w:r>
      <w:r w:rsidR="00B36921" w:rsidRPr="0024451B">
        <w:rPr>
          <w:bCs/>
          <w:iCs/>
        </w:rPr>
        <w:t xml:space="preserve">to determine </w:t>
      </w:r>
      <w:r w:rsidR="00803061" w:rsidRPr="0024451B">
        <w:rPr>
          <w:bCs/>
          <w:iCs/>
        </w:rPr>
        <w:t xml:space="preserve">in their national law </w:t>
      </w:r>
      <w:r w:rsidR="00B36921" w:rsidRPr="0024451B">
        <w:rPr>
          <w:bCs/>
          <w:iCs/>
        </w:rPr>
        <w:t xml:space="preserve">what constitutes </w:t>
      </w:r>
      <w:r w:rsidR="00803061" w:rsidRPr="0024451B">
        <w:rPr>
          <w:bCs/>
          <w:iCs/>
        </w:rPr>
        <w:t xml:space="preserve">a </w:t>
      </w:r>
      <w:r w:rsidR="00B36921" w:rsidRPr="0024451B">
        <w:rPr>
          <w:bCs/>
          <w:iCs/>
        </w:rPr>
        <w:t xml:space="preserve">“sufficient interest” but </w:t>
      </w:r>
      <w:r w:rsidR="00D82786" w:rsidRPr="0024451B">
        <w:rPr>
          <w:bCs/>
          <w:iCs/>
        </w:rPr>
        <w:t xml:space="preserve">he </w:t>
      </w:r>
      <w:r w:rsidR="00803061" w:rsidRPr="0024451B">
        <w:rPr>
          <w:bCs/>
          <w:iCs/>
        </w:rPr>
        <w:t xml:space="preserve">submits </w:t>
      </w:r>
      <w:r w:rsidR="00B36921" w:rsidRPr="0024451B">
        <w:rPr>
          <w:bCs/>
          <w:iCs/>
        </w:rPr>
        <w:t xml:space="preserve">that this must be in compliance with the Convention. </w:t>
      </w:r>
      <w:r w:rsidR="00DE1C5B" w:rsidRPr="0024451B">
        <w:rPr>
          <w:bCs/>
          <w:iCs/>
        </w:rPr>
        <w:t>He also does not challenge, in principle, the concept of a sufficiently definite, direct personal interest.</w:t>
      </w:r>
      <w:r w:rsidR="00DE1C5B" w:rsidRPr="0024451B">
        <w:rPr>
          <w:rStyle w:val="FootnoteReference"/>
          <w:bCs/>
          <w:iCs/>
        </w:rPr>
        <w:footnoteReference w:id="26"/>
      </w:r>
      <w:bookmarkEnd w:id="10"/>
      <w:r w:rsidR="00DE1C5B" w:rsidRPr="0024451B">
        <w:rPr>
          <w:bCs/>
          <w:iCs/>
        </w:rPr>
        <w:t xml:space="preserve"> </w:t>
      </w:r>
    </w:p>
    <w:p w14:paraId="0EC93E29" w14:textId="1F1A71AA" w:rsidR="00C35F0E" w:rsidRPr="0024451B" w:rsidRDefault="00C35F0E" w:rsidP="005D0025">
      <w:pPr>
        <w:pStyle w:val="SingleTxtG"/>
        <w:numPr>
          <w:ilvl w:val="0"/>
          <w:numId w:val="3"/>
        </w:numPr>
        <w:tabs>
          <w:tab w:val="clear" w:pos="1711"/>
          <w:tab w:val="num" w:pos="1134"/>
        </w:tabs>
        <w:ind w:left="1170" w:right="0" w:firstLine="34"/>
        <w:rPr>
          <w:bCs/>
          <w:iCs/>
        </w:rPr>
      </w:pPr>
      <w:bookmarkStart w:id="11" w:name="_Ref19189179"/>
      <w:r w:rsidRPr="0024451B">
        <w:rPr>
          <w:bCs/>
          <w:iCs/>
        </w:rPr>
        <w:t>The communicant claims</w:t>
      </w:r>
      <w:r w:rsidR="00DE1C5B" w:rsidRPr="0024451B">
        <w:rPr>
          <w:bCs/>
          <w:iCs/>
        </w:rPr>
        <w:t>, however,</w:t>
      </w:r>
      <w:r w:rsidRPr="0024451B">
        <w:rPr>
          <w:bCs/>
          <w:iCs/>
        </w:rPr>
        <w:t xml:space="preserve"> that the Conseil </w:t>
      </w:r>
      <w:proofErr w:type="spellStart"/>
      <w:r w:rsidRPr="0024451B">
        <w:rPr>
          <w:bCs/>
          <w:iCs/>
        </w:rPr>
        <w:t>d’État</w:t>
      </w:r>
      <w:proofErr w:type="spellEnd"/>
      <w:r w:rsidRPr="0024451B">
        <w:rPr>
          <w:bCs/>
          <w:iCs/>
        </w:rPr>
        <w:t xml:space="preserve"> has </w:t>
      </w:r>
      <w:r w:rsidR="0071307D" w:rsidRPr="0024451B">
        <w:rPr>
          <w:bCs/>
          <w:iCs/>
        </w:rPr>
        <w:t>“</w:t>
      </w:r>
      <w:r w:rsidRPr="0024451B">
        <w:rPr>
          <w:bCs/>
          <w:iCs/>
        </w:rPr>
        <w:t>unfettered discretion</w:t>
      </w:r>
      <w:r w:rsidR="0071307D" w:rsidRPr="0024451B">
        <w:rPr>
          <w:bCs/>
          <w:iCs/>
        </w:rPr>
        <w:t>”</w:t>
      </w:r>
      <w:r w:rsidRPr="0024451B">
        <w:rPr>
          <w:bCs/>
          <w:iCs/>
        </w:rPr>
        <w:t xml:space="preserve"> in assessing petitioners’ legal interests in bringing actions on </w:t>
      </w:r>
      <w:r w:rsidR="00803061" w:rsidRPr="0024451B">
        <w:rPr>
          <w:bCs/>
          <w:iCs/>
        </w:rPr>
        <w:t xml:space="preserve">the </w:t>
      </w:r>
      <w:r w:rsidRPr="0024451B">
        <w:rPr>
          <w:bCs/>
          <w:iCs/>
        </w:rPr>
        <w:t xml:space="preserve">grounds of ultra vires, including in environmental matters, and </w:t>
      </w:r>
      <w:r w:rsidR="00803061" w:rsidRPr="0024451B">
        <w:rPr>
          <w:bCs/>
          <w:iCs/>
        </w:rPr>
        <w:t xml:space="preserve"> that it </w:t>
      </w:r>
      <w:r w:rsidRPr="0024451B">
        <w:rPr>
          <w:bCs/>
          <w:iCs/>
        </w:rPr>
        <w:t xml:space="preserve">does not consider itself bound by legislation, the Constitution, </w:t>
      </w:r>
      <w:r w:rsidR="0071307D" w:rsidRPr="0024451B">
        <w:rPr>
          <w:bCs/>
          <w:iCs/>
        </w:rPr>
        <w:t xml:space="preserve">or even by </w:t>
      </w:r>
      <w:r w:rsidRPr="0024451B">
        <w:rPr>
          <w:bCs/>
          <w:iCs/>
        </w:rPr>
        <w:t xml:space="preserve">international </w:t>
      </w:r>
      <w:r w:rsidRPr="0024451B">
        <w:rPr>
          <w:bCs/>
          <w:iCs/>
        </w:rPr>
        <w:lastRenderedPageBreak/>
        <w:t>conventions to which France is a party</w:t>
      </w:r>
      <w:r w:rsidR="0071307D" w:rsidRPr="0024451B">
        <w:rPr>
          <w:bCs/>
          <w:iCs/>
        </w:rPr>
        <w:t>, including the Aarhus Convention</w:t>
      </w:r>
      <w:r w:rsidRPr="0024451B">
        <w:rPr>
          <w:bCs/>
          <w:iCs/>
        </w:rPr>
        <w:t>.</w:t>
      </w:r>
      <w:r w:rsidRPr="0024451B">
        <w:rPr>
          <w:rStyle w:val="FootnoteReference"/>
        </w:rPr>
        <w:footnoteReference w:id="27"/>
      </w:r>
      <w:r w:rsidRPr="0024451B">
        <w:rPr>
          <w:bCs/>
          <w:iCs/>
        </w:rPr>
        <w:t xml:space="preserve">  The communicant argues that this approach is incompatible with the protection of a “sufficient interest” under article 9</w:t>
      </w:r>
      <w:r w:rsidR="00D27512" w:rsidRPr="0024451B">
        <w:rPr>
          <w:bCs/>
          <w:iCs/>
        </w:rPr>
        <w:t>(</w:t>
      </w:r>
      <w:r w:rsidRPr="0024451B">
        <w:rPr>
          <w:bCs/>
          <w:iCs/>
        </w:rPr>
        <w:t>2</w:t>
      </w:r>
      <w:r w:rsidR="00D27512" w:rsidRPr="0024451B">
        <w:rPr>
          <w:bCs/>
          <w:iCs/>
        </w:rPr>
        <w:t>)</w:t>
      </w:r>
      <w:r w:rsidRPr="0024451B">
        <w:rPr>
          <w:bCs/>
          <w:iCs/>
        </w:rPr>
        <w:t xml:space="preserve"> and runs counter to the objective of giving the public concerned wide access to justic</w:t>
      </w:r>
      <w:r w:rsidR="00803061" w:rsidRPr="0024451B">
        <w:rPr>
          <w:bCs/>
          <w:iCs/>
        </w:rPr>
        <w:t>e</w:t>
      </w:r>
      <w:r w:rsidRPr="0024451B">
        <w:rPr>
          <w:bCs/>
          <w:iCs/>
        </w:rPr>
        <w:t xml:space="preserve"> enshrined in </w:t>
      </w:r>
      <w:r w:rsidR="00AD44AA" w:rsidRPr="0024451B">
        <w:rPr>
          <w:bCs/>
          <w:iCs/>
        </w:rPr>
        <w:t>that provision</w:t>
      </w:r>
      <w:r w:rsidRPr="0024451B">
        <w:rPr>
          <w:bCs/>
          <w:iCs/>
        </w:rPr>
        <w:t>, the realisation of which requires criteria that are not arbitrary and are sufficiently liberal when assessing a litigant’s legal interest in bringing proceedings.</w:t>
      </w:r>
      <w:r w:rsidRPr="0024451B">
        <w:rPr>
          <w:rStyle w:val="FootnoteReference"/>
        </w:rPr>
        <w:footnoteReference w:id="28"/>
      </w:r>
      <w:bookmarkEnd w:id="11"/>
    </w:p>
    <w:p w14:paraId="5962614B" w14:textId="73D596A0" w:rsidR="00D44985" w:rsidRPr="0024451B" w:rsidRDefault="00C35F0E" w:rsidP="005D0025">
      <w:pPr>
        <w:pStyle w:val="SingleTxtG"/>
        <w:numPr>
          <w:ilvl w:val="0"/>
          <w:numId w:val="3"/>
        </w:numPr>
        <w:tabs>
          <w:tab w:val="clear" w:pos="1711"/>
          <w:tab w:val="num" w:pos="1134"/>
        </w:tabs>
        <w:ind w:left="1170" w:right="0" w:firstLine="34"/>
      </w:pPr>
      <w:r w:rsidRPr="0024451B">
        <w:rPr>
          <w:bCs/>
          <w:iCs/>
        </w:rPr>
        <w:t xml:space="preserve"> </w:t>
      </w:r>
      <w:r w:rsidR="00D44985" w:rsidRPr="0024451B">
        <w:rPr>
          <w:bCs/>
          <w:iCs/>
        </w:rPr>
        <w:t>The communicant also submits that there is “a flagrant contradiction</w:t>
      </w:r>
      <w:r w:rsidR="00803061" w:rsidRPr="0024451B">
        <w:rPr>
          <w:bCs/>
          <w:iCs/>
        </w:rPr>
        <w:t>”</w:t>
      </w:r>
      <w:r w:rsidR="00D44985" w:rsidRPr="0024451B">
        <w:rPr>
          <w:bCs/>
          <w:iCs/>
        </w:rPr>
        <w:t xml:space="preserve"> between the Convention and the Conseil </w:t>
      </w:r>
      <w:proofErr w:type="spellStart"/>
      <w:r w:rsidR="00D44985" w:rsidRPr="0024451B">
        <w:rPr>
          <w:bCs/>
          <w:iCs/>
        </w:rPr>
        <w:t>d’</w:t>
      </w:r>
      <w:r w:rsidR="00696B24" w:rsidRPr="0024451B">
        <w:rPr>
          <w:bCs/>
          <w:iCs/>
        </w:rPr>
        <w:t>État</w:t>
      </w:r>
      <w:r w:rsidR="00D44985" w:rsidRPr="0024451B">
        <w:rPr>
          <w:bCs/>
          <w:iCs/>
        </w:rPr>
        <w:t>’s</w:t>
      </w:r>
      <w:proofErr w:type="spellEnd"/>
      <w:r w:rsidR="00D44985" w:rsidRPr="0024451B">
        <w:rPr>
          <w:bCs/>
          <w:iCs/>
        </w:rPr>
        <w:t xml:space="preserve"> decision</w:t>
      </w:r>
      <w:r w:rsidR="005312D1" w:rsidRPr="0024451B">
        <w:rPr>
          <w:bCs/>
          <w:iCs/>
        </w:rPr>
        <w:t>. T</w:t>
      </w:r>
      <w:r w:rsidR="00D44985" w:rsidRPr="0024451B">
        <w:rPr>
          <w:bCs/>
          <w:iCs/>
        </w:rPr>
        <w:t xml:space="preserve">his results not only from the legal standard applied by the Conseil </w:t>
      </w:r>
      <w:proofErr w:type="spellStart"/>
      <w:r w:rsidR="00D44985" w:rsidRPr="0024451B">
        <w:rPr>
          <w:bCs/>
          <w:iCs/>
        </w:rPr>
        <w:t>d’</w:t>
      </w:r>
      <w:r w:rsidR="00696B24" w:rsidRPr="0024451B">
        <w:rPr>
          <w:bCs/>
          <w:iCs/>
        </w:rPr>
        <w:t>État</w:t>
      </w:r>
      <w:proofErr w:type="spellEnd"/>
      <w:r w:rsidR="00D44985" w:rsidRPr="0024451B">
        <w:rPr>
          <w:bCs/>
          <w:iCs/>
        </w:rPr>
        <w:t xml:space="preserve">, but also from the way it applies this through its policy of regulating access to the administrative courts and from the fact that it is intent on not regarding the environment as a special field </w:t>
      </w:r>
      <w:r w:rsidR="00C44782" w:rsidRPr="0024451B">
        <w:rPr>
          <w:bCs/>
          <w:iCs/>
        </w:rPr>
        <w:t xml:space="preserve">with respect to the </w:t>
      </w:r>
      <w:r w:rsidR="00D44985" w:rsidRPr="0024451B">
        <w:rPr>
          <w:bCs/>
          <w:iCs/>
        </w:rPr>
        <w:t>right of access to justice and the standing of petitioners</w:t>
      </w:r>
      <w:r w:rsidR="00D44985" w:rsidRPr="0024451B">
        <w:rPr>
          <w:rStyle w:val="FootnoteReference"/>
          <w:bCs/>
          <w:iCs/>
          <w:sz w:val="20"/>
          <w:vertAlign w:val="baseline"/>
        </w:rPr>
        <w:t>.</w:t>
      </w:r>
      <w:r w:rsidR="00D44985" w:rsidRPr="0024451B">
        <w:rPr>
          <w:rStyle w:val="FootnoteReference"/>
          <w:bCs/>
          <w:iCs/>
        </w:rPr>
        <w:footnoteReference w:id="29"/>
      </w:r>
      <w:r w:rsidR="00D44985" w:rsidRPr="0024451B">
        <w:t xml:space="preserve"> </w:t>
      </w:r>
    </w:p>
    <w:p w14:paraId="2E3B4F24" w14:textId="65A4FB3B" w:rsidR="00D44985" w:rsidRPr="0024451B" w:rsidRDefault="000575FC" w:rsidP="005D0025">
      <w:pPr>
        <w:pStyle w:val="SingleTxtG"/>
        <w:numPr>
          <w:ilvl w:val="0"/>
          <w:numId w:val="3"/>
        </w:numPr>
        <w:tabs>
          <w:tab w:val="clear" w:pos="1711"/>
          <w:tab w:val="num" w:pos="1134"/>
        </w:tabs>
        <w:ind w:left="1170" w:right="0" w:firstLine="34"/>
      </w:pPr>
      <w:bookmarkStart w:id="12" w:name="_Ref19189181"/>
      <w:r w:rsidRPr="0024451B">
        <w:rPr>
          <w:bCs/>
          <w:iCs/>
        </w:rPr>
        <w:t>T</w:t>
      </w:r>
      <w:r w:rsidR="00D44985" w:rsidRPr="0024451B">
        <w:rPr>
          <w:bCs/>
          <w:iCs/>
        </w:rPr>
        <w:t xml:space="preserve">he communicant </w:t>
      </w:r>
      <w:r w:rsidR="00DE1C5B" w:rsidRPr="0024451B">
        <w:rPr>
          <w:bCs/>
          <w:iCs/>
        </w:rPr>
        <w:t xml:space="preserve">disputes the submissions by the Party concerned (see para. </w:t>
      </w:r>
      <w:r w:rsidR="00DE1C5B" w:rsidRPr="0024451B">
        <w:rPr>
          <w:bCs/>
          <w:iCs/>
        </w:rPr>
        <w:fldChar w:fldCharType="begin"/>
      </w:r>
      <w:r w:rsidR="00DE1C5B" w:rsidRPr="0024451B">
        <w:rPr>
          <w:bCs/>
          <w:iCs/>
        </w:rPr>
        <w:instrText xml:space="preserve"> REF _Ref19187365 \r \h  \* MERGEFORMAT </w:instrText>
      </w:r>
      <w:r w:rsidR="00DE1C5B" w:rsidRPr="0024451B">
        <w:rPr>
          <w:bCs/>
          <w:iCs/>
        </w:rPr>
      </w:r>
      <w:r w:rsidR="00DE1C5B" w:rsidRPr="0024451B">
        <w:rPr>
          <w:bCs/>
          <w:iCs/>
        </w:rPr>
        <w:fldChar w:fldCharType="separate"/>
      </w:r>
      <w:r w:rsidR="00451BCF">
        <w:rPr>
          <w:bCs/>
          <w:iCs/>
          <w:cs/>
        </w:rPr>
        <w:t>‎</w:t>
      </w:r>
      <w:r w:rsidR="00451BCF">
        <w:rPr>
          <w:bCs/>
          <w:iCs/>
        </w:rPr>
        <w:t>38</w:t>
      </w:r>
      <w:r w:rsidR="00DE1C5B" w:rsidRPr="0024451B">
        <w:rPr>
          <w:bCs/>
          <w:iCs/>
        </w:rPr>
        <w:fldChar w:fldCharType="end"/>
      </w:r>
      <w:r w:rsidR="00DE1C5B" w:rsidRPr="0024451B">
        <w:rPr>
          <w:bCs/>
          <w:iCs/>
        </w:rPr>
        <w:t xml:space="preserve"> below) </w:t>
      </w:r>
      <w:r w:rsidR="00D44985" w:rsidRPr="0024451B">
        <w:rPr>
          <w:bCs/>
          <w:iCs/>
        </w:rPr>
        <w:t>that the administrative courts</w:t>
      </w:r>
      <w:r w:rsidR="00C3350C" w:rsidRPr="0024451B">
        <w:rPr>
          <w:bCs/>
          <w:iCs/>
        </w:rPr>
        <w:t>’</w:t>
      </w:r>
      <w:r w:rsidR="00D44985" w:rsidRPr="0024451B">
        <w:rPr>
          <w:bCs/>
          <w:iCs/>
        </w:rPr>
        <w:t xml:space="preserve"> approach to assessing standing is “flexible” and “in accordance with the Convention’s objective of granting the public concerned wide access to justice”. The communicant submits that on the contrary, the current case law of the Conseil </w:t>
      </w:r>
      <w:proofErr w:type="spellStart"/>
      <w:r w:rsidR="00D44985" w:rsidRPr="0024451B">
        <w:rPr>
          <w:bCs/>
          <w:iCs/>
        </w:rPr>
        <w:t>d’État</w:t>
      </w:r>
      <w:proofErr w:type="spellEnd"/>
      <w:r w:rsidR="00D44985" w:rsidRPr="0024451B">
        <w:rPr>
          <w:bCs/>
          <w:iCs/>
        </w:rPr>
        <w:t xml:space="preserve"> is characterized by two features: Firstly, the Conseil </w:t>
      </w:r>
      <w:proofErr w:type="spellStart"/>
      <w:r w:rsidR="00D44985" w:rsidRPr="0024451B">
        <w:rPr>
          <w:bCs/>
          <w:iCs/>
        </w:rPr>
        <w:t>d’État</w:t>
      </w:r>
      <w:proofErr w:type="spellEnd"/>
      <w:r w:rsidR="00D44985" w:rsidRPr="0024451B">
        <w:rPr>
          <w:bCs/>
          <w:iCs/>
        </w:rPr>
        <w:t xml:space="preserve"> does not consider itself bound by the Convention; and secondly, its case law over the past decade or more has been marked by a distinct movement, noted in the legal literature on French administrative law, particularly in environmental matters, towards tightening the conditions for access to the administrative courts.</w:t>
      </w:r>
      <w:r w:rsidR="00D44985" w:rsidRPr="0024451B">
        <w:rPr>
          <w:rStyle w:val="FootnoteReference"/>
          <w:bCs/>
          <w:iCs/>
        </w:rPr>
        <w:footnoteReference w:id="30"/>
      </w:r>
      <w:bookmarkEnd w:id="12"/>
    </w:p>
    <w:p w14:paraId="3457EA33" w14:textId="37FC53FB" w:rsidR="007E56E7" w:rsidRPr="0024451B" w:rsidRDefault="00F90858" w:rsidP="005D0025">
      <w:pPr>
        <w:pStyle w:val="SingleTxtG"/>
        <w:numPr>
          <w:ilvl w:val="0"/>
          <w:numId w:val="3"/>
        </w:numPr>
        <w:tabs>
          <w:tab w:val="clear" w:pos="1711"/>
          <w:tab w:val="num" w:pos="1134"/>
        </w:tabs>
        <w:ind w:left="1170" w:right="0" w:firstLine="34"/>
      </w:pPr>
      <w:bookmarkStart w:id="13" w:name="_Ref19188602"/>
      <w:r w:rsidRPr="0024451B">
        <w:rPr>
          <w:bCs/>
          <w:iCs/>
        </w:rPr>
        <w:t xml:space="preserve">The communicant claims that </w:t>
      </w:r>
      <w:r w:rsidR="000575FC" w:rsidRPr="0024451B">
        <w:rPr>
          <w:bCs/>
          <w:iCs/>
        </w:rPr>
        <w:t xml:space="preserve">the Conseil </w:t>
      </w:r>
      <w:proofErr w:type="spellStart"/>
      <w:r w:rsidR="000575FC" w:rsidRPr="0024451B">
        <w:rPr>
          <w:bCs/>
          <w:iCs/>
        </w:rPr>
        <w:t>d’</w:t>
      </w:r>
      <w:r w:rsidR="00696B24" w:rsidRPr="0024451B">
        <w:rPr>
          <w:bCs/>
          <w:iCs/>
        </w:rPr>
        <w:t>État</w:t>
      </w:r>
      <w:r w:rsidR="000575FC" w:rsidRPr="0024451B">
        <w:rPr>
          <w:bCs/>
          <w:iCs/>
        </w:rPr>
        <w:t>’s</w:t>
      </w:r>
      <w:proofErr w:type="spellEnd"/>
      <w:r w:rsidR="000575FC" w:rsidRPr="0024451B">
        <w:rPr>
          <w:bCs/>
          <w:iCs/>
        </w:rPr>
        <w:t xml:space="preserve"> dismissal of his </w:t>
      </w:r>
      <w:r w:rsidR="004D5E9D" w:rsidRPr="0024451B">
        <w:rPr>
          <w:bCs/>
          <w:iCs/>
        </w:rPr>
        <w:t xml:space="preserve">challenge of the 2015 Order </w:t>
      </w:r>
      <w:r w:rsidR="000575FC" w:rsidRPr="0024451B">
        <w:rPr>
          <w:bCs/>
          <w:iCs/>
        </w:rPr>
        <w:t>for lack of standing</w:t>
      </w:r>
      <w:r w:rsidRPr="0024451B">
        <w:rPr>
          <w:bCs/>
          <w:iCs/>
        </w:rPr>
        <w:t xml:space="preserve"> has rendered </w:t>
      </w:r>
      <w:r w:rsidR="00C35F0E" w:rsidRPr="0024451B">
        <w:rPr>
          <w:bCs/>
          <w:iCs/>
        </w:rPr>
        <w:t>article 9</w:t>
      </w:r>
      <w:r w:rsidR="00D27512" w:rsidRPr="0024451B">
        <w:rPr>
          <w:bCs/>
          <w:iCs/>
        </w:rPr>
        <w:t>(</w:t>
      </w:r>
      <w:r w:rsidR="00C35F0E" w:rsidRPr="0024451B">
        <w:rPr>
          <w:bCs/>
          <w:iCs/>
        </w:rPr>
        <w:t>2</w:t>
      </w:r>
      <w:r w:rsidR="00D27512" w:rsidRPr="0024451B">
        <w:rPr>
          <w:bCs/>
          <w:iCs/>
        </w:rPr>
        <w:t>)</w:t>
      </w:r>
      <w:r w:rsidR="00C35F0E" w:rsidRPr="0024451B">
        <w:rPr>
          <w:bCs/>
          <w:iCs/>
        </w:rPr>
        <w:t xml:space="preserve"> ineffective</w:t>
      </w:r>
      <w:r w:rsidR="007E56E7" w:rsidRPr="0024451B">
        <w:rPr>
          <w:bCs/>
          <w:iCs/>
        </w:rPr>
        <w:t xml:space="preserve"> with respect to access to justice in environmental matters for natural persons acting individually</w:t>
      </w:r>
      <w:r w:rsidRPr="0024451B">
        <w:rPr>
          <w:bCs/>
          <w:iCs/>
        </w:rPr>
        <w:t xml:space="preserve">. He submits that in </w:t>
      </w:r>
      <w:r w:rsidR="00C35F0E" w:rsidRPr="0024451B">
        <w:rPr>
          <w:bCs/>
          <w:iCs/>
        </w:rPr>
        <w:t>the circumstances of the present case, th</w:t>
      </w:r>
      <w:r w:rsidRPr="0024451B">
        <w:rPr>
          <w:bCs/>
          <w:iCs/>
        </w:rPr>
        <w:t>e</w:t>
      </w:r>
      <w:r w:rsidR="00C35F0E" w:rsidRPr="0024451B">
        <w:rPr>
          <w:bCs/>
          <w:iCs/>
        </w:rPr>
        <w:t xml:space="preserve"> dismissal ha</w:t>
      </w:r>
      <w:r w:rsidRPr="0024451B">
        <w:rPr>
          <w:bCs/>
          <w:iCs/>
        </w:rPr>
        <w:t>d</w:t>
      </w:r>
      <w:r w:rsidR="00C35F0E" w:rsidRPr="0024451B">
        <w:rPr>
          <w:bCs/>
          <w:iCs/>
        </w:rPr>
        <w:t xml:space="preserve"> the practical effect of restricting access to justice to legal entities</w:t>
      </w:r>
      <w:r w:rsidRPr="0024451B">
        <w:rPr>
          <w:bCs/>
          <w:iCs/>
        </w:rPr>
        <w:t xml:space="preserve"> only</w:t>
      </w:r>
      <w:r w:rsidR="00C35F0E" w:rsidRPr="0024451B">
        <w:rPr>
          <w:bCs/>
          <w:iCs/>
        </w:rPr>
        <w:t>, notably environmental associations.</w:t>
      </w:r>
      <w:r w:rsidR="003B526E" w:rsidRPr="0024451B">
        <w:rPr>
          <w:rStyle w:val="FootnoteReference"/>
          <w:bCs/>
          <w:iCs/>
        </w:rPr>
        <w:footnoteReference w:id="31"/>
      </w:r>
      <w:bookmarkEnd w:id="13"/>
      <w:r w:rsidR="00C35F0E" w:rsidRPr="0024451B">
        <w:rPr>
          <w:bCs/>
          <w:iCs/>
        </w:rPr>
        <w:t xml:space="preserve"> </w:t>
      </w:r>
    </w:p>
    <w:p w14:paraId="2BC0835D" w14:textId="2129E41D" w:rsidR="00B36921" w:rsidRPr="0024451B" w:rsidRDefault="00D44985" w:rsidP="005D0025">
      <w:pPr>
        <w:pStyle w:val="SingleTxtG"/>
        <w:numPr>
          <w:ilvl w:val="0"/>
          <w:numId w:val="3"/>
        </w:numPr>
        <w:tabs>
          <w:tab w:val="clear" w:pos="1711"/>
          <w:tab w:val="num" w:pos="1134"/>
        </w:tabs>
        <w:ind w:left="1170" w:right="0" w:firstLine="34"/>
        <w:rPr>
          <w:bCs/>
          <w:iCs/>
        </w:rPr>
      </w:pPr>
      <w:bookmarkStart w:id="14" w:name="_Ref19200521"/>
      <w:r w:rsidRPr="0024451B">
        <w:t xml:space="preserve">The communicant denies that he claims that article 9(2) gives “everyone” a right to judicial remedy against any decision likely to affect the environment. He submits rather that, taking into account his personal situation, namely his commitment to nature protection and his constant activity in that field over many decades through his membership of, active participation and holding of responsible positions in, national and local environmental associations, the Conseil </w:t>
      </w:r>
      <w:proofErr w:type="spellStart"/>
      <w:r w:rsidRPr="0024451B">
        <w:t>d’</w:t>
      </w:r>
      <w:r w:rsidR="00696B24" w:rsidRPr="0024451B">
        <w:t>État</w:t>
      </w:r>
      <w:r w:rsidRPr="0024451B">
        <w:t>’s</w:t>
      </w:r>
      <w:proofErr w:type="spellEnd"/>
      <w:r w:rsidRPr="0024451B">
        <w:t xml:space="preserve"> decision leads to non-compliance with the requirements of article 9(2).</w:t>
      </w:r>
      <w:r w:rsidRPr="0024451B">
        <w:rPr>
          <w:rStyle w:val="FootnoteReference"/>
        </w:rPr>
        <w:footnoteReference w:id="32"/>
      </w:r>
      <w:r w:rsidR="00A02526" w:rsidRPr="0024451B">
        <w:rPr>
          <w:bCs/>
          <w:iCs/>
        </w:rPr>
        <w:t xml:space="preserve"> </w:t>
      </w:r>
      <w:r w:rsidR="00C35F0E" w:rsidRPr="0024451B">
        <w:rPr>
          <w:bCs/>
          <w:iCs/>
        </w:rPr>
        <w:t xml:space="preserve"> On this point, he cites academic commentary which </w:t>
      </w:r>
      <w:r w:rsidR="00B36921" w:rsidRPr="0024451B">
        <w:rPr>
          <w:bCs/>
          <w:iCs/>
        </w:rPr>
        <w:t xml:space="preserve">takes the view that </w:t>
      </w:r>
      <w:r w:rsidR="00C35F0E" w:rsidRPr="0024451B">
        <w:rPr>
          <w:bCs/>
          <w:iCs/>
        </w:rPr>
        <w:t xml:space="preserve">the Conseil </w:t>
      </w:r>
      <w:proofErr w:type="spellStart"/>
      <w:r w:rsidR="00B36921" w:rsidRPr="0024451B">
        <w:rPr>
          <w:bCs/>
          <w:iCs/>
        </w:rPr>
        <w:t>d’</w:t>
      </w:r>
      <w:r w:rsidR="00696B24" w:rsidRPr="0024451B">
        <w:rPr>
          <w:bCs/>
          <w:iCs/>
        </w:rPr>
        <w:t>État</w:t>
      </w:r>
      <w:proofErr w:type="spellEnd"/>
      <w:r w:rsidR="00B36921" w:rsidRPr="0024451B">
        <w:rPr>
          <w:bCs/>
          <w:iCs/>
        </w:rPr>
        <w:t xml:space="preserve"> </w:t>
      </w:r>
      <w:r w:rsidR="00C35F0E" w:rsidRPr="0024451B">
        <w:rPr>
          <w:bCs/>
          <w:iCs/>
        </w:rPr>
        <w:t>fail</w:t>
      </w:r>
      <w:r w:rsidR="00B36921" w:rsidRPr="0024451B">
        <w:rPr>
          <w:bCs/>
          <w:iCs/>
        </w:rPr>
        <w:t xml:space="preserve">ed </w:t>
      </w:r>
      <w:r w:rsidR="00C35F0E" w:rsidRPr="0024451B">
        <w:rPr>
          <w:bCs/>
          <w:iCs/>
        </w:rPr>
        <w:t>to take account of article 9</w:t>
      </w:r>
      <w:r w:rsidR="00FE6A94" w:rsidRPr="0024451B">
        <w:rPr>
          <w:bCs/>
          <w:iCs/>
        </w:rPr>
        <w:t xml:space="preserve"> </w:t>
      </w:r>
      <w:r w:rsidR="00FA327C" w:rsidRPr="0024451B">
        <w:rPr>
          <w:bCs/>
          <w:iCs/>
        </w:rPr>
        <w:t xml:space="preserve">of the Convention </w:t>
      </w:r>
      <w:r w:rsidR="00FE6A94" w:rsidRPr="0024451B">
        <w:rPr>
          <w:bCs/>
          <w:iCs/>
        </w:rPr>
        <w:t>in dismissing the communicant’s petition</w:t>
      </w:r>
      <w:r w:rsidR="00C35F0E" w:rsidRPr="0024451B">
        <w:rPr>
          <w:bCs/>
          <w:iCs/>
        </w:rPr>
        <w:t>.</w:t>
      </w:r>
      <w:r w:rsidR="00FE6A94" w:rsidRPr="0024451B">
        <w:rPr>
          <w:rStyle w:val="FootnoteReference"/>
          <w:bCs/>
          <w:iCs/>
        </w:rPr>
        <w:footnoteReference w:id="33"/>
      </w:r>
      <w:r w:rsidR="00C35F0E" w:rsidRPr="0024451B">
        <w:rPr>
          <w:bCs/>
          <w:iCs/>
        </w:rPr>
        <w:t xml:space="preserve">  </w:t>
      </w:r>
      <w:r w:rsidR="00B36921" w:rsidRPr="0024451B">
        <w:rPr>
          <w:bCs/>
          <w:iCs/>
        </w:rPr>
        <w:t xml:space="preserve">The communicant </w:t>
      </w:r>
      <w:r w:rsidR="007C7134" w:rsidRPr="0024451B">
        <w:rPr>
          <w:bCs/>
          <w:iCs/>
        </w:rPr>
        <w:t>claims</w:t>
      </w:r>
      <w:r w:rsidR="00B36921" w:rsidRPr="0024451B">
        <w:rPr>
          <w:bCs/>
          <w:iCs/>
        </w:rPr>
        <w:t xml:space="preserve"> that the decision of the Conseil </w:t>
      </w:r>
      <w:proofErr w:type="spellStart"/>
      <w:r w:rsidR="00B36921" w:rsidRPr="0024451B">
        <w:rPr>
          <w:bCs/>
          <w:iCs/>
        </w:rPr>
        <w:t>d’</w:t>
      </w:r>
      <w:r w:rsidR="00696B24" w:rsidRPr="0024451B">
        <w:rPr>
          <w:bCs/>
          <w:iCs/>
        </w:rPr>
        <w:t>État</w:t>
      </w:r>
      <w:proofErr w:type="spellEnd"/>
      <w:r w:rsidR="00B36921" w:rsidRPr="0024451B">
        <w:rPr>
          <w:bCs/>
          <w:iCs/>
        </w:rPr>
        <w:t xml:space="preserve"> </w:t>
      </w:r>
      <w:r w:rsidR="00F90858" w:rsidRPr="0024451B">
        <w:rPr>
          <w:bCs/>
          <w:iCs/>
        </w:rPr>
        <w:t xml:space="preserve">was </w:t>
      </w:r>
      <w:r w:rsidR="00B36921" w:rsidRPr="0024451B">
        <w:rPr>
          <w:bCs/>
          <w:iCs/>
        </w:rPr>
        <w:t>therefore directly and manifestly contrary to the Convention, specifically to the objective of giving the public concerned</w:t>
      </w:r>
      <w:r w:rsidR="00BC7EFB" w:rsidRPr="0024451B">
        <w:rPr>
          <w:bCs/>
          <w:iCs/>
        </w:rPr>
        <w:t xml:space="preserve"> within the meaning of article 2 (5)</w:t>
      </w:r>
      <w:r w:rsidR="00F90858" w:rsidRPr="0024451B">
        <w:rPr>
          <w:bCs/>
          <w:iCs/>
        </w:rPr>
        <w:t>,</w:t>
      </w:r>
      <w:r w:rsidR="00B36921" w:rsidRPr="0024451B">
        <w:rPr>
          <w:bCs/>
          <w:iCs/>
        </w:rPr>
        <w:t xml:space="preserve"> including natural persons</w:t>
      </w:r>
      <w:r w:rsidR="00F90858" w:rsidRPr="0024451B">
        <w:rPr>
          <w:bCs/>
          <w:iCs/>
        </w:rPr>
        <w:t>,</w:t>
      </w:r>
      <w:r w:rsidR="00B36921" w:rsidRPr="0024451B">
        <w:rPr>
          <w:bCs/>
          <w:iCs/>
        </w:rPr>
        <w:t xml:space="preserve"> wide access to justice.</w:t>
      </w:r>
      <w:r w:rsidR="00B36921" w:rsidRPr="0024451B">
        <w:rPr>
          <w:rStyle w:val="FootnoteReference"/>
          <w:bCs/>
          <w:iCs/>
        </w:rPr>
        <w:footnoteReference w:id="34"/>
      </w:r>
      <w:r w:rsidR="00B36921" w:rsidRPr="0024451B">
        <w:rPr>
          <w:bCs/>
          <w:iCs/>
        </w:rPr>
        <w:t xml:space="preserve">  </w:t>
      </w:r>
      <w:r w:rsidR="007C7134" w:rsidRPr="0024451B">
        <w:rPr>
          <w:bCs/>
          <w:iCs/>
        </w:rPr>
        <w:t xml:space="preserve">The communicant submits further, that it logically follows </w:t>
      </w:r>
      <w:r w:rsidR="00BC7EFB" w:rsidRPr="0024451B">
        <w:rPr>
          <w:bCs/>
          <w:iCs/>
        </w:rPr>
        <w:t xml:space="preserve">from article 7 of the Charter for the Environment </w:t>
      </w:r>
      <w:r w:rsidR="007C7134" w:rsidRPr="0024451B">
        <w:rPr>
          <w:bCs/>
          <w:iCs/>
        </w:rPr>
        <w:t>that the fact that he participated in the public process of making a decision likely to affect the environment gives him a legal interest in bringing court proceedings against th</w:t>
      </w:r>
      <w:r w:rsidR="00BC7EFB" w:rsidRPr="0024451B">
        <w:rPr>
          <w:bCs/>
          <w:iCs/>
        </w:rPr>
        <w:t>at</w:t>
      </w:r>
      <w:r w:rsidR="007C7134" w:rsidRPr="0024451B">
        <w:rPr>
          <w:bCs/>
          <w:iCs/>
        </w:rPr>
        <w:t xml:space="preserve"> decision</w:t>
      </w:r>
      <w:r w:rsidR="007C7134" w:rsidRPr="0024451B">
        <w:t>.</w:t>
      </w:r>
      <w:r w:rsidR="007C7134" w:rsidRPr="0024451B">
        <w:rPr>
          <w:rStyle w:val="FootnoteReference"/>
        </w:rPr>
        <w:footnoteReference w:id="35"/>
      </w:r>
      <w:bookmarkEnd w:id="14"/>
    </w:p>
    <w:p w14:paraId="137C62A6" w14:textId="3A98E66C" w:rsidR="00CE0DFE" w:rsidRPr="0024451B" w:rsidRDefault="00C35F0E" w:rsidP="005D0025">
      <w:pPr>
        <w:pStyle w:val="SingleTxtG"/>
        <w:numPr>
          <w:ilvl w:val="0"/>
          <w:numId w:val="3"/>
        </w:numPr>
        <w:tabs>
          <w:tab w:val="clear" w:pos="1711"/>
          <w:tab w:val="num" w:pos="1134"/>
        </w:tabs>
        <w:ind w:left="1170" w:right="0" w:firstLine="34"/>
        <w:rPr>
          <w:bCs/>
          <w:iCs/>
        </w:rPr>
      </w:pPr>
      <w:r w:rsidRPr="0024451B">
        <w:rPr>
          <w:bCs/>
          <w:iCs/>
        </w:rPr>
        <w:t>T</w:t>
      </w:r>
      <w:r w:rsidR="00E403A1" w:rsidRPr="0024451B">
        <w:rPr>
          <w:bCs/>
          <w:iCs/>
        </w:rPr>
        <w:t>he Party concerned submits that article 9</w:t>
      </w:r>
      <w:r w:rsidRPr="0024451B">
        <w:rPr>
          <w:bCs/>
          <w:iCs/>
        </w:rPr>
        <w:t>(</w:t>
      </w:r>
      <w:r w:rsidR="006D0BB9" w:rsidRPr="0024451B">
        <w:rPr>
          <w:bCs/>
          <w:iCs/>
        </w:rPr>
        <w:t>2</w:t>
      </w:r>
      <w:r w:rsidRPr="0024451B">
        <w:rPr>
          <w:bCs/>
          <w:iCs/>
        </w:rPr>
        <w:t>)</w:t>
      </w:r>
      <w:r w:rsidR="006D0BB9" w:rsidRPr="0024451B">
        <w:rPr>
          <w:bCs/>
          <w:iCs/>
        </w:rPr>
        <w:t xml:space="preserve"> does not apply </w:t>
      </w:r>
      <w:r w:rsidR="002B603E" w:rsidRPr="0024451B">
        <w:rPr>
          <w:bCs/>
          <w:iCs/>
        </w:rPr>
        <w:t>to this case. F</w:t>
      </w:r>
      <w:r w:rsidR="009A08B0" w:rsidRPr="0024451B">
        <w:rPr>
          <w:bCs/>
          <w:iCs/>
        </w:rPr>
        <w:t xml:space="preserve">irstly, </w:t>
      </w:r>
      <w:r w:rsidR="006D0BB9" w:rsidRPr="0024451B">
        <w:rPr>
          <w:bCs/>
          <w:iCs/>
        </w:rPr>
        <w:t xml:space="preserve">the </w:t>
      </w:r>
      <w:r w:rsidR="005352BA" w:rsidRPr="0024451B">
        <w:rPr>
          <w:bCs/>
          <w:iCs/>
        </w:rPr>
        <w:t>Party concerned states that the 2015 Order</w:t>
      </w:r>
      <w:r w:rsidR="006D0BB9" w:rsidRPr="0024451B">
        <w:rPr>
          <w:bCs/>
          <w:iCs/>
        </w:rPr>
        <w:t xml:space="preserve"> falls</w:t>
      </w:r>
      <w:r w:rsidR="009A08B0" w:rsidRPr="0024451B">
        <w:rPr>
          <w:bCs/>
          <w:iCs/>
        </w:rPr>
        <w:t xml:space="preserve"> outside the scope of article 6</w:t>
      </w:r>
      <w:r w:rsidRPr="0024451B">
        <w:rPr>
          <w:bCs/>
          <w:iCs/>
        </w:rPr>
        <w:t xml:space="preserve">, being rather </w:t>
      </w:r>
      <w:r w:rsidR="009A08B0" w:rsidRPr="0024451B">
        <w:rPr>
          <w:bCs/>
          <w:iCs/>
        </w:rPr>
        <w:t>within the scope of article 8</w:t>
      </w:r>
      <w:r w:rsidR="002B603E" w:rsidRPr="0024451B">
        <w:rPr>
          <w:bCs/>
          <w:iCs/>
        </w:rPr>
        <w:t>. S</w:t>
      </w:r>
      <w:r w:rsidR="009A08B0" w:rsidRPr="0024451B">
        <w:rPr>
          <w:bCs/>
          <w:iCs/>
        </w:rPr>
        <w:t xml:space="preserve">econdly, </w:t>
      </w:r>
      <w:r w:rsidR="009A08B0" w:rsidRPr="0024451B">
        <w:t xml:space="preserve">the </w:t>
      </w:r>
      <w:r w:rsidR="009F18E6" w:rsidRPr="0024451B">
        <w:t xml:space="preserve">Party concerned </w:t>
      </w:r>
      <w:r w:rsidR="00BC7EFB" w:rsidRPr="0024451B">
        <w:t>states</w:t>
      </w:r>
      <w:r w:rsidR="009F18E6" w:rsidRPr="0024451B">
        <w:t xml:space="preserve"> that the </w:t>
      </w:r>
      <w:r w:rsidR="009A08B0" w:rsidRPr="0024451B">
        <w:t>appeal procedure provided for in article 9</w:t>
      </w:r>
      <w:r w:rsidRPr="0024451B">
        <w:t>(</w:t>
      </w:r>
      <w:r w:rsidR="009A08B0" w:rsidRPr="0024451B">
        <w:t>2</w:t>
      </w:r>
      <w:r w:rsidRPr="0024451B">
        <w:t>)</w:t>
      </w:r>
      <w:r w:rsidR="009A08B0" w:rsidRPr="0024451B">
        <w:t xml:space="preserve"> of the </w:t>
      </w:r>
      <w:r w:rsidR="009A08B0" w:rsidRPr="0024451B">
        <w:lastRenderedPageBreak/>
        <w:t>Convention has not been extended by provisions of national law to decisions under article 8. Therefore</w:t>
      </w:r>
      <w:r w:rsidR="009F18E6" w:rsidRPr="0024451B">
        <w:t>,</w:t>
      </w:r>
      <w:r w:rsidR="009A08B0" w:rsidRPr="0024451B">
        <w:t xml:space="preserve"> the Party concerned </w:t>
      </w:r>
      <w:r w:rsidR="00D86BD3" w:rsidRPr="0024451B">
        <w:t xml:space="preserve">submits that it </w:t>
      </w:r>
      <w:r w:rsidR="009A08B0" w:rsidRPr="0024451B">
        <w:t xml:space="preserve">has not failed to comply with the </w:t>
      </w:r>
      <w:r w:rsidRPr="0024451B">
        <w:t>requirements</w:t>
      </w:r>
      <w:r w:rsidR="009A08B0" w:rsidRPr="0024451B">
        <w:t xml:space="preserve"> of article 9</w:t>
      </w:r>
      <w:r w:rsidR="009F18E6" w:rsidRPr="0024451B">
        <w:t>(2)</w:t>
      </w:r>
      <w:r w:rsidR="009A08B0" w:rsidRPr="0024451B">
        <w:t>.</w:t>
      </w:r>
      <w:r w:rsidR="009A08B0" w:rsidRPr="0024451B">
        <w:rPr>
          <w:rStyle w:val="FootnoteReference"/>
        </w:rPr>
        <w:footnoteReference w:id="36"/>
      </w:r>
    </w:p>
    <w:p w14:paraId="25E1484F" w14:textId="77777777" w:rsidR="00CE0DFE" w:rsidRPr="0024451B" w:rsidRDefault="00CE0DFE" w:rsidP="005D0025">
      <w:pPr>
        <w:pStyle w:val="SingleTxtG"/>
        <w:numPr>
          <w:ilvl w:val="0"/>
          <w:numId w:val="3"/>
        </w:numPr>
        <w:tabs>
          <w:tab w:val="clear" w:pos="1711"/>
          <w:tab w:val="num" w:pos="1134"/>
        </w:tabs>
        <w:ind w:left="1170" w:right="0" w:firstLine="34"/>
        <w:rPr>
          <w:bCs/>
          <w:iCs/>
        </w:rPr>
      </w:pPr>
      <w:bookmarkStart w:id="15" w:name="_Ref19187365"/>
      <w:r w:rsidRPr="0024451B">
        <w:rPr>
          <w:bCs/>
          <w:iCs/>
        </w:rPr>
        <w:t xml:space="preserve">The Party concerned </w:t>
      </w:r>
      <w:r w:rsidR="00397F09" w:rsidRPr="0024451B">
        <w:rPr>
          <w:bCs/>
          <w:iCs/>
        </w:rPr>
        <w:t>further</w:t>
      </w:r>
      <w:r w:rsidRPr="0024451B">
        <w:rPr>
          <w:bCs/>
          <w:iCs/>
        </w:rPr>
        <w:t xml:space="preserve"> submits that the criteria for standing </w:t>
      </w:r>
      <w:r w:rsidR="00E10AA7" w:rsidRPr="0024451B">
        <w:rPr>
          <w:bCs/>
          <w:iCs/>
        </w:rPr>
        <w:t xml:space="preserve">established in its domestic case law </w:t>
      </w:r>
      <w:r w:rsidRPr="0024451B">
        <w:rPr>
          <w:bCs/>
          <w:iCs/>
        </w:rPr>
        <w:t>are objective, and that the administrative courts’ approach to assessing whether or not they have been met is flexible and in accordance with the Convention’s objective of granting the public concerned wide access to justice, while at the same time being concerned not to encourage people to bring proceedings where the effect on their legitimate interests has not been sufficiently established.</w:t>
      </w:r>
      <w:r w:rsidRPr="0024451B">
        <w:rPr>
          <w:rStyle w:val="FootnoteReference"/>
          <w:bCs/>
          <w:iCs/>
        </w:rPr>
        <w:footnoteReference w:id="37"/>
      </w:r>
      <w:bookmarkEnd w:id="15"/>
    </w:p>
    <w:p w14:paraId="4E9FB58C" w14:textId="3E97DA76" w:rsidR="00E10AA7" w:rsidRPr="0024451B" w:rsidRDefault="00E10AA7" w:rsidP="005D0025">
      <w:pPr>
        <w:pStyle w:val="SingleTxtG"/>
        <w:numPr>
          <w:ilvl w:val="0"/>
          <w:numId w:val="3"/>
        </w:numPr>
        <w:tabs>
          <w:tab w:val="clear" w:pos="1711"/>
          <w:tab w:val="num" w:pos="1134"/>
        </w:tabs>
        <w:ind w:left="1170" w:right="0" w:firstLine="34"/>
        <w:rPr>
          <w:bCs/>
          <w:iCs/>
        </w:rPr>
      </w:pPr>
      <w:r w:rsidRPr="0024451B">
        <w:rPr>
          <w:bCs/>
          <w:iCs/>
        </w:rPr>
        <w:t>The Party concerned submits specifically with respect to natural persons challenging regulatory acts that the principles applied by the courts in determining standing achieve a balance which guarantees a right of appeal to protect individual interests, while refusing to recognise a right of appeal in the public interest (</w:t>
      </w:r>
      <w:proofErr w:type="spellStart"/>
      <w:r w:rsidRPr="0024451B">
        <w:rPr>
          <w:i/>
          <w:iCs/>
        </w:rPr>
        <w:t>actio</w:t>
      </w:r>
      <w:proofErr w:type="spellEnd"/>
      <w:r w:rsidRPr="0024451B">
        <w:rPr>
          <w:i/>
          <w:iCs/>
        </w:rPr>
        <w:t xml:space="preserve"> </w:t>
      </w:r>
      <w:proofErr w:type="spellStart"/>
      <w:r w:rsidRPr="0024451B">
        <w:rPr>
          <w:i/>
          <w:iCs/>
        </w:rPr>
        <w:t>popularis</w:t>
      </w:r>
      <w:proofErr w:type="spellEnd"/>
      <w:r w:rsidRPr="0024451B">
        <w:rPr>
          <w:bCs/>
          <w:iCs/>
        </w:rPr>
        <w:t>). Thus, the applicant who presents himself as a consumer, a citizen, or a taxpayer in the broad sense does not have a personal, direct or certain interest and the mere defen</w:t>
      </w:r>
      <w:r w:rsidR="00BC7EFB" w:rsidRPr="0024451B">
        <w:rPr>
          <w:bCs/>
          <w:iCs/>
        </w:rPr>
        <w:t>c</w:t>
      </w:r>
      <w:r w:rsidRPr="0024451B">
        <w:rPr>
          <w:bCs/>
          <w:iCs/>
        </w:rPr>
        <w:t xml:space="preserve">e of legality is not sufficient to establish such an interest. The Party concerned refers to a number of decisions of the Conseil </w:t>
      </w:r>
      <w:proofErr w:type="spellStart"/>
      <w:r w:rsidRPr="0024451B">
        <w:rPr>
          <w:bCs/>
          <w:iCs/>
        </w:rPr>
        <w:t>d’État</w:t>
      </w:r>
      <w:proofErr w:type="spellEnd"/>
      <w:r w:rsidRPr="0024451B">
        <w:rPr>
          <w:bCs/>
          <w:iCs/>
        </w:rPr>
        <w:t>, which it submits support its position in this regard.</w:t>
      </w:r>
      <w:r w:rsidRPr="0024451B">
        <w:rPr>
          <w:rStyle w:val="FootnoteReference"/>
        </w:rPr>
        <w:footnoteReference w:id="38"/>
      </w:r>
    </w:p>
    <w:p w14:paraId="60049433" w14:textId="2B2F0507" w:rsidR="003B12A8" w:rsidRPr="0024451B" w:rsidRDefault="00C35F0E" w:rsidP="005D0025">
      <w:pPr>
        <w:pStyle w:val="SingleTxtG"/>
        <w:numPr>
          <w:ilvl w:val="0"/>
          <w:numId w:val="3"/>
        </w:numPr>
        <w:tabs>
          <w:tab w:val="clear" w:pos="1711"/>
          <w:tab w:val="num" w:pos="1134"/>
        </w:tabs>
        <w:ind w:left="1170" w:right="0" w:firstLine="34"/>
        <w:rPr>
          <w:bCs/>
          <w:iCs/>
        </w:rPr>
      </w:pPr>
      <w:r w:rsidRPr="0024451B">
        <w:rPr>
          <w:bCs/>
          <w:iCs/>
        </w:rPr>
        <w:t xml:space="preserve"> T</w:t>
      </w:r>
      <w:r w:rsidR="009A08B0" w:rsidRPr="0024451B">
        <w:rPr>
          <w:bCs/>
          <w:iCs/>
        </w:rPr>
        <w:t xml:space="preserve">he Party concerned </w:t>
      </w:r>
      <w:r w:rsidR="00CE5F38" w:rsidRPr="0024451B">
        <w:rPr>
          <w:bCs/>
          <w:iCs/>
        </w:rPr>
        <w:t xml:space="preserve">provides </w:t>
      </w:r>
      <w:r w:rsidR="00314B06" w:rsidRPr="0024451B">
        <w:rPr>
          <w:bCs/>
          <w:iCs/>
        </w:rPr>
        <w:t xml:space="preserve">case </w:t>
      </w:r>
      <w:r w:rsidR="00C57669" w:rsidRPr="0024451B">
        <w:rPr>
          <w:bCs/>
          <w:iCs/>
        </w:rPr>
        <w:t>examples</w:t>
      </w:r>
      <w:r w:rsidR="00CE5F38" w:rsidRPr="0024451B">
        <w:rPr>
          <w:bCs/>
          <w:iCs/>
        </w:rPr>
        <w:t xml:space="preserve"> of </w:t>
      </w:r>
      <w:r w:rsidR="00314B06" w:rsidRPr="0024451B">
        <w:rPr>
          <w:bCs/>
          <w:iCs/>
        </w:rPr>
        <w:t xml:space="preserve">judicial </w:t>
      </w:r>
      <w:r w:rsidR="00CE5F38" w:rsidRPr="0024451B">
        <w:rPr>
          <w:bCs/>
          <w:iCs/>
        </w:rPr>
        <w:t>assess</w:t>
      </w:r>
      <w:r w:rsidR="00314B06" w:rsidRPr="0024451B">
        <w:rPr>
          <w:bCs/>
          <w:iCs/>
        </w:rPr>
        <w:t>ments</w:t>
      </w:r>
      <w:r w:rsidR="007019D4" w:rsidRPr="0024451B">
        <w:rPr>
          <w:bCs/>
          <w:iCs/>
        </w:rPr>
        <w:t xml:space="preserve"> </w:t>
      </w:r>
      <w:r w:rsidR="00BC7EFB" w:rsidRPr="0024451B">
        <w:rPr>
          <w:bCs/>
          <w:iCs/>
        </w:rPr>
        <w:t xml:space="preserve">of </w:t>
      </w:r>
      <w:r w:rsidR="00C57669" w:rsidRPr="0024451B">
        <w:rPr>
          <w:bCs/>
          <w:iCs/>
        </w:rPr>
        <w:t xml:space="preserve">whether the criteria for </w:t>
      </w:r>
      <w:r w:rsidR="007019D4" w:rsidRPr="0024451B">
        <w:rPr>
          <w:bCs/>
          <w:iCs/>
        </w:rPr>
        <w:t xml:space="preserve">standing </w:t>
      </w:r>
      <w:r w:rsidR="00C57669" w:rsidRPr="0024451B">
        <w:rPr>
          <w:bCs/>
          <w:iCs/>
        </w:rPr>
        <w:t xml:space="preserve">were fulfilled </w:t>
      </w:r>
      <w:r w:rsidR="007019D4" w:rsidRPr="0024451B">
        <w:rPr>
          <w:bCs/>
          <w:iCs/>
        </w:rPr>
        <w:t>in various contexts</w:t>
      </w:r>
      <w:r w:rsidR="00C57669" w:rsidRPr="0024451B">
        <w:rPr>
          <w:bCs/>
          <w:iCs/>
        </w:rPr>
        <w:t>. It</w:t>
      </w:r>
      <w:r w:rsidR="00CE5F38" w:rsidRPr="0024451B">
        <w:rPr>
          <w:bCs/>
          <w:iCs/>
        </w:rPr>
        <w:t xml:space="preserve"> </w:t>
      </w:r>
      <w:r w:rsidR="009A08B0" w:rsidRPr="0024451B">
        <w:rPr>
          <w:bCs/>
          <w:iCs/>
        </w:rPr>
        <w:t xml:space="preserve">submits that </w:t>
      </w:r>
      <w:r w:rsidR="00CE1DF9" w:rsidRPr="0024451B">
        <w:rPr>
          <w:bCs/>
          <w:iCs/>
        </w:rPr>
        <w:t xml:space="preserve">the legal interest of </w:t>
      </w:r>
      <w:r w:rsidR="009A08B0" w:rsidRPr="0024451B">
        <w:rPr>
          <w:bCs/>
          <w:iCs/>
        </w:rPr>
        <w:t xml:space="preserve">actors other than </w:t>
      </w:r>
      <w:r w:rsidR="00BC7EFB" w:rsidRPr="0024451B">
        <w:rPr>
          <w:bCs/>
          <w:iCs/>
        </w:rPr>
        <w:t xml:space="preserve">environmental </w:t>
      </w:r>
      <w:r w:rsidR="009A08B0" w:rsidRPr="0024451B">
        <w:rPr>
          <w:bCs/>
          <w:iCs/>
        </w:rPr>
        <w:t>associations is widely recognized</w:t>
      </w:r>
      <w:r w:rsidR="00BC7EFB" w:rsidRPr="0024451B">
        <w:rPr>
          <w:bCs/>
          <w:iCs/>
        </w:rPr>
        <w:t xml:space="preserve"> and enables such actors </w:t>
      </w:r>
      <w:r w:rsidR="009A08B0" w:rsidRPr="0024451B">
        <w:rPr>
          <w:bCs/>
          <w:iCs/>
        </w:rPr>
        <w:t xml:space="preserve">to have </w:t>
      </w:r>
      <w:r w:rsidR="00CE1DF9" w:rsidRPr="0024451B">
        <w:rPr>
          <w:bCs/>
          <w:iCs/>
        </w:rPr>
        <w:t>wide access to the courtroom provided certain conditions are satisfied</w:t>
      </w:r>
      <w:r w:rsidR="00856E86" w:rsidRPr="0024451B">
        <w:rPr>
          <w:bCs/>
          <w:iCs/>
        </w:rPr>
        <w:t>.</w:t>
      </w:r>
      <w:r w:rsidR="003E4067" w:rsidRPr="0024451B">
        <w:rPr>
          <w:rStyle w:val="FootnoteReference"/>
          <w:bCs/>
          <w:iCs/>
        </w:rPr>
        <w:footnoteReference w:id="39"/>
      </w:r>
    </w:p>
    <w:p w14:paraId="2DFFF79B" w14:textId="7384AACF" w:rsidR="005E7F04" w:rsidRPr="0024451B" w:rsidRDefault="005E7F04" w:rsidP="00A606F9">
      <w:pPr>
        <w:pStyle w:val="SingleTxtG"/>
        <w:numPr>
          <w:ilvl w:val="0"/>
          <w:numId w:val="3"/>
        </w:numPr>
        <w:tabs>
          <w:tab w:val="clear" w:pos="1711"/>
          <w:tab w:val="num" w:pos="1134"/>
        </w:tabs>
        <w:ind w:left="1170" w:right="0" w:firstLine="34"/>
        <w:rPr>
          <w:bCs/>
          <w:iCs/>
        </w:rPr>
      </w:pPr>
      <w:r w:rsidRPr="0024451B">
        <w:t xml:space="preserve"> W</w:t>
      </w:r>
      <w:r w:rsidR="00005071" w:rsidRPr="0024451B">
        <w:t xml:space="preserve">ith respect </w:t>
      </w:r>
      <w:r w:rsidR="0046251E" w:rsidRPr="0024451B">
        <w:t xml:space="preserve">to the </w:t>
      </w:r>
      <w:r w:rsidR="0046251E" w:rsidRPr="0024451B">
        <w:rPr>
          <w:bCs/>
          <w:iCs/>
        </w:rPr>
        <w:t xml:space="preserve">communicant’s challenge of the 2015 Order, </w:t>
      </w:r>
      <w:r w:rsidR="00005071" w:rsidRPr="0024451B">
        <w:t xml:space="preserve">the Party concerned </w:t>
      </w:r>
      <w:r w:rsidR="0046251E" w:rsidRPr="0024451B">
        <w:t>submits</w:t>
      </w:r>
      <w:r w:rsidR="00382B3B" w:rsidRPr="0024451B">
        <w:t xml:space="preserve"> that</w:t>
      </w:r>
      <w:r w:rsidR="00005071" w:rsidRPr="0024451B">
        <w:t xml:space="preserve"> </w:t>
      </w:r>
      <w:r w:rsidR="005C5A54" w:rsidRPr="0024451B">
        <w:rPr>
          <w:bCs/>
          <w:iCs/>
        </w:rPr>
        <w:t xml:space="preserve">the Conseil </w:t>
      </w:r>
      <w:proofErr w:type="spellStart"/>
      <w:r w:rsidR="005C5A54" w:rsidRPr="0024451B">
        <w:rPr>
          <w:bCs/>
          <w:iCs/>
        </w:rPr>
        <w:t>d’État’s</w:t>
      </w:r>
      <w:proofErr w:type="spellEnd"/>
      <w:r w:rsidR="005C5A54" w:rsidRPr="0024451B">
        <w:rPr>
          <w:bCs/>
          <w:iCs/>
        </w:rPr>
        <w:t xml:space="preserve"> application of the criteria for standing in the communicant’s case is consistent with well-established, relevant administrative case law, and submits that in dismissing the communicant’s application, the Conseil </w:t>
      </w:r>
      <w:proofErr w:type="spellStart"/>
      <w:r w:rsidR="005C5A54" w:rsidRPr="0024451B">
        <w:rPr>
          <w:bCs/>
          <w:iCs/>
        </w:rPr>
        <w:t>d’État</w:t>
      </w:r>
      <w:proofErr w:type="spellEnd"/>
      <w:r w:rsidR="005C5A54" w:rsidRPr="0024451B">
        <w:rPr>
          <w:bCs/>
          <w:iCs/>
        </w:rPr>
        <w:t xml:space="preserve"> did not fail to comply with article 9</w:t>
      </w:r>
      <w:r w:rsidR="0084408F" w:rsidRPr="0024451B">
        <w:rPr>
          <w:bCs/>
          <w:iCs/>
        </w:rPr>
        <w:t xml:space="preserve"> of the Convention</w:t>
      </w:r>
      <w:r w:rsidR="005C5A54" w:rsidRPr="0024451B">
        <w:rPr>
          <w:bCs/>
          <w:iCs/>
        </w:rPr>
        <w:t>.</w:t>
      </w:r>
      <w:r w:rsidR="005C5A54" w:rsidRPr="0024451B">
        <w:rPr>
          <w:rStyle w:val="FootnoteReference"/>
          <w:bCs/>
          <w:iCs/>
        </w:rPr>
        <w:footnoteReference w:id="40"/>
      </w:r>
      <w:r w:rsidR="00BC7EFB" w:rsidRPr="0024451B">
        <w:rPr>
          <w:bCs/>
          <w:iCs/>
        </w:rPr>
        <w:t xml:space="preserve"> </w:t>
      </w:r>
    </w:p>
    <w:p w14:paraId="2F9CB775" w14:textId="79C39154" w:rsidR="00F82F4B" w:rsidRPr="0024451B" w:rsidRDefault="005E7F04" w:rsidP="00A93AA3">
      <w:pPr>
        <w:pStyle w:val="SingleTxtG"/>
        <w:numPr>
          <w:ilvl w:val="0"/>
          <w:numId w:val="3"/>
        </w:numPr>
        <w:tabs>
          <w:tab w:val="clear" w:pos="1711"/>
          <w:tab w:val="num" w:pos="1134"/>
        </w:tabs>
        <w:ind w:left="1170" w:right="0" w:firstLine="34"/>
      </w:pPr>
      <w:r w:rsidRPr="0024451B">
        <w:rPr>
          <w:bCs/>
          <w:iCs/>
        </w:rPr>
        <w:t>T</w:t>
      </w:r>
      <w:r w:rsidR="003F45F3" w:rsidRPr="0024451B">
        <w:rPr>
          <w:bCs/>
          <w:iCs/>
        </w:rPr>
        <w:t>he Party concern</w:t>
      </w:r>
      <w:r w:rsidR="00C27622" w:rsidRPr="0024451B">
        <w:rPr>
          <w:bCs/>
          <w:iCs/>
        </w:rPr>
        <w:t>ed</w:t>
      </w:r>
      <w:r w:rsidR="003F45F3" w:rsidRPr="0024451B">
        <w:rPr>
          <w:bCs/>
          <w:iCs/>
        </w:rPr>
        <w:t xml:space="preserve"> submits that the communicant is not justified in maintaining that article 9 </w:t>
      </w:r>
      <w:r w:rsidR="00C40BDF" w:rsidRPr="0024451B">
        <w:rPr>
          <w:bCs/>
          <w:iCs/>
        </w:rPr>
        <w:t xml:space="preserve">of the Convention </w:t>
      </w:r>
      <w:r w:rsidR="003F45F3" w:rsidRPr="0024451B">
        <w:rPr>
          <w:bCs/>
          <w:iCs/>
        </w:rPr>
        <w:t xml:space="preserve">gives everyone a right to </w:t>
      </w:r>
      <w:r w:rsidR="00C27622" w:rsidRPr="0024451B">
        <w:rPr>
          <w:bCs/>
          <w:iCs/>
        </w:rPr>
        <w:t xml:space="preserve">a </w:t>
      </w:r>
      <w:r w:rsidR="003F45F3" w:rsidRPr="0024451B">
        <w:rPr>
          <w:bCs/>
          <w:iCs/>
        </w:rPr>
        <w:t>judicial remedy against any decision likely to affect the environment</w:t>
      </w:r>
      <w:r w:rsidR="00D86BD3" w:rsidRPr="0024451B">
        <w:rPr>
          <w:bCs/>
          <w:iCs/>
        </w:rPr>
        <w:t>.  The Party concerned also submits</w:t>
      </w:r>
      <w:r w:rsidR="003F45F3" w:rsidRPr="0024451B">
        <w:rPr>
          <w:bCs/>
          <w:iCs/>
        </w:rPr>
        <w:t xml:space="preserve"> that </w:t>
      </w:r>
      <w:r w:rsidR="00315EF1" w:rsidRPr="0024451B">
        <w:rPr>
          <w:bCs/>
          <w:iCs/>
        </w:rPr>
        <w:t>a</w:t>
      </w:r>
      <w:r w:rsidR="003F45F3" w:rsidRPr="0024451B">
        <w:rPr>
          <w:bCs/>
          <w:iCs/>
        </w:rPr>
        <w:t>rticle 9</w:t>
      </w:r>
      <w:r w:rsidR="00A87362" w:rsidRPr="0024451B">
        <w:rPr>
          <w:bCs/>
          <w:iCs/>
        </w:rPr>
        <w:t>(</w:t>
      </w:r>
      <w:r w:rsidR="003F45F3" w:rsidRPr="0024451B">
        <w:rPr>
          <w:bCs/>
          <w:iCs/>
        </w:rPr>
        <w:t>2</w:t>
      </w:r>
      <w:r w:rsidR="00A87362" w:rsidRPr="0024451B">
        <w:rPr>
          <w:bCs/>
          <w:iCs/>
        </w:rPr>
        <w:t>)</w:t>
      </w:r>
      <w:r w:rsidR="003F45F3" w:rsidRPr="0024451B">
        <w:rPr>
          <w:bCs/>
          <w:iCs/>
        </w:rPr>
        <w:t xml:space="preserve"> and </w:t>
      </w:r>
      <w:r w:rsidR="00A87362" w:rsidRPr="0024451B">
        <w:rPr>
          <w:bCs/>
          <w:iCs/>
        </w:rPr>
        <w:t>(</w:t>
      </w:r>
      <w:r w:rsidR="003F45F3" w:rsidRPr="0024451B">
        <w:rPr>
          <w:bCs/>
          <w:iCs/>
        </w:rPr>
        <w:t>3</w:t>
      </w:r>
      <w:r w:rsidR="00A87362" w:rsidRPr="0024451B">
        <w:rPr>
          <w:bCs/>
          <w:iCs/>
        </w:rPr>
        <w:t>)</w:t>
      </w:r>
      <w:r w:rsidR="003F45F3" w:rsidRPr="0024451B">
        <w:rPr>
          <w:bCs/>
          <w:iCs/>
        </w:rPr>
        <w:t xml:space="preserve"> do not </w:t>
      </w:r>
      <w:r w:rsidR="0084408F" w:rsidRPr="0024451B">
        <w:rPr>
          <w:bCs/>
          <w:iCs/>
        </w:rPr>
        <w:t>require</w:t>
      </w:r>
      <w:r w:rsidR="003F45F3" w:rsidRPr="0024451B">
        <w:rPr>
          <w:bCs/>
          <w:iCs/>
        </w:rPr>
        <w:t xml:space="preserve"> that</w:t>
      </w:r>
      <w:r w:rsidR="0084408F" w:rsidRPr="0024451B">
        <w:rPr>
          <w:bCs/>
          <w:iCs/>
        </w:rPr>
        <w:t xml:space="preserve"> every person who take</w:t>
      </w:r>
      <w:r w:rsidR="003F45F3" w:rsidRPr="0024451B">
        <w:rPr>
          <w:bCs/>
          <w:iCs/>
        </w:rPr>
        <w:t xml:space="preserve"> </w:t>
      </w:r>
      <w:r w:rsidR="0084408F" w:rsidRPr="0024451B">
        <w:rPr>
          <w:bCs/>
          <w:iCs/>
        </w:rPr>
        <w:t xml:space="preserve">parts </w:t>
      </w:r>
      <w:r w:rsidR="003F45F3" w:rsidRPr="0024451B">
        <w:rPr>
          <w:bCs/>
          <w:iCs/>
        </w:rPr>
        <w:t xml:space="preserve">in </w:t>
      </w:r>
      <w:r w:rsidR="0084408F" w:rsidRPr="0024451B">
        <w:rPr>
          <w:bCs/>
          <w:iCs/>
        </w:rPr>
        <w:t xml:space="preserve">a </w:t>
      </w:r>
      <w:r w:rsidR="003F45F3" w:rsidRPr="0024451B">
        <w:rPr>
          <w:bCs/>
          <w:iCs/>
        </w:rPr>
        <w:t xml:space="preserve">public participation procedure </w:t>
      </w:r>
      <w:r w:rsidR="0084408F" w:rsidRPr="0024451B">
        <w:rPr>
          <w:bCs/>
          <w:iCs/>
        </w:rPr>
        <w:t xml:space="preserve">regarding </w:t>
      </w:r>
      <w:r w:rsidR="003F45F3" w:rsidRPr="0024451B">
        <w:rPr>
          <w:bCs/>
          <w:iCs/>
        </w:rPr>
        <w:t xml:space="preserve">a draft decision likely to affect the environment </w:t>
      </w:r>
      <w:r w:rsidR="0084408F" w:rsidRPr="0024451B">
        <w:rPr>
          <w:bCs/>
          <w:iCs/>
        </w:rPr>
        <w:t xml:space="preserve">should be given </w:t>
      </w:r>
      <w:r w:rsidR="003F45F3" w:rsidRPr="0024451B">
        <w:rPr>
          <w:bCs/>
          <w:iCs/>
        </w:rPr>
        <w:t xml:space="preserve">legal standing to challenge </w:t>
      </w:r>
      <w:r w:rsidR="0084408F" w:rsidRPr="0024451B">
        <w:rPr>
          <w:bCs/>
          <w:iCs/>
        </w:rPr>
        <w:t>that decision</w:t>
      </w:r>
      <w:r w:rsidR="003F45F3" w:rsidRPr="0024451B">
        <w:rPr>
          <w:bCs/>
          <w:iCs/>
        </w:rPr>
        <w:t>, in the absence of provisions of national law to that effect.</w:t>
      </w:r>
      <w:r w:rsidR="003F45F3" w:rsidRPr="0024451B">
        <w:rPr>
          <w:rStyle w:val="FootnoteReference"/>
          <w:bCs/>
          <w:iCs/>
        </w:rPr>
        <w:footnoteReference w:id="41"/>
      </w:r>
      <w:r w:rsidR="00AD7F24" w:rsidRPr="0024451B">
        <w:t xml:space="preserve"> </w:t>
      </w:r>
      <w:r w:rsidR="0084408F" w:rsidRPr="0024451B">
        <w:t xml:space="preserve">In this regard, </w:t>
      </w:r>
      <w:r w:rsidR="00AD7F24" w:rsidRPr="0024451B">
        <w:t xml:space="preserve">Party concerned submits that the provisions of national law </w:t>
      </w:r>
      <w:r w:rsidR="0084408F" w:rsidRPr="0024451B">
        <w:t xml:space="preserve">regarding </w:t>
      </w:r>
      <w:r w:rsidR="00AD7F24" w:rsidRPr="0024451B">
        <w:t>public participation in decision-making covered by article 8 do not provide a specific procedure for judicial remedy.</w:t>
      </w:r>
      <w:r w:rsidR="00AD7F24" w:rsidRPr="0024451B">
        <w:rPr>
          <w:rStyle w:val="FootnoteReference"/>
          <w:bCs/>
          <w:iCs/>
        </w:rPr>
        <w:footnoteReference w:id="42"/>
      </w:r>
      <w:r w:rsidR="00D44985" w:rsidRPr="0024451B">
        <w:t xml:space="preserve"> </w:t>
      </w:r>
      <w:r w:rsidR="00A93AA3" w:rsidRPr="0024451B">
        <w:t>R</w:t>
      </w:r>
      <w:r w:rsidR="007C7134" w:rsidRPr="0024451B">
        <w:t xml:space="preserve">ather </w:t>
      </w:r>
      <w:r w:rsidR="004A1707" w:rsidRPr="0024451B">
        <w:t xml:space="preserve">the availability of </w:t>
      </w:r>
      <w:r w:rsidR="00C27622" w:rsidRPr="0024451B">
        <w:t xml:space="preserve">a </w:t>
      </w:r>
      <w:r w:rsidR="004A1707" w:rsidRPr="0024451B">
        <w:t xml:space="preserve">judicial remedy </w:t>
      </w:r>
      <w:r w:rsidR="00E170D1" w:rsidRPr="0024451B">
        <w:t xml:space="preserve">in </w:t>
      </w:r>
      <w:r w:rsidR="00A75138" w:rsidRPr="0024451B">
        <w:t>such cases</w:t>
      </w:r>
      <w:r w:rsidR="004A1707" w:rsidRPr="0024451B">
        <w:t xml:space="preserve"> is </w:t>
      </w:r>
      <w:r w:rsidR="00516182" w:rsidRPr="0024451B">
        <w:t xml:space="preserve">to be </w:t>
      </w:r>
      <w:r w:rsidR="004A1707" w:rsidRPr="0024451B">
        <w:t xml:space="preserve">determined in accordance with the </w:t>
      </w:r>
      <w:r w:rsidR="00A75138" w:rsidRPr="0024451B">
        <w:t>rules of ordinary law</w:t>
      </w:r>
      <w:r w:rsidR="009A5AFA" w:rsidRPr="0024451B">
        <w:t>,</w:t>
      </w:r>
      <w:r w:rsidR="00A75138" w:rsidRPr="0024451B">
        <w:t xml:space="preserve"> </w:t>
      </w:r>
      <w:r w:rsidR="003E2289" w:rsidRPr="0024451B">
        <w:t xml:space="preserve">including </w:t>
      </w:r>
      <w:r w:rsidR="00A75138" w:rsidRPr="0024451B">
        <w:t>the case</w:t>
      </w:r>
      <w:r w:rsidR="009A5AFA" w:rsidRPr="0024451B">
        <w:t xml:space="preserve"> </w:t>
      </w:r>
      <w:r w:rsidR="00A75138" w:rsidRPr="0024451B">
        <w:t>law of the administrative courts</w:t>
      </w:r>
      <w:r w:rsidR="00516182" w:rsidRPr="0024451B">
        <w:t>.</w:t>
      </w:r>
      <w:r w:rsidR="00516182" w:rsidRPr="0024451B">
        <w:rPr>
          <w:rStyle w:val="FootnoteReference"/>
          <w:bCs/>
          <w:iCs/>
        </w:rPr>
        <w:footnoteReference w:id="43"/>
      </w:r>
      <w:r w:rsidR="00F82F4B" w:rsidRPr="0024451B">
        <w:rPr>
          <w:bCs/>
          <w:iCs/>
        </w:rPr>
        <w:t xml:space="preserve"> </w:t>
      </w:r>
    </w:p>
    <w:p w14:paraId="2A36C598" w14:textId="64005E7A" w:rsidR="005C5A54" w:rsidRPr="0024451B" w:rsidRDefault="00F82F4B" w:rsidP="005D0025">
      <w:pPr>
        <w:pStyle w:val="SingleTxtG"/>
        <w:numPr>
          <w:ilvl w:val="0"/>
          <w:numId w:val="3"/>
        </w:numPr>
        <w:tabs>
          <w:tab w:val="clear" w:pos="1711"/>
          <w:tab w:val="num" w:pos="1134"/>
        </w:tabs>
        <w:ind w:left="1170" w:right="0" w:firstLine="34"/>
        <w:rPr>
          <w:bCs/>
          <w:iCs/>
        </w:rPr>
      </w:pPr>
      <w:r w:rsidRPr="0024451B">
        <w:rPr>
          <w:bCs/>
          <w:iCs/>
        </w:rPr>
        <w:t>Th</w:t>
      </w:r>
      <w:r w:rsidR="00803DDA" w:rsidRPr="0024451B">
        <w:rPr>
          <w:bCs/>
          <w:iCs/>
        </w:rPr>
        <w:t xml:space="preserve">e Party concerned </w:t>
      </w:r>
      <w:r w:rsidR="00BD282E" w:rsidRPr="0024451B">
        <w:rPr>
          <w:bCs/>
          <w:iCs/>
        </w:rPr>
        <w:t xml:space="preserve">submits that the communicant’s personal situation was </w:t>
      </w:r>
      <w:r w:rsidR="00BD282E" w:rsidRPr="0024451B">
        <w:t xml:space="preserve">effectively taken into consideration by the </w:t>
      </w:r>
      <w:r w:rsidR="0025084D" w:rsidRPr="0024451B">
        <w:rPr>
          <w:bCs/>
          <w:iCs/>
        </w:rPr>
        <w:t xml:space="preserve">Conseil </w:t>
      </w:r>
      <w:proofErr w:type="spellStart"/>
      <w:r w:rsidR="0025084D" w:rsidRPr="0024451B">
        <w:rPr>
          <w:bCs/>
          <w:iCs/>
        </w:rPr>
        <w:t>d’État</w:t>
      </w:r>
      <w:proofErr w:type="spellEnd"/>
      <w:r w:rsidR="00E75B26" w:rsidRPr="0024451B">
        <w:t>. It points out that</w:t>
      </w:r>
      <w:r w:rsidR="008B3876" w:rsidRPr="0024451B">
        <w:rPr>
          <w:bCs/>
          <w:iCs/>
        </w:rPr>
        <w:t xml:space="preserve"> </w:t>
      </w:r>
      <w:r w:rsidR="00803DDA" w:rsidRPr="0024451B">
        <w:rPr>
          <w:bCs/>
          <w:iCs/>
        </w:rPr>
        <w:t xml:space="preserve">while the communicant’s </w:t>
      </w:r>
      <w:r w:rsidR="008B3876" w:rsidRPr="0024451B">
        <w:rPr>
          <w:bCs/>
          <w:iCs/>
        </w:rPr>
        <w:t>interest in wild</w:t>
      </w:r>
      <w:r w:rsidR="00803DDA" w:rsidRPr="0024451B">
        <w:rPr>
          <w:bCs/>
          <w:iCs/>
        </w:rPr>
        <w:t>life conservation and the fact that he took part in the publ</w:t>
      </w:r>
      <w:r w:rsidR="008B3876" w:rsidRPr="0024451B">
        <w:rPr>
          <w:bCs/>
          <w:iCs/>
        </w:rPr>
        <w:t xml:space="preserve">ic participation procedure are </w:t>
      </w:r>
      <w:r w:rsidR="00803DDA" w:rsidRPr="0024451B">
        <w:rPr>
          <w:bCs/>
          <w:iCs/>
        </w:rPr>
        <w:t>related to the subject matter of the contested decision</w:t>
      </w:r>
      <w:r w:rsidR="008B3876" w:rsidRPr="0024451B">
        <w:rPr>
          <w:bCs/>
          <w:iCs/>
        </w:rPr>
        <w:t xml:space="preserve">, </w:t>
      </w:r>
      <w:r w:rsidR="00B00EFA" w:rsidRPr="0024451B">
        <w:t xml:space="preserve">the </w:t>
      </w:r>
      <w:r w:rsidR="00B00EFA" w:rsidRPr="0024451B">
        <w:rPr>
          <w:bCs/>
          <w:iCs/>
        </w:rPr>
        <w:t xml:space="preserve">Conseil </w:t>
      </w:r>
      <w:proofErr w:type="spellStart"/>
      <w:r w:rsidR="00B00EFA" w:rsidRPr="0024451B">
        <w:rPr>
          <w:bCs/>
          <w:iCs/>
        </w:rPr>
        <w:t>d’État</w:t>
      </w:r>
      <w:proofErr w:type="spellEnd"/>
      <w:r w:rsidR="00B00EFA" w:rsidRPr="0024451B">
        <w:rPr>
          <w:bCs/>
          <w:iCs/>
        </w:rPr>
        <w:t xml:space="preserve"> found that </w:t>
      </w:r>
      <w:r w:rsidR="00803DDA" w:rsidRPr="0024451B">
        <w:rPr>
          <w:bCs/>
          <w:iCs/>
        </w:rPr>
        <w:t xml:space="preserve">they </w:t>
      </w:r>
      <w:r w:rsidR="008B3876" w:rsidRPr="0024451B">
        <w:rPr>
          <w:bCs/>
          <w:iCs/>
        </w:rPr>
        <w:t xml:space="preserve">did not </w:t>
      </w:r>
      <w:r w:rsidR="00803DDA" w:rsidRPr="0024451B">
        <w:rPr>
          <w:bCs/>
          <w:iCs/>
        </w:rPr>
        <w:t xml:space="preserve">amount to circumstances </w:t>
      </w:r>
      <w:r w:rsidR="00803DDA" w:rsidRPr="0024451B">
        <w:t xml:space="preserve">demonstrating that the act he </w:t>
      </w:r>
      <w:r w:rsidR="002B68BD" w:rsidRPr="0024451B">
        <w:rPr>
          <w:bCs/>
          <w:iCs/>
        </w:rPr>
        <w:t>wa</w:t>
      </w:r>
      <w:r w:rsidR="00803DDA" w:rsidRPr="0024451B">
        <w:rPr>
          <w:bCs/>
          <w:iCs/>
        </w:rPr>
        <w:t>s</w:t>
      </w:r>
      <w:r w:rsidR="00803DDA" w:rsidRPr="0024451B">
        <w:t xml:space="preserve"> seeking to have annulled pl</w:t>
      </w:r>
      <w:r w:rsidR="008B3876" w:rsidRPr="0024451B">
        <w:t>aced him in a special position</w:t>
      </w:r>
      <w:r w:rsidR="008B3876" w:rsidRPr="0024451B">
        <w:rPr>
          <w:bCs/>
          <w:iCs/>
        </w:rPr>
        <w:t>, and t</w:t>
      </w:r>
      <w:r w:rsidR="00803DDA" w:rsidRPr="0024451B">
        <w:rPr>
          <w:bCs/>
          <w:iCs/>
        </w:rPr>
        <w:t xml:space="preserve">herefore the </w:t>
      </w:r>
      <w:r w:rsidR="008B3876" w:rsidRPr="0024451B">
        <w:rPr>
          <w:bCs/>
          <w:iCs/>
        </w:rPr>
        <w:t xml:space="preserve">communicant’s </w:t>
      </w:r>
      <w:r w:rsidR="00803DDA" w:rsidRPr="0024451B">
        <w:rPr>
          <w:bCs/>
          <w:iCs/>
        </w:rPr>
        <w:t xml:space="preserve">interest </w:t>
      </w:r>
      <w:r w:rsidR="00B00EFA" w:rsidRPr="0024451B">
        <w:rPr>
          <w:bCs/>
          <w:iCs/>
        </w:rPr>
        <w:t>was not</w:t>
      </w:r>
      <w:r w:rsidR="00803DDA" w:rsidRPr="0024451B">
        <w:rPr>
          <w:bCs/>
          <w:iCs/>
        </w:rPr>
        <w:t xml:space="preserve"> sufficiently established.</w:t>
      </w:r>
      <w:r w:rsidR="008B3876" w:rsidRPr="0024451B">
        <w:rPr>
          <w:rStyle w:val="FootnoteReference"/>
          <w:bCs/>
          <w:iCs/>
        </w:rPr>
        <w:footnoteReference w:id="44"/>
      </w:r>
      <w:r w:rsidR="00803DDA" w:rsidRPr="0024451B">
        <w:rPr>
          <w:bCs/>
          <w:iCs/>
        </w:rPr>
        <w:t xml:space="preserve">  </w:t>
      </w:r>
    </w:p>
    <w:p w14:paraId="124713A4" w14:textId="04BA2C40" w:rsidR="005C5A54" w:rsidRPr="0024451B" w:rsidRDefault="005C5A54" w:rsidP="005D0025">
      <w:pPr>
        <w:pStyle w:val="SingleTxtG"/>
        <w:numPr>
          <w:ilvl w:val="0"/>
          <w:numId w:val="3"/>
        </w:numPr>
        <w:tabs>
          <w:tab w:val="clear" w:pos="1711"/>
          <w:tab w:val="num" w:pos="1134"/>
        </w:tabs>
        <w:ind w:left="1170" w:right="0" w:firstLine="34"/>
        <w:rPr>
          <w:bCs/>
          <w:iCs/>
        </w:rPr>
      </w:pPr>
      <w:r w:rsidRPr="0024451B">
        <w:rPr>
          <w:bCs/>
          <w:iCs/>
        </w:rPr>
        <w:t>Finally, t</w:t>
      </w:r>
      <w:r w:rsidR="007019D4" w:rsidRPr="0024451B">
        <w:rPr>
          <w:bCs/>
          <w:iCs/>
        </w:rPr>
        <w:t>he Party concerned also submits that</w:t>
      </w:r>
      <w:r w:rsidR="00BD282E" w:rsidRPr="0024451B">
        <w:t xml:space="preserve"> it</w:t>
      </w:r>
      <w:r w:rsidR="007019D4" w:rsidRPr="0024451B">
        <w:t xml:space="preserve"> should be emphasized that the Conseil </w:t>
      </w:r>
      <w:proofErr w:type="spellStart"/>
      <w:r w:rsidR="007019D4" w:rsidRPr="0024451B">
        <w:t>d</w:t>
      </w:r>
      <w:r w:rsidR="0025084D" w:rsidRPr="0024451B">
        <w:t>’</w:t>
      </w:r>
      <w:r w:rsidR="00696B24" w:rsidRPr="0024451B">
        <w:t>État</w:t>
      </w:r>
      <w:proofErr w:type="spellEnd"/>
      <w:r w:rsidR="007019D4" w:rsidRPr="0024451B">
        <w:t xml:space="preserve"> has held that </w:t>
      </w:r>
      <w:r w:rsidR="00BD282E" w:rsidRPr="0024451B">
        <w:t>a</w:t>
      </w:r>
      <w:r w:rsidR="007019D4" w:rsidRPr="0024451B">
        <w:t>rticle 2 of the Charter</w:t>
      </w:r>
      <w:r w:rsidR="00B00EFA" w:rsidRPr="0024451B">
        <w:t xml:space="preserve"> for the Environment</w:t>
      </w:r>
      <w:r w:rsidR="007019D4" w:rsidRPr="0024451B">
        <w:t xml:space="preserve">, which transcribes into national law the stipulations </w:t>
      </w:r>
      <w:r w:rsidR="007019D4" w:rsidRPr="0024451B">
        <w:lastRenderedPageBreak/>
        <w:t>of the Convention and guarantee</w:t>
      </w:r>
      <w:r w:rsidR="00BD282E" w:rsidRPr="0024451B">
        <w:t xml:space="preserve">s the right and duty of </w:t>
      </w:r>
      <w:r w:rsidR="0025084D" w:rsidRPr="0024451B">
        <w:t>“</w:t>
      </w:r>
      <w:r w:rsidR="007019D4" w:rsidRPr="0024451B">
        <w:t>everyone to take part in the preservation and the improv</w:t>
      </w:r>
      <w:r w:rsidR="00BD282E" w:rsidRPr="0024451B">
        <w:t>ement of the environment</w:t>
      </w:r>
      <w:r w:rsidR="0025084D" w:rsidRPr="0024451B">
        <w:t>”</w:t>
      </w:r>
      <w:r w:rsidR="00BD282E" w:rsidRPr="0024451B">
        <w:t>, can</w:t>
      </w:r>
      <w:r w:rsidR="007019D4" w:rsidRPr="0024451B">
        <w:t>not, by itself, confer on any person who invokes it a</w:t>
      </w:r>
      <w:r w:rsidR="00BD282E" w:rsidRPr="0024451B">
        <w:t xml:space="preserve"> sufficient interest to challenge any administrative decision on the grounds of </w:t>
      </w:r>
      <w:r w:rsidR="007019D4" w:rsidRPr="0024451B">
        <w:t>abuse of authority</w:t>
      </w:r>
      <w:r w:rsidR="0025084D" w:rsidRPr="0024451B">
        <w:t>.</w:t>
      </w:r>
      <w:r w:rsidRPr="0024451B">
        <w:rPr>
          <w:rStyle w:val="FootnoteReference"/>
        </w:rPr>
        <w:footnoteReference w:id="45"/>
      </w:r>
      <w:r w:rsidR="00BD282E" w:rsidRPr="0024451B">
        <w:t xml:space="preserve"> </w:t>
      </w:r>
    </w:p>
    <w:p w14:paraId="4BC92FA1" w14:textId="4F69D984" w:rsidR="005C5A54" w:rsidRPr="0024451B" w:rsidRDefault="005D0025" w:rsidP="005D0025">
      <w:pPr>
        <w:pStyle w:val="SingleTxtG"/>
        <w:tabs>
          <w:tab w:val="num" w:pos="1134"/>
        </w:tabs>
        <w:ind w:left="1100" w:right="0" w:firstLine="34"/>
        <w:rPr>
          <w:b/>
          <w:iCs/>
        </w:rPr>
      </w:pPr>
      <w:r w:rsidRPr="0024451B">
        <w:rPr>
          <w:b/>
          <w:iCs/>
        </w:rPr>
        <w:t xml:space="preserve"> </w:t>
      </w:r>
      <w:r w:rsidR="005C5A54" w:rsidRPr="0024451B">
        <w:rPr>
          <w:b/>
          <w:iCs/>
        </w:rPr>
        <w:t xml:space="preserve">Requirement for legal representation before the Conseil </w:t>
      </w:r>
      <w:proofErr w:type="spellStart"/>
      <w:r w:rsidR="005C5A54" w:rsidRPr="0024451B">
        <w:rPr>
          <w:b/>
          <w:iCs/>
        </w:rPr>
        <w:t>d’État</w:t>
      </w:r>
      <w:proofErr w:type="spellEnd"/>
    </w:p>
    <w:p w14:paraId="0034FE0C" w14:textId="52EB9439" w:rsidR="009F171C" w:rsidRPr="0024451B" w:rsidRDefault="005C5A54" w:rsidP="005D0025">
      <w:pPr>
        <w:pStyle w:val="SingleTxtG"/>
        <w:numPr>
          <w:ilvl w:val="0"/>
          <w:numId w:val="3"/>
        </w:numPr>
        <w:tabs>
          <w:tab w:val="clear" w:pos="1711"/>
          <w:tab w:val="num" w:pos="1134"/>
        </w:tabs>
        <w:ind w:left="1170" w:right="0" w:firstLine="34"/>
        <w:rPr>
          <w:bCs/>
          <w:iCs/>
        </w:rPr>
      </w:pPr>
      <w:bookmarkStart w:id="16" w:name="_Ref16606303"/>
      <w:r w:rsidRPr="0024451B">
        <w:rPr>
          <w:bCs/>
          <w:iCs/>
        </w:rPr>
        <w:t>T</w:t>
      </w:r>
      <w:r w:rsidR="00924169" w:rsidRPr="0024451B">
        <w:rPr>
          <w:bCs/>
          <w:iCs/>
        </w:rPr>
        <w:t xml:space="preserve">he communicant claims that </w:t>
      </w:r>
      <w:r w:rsidR="00B1521A" w:rsidRPr="0024451B">
        <w:rPr>
          <w:bCs/>
          <w:iCs/>
        </w:rPr>
        <w:t>“</w:t>
      </w:r>
      <w:r w:rsidR="00907CD5" w:rsidRPr="0024451B">
        <w:rPr>
          <w:bCs/>
          <w:iCs/>
        </w:rPr>
        <w:t xml:space="preserve">under the combined provisions of Articles R. 432-1, R. 613-5 and R. 733-1 of the Code of Administrative Justice, only lawyers authorized to appear before the Conseil </w:t>
      </w:r>
      <w:proofErr w:type="spellStart"/>
      <w:r w:rsidR="00907CD5" w:rsidRPr="0024451B">
        <w:rPr>
          <w:bCs/>
          <w:iCs/>
        </w:rPr>
        <w:t>d’</w:t>
      </w:r>
      <w:r w:rsidR="00696B24" w:rsidRPr="0024451B">
        <w:rPr>
          <w:bCs/>
          <w:iCs/>
        </w:rPr>
        <w:t>État</w:t>
      </w:r>
      <w:proofErr w:type="spellEnd"/>
      <w:r w:rsidR="00907CD5" w:rsidRPr="0024451B">
        <w:rPr>
          <w:bCs/>
          <w:iCs/>
        </w:rPr>
        <w:t xml:space="preserve"> and the </w:t>
      </w:r>
      <w:proofErr w:type="spellStart"/>
      <w:r w:rsidR="00907CD5" w:rsidRPr="0024451B">
        <w:rPr>
          <w:bCs/>
          <w:iCs/>
        </w:rPr>
        <w:t>Cour</w:t>
      </w:r>
      <w:proofErr w:type="spellEnd"/>
      <w:r w:rsidR="00907CD5" w:rsidRPr="0024451B">
        <w:rPr>
          <w:bCs/>
          <w:iCs/>
        </w:rPr>
        <w:t xml:space="preserve"> de Cassation may make oral submissions on the day of the sitting at which the case will be judged,</w:t>
      </w:r>
      <w:r w:rsidR="00B1521A" w:rsidRPr="0024451B">
        <w:rPr>
          <w:bCs/>
          <w:iCs/>
        </w:rPr>
        <w:t>”</w:t>
      </w:r>
      <w:r w:rsidR="00907CD5" w:rsidRPr="0024451B">
        <w:rPr>
          <w:bCs/>
          <w:iCs/>
        </w:rPr>
        <w:t xml:space="preserve"> and that this placed an additional restriction on </w:t>
      </w:r>
      <w:r w:rsidR="001866F9" w:rsidRPr="0024451B">
        <w:rPr>
          <w:bCs/>
          <w:iCs/>
        </w:rPr>
        <w:t xml:space="preserve">the </w:t>
      </w:r>
      <w:r w:rsidR="00907CD5" w:rsidRPr="0024451B">
        <w:rPr>
          <w:bCs/>
          <w:iCs/>
        </w:rPr>
        <w:t xml:space="preserve">consideration of his case. The communicant </w:t>
      </w:r>
      <w:r w:rsidR="00B1521A" w:rsidRPr="0024451B">
        <w:rPr>
          <w:bCs/>
          <w:iCs/>
        </w:rPr>
        <w:t>states that</w:t>
      </w:r>
      <w:r w:rsidR="00E170D1" w:rsidRPr="0024451B">
        <w:rPr>
          <w:bCs/>
          <w:iCs/>
        </w:rPr>
        <w:t xml:space="preserve"> </w:t>
      </w:r>
      <w:r w:rsidR="00907CD5" w:rsidRPr="0024451B">
        <w:rPr>
          <w:bCs/>
          <w:iCs/>
        </w:rPr>
        <w:t xml:space="preserve">this </w:t>
      </w:r>
      <w:r w:rsidR="00E170D1" w:rsidRPr="0024451B">
        <w:rPr>
          <w:bCs/>
          <w:iCs/>
        </w:rPr>
        <w:t>requirement adds to his claim that</w:t>
      </w:r>
      <w:r w:rsidR="00907CD5" w:rsidRPr="0024451B">
        <w:rPr>
          <w:bCs/>
          <w:iCs/>
        </w:rPr>
        <w:t xml:space="preserve"> he has been subject to </w:t>
      </w:r>
      <w:r w:rsidR="00B1521A" w:rsidRPr="0024451B">
        <w:rPr>
          <w:bCs/>
          <w:iCs/>
        </w:rPr>
        <w:t xml:space="preserve">a </w:t>
      </w:r>
      <w:r w:rsidR="00907CD5" w:rsidRPr="0024451B">
        <w:rPr>
          <w:bCs/>
          <w:iCs/>
        </w:rPr>
        <w:t>wrongful impairment of his environmental civic rights, of which the Convention is one basis</w:t>
      </w:r>
      <w:r w:rsidR="001866F9" w:rsidRPr="0024451B">
        <w:rPr>
          <w:bCs/>
          <w:iCs/>
        </w:rPr>
        <w:t xml:space="preserve">. He </w:t>
      </w:r>
      <w:r w:rsidR="00907CD5" w:rsidRPr="0024451B">
        <w:rPr>
          <w:bCs/>
          <w:iCs/>
        </w:rPr>
        <w:t xml:space="preserve">does not elaborate </w:t>
      </w:r>
      <w:r w:rsidR="001866F9" w:rsidRPr="0024451B">
        <w:rPr>
          <w:bCs/>
          <w:iCs/>
        </w:rPr>
        <w:t xml:space="preserve">further </w:t>
      </w:r>
      <w:r w:rsidR="00E170D1" w:rsidRPr="0024451B">
        <w:rPr>
          <w:bCs/>
          <w:iCs/>
        </w:rPr>
        <w:t xml:space="preserve">on </w:t>
      </w:r>
      <w:r w:rsidR="00907CD5" w:rsidRPr="0024451B">
        <w:rPr>
          <w:bCs/>
          <w:iCs/>
        </w:rPr>
        <w:t>this claim</w:t>
      </w:r>
      <w:r w:rsidR="00AD44AA" w:rsidRPr="0024451B">
        <w:rPr>
          <w:bCs/>
          <w:iCs/>
        </w:rPr>
        <w:t>.</w:t>
      </w:r>
      <w:r w:rsidR="00FD17FD" w:rsidRPr="0024451B">
        <w:rPr>
          <w:bCs/>
          <w:iCs/>
          <w:vertAlign w:val="superscript"/>
        </w:rPr>
        <w:footnoteReference w:id="46"/>
      </w:r>
      <w:bookmarkEnd w:id="16"/>
      <w:r w:rsidR="00907CD5" w:rsidRPr="0024451B">
        <w:rPr>
          <w:bCs/>
          <w:iCs/>
        </w:rPr>
        <w:t xml:space="preserve"> </w:t>
      </w:r>
    </w:p>
    <w:p w14:paraId="0C02BB93" w14:textId="6C3910B9" w:rsidR="00137ECA" w:rsidRPr="0024451B" w:rsidRDefault="009F171C" w:rsidP="005D0025">
      <w:pPr>
        <w:pStyle w:val="SingleTxtG"/>
        <w:numPr>
          <w:ilvl w:val="0"/>
          <w:numId w:val="3"/>
        </w:numPr>
        <w:tabs>
          <w:tab w:val="clear" w:pos="1711"/>
          <w:tab w:val="num" w:pos="1134"/>
        </w:tabs>
        <w:ind w:left="1170" w:right="0" w:firstLine="34"/>
      </w:pPr>
      <w:r w:rsidRPr="0024451B">
        <w:rPr>
          <w:bCs/>
          <w:iCs/>
        </w:rPr>
        <w:t>T</w:t>
      </w:r>
      <w:r w:rsidR="00803DDA" w:rsidRPr="0024451B">
        <w:rPr>
          <w:bCs/>
          <w:iCs/>
        </w:rPr>
        <w:t>h</w:t>
      </w:r>
      <w:r w:rsidR="00B1521A" w:rsidRPr="0024451B">
        <w:rPr>
          <w:bCs/>
          <w:iCs/>
        </w:rPr>
        <w:t xml:space="preserve">e </w:t>
      </w:r>
      <w:r w:rsidR="00803DDA" w:rsidRPr="0024451B">
        <w:rPr>
          <w:bCs/>
          <w:iCs/>
        </w:rPr>
        <w:t>Party concerned</w:t>
      </w:r>
      <w:r w:rsidR="00B1521A" w:rsidRPr="0024451B">
        <w:rPr>
          <w:bCs/>
          <w:iCs/>
        </w:rPr>
        <w:t xml:space="preserve"> does not comment on the communicant</w:t>
      </w:r>
      <w:r w:rsidR="00A762DD" w:rsidRPr="0024451B">
        <w:rPr>
          <w:bCs/>
          <w:iCs/>
        </w:rPr>
        <w:t>’</w:t>
      </w:r>
      <w:r w:rsidR="00B1521A" w:rsidRPr="0024451B">
        <w:rPr>
          <w:bCs/>
          <w:iCs/>
        </w:rPr>
        <w:t>s allegation</w:t>
      </w:r>
      <w:r w:rsidR="001866F9" w:rsidRPr="0024451B">
        <w:rPr>
          <w:bCs/>
          <w:iCs/>
        </w:rPr>
        <w:t>s</w:t>
      </w:r>
      <w:r w:rsidR="00B1521A" w:rsidRPr="0024451B">
        <w:rPr>
          <w:bCs/>
          <w:iCs/>
        </w:rPr>
        <w:t xml:space="preserve"> </w:t>
      </w:r>
      <w:r w:rsidR="001866F9" w:rsidRPr="0024451B">
        <w:rPr>
          <w:bCs/>
          <w:iCs/>
        </w:rPr>
        <w:t>on this point</w:t>
      </w:r>
      <w:r w:rsidR="00137ECA" w:rsidRPr="0024451B">
        <w:t>.</w:t>
      </w:r>
    </w:p>
    <w:p w14:paraId="5FE2A622" w14:textId="77777777" w:rsidR="00137ECA" w:rsidRPr="0024451B" w:rsidRDefault="00137ECA" w:rsidP="00137ECA">
      <w:pPr>
        <w:pStyle w:val="HChG"/>
        <w:jc w:val="both"/>
      </w:pPr>
      <w:r w:rsidRPr="0024451B">
        <w:tab/>
        <w:t>III.</w:t>
      </w:r>
      <w:r w:rsidRPr="0024451B">
        <w:tab/>
        <w:t>Consideration and evaluation by the Committee</w:t>
      </w:r>
    </w:p>
    <w:p w14:paraId="127CE829" w14:textId="47606FCF" w:rsidR="00D0702F" w:rsidRPr="0024451B" w:rsidRDefault="00137ECA" w:rsidP="00B115DE">
      <w:pPr>
        <w:pStyle w:val="SingleTxtG"/>
        <w:numPr>
          <w:ilvl w:val="0"/>
          <w:numId w:val="3"/>
        </w:numPr>
        <w:tabs>
          <w:tab w:val="clear" w:pos="1711"/>
          <w:tab w:val="num" w:pos="1170"/>
        </w:tabs>
        <w:ind w:left="1170" w:right="0" w:firstLine="0"/>
      </w:pPr>
      <w:r w:rsidRPr="0024451B">
        <w:t xml:space="preserve">France deposited its instrument of approval of the Convention on 8 July 2002. </w:t>
      </w:r>
      <w:r w:rsidR="00E51A01" w:rsidRPr="0024451B">
        <w:t>The Convention entered into force for France</w:t>
      </w:r>
      <w:r w:rsidR="00611CC7" w:rsidRPr="0024451B">
        <w:t xml:space="preserve"> on </w:t>
      </w:r>
      <w:r w:rsidRPr="0024451B">
        <w:t>6 October 2002</w:t>
      </w:r>
      <w:r w:rsidR="00F22CBA" w:rsidRPr="0024451B">
        <w:t>.</w:t>
      </w:r>
      <w:r w:rsidR="00D0702F" w:rsidRPr="0024451B">
        <w:t xml:space="preserve"> </w:t>
      </w:r>
    </w:p>
    <w:p w14:paraId="5CE334AD" w14:textId="77777777" w:rsidR="00D0702F" w:rsidRPr="0024451B" w:rsidRDefault="00D0702F" w:rsidP="00D0702F">
      <w:pPr>
        <w:pStyle w:val="SingleTxtG"/>
        <w:ind w:left="1135" w:right="0"/>
      </w:pPr>
      <w:r w:rsidRPr="0024451B">
        <w:rPr>
          <w:rStyle w:val="st"/>
          <w:b/>
        </w:rPr>
        <w:t>Admissibility</w:t>
      </w:r>
    </w:p>
    <w:p w14:paraId="1368AB24" w14:textId="2DF3F6DF" w:rsidR="00563313" w:rsidRPr="0024451B" w:rsidRDefault="00497B9D" w:rsidP="0016546C">
      <w:pPr>
        <w:pStyle w:val="SingleTxtG"/>
        <w:numPr>
          <w:ilvl w:val="0"/>
          <w:numId w:val="3"/>
        </w:numPr>
        <w:tabs>
          <w:tab w:val="clear" w:pos="1711"/>
          <w:tab w:val="num" w:pos="1170"/>
        </w:tabs>
        <w:ind w:left="1170" w:right="0" w:firstLine="0"/>
      </w:pPr>
      <w:r w:rsidRPr="0024451B">
        <w:t xml:space="preserve">The Committee observes that the 2015 Order was issued </w:t>
      </w:r>
      <w:proofErr w:type="gramStart"/>
      <w:r w:rsidRPr="0024451B">
        <w:t>on the basis of</w:t>
      </w:r>
      <w:proofErr w:type="gramEnd"/>
      <w:r w:rsidRPr="0024451B">
        <w:t xml:space="preserve"> article L. 427-6 and art 120-1 of the Environmental Code, which is clearly part of the national law </w:t>
      </w:r>
      <w:r w:rsidR="002B68BD" w:rsidRPr="0024451B">
        <w:t xml:space="preserve">of the Party concerned </w:t>
      </w:r>
      <w:r w:rsidRPr="0024451B">
        <w:t xml:space="preserve">relating to the environment. </w:t>
      </w:r>
      <w:r w:rsidR="00D0702F" w:rsidRPr="0024451B">
        <w:t>T</w:t>
      </w:r>
      <w:r w:rsidR="00C1398E" w:rsidRPr="0024451B">
        <w:t xml:space="preserve">he communicant and the Party concerned </w:t>
      </w:r>
      <w:r w:rsidRPr="0024451B">
        <w:t>differ as to how</w:t>
      </w:r>
      <w:r w:rsidR="00C1398E" w:rsidRPr="0024451B">
        <w:t xml:space="preserve"> the 2015 </w:t>
      </w:r>
      <w:r w:rsidR="00F35B8C" w:rsidRPr="0024451B">
        <w:t>Order</w:t>
      </w:r>
      <w:r w:rsidRPr="0024451B">
        <w:t xml:space="preserve"> should be characterised under the Convention</w:t>
      </w:r>
      <w:r w:rsidR="00C1398E" w:rsidRPr="0024451B">
        <w:t xml:space="preserve">. </w:t>
      </w:r>
      <w:r w:rsidR="00FD17FD" w:rsidRPr="0024451B">
        <w:t>T</w:t>
      </w:r>
      <w:r w:rsidR="00C1398E" w:rsidRPr="0024451B">
        <w:t xml:space="preserve">he communicant </w:t>
      </w:r>
      <w:r w:rsidRPr="0024451B">
        <w:t xml:space="preserve">would seem to </w:t>
      </w:r>
      <w:r w:rsidR="00C1398E" w:rsidRPr="0024451B">
        <w:t xml:space="preserve">claim that </w:t>
      </w:r>
      <w:r w:rsidRPr="0024451B">
        <w:t xml:space="preserve">the </w:t>
      </w:r>
      <w:r w:rsidR="00FD17FD" w:rsidRPr="0024451B">
        <w:t xml:space="preserve">Order </w:t>
      </w:r>
      <w:r w:rsidR="00C1398E" w:rsidRPr="0024451B">
        <w:t xml:space="preserve">is </w:t>
      </w:r>
      <w:r w:rsidR="00F61D90" w:rsidRPr="0024451B">
        <w:t xml:space="preserve">a </w:t>
      </w:r>
      <w:r w:rsidR="000D0603" w:rsidRPr="0024451B">
        <w:t>permitting decision under article 6 of the Convention and therefore article 9</w:t>
      </w:r>
      <w:r w:rsidR="00FD17FD" w:rsidRPr="0024451B">
        <w:t>(</w:t>
      </w:r>
      <w:r w:rsidR="000D0603" w:rsidRPr="0024451B">
        <w:t>2</w:t>
      </w:r>
      <w:r w:rsidR="00FD17FD" w:rsidRPr="0024451B">
        <w:t>)</w:t>
      </w:r>
      <w:r w:rsidR="000D0603" w:rsidRPr="0024451B">
        <w:t xml:space="preserve"> is </w:t>
      </w:r>
      <w:r w:rsidR="005D0025" w:rsidRPr="0024451B">
        <w:t xml:space="preserve">the </w:t>
      </w:r>
      <w:r w:rsidR="000D0603" w:rsidRPr="0024451B">
        <w:t>applicable provision</w:t>
      </w:r>
      <w:r w:rsidR="00FD17FD" w:rsidRPr="0024451B">
        <w:t xml:space="preserve"> </w:t>
      </w:r>
      <w:r w:rsidRPr="0024451B">
        <w:t>of the Convention regarding</w:t>
      </w:r>
      <w:r w:rsidR="00FD17FD" w:rsidRPr="0024451B">
        <w:t xml:space="preserve"> access to justice (see para. </w:t>
      </w:r>
      <w:r w:rsidR="00FD17FD" w:rsidRPr="0024451B">
        <w:fldChar w:fldCharType="begin"/>
      </w:r>
      <w:r w:rsidR="00FD17FD" w:rsidRPr="0024451B">
        <w:instrText xml:space="preserve"> REF _Ref16068227 \r \h </w:instrText>
      </w:r>
      <w:r w:rsidR="00563313" w:rsidRPr="0024451B">
        <w:instrText xml:space="preserve"> \* MERGEFORMAT </w:instrText>
      </w:r>
      <w:r w:rsidR="00FD17FD" w:rsidRPr="0024451B">
        <w:fldChar w:fldCharType="separate"/>
      </w:r>
      <w:r w:rsidR="00451BCF">
        <w:rPr>
          <w:cs/>
        </w:rPr>
        <w:t>‎</w:t>
      </w:r>
      <w:r w:rsidR="00451BCF">
        <w:t>27</w:t>
      </w:r>
      <w:r w:rsidR="00FD17FD" w:rsidRPr="0024451B">
        <w:fldChar w:fldCharType="end"/>
      </w:r>
      <w:r w:rsidR="00FD17FD" w:rsidRPr="0024451B">
        <w:t xml:space="preserve"> above). </w:t>
      </w:r>
      <w:r w:rsidRPr="0024451B">
        <w:t>In</w:t>
      </w:r>
      <w:r w:rsidR="00157228" w:rsidRPr="0024451B">
        <w:t xml:space="preserve"> contrast, t</w:t>
      </w:r>
      <w:r w:rsidR="000D0603" w:rsidRPr="0024451B">
        <w:t xml:space="preserve">he Party concerned </w:t>
      </w:r>
      <w:r w:rsidRPr="0024451B">
        <w:t>submits</w:t>
      </w:r>
      <w:r w:rsidR="00FD17FD" w:rsidRPr="0024451B">
        <w:t xml:space="preserve"> that the 2015 Order</w:t>
      </w:r>
      <w:r w:rsidR="000D0603" w:rsidRPr="0024451B">
        <w:t xml:space="preserve"> is a generally applicable legally binding normative instrument </w:t>
      </w:r>
      <w:r w:rsidR="00DA40E9" w:rsidRPr="0024451B">
        <w:t>under</w:t>
      </w:r>
      <w:r w:rsidR="000D0603" w:rsidRPr="0024451B">
        <w:t xml:space="preserve"> article 8 of the Convention.</w:t>
      </w:r>
      <w:r w:rsidR="00DA40E9" w:rsidRPr="0024451B">
        <w:t xml:space="preserve"> </w:t>
      </w:r>
      <w:r w:rsidR="00563313" w:rsidRPr="0024451B">
        <w:t>D</w:t>
      </w:r>
      <w:r w:rsidR="00A722C3" w:rsidRPr="0024451B">
        <w:t xml:space="preserve">espite this difference, there is common ground that the </w:t>
      </w:r>
      <w:r w:rsidR="00FD17FD" w:rsidRPr="0024451B">
        <w:t>2015 Order</w:t>
      </w:r>
      <w:r w:rsidR="00A722C3" w:rsidRPr="0024451B">
        <w:t xml:space="preserve"> was </w:t>
      </w:r>
      <w:r w:rsidRPr="0024451B">
        <w:t xml:space="preserve">the </w:t>
      </w:r>
      <w:r w:rsidR="00A722C3" w:rsidRPr="0024451B">
        <w:t xml:space="preserve">outcome of </w:t>
      </w:r>
      <w:r w:rsidR="00F61D90" w:rsidRPr="0024451B">
        <w:t>a</w:t>
      </w:r>
      <w:r w:rsidR="00A722C3" w:rsidRPr="0024451B">
        <w:t xml:space="preserve"> decision-making process</w:t>
      </w:r>
      <w:r w:rsidR="007322FD" w:rsidRPr="0024451B">
        <w:t xml:space="preserve"> </w:t>
      </w:r>
      <w:r w:rsidR="00563313" w:rsidRPr="0024451B">
        <w:t>related to the environment</w:t>
      </w:r>
      <w:r w:rsidR="005D0025" w:rsidRPr="0024451B">
        <w:t>.</w:t>
      </w:r>
      <w:r w:rsidR="00563313" w:rsidRPr="0024451B">
        <w:t xml:space="preserve"> </w:t>
      </w:r>
      <w:r w:rsidR="007322FD" w:rsidRPr="0024451B">
        <w:t xml:space="preserve"> </w:t>
      </w:r>
      <w:r w:rsidR="00563313" w:rsidRPr="0024451B">
        <w:t xml:space="preserve"> </w:t>
      </w:r>
      <w:r w:rsidRPr="0024451B">
        <w:t xml:space="preserve">Based on above, </w:t>
      </w:r>
      <w:r w:rsidR="002B6871" w:rsidRPr="0024451B">
        <w:t xml:space="preserve">the Committee considers that the </w:t>
      </w:r>
      <w:r w:rsidR="00563313" w:rsidRPr="0024451B">
        <w:t>communicant</w:t>
      </w:r>
      <w:r w:rsidR="00A762DD" w:rsidRPr="0024451B">
        <w:t>’</w:t>
      </w:r>
      <w:r w:rsidR="00563313" w:rsidRPr="0024451B">
        <w:t>s allegations fall within the scope of the Convention.</w:t>
      </w:r>
    </w:p>
    <w:p w14:paraId="317A32D6" w14:textId="1429C4A4" w:rsidR="00FA0A3C" w:rsidRPr="0024451B" w:rsidRDefault="00A722C3" w:rsidP="0046546C">
      <w:pPr>
        <w:pStyle w:val="SingleTxtG"/>
        <w:numPr>
          <w:ilvl w:val="0"/>
          <w:numId w:val="3"/>
        </w:numPr>
        <w:tabs>
          <w:tab w:val="clear" w:pos="1711"/>
          <w:tab w:val="num" w:pos="1170"/>
        </w:tabs>
        <w:ind w:left="1170" w:right="0" w:firstLine="0"/>
      </w:pPr>
      <w:r w:rsidRPr="0024451B">
        <w:t xml:space="preserve">The </w:t>
      </w:r>
      <w:r w:rsidR="007322FD" w:rsidRPr="0024451B">
        <w:t xml:space="preserve">communicant </w:t>
      </w:r>
      <w:r w:rsidR="00497B9D" w:rsidRPr="0024451B">
        <w:t xml:space="preserve">submits he has </w:t>
      </w:r>
      <w:r w:rsidR="007322FD" w:rsidRPr="0024451B">
        <w:t>exhausted the domestic remedies</w:t>
      </w:r>
      <w:r w:rsidR="00E82E55" w:rsidRPr="0024451B">
        <w:t xml:space="preserve"> </w:t>
      </w:r>
      <w:r w:rsidR="00497B9D" w:rsidRPr="0024451B">
        <w:t xml:space="preserve">available </w:t>
      </w:r>
      <w:r w:rsidR="00E82E55" w:rsidRPr="0024451B">
        <w:t xml:space="preserve">to challenge the </w:t>
      </w:r>
      <w:r w:rsidR="00FD17FD" w:rsidRPr="0024451B">
        <w:t>2015 Order</w:t>
      </w:r>
      <w:r w:rsidR="00563313" w:rsidRPr="0024451B">
        <w:t xml:space="preserve"> (see paras. </w:t>
      </w:r>
      <w:r w:rsidR="001811B5" w:rsidRPr="0024451B">
        <w:fldChar w:fldCharType="begin"/>
      </w:r>
      <w:r w:rsidR="001811B5" w:rsidRPr="0024451B">
        <w:instrText xml:space="preserve"> REF _Ref16084119 \r \h </w:instrText>
      </w:r>
      <w:r w:rsidR="0083783E" w:rsidRPr="0024451B">
        <w:instrText xml:space="preserve"> \* MERGEFORMAT </w:instrText>
      </w:r>
      <w:r w:rsidR="001811B5" w:rsidRPr="0024451B">
        <w:fldChar w:fldCharType="separate"/>
      </w:r>
      <w:r w:rsidR="00451BCF">
        <w:rPr>
          <w:cs/>
        </w:rPr>
        <w:t>‎</w:t>
      </w:r>
      <w:r w:rsidR="00451BCF">
        <w:t>19</w:t>
      </w:r>
      <w:r w:rsidR="001811B5" w:rsidRPr="0024451B">
        <w:fldChar w:fldCharType="end"/>
      </w:r>
      <w:r w:rsidR="001811B5" w:rsidRPr="0024451B">
        <w:t>-</w:t>
      </w:r>
      <w:r w:rsidR="001811B5" w:rsidRPr="0024451B">
        <w:fldChar w:fldCharType="begin"/>
      </w:r>
      <w:r w:rsidR="001811B5" w:rsidRPr="0024451B">
        <w:instrText xml:space="preserve"> REF _Ref16084133 \r \h </w:instrText>
      </w:r>
      <w:r w:rsidR="0083783E" w:rsidRPr="0024451B">
        <w:instrText xml:space="preserve"> \* MERGEFORMAT </w:instrText>
      </w:r>
      <w:r w:rsidR="001811B5" w:rsidRPr="0024451B">
        <w:fldChar w:fldCharType="separate"/>
      </w:r>
      <w:r w:rsidR="00451BCF">
        <w:rPr>
          <w:cs/>
        </w:rPr>
        <w:t>‎</w:t>
      </w:r>
      <w:r w:rsidR="00451BCF">
        <w:t>24</w:t>
      </w:r>
      <w:r w:rsidR="001811B5" w:rsidRPr="0024451B">
        <w:fldChar w:fldCharType="end"/>
      </w:r>
      <w:r w:rsidR="001811B5" w:rsidRPr="0024451B">
        <w:t xml:space="preserve"> above)</w:t>
      </w:r>
      <w:r w:rsidR="00F61D90" w:rsidRPr="0024451B">
        <w:t xml:space="preserve"> </w:t>
      </w:r>
      <w:r w:rsidR="00497B9D" w:rsidRPr="0024451B">
        <w:t>and this is not disputed</w:t>
      </w:r>
      <w:r w:rsidR="00F61D90" w:rsidRPr="0024451B">
        <w:t xml:space="preserve"> by the Party concerned</w:t>
      </w:r>
      <w:r w:rsidR="007322FD" w:rsidRPr="0024451B">
        <w:t xml:space="preserve">. </w:t>
      </w:r>
    </w:p>
    <w:p w14:paraId="37FCFC68" w14:textId="77777777" w:rsidR="0046546C" w:rsidRPr="0024451B" w:rsidRDefault="007322FD" w:rsidP="00B115DE">
      <w:pPr>
        <w:pStyle w:val="SingleTxtG"/>
        <w:numPr>
          <w:ilvl w:val="0"/>
          <w:numId w:val="3"/>
        </w:numPr>
        <w:tabs>
          <w:tab w:val="clear" w:pos="1711"/>
          <w:tab w:val="num" w:pos="1170"/>
        </w:tabs>
        <w:ind w:left="1170" w:right="0" w:firstLine="0"/>
      </w:pPr>
      <w:r w:rsidRPr="0024451B">
        <w:t xml:space="preserve">The Committee </w:t>
      </w:r>
      <w:r w:rsidR="00FA0A3C" w:rsidRPr="0024451B">
        <w:t xml:space="preserve">accordingly </w:t>
      </w:r>
      <w:r w:rsidR="00A722C3" w:rsidRPr="0024451B">
        <w:t>finds the communication to be admissible.</w:t>
      </w:r>
      <w:r w:rsidR="000D0603" w:rsidRPr="0024451B">
        <w:t xml:space="preserve"> </w:t>
      </w:r>
    </w:p>
    <w:p w14:paraId="7F6BF240" w14:textId="483FFE71" w:rsidR="0046546C" w:rsidRPr="0024451B" w:rsidRDefault="0046546C" w:rsidP="00B115DE">
      <w:pPr>
        <w:pStyle w:val="SingleTxtG"/>
        <w:ind w:right="0"/>
        <w:rPr>
          <w:b/>
        </w:rPr>
      </w:pPr>
      <w:r w:rsidRPr="0024451B">
        <w:rPr>
          <w:b/>
        </w:rPr>
        <w:t>Scope of consideration</w:t>
      </w:r>
    </w:p>
    <w:p w14:paraId="18A0CB75" w14:textId="6A6E2E0B" w:rsidR="00694E0D" w:rsidRPr="0024451B" w:rsidRDefault="005D0025" w:rsidP="000C34F4">
      <w:pPr>
        <w:pStyle w:val="SingleTxtG"/>
        <w:numPr>
          <w:ilvl w:val="0"/>
          <w:numId w:val="3"/>
        </w:numPr>
        <w:tabs>
          <w:tab w:val="clear" w:pos="1711"/>
          <w:tab w:val="num" w:pos="1170"/>
        </w:tabs>
        <w:ind w:left="1170" w:right="0" w:firstLine="0"/>
      </w:pPr>
      <w:r w:rsidRPr="0024451B">
        <w:t xml:space="preserve"> </w:t>
      </w:r>
      <w:r w:rsidR="00694E0D" w:rsidRPr="0024451B">
        <w:t xml:space="preserve">With respect to </w:t>
      </w:r>
      <w:r w:rsidR="00AE1F66" w:rsidRPr="0024451B">
        <w:t xml:space="preserve">his </w:t>
      </w:r>
      <w:r w:rsidR="00694E0D" w:rsidRPr="0024451B">
        <w:t xml:space="preserve">claim that the requirement that </w:t>
      </w:r>
      <w:r w:rsidR="00694E0D" w:rsidRPr="0024451B">
        <w:rPr>
          <w:bCs/>
          <w:iCs/>
        </w:rPr>
        <w:t xml:space="preserve">only certain authorized lawyers may make oral submissions </w:t>
      </w:r>
      <w:r w:rsidR="00AE1F66" w:rsidRPr="0024451B">
        <w:rPr>
          <w:bCs/>
          <w:iCs/>
        </w:rPr>
        <w:t>at the hearing</w:t>
      </w:r>
      <w:r w:rsidR="00694E0D" w:rsidRPr="0024451B">
        <w:rPr>
          <w:bCs/>
          <w:iCs/>
        </w:rPr>
        <w:t xml:space="preserve"> further restricted </w:t>
      </w:r>
      <w:r w:rsidR="00A74200" w:rsidRPr="0024451B">
        <w:rPr>
          <w:bCs/>
          <w:iCs/>
        </w:rPr>
        <w:t>his</w:t>
      </w:r>
      <w:r w:rsidR="00694E0D" w:rsidRPr="0024451B">
        <w:rPr>
          <w:bCs/>
          <w:iCs/>
        </w:rPr>
        <w:t xml:space="preserve"> rights</w:t>
      </w:r>
      <w:r w:rsidR="0032128D" w:rsidRPr="0024451B">
        <w:rPr>
          <w:bCs/>
          <w:iCs/>
        </w:rPr>
        <w:t xml:space="preserve"> (see para. </w:t>
      </w:r>
      <w:r w:rsidR="0032128D" w:rsidRPr="0024451B">
        <w:rPr>
          <w:bCs/>
          <w:iCs/>
        </w:rPr>
        <w:fldChar w:fldCharType="begin"/>
      </w:r>
      <w:r w:rsidR="0032128D" w:rsidRPr="0024451B">
        <w:rPr>
          <w:bCs/>
          <w:iCs/>
        </w:rPr>
        <w:instrText xml:space="preserve"> REF _Ref16606303 \r \h </w:instrText>
      </w:r>
      <w:r w:rsidR="00A973C6" w:rsidRPr="0024451B">
        <w:rPr>
          <w:bCs/>
          <w:iCs/>
        </w:rPr>
        <w:instrText xml:space="preserve"> \* MERGEFORMAT </w:instrText>
      </w:r>
      <w:r w:rsidR="0032128D" w:rsidRPr="0024451B">
        <w:rPr>
          <w:bCs/>
          <w:iCs/>
        </w:rPr>
      </w:r>
      <w:r w:rsidR="0032128D" w:rsidRPr="0024451B">
        <w:rPr>
          <w:bCs/>
          <w:iCs/>
        </w:rPr>
        <w:fldChar w:fldCharType="separate"/>
      </w:r>
      <w:r w:rsidR="00451BCF">
        <w:rPr>
          <w:bCs/>
          <w:iCs/>
          <w:cs/>
        </w:rPr>
        <w:t>‎</w:t>
      </w:r>
      <w:r w:rsidR="00451BCF">
        <w:rPr>
          <w:bCs/>
          <w:iCs/>
        </w:rPr>
        <w:t>45</w:t>
      </w:r>
      <w:r w:rsidR="0032128D" w:rsidRPr="0024451B">
        <w:rPr>
          <w:bCs/>
          <w:iCs/>
        </w:rPr>
        <w:fldChar w:fldCharType="end"/>
      </w:r>
      <w:r w:rsidR="0032128D" w:rsidRPr="0024451B">
        <w:rPr>
          <w:bCs/>
          <w:iCs/>
        </w:rPr>
        <w:t xml:space="preserve"> </w:t>
      </w:r>
      <w:proofErr w:type="gramStart"/>
      <w:r w:rsidR="0032128D" w:rsidRPr="0024451B">
        <w:rPr>
          <w:bCs/>
          <w:iCs/>
        </w:rPr>
        <w:t>above)</w:t>
      </w:r>
      <w:r w:rsidR="00694E0D" w:rsidRPr="0024451B">
        <w:rPr>
          <w:bCs/>
          <w:iCs/>
        </w:rPr>
        <w:t>,</w:t>
      </w:r>
      <w:proofErr w:type="gramEnd"/>
      <w:r w:rsidR="00694E0D" w:rsidRPr="0024451B">
        <w:rPr>
          <w:bCs/>
          <w:iCs/>
        </w:rPr>
        <w:t xml:space="preserve"> the Committee </w:t>
      </w:r>
      <w:r w:rsidR="00AE1F66" w:rsidRPr="0024451B">
        <w:rPr>
          <w:bCs/>
          <w:iCs/>
        </w:rPr>
        <w:t xml:space="preserve">notes that the communicant has not explained </w:t>
      </w:r>
      <w:r w:rsidR="000F4DC7" w:rsidRPr="0024451B">
        <w:rPr>
          <w:bCs/>
          <w:iCs/>
        </w:rPr>
        <w:t>in which respect this violates the Convention</w:t>
      </w:r>
      <w:r w:rsidR="000C34F4" w:rsidRPr="0024451B">
        <w:rPr>
          <w:bCs/>
          <w:iCs/>
        </w:rPr>
        <w:t xml:space="preserve"> and </w:t>
      </w:r>
      <w:r w:rsidR="00694E0D" w:rsidRPr="0024451B">
        <w:rPr>
          <w:bCs/>
          <w:iCs/>
        </w:rPr>
        <w:t xml:space="preserve">the Committee </w:t>
      </w:r>
      <w:r w:rsidR="00AE1F66" w:rsidRPr="0024451B">
        <w:rPr>
          <w:bCs/>
          <w:iCs/>
        </w:rPr>
        <w:t xml:space="preserve">will </w:t>
      </w:r>
      <w:r w:rsidR="000C34F4" w:rsidRPr="0024451B">
        <w:rPr>
          <w:bCs/>
          <w:iCs/>
        </w:rPr>
        <w:t>accordingly not examine it</w:t>
      </w:r>
      <w:r w:rsidR="00AE1F66" w:rsidRPr="0024451B">
        <w:rPr>
          <w:bCs/>
          <w:iCs/>
        </w:rPr>
        <w:t xml:space="preserve"> </w:t>
      </w:r>
      <w:r w:rsidR="000C34F4" w:rsidRPr="0024451B">
        <w:rPr>
          <w:bCs/>
          <w:iCs/>
        </w:rPr>
        <w:t>further</w:t>
      </w:r>
      <w:r w:rsidR="00694E0D" w:rsidRPr="0024451B">
        <w:rPr>
          <w:bCs/>
          <w:iCs/>
        </w:rPr>
        <w:t>.</w:t>
      </w:r>
    </w:p>
    <w:p w14:paraId="6BAA144E" w14:textId="0FBB4765" w:rsidR="0046546C" w:rsidRPr="0024451B" w:rsidRDefault="0046546C" w:rsidP="00B115DE">
      <w:pPr>
        <w:pStyle w:val="SingleTxtG"/>
        <w:ind w:right="0"/>
      </w:pPr>
      <w:r w:rsidRPr="0024451B">
        <w:rPr>
          <w:b/>
        </w:rPr>
        <w:t>Article 9(2)</w:t>
      </w:r>
    </w:p>
    <w:p w14:paraId="6556DC30" w14:textId="611F9BD5" w:rsidR="005F2AA8" w:rsidRPr="0024451B" w:rsidRDefault="005312D1" w:rsidP="00C65EE5">
      <w:pPr>
        <w:pStyle w:val="SingleTxtG"/>
        <w:numPr>
          <w:ilvl w:val="0"/>
          <w:numId w:val="3"/>
        </w:numPr>
        <w:tabs>
          <w:tab w:val="clear" w:pos="1711"/>
          <w:tab w:val="num" w:pos="1170"/>
        </w:tabs>
        <w:ind w:left="1170" w:right="0" w:firstLine="0"/>
      </w:pPr>
      <w:r w:rsidRPr="0024451B">
        <w:t xml:space="preserve">In </w:t>
      </w:r>
      <w:proofErr w:type="gramStart"/>
      <w:r w:rsidRPr="0024451B">
        <w:t>a number of</w:t>
      </w:r>
      <w:proofErr w:type="gramEnd"/>
      <w:r w:rsidRPr="0024451B">
        <w:t xml:space="preserve"> its findings, the Committee has made clear that the names of decisions in the domestic law of a Party are not decisive in determining how they should be categorized under the Convention, rather this is to be determined by the legal functions and effects of the decision.</w:t>
      </w:r>
      <w:r w:rsidRPr="0024451B">
        <w:rPr>
          <w:vertAlign w:val="superscript"/>
        </w:rPr>
        <w:footnoteReference w:id="47"/>
      </w:r>
      <w:r w:rsidRPr="0024451B">
        <w:rPr>
          <w:bCs/>
          <w:iCs/>
        </w:rPr>
        <w:t xml:space="preserve"> </w:t>
      </w:r>
    </w:p>
    <w:p w14:paraId="15EE0581" w14:textId="14AA2FA5" w:rsidR="00563BE6" w:rsidRPr="0024451B" w:rsidRDefault="005F2AA8" w:rsidP="00C65EE5">
      <w:pPr>
        <w:pStyle w:val="SingleTxtG"/>
        <w:numPr>
          <w:ilvl w:val="0"/>
          <w:numId w:val="3"/>
        </w:numPr>
        <w:tabs>
          <w:tab w:val="clear" w:pos="1711"/>
          <w:tab w:val="num" w:pos="1170"/>
        </w:tabs>
        <w:ind w:left="1170" w:right="0" w:firstLine="0"/>
      </w:pPr>
      <w:r w:rsidRPr="0024451B">
        <w:lastRenderedPageBreak/>
        <w:t>According to the Party concerned, the 2015 Order is not covered by article 6, but by article 8 of the Convention.</w:t>
      </w:r>
      <w:r w:rsidRPr="0024451B">
        <w:rPr>
          <w:rStyle w:val="FootnoteReference"/>
        </w:rPr>
        <w:footnoteReference w:id="48"/>
      </w:r>
      <w:r w:rsidRPr="0024451B">
        <w:t xml:space="preserve"> The communicant does not categorize the 2015 Order by any specific provision under articles 6-8 of the Convention. He claims that by denying him access to a review procedure before a court of law to challenge the 2015 Order, the Party concerned has failed to comply with article 9(2). </w:t>
      </w:r>
    </w:p>
    <w:p w14:paraId="1DD2B9FF" w14:textId="06DE97CF" w:rsidR="00D64CFF" w:rsidRPr="0024451B" w:rsidRDefault="00F1551C" w:rsidP="00382932">
      <w:pPr>
        <w:pStyle w:val="SingleTxtG"/>
        <w:numPr>
          <w:ilvl w:val="0"/>
          <w:numId w:val="3"/>
        </w:numPr>
        <w:tabs>
          <w:tab w:val="clear" w:pos="1711"/>
          <w:tab w:val="num" w:pos="1170"/>
        </w:tabs>
        <w:ind w:left="1170" w:right="0" w:firstLine="0"/>
      </w:pPr>
      <w:r w:rsidRPr="0024451B">
        <w:t>A</w:t>
      </w:r>
      <w:r w:rsidR="005E5D9B" w:rsidRPr="0024451B">
        <w:t>rticle 9</w:t>
      </w:r>
      <w:r w:rsidR="00B550AE" w:rsidRPr="0024451B">
        <w:t>(</w:t>
      </w:r>
      <w:r w:rsidR="005E5D9B" w:rsidRPr="0024451B">
        <w:t>2</w:t>
      </w:r>
      <w:r w:rsidR="00B550AE" w:rsidRPr="0024451B">
        <w:t>)</w:t>
      </w:r>
      <w:r w:rsidR="005E5D9B" w:rsidRPr="0024451B">
        <w:t xml:space="preserve"> of the Convention requires Parties to ensure access to a review procedure to challenge the substantive and procedural legality of any decision, act or omission subject to the provisions of article 6</w:t>
      </w:r>
      <w:r w:rsidR="005F2AA8" w:rsidRPr="0024451B">
        <w:t xml:space="preserve"> of the Convention. </w:t>
      </w:r>
      <w:r w:rsidR="005F2AA8" w:rsidRPr="0024451B">
        <w:rPr>
          <w:bCs/>
          <w:iCs/>
        </w:rPr>
        <w:t>Without excluding that</w:t>
      </w:r>
      <w:r w:rsidR="0008578A" w:rsidRPr="0024451B">
        <w:rPr>
          <w:bCs/>
          <w:iCs/>
        </w:rPr>
        <w:t xml:space="preserve"> </w:t>
      </w:r>
      <w:r w:rsidR="005F2AA8" w:rsidRPr="0024451B">
        <w:rPr>
          <w:bCs/>
          <w:iCs/>
        </w:rPr>
        <w:t xml:space="preserve">the </w:t>
      </w:r>
      <w:r w:rsidR="005F2AA8" w:rsidRPr="0024451B">
        <w:t xml:space="preserve">2015 Order </w:t>
      </w:r>
      <w:r w:rsidR="000C1BED" w:rsidRPr="0024451B">
        <w:t>m</w:t>
      </w:r>
      <w:r w:rsidR="001E3C99" w:rsidRPr="0024451B">
        <w:t>ay</w:t>
      </w:r>
      <w:r w:rsidR="00C42086" w:rsidRPr="0024451B">
        <w:t xml:space="preserve">, as the Party concerned asserts, </w:t>
      </w:r>
      <w:r w:rsidR="005F2AA8" w:rsidRPr="0024451B">
        <w:t xml:space="preserve">fall under </w:t>
      </w:r>
      <w:r w:rsidR="005F2AA8" w:rsidRPr="0024451B">
        <w:rPr>
          <w:bCs/>
          <w:iCs/>
        </w:rPr>
        <w:t xml:space="preserve">article 8 of the Convention, </w:t>
      </w:r>
      <w:r w:rsidR="000C1BED" w:rsidRPr="0024451B">
        <w:rPr>
          <w:bCs/>
          <w:iCs/>
        </w:rPr>
        <w:t xml:space="preserve">since the communicant’s allegations concern article 9(2), </w:t>
      </w:r>
      <w:r w:rsidR="005F2AA8" w:rsidRPr="0024451B">
        <w:rPr>
          <w:bCs/>
          <w:iCs/>
        </w:rPr>
        <w:t xml:space="preserve">the </w:t>
      </w:r>
      <w:proofErr w:type="gramStart"/>
      <w:r w:rsidR="005F2AA8" w:rsidRPr="0024451B">
        <w:rPr>
          <w:bCs/>
          <w:iCs/>
        </w:rPr>
        <w:t xml:space="preserve">Committee </w:t>
      </w:r>
      <w:r w:rsidR="00C42086" w:rsidRPr="0024451B">
        <w:t xml:space="preserve"> focus</w:t>
      </w:r>
      <w:r w:rsidR="00403B78" w:rsidRPr="0024451B">
        <w:t>es</w:t>
      </w:r>
      <w:proofErr w:type="gramEnd"/>
      <w:r w:rsidR="005F2AA8" w:rsidRPr="0024451B">
        <w:t xml:space="preserve"> its examination on whether it could amount to a decision </w:t>
      </w:r>
      <w:r w:rsidR="00C42086" w:rsidRPr="0024451B">
        <w:t>subject to</w:t>
      </w:r>
      <w:r w:rsidR="005F2AA8" w:rsidRPr="0024451B">
        <w:t xml:space="preserve"> article 6.  If the Order </w:t>
      </w:r>
      <w:r w:rsidR="000C1BED" w:rsidRPr="0024451B">
        <w:t>is not subject to the provisions of article 6</w:t>
      </w:r>
      <w:r w:rsidR="005F2AA8" w:rsidRPr="0024451B">
        <w:t>, then article 9(2) does not apply to the communicant’s allegations.</w:t>
      </w:r>
      <w:r w:rsidR="00D64CFF" w:rsidRPr="0024451B">
        <w:t xml:space="preserve"> </w:t>
      </w:r>
    </w:p>
    <w:p w14:paraId="0F546D36" w14:textId="0F9A144E" w:rsidR="00CA0F3D" w:rsidRPr="0024451B" w:rsidRDefault="0097697F" w:rsidP="00F42EE7">
      <w:pPr>
        <w:pStyle w:val="SingleTxtG"/>
        <w:numPr>
          <w:ilvl w:val="0"/>
          <w:numId w:val="3"/>
        </w:numPr>
        <w:tabs>
          <w:tab w:val="clear" w:pos="1711"/>
          <w:tab w:val="num" w:pos="1170"/>
        </w:tabs>
        <w:ind w:left="1170" w:right="0" w:firstLine="0"/>
      </w:pPr>
      <w:r w:rsidRPr="0024451B">
        <w:t>A</w:t>
      </w:r>
      <w:r w:rsidR="003017CA" w:rsidRPr="0024451B">
        <w:t>rticle 6</w:t>
      </w:r>
      <w:r w:rsidR="00E154B6" w:rsidRPr="0024451B">
        <w:t>(1)</w:t>
      </w:r>
      <w:r w:rsidR="003017CA" w:rsidRPr="0024451B">
        <w:t xml:space="preserve">(a) </w:t>
      </w:r>
      <w:r w:rsidR="0093125C" w:rsidRPr="0024451B">
        <w:t>requires Parties to apply the provisions of article 6 to decisions on whether to permit proposed activities listed in annex I to the Convention</w:t>
      </w:r>
      <w:r w:rsidR="003017CA" w:rsidRPr="0024451B">
        <w:t xml:space="preserve">. </w:t>
      </w:r>
      <w:r w:rsidR="00F941E8" w:rsidRPr="0024451B">
        <w:t xml:space="preserve">The activity permitted by the 2015 Order, namely </w:t>
      </w:r>
      <w:r w:rsidR="003017CA" w:rsidRPr="0024451B">
        <w:t>“</w:t>
      </w:r>
      <w:r w:rsidR="00BE5AC4" w:rsidRPr="0024451B">
        <w:t>a list of native animal species to be classified as pests, the periods stipulated for their destruction, and the methods of destruction</w:t>
      </w:r>
      <w:r w:rsidR="003017CA" w:rsidRPr="0024451B">
        <w:t xml:space="preserve">” </w:t>
      </w:r>
      <w:r w:rsidR="00F941E8" w:rsidRPr="0024451B">
        <w:t xml:space="preserve">does not correspond to any of the activities listed </w:t>
      </w:r>
      <w:r w:rsidR="003017CA" w:rsidRPr="0024451B">
        <w:t xml:space="preserve">in </w:t>
      </w:r>
      <w:r w:rsidR="00F941E8" w:rsidRPr="0024451B">
        <w:t xml:space="preserve">paragraphs 1 to 19 of </w:t>
      </w:r>
      <w:r w:rsidR="003017CA" w:rsidRPr="0024451B">
        <w:t>annex I</w:t>
      </w:r>
      <w:r w:rsidR="00F61D90" w:rsidRPr="0024451B">
        <w:t xml:space="preserve"> of the Convention</w:t>
      </w:r>
      <w:r w:rsidR="0093125C" w:rsidRPr="0024451B">
        <w:t xml:space="preserve"> and the communicant has not </w:t>
      </w:r>
      <w:r w:rsidR="00F941E8" w:rsidRPr="0024451B">
        <w:t>claimed that it does</w:t>
      </w:r>
      <w:r w:rsidR="003017CA" w:rsidRPr="0024451B">
        <w:t>.</w:t>
      </w:r>
      <w:r w:rsidR="00FD3BE6" w:rsidRPr="0024451B">
        <w:t xml:space="preserve"> </w:t>
      </w:r>
    </w:p>
    <w:p w14:paraId="36797291" w14:textId="77777777" w:rsidR="00EE16B7" w:rsidRPr="0024451B" w:rsidRDefault="00B12AA6" w:rsidP="0016546C">
      <w:pPr>
        <w:pStyle w:val="SingleTxtG"/>
        <w:numPr>
          <w:ilvl w:val="0"/>
          <w:numId w:val="3"/>
        </w:numPr>
        <w:tabs>
          <w:tab w:val="clear" w:pos="1711"/>
          <w:tab w:val="num" w:pos="1170"/>
        </w:tabs>
        <w:ind w:left="1170" w:right="0" w:firstLine="0"/>
      </w:pPr>
      <w:r w:rsidRPr="0024451B">
        <w:t>The</w:t>
      </w:r>
      <w:r w:rsidR="00576E20" w:rsidRPr="0024451B">
        <w:t xml:space="preserve"> communicant </w:t>
      </w:r>
      <w:r w:rsidRPr="0024451B">
        <w:t xml:space="preserve">likewise </w:t>
      </w:r>
      <w:r w:rsidR="00F941E8" w:rsidRPr="0024451B">
        <w:t xml:space="preserve">does not contend that the </w:t>
      </w:r>
      <w:r w:rsidRPr="0024451B">
        <w:t xml:space="preserve">public participation procedure concerning the </w:t>
      </w:r>
      <w:r w:rsidR="00F941E8" w:rsidRPr="0024451B">
        <w:t xml:space="preserve">2015 Order </w:t>
      </w:r>
      <w:r w:rsidRPr="0024451B">
        <w:t>in which he participated was part of</w:t>
      </w:r>
      <w:r w:rsidR="00F941E8" w:rsidRPr="0024451B">
        <w:t xml:space="preserve"> an environmental impact assessment procedure, as envisaged in </w:t>
      </w:r>
      <w:r w:rsidR="00576E20" w:rsidRPr="0024451B">
        <w:t xml:space="preserve">paragraph 20 of annex I of the Convention. </w:t>
      </w:r>
      <w:r w:rsidR="00F941E8" w:rsidRPr="0024451B">
        <w:t xml:space="preserve">The </w:t>
      </w:r>
      <w:r w:rsidR="00FD3BE6" w:rsidRPr="0024451B">
        <w:t xml:space="preserve">mere fact that the legislation of the Party concerned provides for </w:t>
      </w:r>
      <w:r w:rsidR="00576E20" w:rsidRPr="0024451B">
        <w:t xml:space="preserve">some form of </w:t>
      </w:r>
      <w:r w:rsidR="00FD3BE6" w:rsidRPr="0024451B">
        <w:t xml:space="preserve">public participation in the </w:t>
      </w:r>
      <w:r w:rsidRPr="0024451B">
        <w:t xml:space="preserve">preparation of </w:t>
      </w:r>
      <w:r w:rsidR="00FD3BE6" w:rsidRPr="0024451B">
        <w:t>ministerial order</w:t>
      </w:r>
      <w:r w:rsidR="00DC0D50" w:rsidRPr="0024451B">
        <w:t>s</w:t>
      </w:r>
      <w:r w:rsidR="00FD3BE6" w:rsidRPr="0024451B">
        <w:t xml:space="preserve"> </w:t>
      </w:r>
      <w:r w:rsidRPr="0024451B">
        <w:t xml:space="preserve">does not in itself </w:t>
      </w:r>
      <w:r w:rsidR="00576E20" w:rsidRPr="0024451B">
        <w:t>satisfy the requirement</w:t>
      </w:r>
      <w:r w:rsidRPr="0024451B">
        <w:t>s</w:t>
      </w:r>
      <w:r w:rsidR="00576E20" w:rsidRPr="0024451B">
        <w:t xml:space="preserve"> of paragraph 20 of annex I</w:t>
      </w:r>
      <w:r w:rsidRPr="0024451B">
        <w:t>. Rather,</w:t>
      </w:r>
      <w:r w:rsidR="00576E20" w:rsidRPr="0024451B">
        <w:t xml:space="preserve"> </w:t>
      </w:r>
      <w:r w:rsidRPr="0024451B">
        <w:t xml:space="preserve">the public participation procedure must </w:t>
      </w:r>
      <w:r w:rsidR="00EE16B7" w:rsidRPr="0024451B">
        <w:t xml:space="preserve">have </w:t>
      </w:r>
      <w:r w:rsidRPr="0024451B">
        <w:t>be</w:t>
      </w:r>
      <w:r w:rsidR="00EE16B7" w:rsidRPr="0024451B">
        <w:t>en</w:t>
      </w:r>
      <w:r w:rsidRPr="0024451B">
        <w:t xml:space="preserve"> carried out as part of </w:t>
      </w:r>
      <w:r w:rsidR="004B1836" w:rsidRPr="0024451B">
        <w:t xml:space="preserve">an environmental impact </w:t>
      </w:r>
      <w:r w:rsidR="00F61D90" w:rsidRPr="0024451B">
        <w:t xml:space="preserve">assessment </w:t>
      </w:r>
      <w:r w:rsidR="004B1836" w:rsidRPr="0024451B">
        <w:t>procedure in accordance with national legislation</w:t>
      </w:r>
      <w:r w:rsidR="00FD3BE6" w:rsidRPr="0024451B">
        <w:t>.</w:t>
      </w:r>
      <w:r w:rsidR="00EE16B7" w:rsidRPr="0024451B">
        <w:t xml:space="preserve"> </w:t>
      </w:r>
    </w:p>
    <w:p w14:paraId="38717F2B" w14:textId="76BF28D3" w:rsidR="0097697F" w:rsidRPr="0024451B" w:rsidRDefault="004B1836" w:rsidP="0016546C">
      <w:pPr>
        <w:pStyle w:val="SingleTxtG"/>
        <w:numPr>
          <w:ilvl w:val="0"/>
          <w:numId w:val="3"/>
        </w:numPr>
        <w:tabs>
          <w:tab w:val="clear" w:pos="1711"/>
          <w:tab w:val="num" w:pos="1170"/>
        </w:tabs>
        <w:ind w:left="1170" w:right="0" w:firstLine="0"/>
      </w:pPr>
      <w:proofErr w:type="gramStart"/>
      <w:r w:rsidRPr="0024451B">
        <w:t>In light of</w:t>
      </w:r>
      <w:proofErr w:type="gramEnd"/>
      <w:r w:rsidRPr="0024451B">
        <w:t xml:space="preserve"> the above, the</w:t>
      </w:r>
      <w:r w:rsidR="00FD3BE6" w:rsidRPr="0024451B">
        <w:t xml:space="preserve"> Committee </w:t>
      </w:r>
      <w:r w:rsidR="00EE16B7" w:rsidRPr="0024451B">
        <w:t>considers</w:t>
      </w:r>
      <w:r w:rsidR="00C25258" w:rsidRPr="0024451B">
        <w:t xml:space="preserve"> </w:t>
      </w:r>
      <w:r w:rsidR="003C4290" w:rsidRPr="0024451B">
        <w:t xml:space="preserve">that </w:t>
      </w:r>
      <w:r w:rsidR="00FD3BE6" w:rsidRPr="0024451B">
        <w:t xml:space="preserve">the </w:t>
      </w:r>
      <w:r w:rsidRPr="0024451B">
        <w:t xml:space="preserve">2015 Order </w:t>
      </w:r>
      <w:r w:rsidR="003C4290" w:rsidRPr="0024451B">
        <w:t>does not</w:t>
      </w:r>
      <w:r w:rsidR="00FD3BE6" w:rsidRPr="0024451B">
        <w:t xml:space="preserve"> fall within the scope of article 6 </w:t>
      </w:r>
      <w:r w:rsidR="00330893" w:rsidRPr="0024451B">
        <w:t>(1</w:t>
      </w:r>
      <w:r w:rsidR="00EB44B7" w:rsidRPr="0024451B">
        <w:t>)</w:t>
      </w:r>
      <w:r w:rsidR="00FD3BE6" w:rsidRPr="0024451B">
        <w:t>(a) of the Convention.</w:t>
      </w:r>
      <w:r w:rsidR="00213670" w:rsidRPr="0024451B">
        <w:t xml:space="preserve"> </w:t>
      </w:r>
    </w:p>
    <w:p w14:paraId="7528605F" w14:textId="4A45419E" w:rsidR="000A7014" w:rsidRPr="0024451B" w:rsidRDefault="0097697F" w:rsidP="0088639A">
      <w:pPr>
        <w:pStyle w:val="SingleTxtG"/>
        <w:numPr>
          <w:ilvl w:val="0"/>
          <w:numId w:val="3"/>
        </w:numPr>
        <w:tabs>
          <w:tab w:val="clear" w:pos="1711"/>
          <w:tab w:val="num" w:pos="1170"/>
        </w:tabs>
        <w:ind w:left="1170" w:right="0" w:firstLine="0"/>
      </w:pPr>
      <w:r w:rsidRPr="0024451B">
        <w:t>A</w:t>
      </w:r>
      <w:r w:rsidR="00FD3BE6" w:rsidRPr="0024451B">
        <w:t>rticle 6</w:t>
      </w:r>
      <w:r w:rsidR="00330893" w:rsidRPr="0024451B">
        <w:t>(1)</w:t>
      </w:r>
      <w:r w:rsidR="00FD3BE6" w:rsidRPr="0024451B">
        <w:t>(b)</w:t>
      </w:r>
      <w:r w:rsidR="005A0800" w:rsidRPr="0024451B">
        <w:t xml:space="preserve"> </w:t>
      </w:r>
      <w:r w:rsidR="00880948" w:rsidRPr="0024451B">
        <w:t xml:space="preserve">of the Convention </w:t>
      </w:r>
      <w:r w:rsidR="00FD3BE6" w:rsidRPr="0024451B">
        <w:t xml:space="preserve">provides that </w:t>
      </w:r>
      <w:r w:rsidR="000A7014" w:rsidRPr="0024451B">
        <w:t>“each P</w:t>
      </w:r>
      <w:r w:rsidR="00FD3BE6" w:rsidRPr="0024451B">
        <w:t>art</w:t>
      </w:r>
      <w:r w:rsidR="000A7014" w:rsidRPr="0024451B">
        <w:t>y</w:t>
      </w:r>
      <w:r w:rsidR="00FD3BE6" w:rsidRPr="0024451B">
        <w:t xml:space="preserve"> shall</w:t>
      </w:r>
      <w:r w:rsidR="000A7014" w:rsidRPr="0024451B">
        <w:t xml:space="preserve">, in accordance with its national law, also apply the provisions of </w:t>
      </w:r>
      <w:r w:rsidR="00EE16B7" w:rsidRPr="0024451B">
        <w:t>this article</w:t>
      </w:r>
      <w:r w:rsidR="000A7014" w:rsidRPr="0024451B">
        <w:t xml:space="preserve"> to decisions on proposed activities not listed in annex I which may have a significant effect on the environment. To </w:t>
      </w:r>
      <w:r w:rsidR="00880948" w:rsidRPr="0024451B">
        <w:t xml:space="preserve">this end, Parties shall </w:t>
      </w:r>
      <w:r w:rsidR="00FD3BE6" w:rsidRPr="0024451B">
        <w:t xml:space="preserve">determine whether such a proposed activity is subject to these provisions”. </w:t>
      </w:r>
      <w:r w:rsidR="0088639A" w:rsidRPr="0024451B">
        <w:t>T</w:t>
      </w:r>
      <w:r w:rsidR="00EB44B7" w:rsidRPr="0024451B">
        <w:t>he c</w:t>
      </w:r>
      <w:r w:rsidR="00FD3BE6" w:rsidRPr="0024451B">
        <w:t xml:space="preserve">ommunicant </w:t>
      </w:r>
      <w:r w:rsidR="0088639A" w:rsidRPr="0024451B">
        <w:t xml:space="preserve">does not </w:t>
      </w:r>
      <w:r w:rsidR="00FD3BE6" w:rsidRPr="0024451B">
        <w:t xml:space="preserve">claim that the </w:t>
      </w:r>
      <w:r w:rsidR="000E0B40" w:rsidRPr="0024451B">
        <w:t>Order</w:t>
      </w:r>
      <w:r w:rsidR="00FD3BE6" w:rsidRPr="0024451B">
        <w:t xml:space="preserve"> is a decision </w:t>
      </w:r>
      <w:r w:rsidR="0088639A" w:rsidRPr="0024451B">
        <w:t>subject to</w:t>
      </w:r>
      <w:r w:rsidR="00FD3BE6" w:rsidRPr="0024451B">
        <w:t xml:space="preserve"> </w:t>
      </w:r>
      <w:r w:rsidR="00EE16B7" w:rsidRPr="0024451B">
        <w:t>article 6(1)</w:t>
      </w:r>
      <w:r w:rsidR="00FD3BE6" w:rsidRPr="0024451B">
        <w:t>(b)</w:t>
      </w:r>
      <w:r w:rsidR="0088639A" w:rsidRPr="0024451B">
        <w:t xml:space="preserve"> and no evidence has been put before the Committee to indicate that the Order would indeed fall within the scope of that provision</w:t>
      </w:r>
      <w:r w:rsidR="00FD3BE6" w:rsidRPr="0024451B">
        <w:t xml:space="preserve">. </w:t>
      </w:r>
      <w:r w:rsidR="0088639A" w:rsidRPr="0024451B">
        <w:t xml:space="preserve">Accordingly, </w:t>
      </w:r>
      <w:r w:rsidR="00933AFA" w:rsidRPr="0024451B">
        <w:t xml:space="preserve">the </w:t>
      </w:r>
      <w:r w:rsidR="00FD3BE6" w:rsidRPr="0024451B">
        <w:t xml:space="preserve">Committee </w:t>
      </w:r>
      <w:r w:rsidR="00EE16B7" w:rsidRPr="0024451B">
        <w:t>considers</w:t>
      </w:r>
      <w:r w:rsidR="00C25258" w:rsidRPr="0024451B">
        <w:t xml:space="preserve"> </w:t>
      </w:r>
      <w:r w:rsidR="00FD3BE6" w:rsidRPr="0024451B">
        <w:t xml:space="preserve">that the </w:t>
      </w:r>
      <w:r w:rsidR="000E0B40" w:rsidRPr="0024451B">
        <w:t>2015 Order</w:t>
      </w:r>
      <w:r w:rsidR="00FD3BE6" w:rsidRPr="0024451B">
        <w:t xml:space="preserve"> is </w:t>
      </w:r>
      <w:r w:rsidR="00EE16B7" w:rsidRPr="0024451B">
        <w:t xml:space="preserve">not a decision subject to </w:t>
      </w:r>
      <w:r w:rsidR="00FD3BE6" w:rsidRPr="0024451B">
        <w:t>article 6</w:t>
      </w:r>
      <w:r w:rsidR="00EB5483" w:rsidRPr="0024451B">
        <w:t>(1)</w:t>
      </w:r>
      <w:r w:rsidR="00FD3BE6" w:rsidRPr="0024451B">
        <w:t xml:space="preserve">(b) </w:t>
      </w:r>
      <w:r w:rsidR="00EE16B7" w:rsidRPr="0024451B">
        <w:t>of the Convention</w:t>
      </w:r>
      <w:r w:rsidR="0088639A" w:rsidRPr="0024451B">
        <w:t xml:space="preserve"> either</w:t>
      </w:r>
      <w:r w:rsidR="00FD3BE6" w:rsidRPr="0024451B">
        <w:t>.</w:t>
      </w:r>
    </w:p>
    <w:p w14:paraId="29060EDB" w14:textId="562C0E07" w:rsidR="0097697F" w:rsidRPr="0024451B" w:rsidRDefault="00A15D88" w:rsidP="000242F0">
      <w:pPr>
        <w:pStyle w:val="SingleTxtG"/>
        <w:numPr>
          <w:ilvl w:val="0"/>
          <w:numId w:val="3"/>
        </w:numPr>
        <w:tabs>
          <w:tab w:val="clear" w:pos="1711"/>
          <w:tab w:val="num" w:pos="1170"/>
        </w:tabs>
        <w:ind w:left="1170" w:right="0" w:firstLine="0"/>
      </w:pPr>
      <w:r w:rsidRPr="0024451B">
        <w:t>Since the 2015 Order is not a decision subject to the provisions of article 6</w:t>
      </w:r>
      <w:r w:rsidR="000242F0" w:rsidRPr="0024451B">
        <w:t xml:space="preserve">, </w:t>
      </w:r>
      <w:r w:rsidR="0074667A" w:rsidRPr="0024451B">
        <w:t>article 9</w:t>
      </w:r>
      <w:r w:rsidR="00984F93" w:rsidRPr="0024451B">
        <w:t>(</w:t>
      </w:r>
      <w:r w:rsidR="0074667A" w:rsidRPr="0024451B">
        <w:t>2</w:t>
      </w:r>
      <w:r w:rsidR="00984F93" w:rsidRPr="0024451B">
        <w:t>)</w:t>
      </w:r>
      <w:r w:rsidR="0074667A" w:rsidRPr="0024451B">
        <w:t xml:space="preserve"> of the Convention is not </w:t>
      </w:r>
      <w:r w:rsidR="00933AFA" w:rsidRPr="0024451B">
        <w:t xml:space="preserve">applicable </w:t>
      </w:r>
      <w:r w:rsidR="0093125C" w:rsidRPr="0024451B">
        <w:t>to the present case</w:t>
      </w:r>
      <w:r w:rsidRPr="0024451B">
        <w:t xml:space="preserve"> either</w:t>
      </w:r>
      <w:r w:rsidR="00933AFA" w:rsidRPr="0024451B">
        <w:t xml:space="preserve">. The Committee accordingly </w:t>
      </w:r>
      <w:r w:rsidR="007C1BC0" w:rsidRPr="0024451B">
        <w:t xml:space="preserve">finds that the Party concerned </w:t>
      </w:r>
      <w:r w:rsidR="001714EB" w:rsidRPr="0024451B">
        <w:t xml:space="preserve">has not failed to comply </w:t>
      </w:r>
      <w:r w:rsidR="007C1BC0" w:rsidRPr="0024451B">
        <w:t>with article 9(2) of the Convention in the circumstances of this case.</w:t>
      </w:r>
    </w:p>
    <w:p w14:paraId="76BDFA2C" w14:textId="77777777" w:rsidR="0024451B" w:rsidRDefault="0024451B" w:rsidP="0097697F">
      <w:pPr>
        <w:pStyle w:val="SingleTxtG"/>
        <w:ind w:right="0"/>
        <w:rPr>
          <w:b/>
        </w:rPr>
      </w:pPr>
    </w:p>
    <w:p w14:paraId="59614915" w14:textId="77777777" w:rsidR="0024451B" w:rsidRDefault="0024451B" w:rsidP="0097697F">
      <w:pPr>
        <w:pStyle w:val="SingleTxtG"/>
        <w:ind w:right="0"/>
        <w:rPr>
          <w:b/>
        </w:rPr>
      </w:pPr>
    </w:p>
    <w:p w14:paraId="6874A23A" w14:textId="7133556E" w:rsidR="0097697F" w:rsidRPr="0024451B" w:rsidRDefault="0097697F" w:rsidP="0097697F">
      <w:pPr>
        <w:pStyle w:val="SingleTxtG"/>
        <w:ind w:right="0"/>
        <w:rPr>
          <w:b/>
        </w:rPr>
      </w:pPr>
      <w:r w:rsidRPr="0024451B">
        <w:rPr>
          <w:b/>
        </w:rPr>
        <w:t>Article 9(3)</w:t>
      </w:r>
    </w:p>
    <w:p w14:paraId="2CDCA5F8" w14:textId="61EF5F87" w:rsidR="00C3570E" w:rsidRPr="0024451B" w:rsidRDefault="00C3570E" w:rsidP="00C3570E">
      <w:pPr>
        <w:pStyle w:val="SingleTxtG"/>
        <w:numPr>
          <w:ilvl w:val="0"/>
          <w:numId w:val="3"/>
        </w:numPr>
        <w:tabs>
          <w:tab w:val="clear" w:pos="1711"/>
          <w:tab w:val="num" w:pos="1135"/>
        </w:tabs>
        <w:ind w:left="1134" w:right="0" w:firstLine="0"/>
        <w:rPr>
          <w:rFonts w:asciiTheme="majorBidi" w:hAnsiTheme="majorBidi" w:cstheme="majorBidi"/>
        </w:rPr>
      </w:pPr>
      <w:r w:rsidRPr="0024451B">
        <w:rPr>
          <w:rFonts w:asciiTheme="majorBidi" w:hAnsiTheme="majorBidi" w:cstheme="majorBidi"/>
        </w:rPr>
        <w:t>Paragraph 14 of the annex to decision I/7 mandates the Committee to examine compliance issues if and as appropriate. As it has made clear in previous findings, the Committee is neither bound to address all the allegations raised in a communication, nor to review compliance only in the light of the specific provisions of the Convention invoked by the parties.</w:t>
      </w:r>
      <w:r w:rsidRPr="0024451B">
        <w:rPr>
          <w:rStyle w:val="FootnoteReference"/>
          <w:rFonts w:asciiTheme="majorBidi" w:hAnsiTheme="majorBidi" w:cstheme="majorBidi"/>
          <w:sz w:val="20"/>
        </w:rPr>
        <w:footnoteReference w:id="49"/>
      </w:r>
      <w:r w:rsidRPr="0024451B">
        <w:rPr>
          <w:rFonts w:asciiTheme="majorBidi" w:hAnsiTheme="majorBidi" w:cstheme="majorBidi"/>
        </w:rPr>
        <w:t xml:space="preserve"> </w:t>
      </w:r>
      <w:r w:rsidRPr="0024451B">
        <w:rPr>
          <w:rStyle w:val="CommentReference"/>
          <w:rFonts w:asciiTheme="majorBidi" w:hAnsiTheme="majorBidi" w:cstheme="majorBidi"/>
          <w:sz w:val="20"/>
          <w:szCs w:val="20"/>
        </w:rPr>
        <w:t>With this in mind</w:t>
      </w:r>
      <w:r w:rsidRPr="0024451B">
        <w:rPr>
          <w:rFonts w:asciiTheme="majorBidi" w:hAnsiTheme="majorBidi" w:cstheme="majorBidi"/>
        </w:rPr>
        <w:t xml:space="preserve">, </w:t>
      </w:r>
      <w:r w:rsidR="004E30BF" w:rsidRPr="0024451B">
        <w:rPr>
          <w:rFonts w:asciiTheme="majorBidi" w:hAnsiTheme="majorBidi" w:cstheme="majorBidi"/>
        </w:rPr>
        <w:t xml:space="preserve">though article 9(3) was not raised by the communicant, </w:t>
      </w:r>
      <w:r w:rsidRPr="0024451B">
        <w:rPr>
          <w:rFonts w:asciiTheme="majorBidi" w:hAnsiTheme="majorBidi" w:cstheme="majorBidi"/>
        </w:rPr>
        <w:t>having found that article 9(2) is not applicable, the Committee will examine the communicant’s allegations in the light of article 9(3)</w:t>
      </w:r>
      <w:r w:rsidR="00D173E5" w:rsidRPr="0024451B">
        <w:rPr>
          <w:rFonts w:asciiTheme="majorBidi" w:hAnsiTheme="majorBidi" w:cstheme="majorBidi"/>
        </w:rPr>
        <w:t xml:space="preserve"> of the Convention</w:t>
      </w:r>
      <w:r w:rsidRPr="0024451B">
        <w:rPr>
          <w:rFonts w:asciiTheme="majorBidi" w:hAnsiTheme="majorBidi" w:cstheme="majorBidi"/>
        </w:rPr>
        <w:t>.</w:t>
      </w:r>
    </w:p>
    <w:p w14:paraId="27D7F695" w14:textId="5849164F" w:rsidR="00C3570E" w:rsidRPr="0024451B" w:rsidRDefault="00C3570E" w:rsidP="00C3570E">
      <w:pPr>
        <w:pStyle w:val="SingleTxtG"/>
        <w:numPr>
          <w:ilvl w:val="0"/>
          <w:numId w:val="3"/>
        </w:numPr>
        <w:tabs>
          <w:tab w:val="clear" w:pos="1711"/>
          <w:tab w:val="num" w:pos="1135"/>
        </w:tabs>
        <w:ind w:left="1134" w:right="0" w:firstLine="0"/>
        <w:rPr>
          <w:rFonts w:asciiTheme="majorBidi" w:hAnsiTheme="majorBidi" w:cstheme="majorBidi"/>
        </w:rPr>
      </w:pPr>
      <w:bookmarkStart w:id="17" w:name="_Ref19300884"/>
      <w:r w:rsidRPr="0024451B">
        <w:rPr>
          <w:rFonts w:asciiTheme="majorBidi" w:hAnsiTheme="majorBidi" w:cstheme="majorBidi"/>
        </w:rPr>
        <w:lastRenderedPageBreak/>
        <w:t xml:space="preserve">Article 9(3) requires each Party to ensure that, “where they meet the criteria, if any, laid down in national law”, members of the public </w:t>
      </w:r>
      <w:proofErr w:type="gramStart"/>
      <w:r w:rsidRPr="0024451B">
        <w:rPr>
          <w:rFonts w:asciiTheme="majorBidi" w:hAnsiTheme="majorBidi" w:cstheme="majorBidi"/>
        </w:rPr>
        <w:t>are able to</w:t>
      </w:r>
      <w:proofErr w:type="gramEnd"/>
      <w:r w:rsidRPr="0024451B">
        <w:rPr>
          <w:rFonts w:asciiTheme="majorBidi" w:hAnsiTheme="majorBidi" w:cstheme="majorBidi"/>
        </w:rPr>
        <w:t xml:space="preserve"> challenge acts and omissions which contravene provisions of national law relating to the environment.</w:t>
      </w:r>
      <w:bookmarkEnd w:id="17"/>
      <w:r w:rsidRPr="0024451B">
        <w:rPr>
          <w:rFonts w:asciiTheme="majorBidi" w:hAnsiTheme="majorBidi" w:cstheme="majorBidi"/>
        </w:rPr>
        <w:t xml:space="preserve"> </w:t>
      </w:r>
    </w:p>
    <w:p w14:paraId="231B83A7" w14:textId="20127C38" w:rsidR="00C3570E" w:rsidRPr="0024451B" w:rsidRDefault="00C3570E" w:rsidP="00C3570E">
      <w:pPr>
        <w:pStyle w:val="SingleTxtG"/>
        <w:numPr>
          <w:ilvl w:val="0"/>
          <w:numId w:val="3"/>
        </w:numPr>
        <w:tabs>
          <w:tab w:val="clear" w:pos="1711"/>
          <w:tab w:val="num" w:pos="1135"/>
        </w:tabs>
        <w:ind w:left="1134" w:right="0" w:firstLine="0"/>
        <w:rPr>
          <w:rFonts w:asciiTheme="majorBidi" w:hAnsiTheme="majorBidi" w:cstheme="majorBidi"/>
        </w:rPr>
      </w:pPr>
      <w:bookmarkStart w:id="18" w:name="_Ref19301895"/>
      <w:r w:rsidRPr="0024451B">
        <w:rPr>
          <w:rFonts w:asciiTheme="majorBidi" w:hAnsiTheme="majorBidi" w:cstheme="majorBidi"/>
        </w:rPr>
        <w:t>In its findings on communications ACCC/C/2013/85 and ACCC/C/2013/86 (United Kingdom), the Committee observed that:</w:t>
      </w:r>
      <w:bookmarkEnd w:id="18"/>
      <w:r w:rsidRPr="0024451B">
        <w:rPr>
          <w:rFonts w:asciiTheme="majorBidi" w:hAnsiTheme="majorBidi" w:cstheme="majorBidi"/>
        </w:rPr>
        <w:t xml:space="preserve"> </w:t>
      </w:r>
    </w:p>
    <w:p w14:paraId="7196691E" w14:textId="77777777" w:rsidR="00C3570E" w:rsidRPr="0024451B" w:rsidRDefault="00C3570E" w:rsidP="00FE3438">
      <w:pPr>
        <w:pStyle w:val="ListParagraph"/>
        <w:autoSpaceDE w:val="0"/>
        <w:autoSpaceDN w:val="0"/>
        <w:adjustRightInd w:val="0"/>
        <w:spacing w:line="240" w:lineRule="auto"/>
        <w:ind w:left="1701"/>
        <w:jc w:val="both"/>
        <w:rPr>
          <w:rFonts w:asciiTheme="majorBidi" w:hAnsiTheme="majorBidi" w:cstheme="majorBidi"/>
          <w:bCs/>
          <w:iCs/>
          <w:sz w:val="20"/>
          <w:szCs w:val="20"/>
          <w:vertAlign w:val="superscript"/>
        </w:rPr>
      </w:pPr>
      <w:r w:rsidRPr="0024451B">
        <w:rPr>
          <w:rFonts w:asciiTheme="majorBidi" w:hAnsiTheme="majorBidi" w:cstheme="majorBidi"/>
          <w:sz w:val="20"/>
          <w:szCs w:val="20"/>
          <w:lang w:eastAsia="bg-BG"/>
        </w:rPr>
        <w:t>“</w:t>
      </w:r>
      <w:r w:rsidRPr="0024451B">
        <w:rPr>
          <w:rFonts w:asciiTheme="majorBidi" w:hAnsiTheme="majorBidi" w:cstheme="majorBidi"/>
          <w:sz w:val="20"/>
          <w:szCs w:val="20"/>
        </w:rPr>
        <w:t>the Committee has repeatedly held that, when evaluating compliance with article 9, it pays attention to the general picture regarding access to justice in the Party concerned, in the light of the purpose reflected in paragraph 18 of the preamble of the Convention that “effective judicial mechanisms should be accessible to the public, including organizations, so that its legitimate interests are protected and the law is enforced.</w:t>
      </w:r>
      <w:r w:rsidRPr="0024451B">
        <w:rPr>
          <w:rFonts w:asciiTheme="majorBidi" w:hAnsiTheme="majorBidi" w:cstheme="majorBidi"/>
          <w:sz w:val="20"/>
          <w:szCs w:val="20"/>
          <w:lang w:eastAsia="bg-BG"/>
        </w:rPr>
        <w:t>”</w:t>
      </w:r>
      <w:r w:rsidRPr="0024451B">
        <w:rPr>
          <w:rFonts w:asciiTheme="majorBidi" w:hAnsiTheme="majorBidi" w:cstheme="majorBidi"/>
          <w:bCs/>
          <w:iCs/>
          <w:sz w:val="20"/>
          <w:szCs w:val="20"/>
          <w:vertAlign w:val="superscript"/>
        </w:rPr>
        <w:t xml:space="preserve"> </w:t>
      </w:r>
      <w:r w:rsidRPr="0024451B">
        <w:rPr>
          <w:rFonts w:asciiTheme="majorBidi" w:hAnsiTheme="majorBidi" w:cstheme="majorBidi"/>
          <w:bCs/>
          <w:iCs/>
          <w:sz w:val="20"/>
          <w:szCs w:val="20"/>
          <w:vertAlign w:val="superscript"/>
        </w:rPr>
        <w:footnoteReference w:id="50"/>
      </w:r>
    </w:p>
    <w:p w14:paraId="324BA0BB" w14:textId="77777777" w:rsidR="00C3570E" w:rsidRPr="0024451B" w:rsidRDefault="00C3570E" w:rsidP="00C3570E">
      <w:pPr>
        <w:pStyle w:val="SingleTxtG"/>
        <w:numPr>
          <w:ilvl w:val="0"/>
          <w:numId w:val="3"/>
        </w:numPr>
        <w:tabs>
          <w:tab w:val="clear" w:pos="1711"/>
          <w:tab w:val="num" w:pos="1135"/>
        </w:tabs>
        <w:ind w:left="1134" w:right="0" w:firstLine="0"/>
        <w:rPr>
          <w:rFonts w:asciiTheme="majorBidi" w:hAnsiTheme="majorBidi" w:cstheme="majorBidi"/>
        </w:rPr>
      </w:pPr>
      <w:r w:rsidRPr="0024451B">
        <w:rPr>
          <w:rFonts w:asciiTheme="majorBidi" w:hAnsiTheme="majorBidi" w:cstheme="majorBidi"/>
        </w:rPr>
        <w:t>With respect to the criteria for standing under article 9(3), in its findings on communication ACCC/C/2005/11 (Belgium), the Committee held:</w:t>
      </w:r>
    </w:p>
    <w:p w14:paraId="1A61F117" w14:textId="77777777" w:rsidR="00C3570E" w:rsidRPr="0024451B" w:rsidRDefault="00C3570E" w:rsidP="00FE3438">
      <w:pPr>
        <w:pStyle w:val="ListParagraph"/>
        <w:ind w:left="1701"/>
        <w:jc w:val="both"/>
        <w:rPr>
          <w:rFonts w:asciiTheme="majorBidi" w:hAnsiTheme="majorBidi" w:cstheme="majorBidi"/>
          <w:sz w:val="20"/>
          <w:szCs w:val="20"/>
        </w:rPr>
      </w:pPr>
      <w:r w:rsidRPr="0024451B">
        <w:rPr>
          <w:rFonts w:asciiTheme="majorBidi" w:hAnsiTheme="majorBidi" w:cstheme="majorBidi"/>
          <w:sz w:val="20"/>
          <w:szCs w:val="20"/>
        </w:rPr>
        <w:t>“While referring to ‘the criteria, if any, laid down in national law’, the Convention neither defines these criteria nor sets out the criteria to be avoided. Rather, the Convention is intended to allow a great deal of flexibility in defining which members of the public have access to justice. On the one hand, the Parties are not obliged to establish a system of popular action (“actio popularis”) in their national laws with the effect that anyone can challenge any decision, act or omission relating to the environment. On other the hand, the Parties may not take the clause “where they meet the criteria, if any, laid down in its national law” as an excuse for introducing or maintaining so strict criteria that they effectively bar all or almost all environmental organizations or other members of the public from challenging act or omissions that contravene national law relating to the environment.”</w:t>
      </w:r>
      <w:r w:rsidRPr="0024451B">
        <w:rPr>
          <w:rFonts w:asciiTheme="majorBidi" w:hAnsiTheme="majorBidi" w:cstheme="majorBidi"/>
          <w:bCs/>
          <w:iCs/>
          <w:sz w:val="20"/>
          <w:szCs w:val="20"/>
          <w:vertAlign w:val="superscript"/>
        </w:rPr>
        <w:t xml:space="preserve"> </w:t>
      </w:r>
      <w:r w:rsidRPr="0024451B">
        <w:rPr>
          <w:rFonts w:asciiTheme="majorBidi" w:hAnsiTheme="majorBidi" w:cstheme="majorBidi"/>
          <w:bCs/>
          <w:iCs/>
          <w:sz w:val="20"/>
          <w:szCs w:val="20"/>
          <w:vertAlign w:val="superscript"/>
        </w:rPr>
        <w:footnoteReference w:id="51"/>
      </w:r>
    </w:p>
    <w:p w14:paraId="3A6AB9F3" w14:textId="77777777" w:rsidR="00C3570E" w:rsidRPr="0024451B" w:rsidRDefault="00C3570E" w:rsidP="00C3570E">
      <w:pPr>
        <w:pStyle w:val="SingleTxtG"/>
        <w:numPr>
          <w:ilvl w:val="0"/>
          <w:numId w:val="3"/>
        </w:numPr>
        <w:tabs>
          <w:tab w:val="clear" w:pos="1711"/>
          <w:tab w:val="num" w:pos="1135"/>
        </w:tabs>
        <w:ind w:left="1134" w:right="0" w:firstLine="0"/>
        <w:rPr>
          <w:rFonts w:asciiTheme="majorBidi" w:hAnsiTheme="majorBidi" w:cstheme="majorBidi"/>
        </w:rPr>
      </w:pPr>
      <w:r w:rsidRPr="0024451B">
        <w:rPr>
          <w:rFonts w:asciiTheme="majorBidi" w:hAnsiTheme="majorBidi" w:cstheme="majorBidi"/>
        </w:rPr>
        <w:t>In its findings on communication ACCC/C/2006/18 (Denmark), the Committee elaborated further:</w:t>
      </w:r>
    </w:p>
    <w:p w14:paraId="2B6C7AC4" w14:textId="77777777" w:rsidR="00C3570E" w:rsidRPr="0024451B" w:rsidRDefault="00C3570E" w:rsidP="00FE3438">
      <w:pPr>
        <w:pStyle w:val="SingleTxtG"/>
        <w:ind w:left="1701" w:right="0"/>
        <w:rPr>
          <w:rFonts w:asciiTheme="majorBidi" w:hAnsiTheme="majorBidi" w:cstheme="majorBidi"/>
        </w:rPr>
      </w:pPr>
      <w:r w:rsidRPr="0024451B">
        <w:rPr>
          <w:rFonts w:asciiTheme="majorBidi" w:hAnsiTheme="majorBidi" w:cstheme="majorBidi"/>
        </w:rPr>
        <w:t>“The Convention does not prevent a Party from applying general criteria of a legal interest or of demonstrating a substantial individual interest…, provided the application of these criteria does not lead to effectively barring all or almost all members of the public from challenging acts and omissions related to wildlife protection.”</w:t>
      </w:r>
      <w:r w:rsidRPr="0024451B">
        <w:rPr>
          <w:rStyle w:val="FootnoteReference"/>
          <w:rFonts w:asciiTheme="majorBidi" w:hAnsiTheme="majorBidi" w:cstheme="majorBidi"/>
          <w:sz w:val="20"/>
        </w:rPr>
        <w:footnoteReference w:id="52"/>
      </w:r>
    </w:p>
    <w:p w14:paraId="7BAE82B9" w14:textId="2C869FE0" w:rsidR="00C3570E" w:rsidRPr="0024451B" w:rsidRDefault="00C3570E" w:rsidP="00C3570E">
      <w:pPr>
        <w:pStyle w:val="SingleTxtG"/>
        <w:numPr>
          <w:ilvl w:val="0"/>
          <w:numId w:val="3"/>
        </w:numPr>
        <w:tabs>
          <w:tab w:val="clear" w:pos="1711"/>
          <w:tab w:val="num" w:pos="1135"/>
        </w:tabs>
        <w:ind w:left="1134" w:right="0" w:firstLine="0"/>
        <w:rPr>
          <w:rFonts w:asciiTheme="majorBidi" w:hAnsiTheme="majorBidi" w:cstheme="majorBidi"/>
        </w:rPr>
      </w:pPr>
      <w:r w:rsidRPr="0024451B">
        <w:rPr>
          <w:rFonts w:asciiTheme="majorBidi" w:hAnsiTheme="majorBidi" w:cstheme="majorBidi"/>
        </w:rPr>
        <w:t xml:space="preserve">In its findings on ACCC/C/2008/32 (Part II) (European Union), the Committee underlined that the term “members of the public” in the Convention includes, but is not limited to, NGOs. The Committee </w:t>
      </w:r>
      <w:r w:rsidR="00142C1A" w:rsidRPr="0024451B">
        <w:rPr>
          <w:rFonts w:asciiTheme="majorBidi" w:hAnsiTheme="majorBidi" w:cstheme="majorBidi"/>
        </w:rPr>
        <w:t xml:space="preserve">again </w:t>
      </w:r>
      <w:r w:rsidRPr="0024451B">
        <w:rPr>
          <w:rFonts w:asciiTheme="majorBidi" w:hAnsiTheme="majorBidi" w:cstheme="majorBidi"/>
        </w:rPr>
        <w:t>made clear that criteria for standing which barred all members of the public except NGOs was not in accordance with article 9(3).</w:t>
      </w:r>
      <w:r w:rsidRPr="0024451B">
        <w:rPr>
          <w:rStyle w:val="FootnoteReference"/>
          <w:rFonts w:asciiTheme="majorBidi" w:hAnsiTheme="majorBidi" w:cstheme="majorBidi"/>
          <w:sz w:val="20"/>
        </w:rPr>
        <w:footnoteReference w:id="53"/>
      </w:r>
      <w:r w:rsidRPr="0024451B">
        <w:rPr>
          <w:rFonts w:asciiTheme="majorBidi" w:hAnsiTheme="majorBidi" w:cstheme="majorBidi"/>
        </w:rPr>
        <w:t xml:space="preserve"> </w:t>
      </w:r>
    </w:p>
    <w:p w14:paraId="7233EDB8" w14:textId="39B4D56D" w:rsidR="00C3570E" w:rsidRPr="0024451B" w:rsidRDefault="00C3570E" w:rsidP="00C3570E">
      <w:pPr>
        <w:pStyle w:val="SingleTxtG"/>
        <w:numPr>
          <w:ilvl w:val="0"/>
          <w:numId w:val="3"/>
        </w:numPr>
        <w:tabs>
          <w:tab w:val="clear" w:pos="1711"/>
          <w:tab w:val="num" w:pos="1135"/>
        </w:tabs>
        <w:ind w:left="1134" w:right="0" w:firstLine="0"/>
        <w:rPr>
          <w:rFonts w:asciiTheme="majorBidi" w:hAnsiTheme="majorBidi" w:cstheme="majorBidi"/>
        </w:rPr>
      </w:pPr>
      <w:bookmarkStart w:id="19" w:name="_Ref19300892"/>
      <w:r w:rsidRPr="0024451B">
        <w:rPr>
          <w:rFonts w:asciiTheme="majorBidi" w:hAnsiTheme="majorBidi" w:cstheme="majorBidi"/>
        </w:rPr>
        <w:t>With respect to the lack of standing for a particular individual to challenge a</w:t>
      </w:r>
      <w:r w:rsidR="00D173E5" w:rsidRPr="0024451B">
        <w:rPr>
          <w:rFonts w:asciiTheme="majorBidi" w:hAnsiTheme="majorBidi" w:cstheme="majorBidi"/>
        </w:rPr>
        <w:t xml:space="preserve"> particular </w:t>
      </w:r>
      <w:r w:rsidRPr="0024451B">
        <w:rPr>
          <w:rFonts w:asciiTheme="majorBidi" w:hAnsiTheme="majorBidi" w:cstheme="majorBidi"/>
        </w:rPr>
        <w:t>act or omission under article 9(3), in its findings on communication ACCC/C/2006/18 (Denmark), the Committee made clear that:</w:t>
      </w:r>
      <w:bookmarkEnd w:id="19"/>
      <w:r w:rsidRPr="0024451B">
        <w:rPr>
          <w:rFonts w:asciiTheme="majorBidi" w:hAnsiTheme="majorBidi" w:cstheme="majorBidi"/>
        </w:rPr>
        <w:t xml:space="preserve"> </w:t>
      </w:r>
    </w:p>
    <w:p w14:paraId="4D33A441" w14:textId="57318898" w:rsidR="00C3570E" w:rsidRPr="0024451B" w:rsidRDefault="00C3570E" w:rsidP="00FE3438">
      <w:pPr>
        <w:pStyle w:val="SingleTxtG"/>
        <w:ind w:left="1701" w:right="0"/>
        <w:rPr>
          <w:rFonts w:asciiTheme="majorBidi" w:hAnsiTheme="majorBidi" w:cstheme="majorBidi"/>
        </w:rPr>
      </w:pPr>
      <w:r w:rsidRPr="0024451B">
        <w:rPr>
          <w:rFonts w:asciiTheme="majorBidi" w:hAnsiTheme="majorBidi" w:cstheme="majorBidi"/>
        </w:rPr>
        <w:t>“the lack of such an opportunity for the communicant does not in itself necessarily amount to non-compliance with article 9, paragraph 3. … Rather, the Committee will have to consider to what extent some members of the public – individuals and/or organisations – can have access to administrative or judicial procedures</w:t>
      </w:r>
      <w:r w:rsidR="00D173E5" w:rsidRPr="0024451B">
        <w:rPr>
          <w:rFonts w:asciiTheme="majorBidi" w:hAnsiTheme="majorBidi" w:cstheme="majorBidi"/>
        </w:rPr>
        <w:t xml:space="preserve"> [to challenge th</w:t>
      </w:r>
      <w:r w:rsidR="000C36E7" w:rsidRPr="0024451B">
        <w:rPr>
          <w:rFonts w:asciiTheme="majorBidi" w:hAnsiTheme="majorBidi" w:cstheme="majorBidi"/>
        </w:rPr>
        <w:t>at</w:t>
      </w:r>
      <w:r w:rsidR="00D173E5" w:rsidRPr="0024451B">
        <w:rPr>
          <w:rFonts w:asciiTheme="majorBidi" w:hAnsiTheme="majorBidi" w:cstheme="majorBidi"/>
        </w:rPr>
        <w:t xml:space="preserve"> </w:t>
      </w:r>
      <w:r w:rsidR="000C36E7" w:rsidRPr="0024451B">
        <w:rPr>
          <w:rFonts w:asciiTheme="majorBidi" w:hAnsiTheme="majorBidi" w:cstheme="majorBidi"/>
        </w:rPr>
        <w:t>act</w:t>
      </w:r>
      <w:r w:rsidR="00D173E5" w:rsidRPr="0024451B">
        <w:rPr>
          <w:rFonts w:asciiTheme="majorBidi" w:hAnsiTheme="majorBidi" w:cstheme="majorBidi"/>
        </w:rPr>
        <w:t>]</w:t>
      </w:r>
      <w:r w:rsidRPr="0024451B">
        <w:rPr>
          <w:rFonts w:asciiTheme="majorBidi" w:hAnsiTheme="majorBidi" w:cstheme="majorBidi"/>
        </w:rPr>
        <w:t>”</w:t>
      </w:r>
      <w:r w:rsidRPr="0024451B">
        <w:rPr>
          <w:rStyle w:val="FootnoteReference"/>
          <w:rFonts w:asciiTheme="majorBidi" w:hAnsiTheme="majorBidi" w:cstheme="majorBidi"/>
          <w:sz w:val="20"/>
        </w:rPr>
        <w:footnoteReference w:id="54"/>
      </w:r>
    </w:p>
    <w:p w14:paraId="5131278E" w14:textId="5110C1D9" w:rsidR="00C3570E" w:rsidRPr="0024451B" w:rsidRDefault="00142C1A" w:rsidP="00C25258">
      <w:pPr>
        <w:pStyle w:val="SingleTxtG"/>
        <w:numPr>
          <w:ilvl w:val="0"/>
          <w:numId w:val="3"/>
        </w:numPr>
        <w:tabs>
          <w:tab w:val="clear" w:pos="1711"/>
          <w:tab w:val="num" w:pos="1135"/>
        </w:tabs>
        <w:ind w:left="1134" w:right="0" w:firstLine="0"/>
        <w:rPr>
          <w:rFonts w:asciiTheme="majorBidi" w:hAnsiTheme="majorBidi" w:cstheme="majorBidi"/>
        </w:rPr>
      </w:pPr>
      <w:r w:rsidRPr="0024451B">
        <w:rPr>
          <w:rFonts w:asciiTheme="majorBidi" w:hAnsiTheme="majorBidi" w:cstheme="majorBidi"/>
        </w:rPr>
        <w:t>It follows from</w:t>
      </w:r>
      <w:r w:rsidR="00C3570E" w:rsidRPr="0024451B">
        <w:rPr>
          <w:rFonts w:asciiTheme="majorBidi" w:hAnsiTheme="majorBidi" w:cstheme="majorBidi"/>
        </w:rPr>
        <w:t xml:space="preserve"> paragraphs </w:t>
      </w:r>
      <w:r w:rsidR="00FE3438" w:rsidRPr="0024451B">
        <w:rPr>
          <w:rFonts w:asciiTheme="majorBidi" w:hAnsiTheme="majorBidi" w:cstheme="majorBidi"/>
        </w:rPr>
        <w:fldChar w:fldCharType="begin"/>
      </w:r>
      <w:r w:rsidR="00FE3438" w:rsidRPr="0024451B">
        <w:rPr>
          <w:rFonts w:asciiTheme="majorBidi" w:hAnsiTheme="majorBidi" w:cstheme="majorBidi"/>
        </w:rPr>
        <w:instrText xml:space="preserve"> REF _Ref19300884 \r \h </w:instrText>
      </w:r>
      <w:r w:rsidR="00761A75" w:rsidRPr="0024451B">
        <w:rPr>
          <w:rFonts w:asciiTheme="majorBidi" w:hAnsiTheme="majorBidi" w:cstheme="majorBidi"/>
        </w:rPr>
        <w:instrText xml:space="preserve"> \* MERGEFORMAT </w:instrText>
      </w:r>
      <w:r w:rsidR="00FE3438" w:rsidRPr="0024451B">
        <w:rPr>
          <w:rFonts w:asciiTheme="majorBidi" w:hAnsiTheme="majorBidi" w:cstheme="majorBidi"/>
        </w:rPr>
      </w:r>
      <w:r w:rsidR="00FE3438" w:rsidRPr="0024451B">
        <w:rPr>
          <w:rFonts w:asciiTheme="majorBidi" w:hAnsiTheme="majorBidi" w:cstheme="majorBidi"/>
        </w:rPr>
        <w:fldChar w:fldCharType="separate"/>
      </w:r>
      <w:r w:rsidR="00451BCF">
        <w:rPr>
          <w:rFonts w:asciiTheme="majorBidi" w:hAnsiTheme="majorBidi" w:cstheme="majorBidi"/>
          <w:cs/>
        </w:rPr>
        <w:t>‎</w:t>
      </w:r>
      <w:r w:rsidR="00451BCF">
        <w:rPr>
          <w:rFonts w:asciiTheme="majorBidi" w:hAnsiTheme="majorBidi" w:cstheme="majorBidi"/>
        </w:rPr>
        <w:t>61</w:t>
      </w:r>
      <w:r w:rsidR="00FE3438" w:rsidRPr="0024451B">
        <w:rPr>
          <w:rFonts w:asciiTheme="majorBidi" w:hAnsiTheme="majorBidi" w:cstheme="majorBidi"/>
        </w:rPr>
        <w:fldChar w:fldCharType="end"/>
      </w:r>
      <w:r w:rsidR="00FE3438" w:rsidRPr="0024451B">
        <w:rPr>
          <w:rFonts w:asciiTheme="majorBidi" w:hAnsiTheme="majorBidi" w:cstheme="majorBidi"/>
        </w:rPr>
        <w:fldChar w:fldCharType="begin"/>
      </w:r>
      <w:r w:rsidR="00FE3438" w:rsidRPr="0024451B">
        <w:rPr>
          <w:rFonts w:asciiTheme="majorBidi" w:hAnsiTheme="majorBidi" w:cstheme="majorBidi"/>
        </w:rPr>
        <w:instrText xml:space="preserve"> REF _Ref19300892 \r \h </w:instrText>
      </w:r>
      <w:r w:rsidR="00761A75" w:rsidRPr="0024451B">
        <w:rPr>
          <w:rFonts w:asciiTheme="majorBidi" w:hAnsiTheme="majorBidi" w:cstheme="majorBidi"/>
        </w:rPr>
        <w:instrText xml:space="preserve"> \* MERGEFORMAT </w:instrText>
      </w:r>
      <w:r w:rsidR="00FE3438" w:rsidRPr="0024451B">
        <w:rPr>
          <w:rFonts w:asciiTheme="majorBidi" w:hAnsiTheme="majorBidi" w:cstheme="majorBidi"/>
        </w:rPr>
      </w:r>
      <w:r w:rsidR="00FE3438" w:rsidRPr="0024451B">
        <w:rPr>
          <w:rFonts w:asciiTheme="majorBidi" w:hAnsiTheme="majorBidi" w:cstheme="majorBidi"/>
        </w:rPr>
        <w:fldChar w:fldCharType="separate"/>
      </w:r>
      <w:r w:rsidR="00451BCF">
        <w:rPr>
          <w:rFonts w:asciiTheme="majorBidi" w:hAnsiTheme="majorBidi" w:cstheme="majorBidi"/>
          <w:cs/>
        </w:rPr>
        <w:t>‎</w:t>
      </w:r>
      <w:r w:rsidR="00451BCF">
        <w:rPr>
          <w:rFonts w:asciiTheme="majorBidi" w:hAnsiTheme="majorBidi" w:cstheme="majorBidi"/>
        </w:rPr>
        <w:t>66</w:t>
      </w:r>
      <w:r w:rsidR="00FE3438" w:rsidRPr="0024451B">
        <w:rPr>
          <w:rFonts w:asciiTheme="majorBidi" w:hAnsiTheme="majorBidi" w:cstheme="majorBidi"/>
        </w:rPr>
        <w:fldChar w:fldCharType="end"/>
      </w:r>
      <w:r w:rsidR="00C3570E" w:rsidRPr="0024451B">
        <w:rPr>
          <w:rFonts w:asciiTheme="majorBidi" w:hAnsiTheme="majorBidi" w:cstheme="majorBidi"/>
        </w:rPr>
        <w:t xml:space="preserve"> to </w:t>
      </w:r>
      <w:r w:rsidR="00FE3438" w:rsidRPr="0024451B">
        <w:rPr>
          <w:rFonts w:asciiTheme="majorBidi" w:hAnsiTheme="majorBidi" w:cstheme="majorBidi"/>
        </w:rPr>
        <w:t>65</w:t>
      </w:r>
      <w:r w:rsidR="00C3570E" w:rsidRPr="0024451B">
        <w:rPr>
          <w:rFonts w:asciiTheme="majorBidi" w:hAnsiTheme="majorBidi" w:cstheme="majorBidi"/>
        </w:rPr>
        <w:t xml:space="preserve"> above, that article 9(3) does not </w:t>
      </w:r>
      <w:r w:rsidRPr="0024451B">
        <w:rPr>
          <w:rFonts w:asciiTheme="majorBidi" w:hAnsiTheme="majorBidi" w:cstheme="majorBidi"/>
        </w:rPr>
        <w:t>grant</w:t>
      </w:r>
      <w:r w:rsidR="00C3570E" w:rsidRPr="0024451B">
        <w:rPr>
          <w:rFonts w:asciiTheme="majorBidi" w:hAnsiTheme="majorBidi" w:cstheme="majorBidi"/>
        </w:rPr>
        <w:t xml:space="preserve"> a </w:t>
      </w:r>
      <w:r w:rsidR="00C25258" w:rsidRPr="0024451B">
        <w:rPr>
          <w:rFonts w:asciiTheme="majorBidi" w:hAnsiTheme="majorBidi"/>
          <w:u w:val="words"/>
        </w:rPr>
        <w:t xml:space="preserve"> </w:t>
      </w:r>
      <w:r w:rsidR="00C3570E" w:rsidRPr="0024451B">
        <w:rPr>
          <w:rFonts w:asciiTheme="majorBidi" w:hAnsiTheme="majorBidi" w:cstheme="majorBidi"/>
        </w:rPr>
        <w:t xml:space="preserve">right to every member of the public to challenge every act or omission which may contravene national law relating to the environment. Rather, article 9(3) permits Parties to lay down criteria in their national law regarding which members of the public are entitled to have access to administrative or judicial procedures to challenge a </w:t>
      </w:r>
      <w:r w:rsidR="00C3570E" w:rsidRPr="0024451B">
        <w:rPr>
          <w:rFonts w:asciiTheme="majorBidi" w:hAnsiTheme="majorBidi" w:cstheme="majorBidi"/>
        </w:rPr>
        <w:lastRenderedPageBreak/>
        <w:t>particular act or omission. However, any such criteria must be in line with the purpose reflected in paragraph 18 of the preamble of the Convention that “effective judicial mechanisms should be accessible to the public including organizations, so that its legitimate interests are protected and the law is enforced”. Accordingly, Parties may not introduce or maintain so strict criteria that they effectively bar all or almost all environmental organizations or other members of the public from challenging act or omissions that contravene national law relating to the environment. Moreover, criteria for standing which bars all members of the public except NGOs would not comply with article 9(3) either.</w:t>
      </w:r>
    </w:p>
    <w:p w14:paraId="6F227B35" w14:textId="0C417FC0" w:rsidR="00886B27" w:rsidRPr="0024451B" w:rsidRDefault="00C3570E" w:rsidP="00A606F9">
      <w:pPr>
        <w:pStyle w:val="SingleTxtG"/>
        <w:numPr>
          <w:ilvl w:val="0"/>
          <w:numId w:val="3"/>
        </w:numPr>
        <w:tabs>
          <w:tab w:val="clear" w:pos="1711"/>
          <w:tab w:val="num" w:pos="1135"/>
        </w:tabs>
        <w:ind w:left="1134" w:right="0" w:firstLine="0"/>
        <w:rPr>
          <w:rFonts w:asciiTheme="majorBidi" w:hAnsiTheme="majorBidi" w:cstheme="majorBidi"/>
        </w:rPr>
      </w:pPr>
      <w:r w:rsidRPr="0024451B">
        <w:rPr>
          <w:rFonts w:asciiTheme="majorBidi" w:hAnsiTheme="majorBidi" w:cstheme="majorBidi"/>
        </w:rPr>
        <w:t xml:space="preserve">In the present case, </w:t>
      </w:r>
      <w:r w:rsidR="00886B27" w:rsidRPr="0024451B">
        <w:rPr>
          <w:rFonts w:asciiTheme="majorBidi" w:hAnsiTheme="majorBidi" w:cstheme="majorBidi"/>
        </w:rPr>
        <w:t>the communicant does not challenge the criteria for standing for natural persons laid down in national law, namely that the petitioner must demonstrate a sufficiently definite, direct personal interest (see paras. 14-</w:t>
      </w:r>
      <w:r w:rsidR="00886B27" w:rsidRPr="0024451B">
        <w:rPr>
          <w:rFonts w:asciiTheme="majorBidi" w:hAnsiTheme="majorBidi" w:cstheme="majorBidi"/>
        </w:rPr>
        <w:fldChar w:fldCharType="begin"/>
      </w:r>
      <w:r w:rsidR="00886B27" w:rsidRPr="0024451B">
        <w:rPr>
          <w:rFonts w:asciiTheme="majorBidi" w:hAnsiTheme="majorBidi" w:cstheme="majorBidi"/>
        </w:rPr>
        <w:instrText xml:space="preserve"> REF _Ref15487368 \r \h  \* MERGEFORMAT </w:instrText>
      </w:r>
      <w:r w:rsidR="00886B27" w:rsidRPr="0024451B">
        <w:rPr>
          <w:rFonts w:asciiTheme="majorBidi" w:hAnsiTheme="majorBidi" w:cstheme="majorBidi"/>
        </w:rPr>
      </w:r>
      <w:r w:rsidR="00886B27" w:rsidRPr="0024451B">
        <w:rPr>
          <w:rFonts w:asciiTheme="majorBidi" w:hAnsiTheme="majorBidi" w:cstheme="majorBidi"/>
        </w:rPr>
        <w:fldChar w:fldCharType="separate"/>
      </w:r>
      <w:r w:rsidR="00451BCF">
        <w:rPr>
          <w:rFonts w:asciiTheme="majorBidi" w:hAnsiTheme="majorBidi" w:cstheme="majorBidi"/>
          <w:cs/>
        </w:rPr>
        <w:t>‎</w:t>
      </w:r>
      <w:r w:rsidR="00451BCF">
        <w:rPr>
          <w:rFonts w:asciiTheme="majorBidi" w:hAnsiTheme="majorBidi" w:cstheme="majorBidi"/>
        </w:rPr>
        <w:t>15</w:t>
      </w:r>
      <w:r w:rsidR="00886B27" w:rsidRPr="0024451B">
        <w:rPr>
          <w:rFonts w:asciiTheme="majorBidi" w:hAnsiTheme="majorBidi" w:cstheme="majorBidi"/>
        </w:rPr>
        <w:fldChar w:fldCharType="end"/>
      </w:r>
      <w:r w:rsidR="00886B27" w:rsidRPr="0024451B">
        <w:rPr>
          <w:rFonts w:asciiTheme="majorBidi" w:hAnsiTheme="majorBidi" w:cstheme="majorBidi"/>
        </w:rPr>
        <w:t xml:space="preserve"> and </w:t>
      </w:r>
      <w:r w:rsidR="00886B27" w:rsidRPr="0024451B">
        <w:rPr>
          <w:rFonts w:asciiTheme="majorBidi" w:hAnsiTheme="majorBidi" w:cstheme="majorBidi"/>
        </w:rPr>
        <w:fldChar w:fldCharType="begin"/>
      </w:r>
      <w:r w:rsidR="00886B27" w:rsidRPr="0024451B">
        <w:rPr>
          <w:rFonts w:asciiTheme="majorBidi" w:hAnsiTheme="majorBidi" w:cstheme="majorBidi"/>
        </w:rPr>
        <w:instrText xml:space="preserve"> REF _Ref19188808 \r \h  \* MERGEFORMAT </w:instrText>
      </w:r>
      <w:r w:rsidR="00886B27" w:rsidRPr="0024451B">
        <w:rPr>
          <w:rFonts w:asciiTheme="majorBidi" w:hAnsiTheme="majorBidi" w:cstheme="majorBidi"/>
        </w:rPr>
      </w:r>
      <w:r w:rsidR="00886B27" w:rsidRPr="0024451B">
        <w:rPr>
          <w:rFonts w:asciiTheme="majorBidi" w:hAnsiTheme="majorBidi" w:cstheme="majorBidi"/>
        </w:rPr>
        <w:fldChar w:fldCharType="separate"/>
      </w:r>
      <w:r w:rsidR="00451BCF">
        <w:rPr>
          <w:rFonts w:asciiTheme="majorBidi" w:hAnsiTheme="majorBidi" w:cstheme="majorBidi"/>
          <w:cs/>
        </w:rPr>
        <w:t>‎</w:t>
      </w:r>
      <w:r w:rsidR="00451BCF">
        <w:rPr>
          <w:rFonts w:asciiTheme="majorBidi" w:hAnsiTheme="majorBidi" w:cstheme="majorBidi"/>
        </w:rPr>
        <w:t>31</w:t>
      </w:r>
      <w:r w:rsidR="00886B27" w:rsidRPr="0024451B">
        <w:rPr>
          <w:rFonts w:asciiTheme="majorBidi" w:hAnsiTheme="majorBidi" w:cstheme="majorBidi"/>
        </w:rPr>
        <w:fldChar w:fldCharType="end"/>
      </w:r>
      <w:r w:rsidR="00886B27" w:rsidRPr="0024451B">
        <w:rPr>
          <w:rFonts w:asciiTheme="majorBidi" w:hAnsiTheme="majorBidi" w:cstheme="majorBidi"/>
        </w:rPr>
        <w:t xml:space="preserve"> above). Rather, he complains about the application of those criteria by the administrative courts of the Party concerned and in particular by the Conseil </w:t>
      </w:r>
      <w:proofErr w:type="spellStart"/>
      <w:r w:rsidR="00886B27" w:rsidRPr="0024451B">
        <w:rPr>
          <w:rFonts w:asciiTheme="majorBidi" w:hAnsiTheme="majorBidi" w:cstheme="majorBidi"/>
        </w:rPr>
        <w:t>d’État</w:t>
      </w:r>
      <w:proofErr w:type="spellEnd"/>
      <w:r w:rsidR="00886B27" w:rsidRPr="0024451B">
        <w:rPr>
          <w:rFonts w:asciiTheme="majorBidi" w:hAnsiTheme="majorBidi" w:cstheme="majorBidi"/>
        </w:rPr>
        <w:t xml:space="preserve"> in his petition regarding the 2015 Order (see paras. </w:t>
      </w:r>
      <w:r w:rsidR="00886B27" w:rsidRPr="0024451B">
        <w:rPr>
          <w:rFonts w:asciiTheme="majorBidi" w:hAnsiTheme="majorBidi" w:cstheme="majorBidi"/>
        </w:rPr>
        <w:fldChar w:fldCharType="begin"/>
      </w:r>
      <w:r w:rsidR="00886B27" w:rsidRPr="0024451B">
        <w:rPr>
          <w:rFonts w:asciiTheme="majorBidi" w:hAnsiTheme="majorBidi" w:cstheme="majorBidi"/>
        </w:rPr>
        <w:instrText xml:space="preserve"> REF _Ref19189179 \r \h  \* MERGEFORMAT </w:instrText>
      </w:r>
      <w:r w:rsidR="00886B27" w:rsidRPr="0024451B">
        <w:rPr>
          <w:rFonts w:asciiTheme="majorBidi" w:hAnsiTheme="majorBidi" w:cstheme="majorBidi"/>
        </w:rPr>
      </w:r>
      <w:r w:rsidR="00886B27" w:rsidRPr="0024451B">
        <w:rPr>
          <w:rFonts w:asciiTheme="majorBidi" w:hAnsiTheme="majorBidi" w:cstheme="majorBidi"/>
        </w:rPr>
        <w:fldChar w:fldCharType="separate"/>
      </w:r>
      <w:r w:rsidR="00451BCF">
        <w:rPr>
          <w:rFonts w:asciiTheme="majorBidi" w:hAnsiTheme="majorBidi" w:cstheme="majorBidi"/>
          <w:cs/>
        </w:rPr>
        <w:t>‎</w:t>
      </w:r>
      <w:r w:rsidR="00451BCF">
        <w:rPr>
          <w:rFonts w:asciiTheme="majorBidi" w:hAnsiTheme="majorBidi" w:cstheme="majorBidi"/>
        </w:rPr>
        <w:t>32</w:t>
      </w:r>
      <w:r w:rsidR="00886B27" w:rsidRPr="0024451B">
        <w:rPr>
          <w:rFonts w:asciiTheme="majorBidi" w:hAnsiTheme="majorBidi" w:cstheme="majorBidi"/>
        </w:rPr>
        <w:fldChar w:fldCharType="end"/>
      </w:r>
      <w:r w:rsidR="00886B27" w:rsidRPr="0024451B">
        <w:rPr>
          <w:rFonts w:asciiTheme="majorBidi" w:hAnsiTheme="majorBidi" w:cstheme="majorBidi"/>
        </w:rPr>
        <w:t>-</w:t>
      </w:r>
      <w:r w:rsidR="00886B27" w:rsidRPr="0024451B">
        <w:rPr>
          <w:rFonts w:asciiTheme="majorBidi" w:hAnsiTheme="majorBidi" w:cstheme="majorBidi"/>
        </w:rPr>
        <w:fldChar w:fldCharType="begin"/>
      </w:r>
      <w:r w:rsidR="00886B27" w:rsidRPr="0024451B">
        <w:rPr>
          <w:rFonts w:asciiTheme="majorBidi" w:hAnsiTheme="majorBidi" w:cstheme="majorBidi"/>
        </w:rPr>
        <w:instrText xml:space="preserve"> REF _Ref19189181 \r \h  \* MERGEFORMAT </w:instrText>
      </w:r>
      <w:r w:rsidR="00886B27" w:rsidRPr="0024451B">
        <w:rPr>
          <w:rFonts w:asciiTheme="majorBidi" w:hAnsiTheme="majorBidi" w:cstheme="majorBidi"/>
        </w:rPr>
      </w:r>
      <w:r w:rsidR="00886B27" w:rsidRPr="0024451B">
        <w:rPr>
          <w:rFonts w:asciiTheme="majorBidi" w:hAnsiTheme="majorBidi" w:cstheme="majorBidi"/>
        </w:rPr>
        <w:fldChar w:fldCharType="separate"/>
      </w:r>
      <w:r w:rsidR="00451BCF">
        <w:rPr>
          <w:rFonts w:asciiTheme="majorBidi" w:hAnsiTheme="majorBidi" w:cstheme="majorBidi"/>
          <w:cs/>
        </w:rPr>
        <w:t>‎</w:t>
      </w:r>
      <w:r w:rsidR="00451BCF">
        <w:rPr>
          <w:rFonts w:asciiTheme="majorBidi" w:hAnsiTheme="majorBidi" w:cstheme="majorBidi"/>
        </w:rPr>
        <w:t>34</w:t>
      </w:r>
      <w:r w:rsidR="00886B27" w:rsidRPr="0024451B">
        <w:rPr>
          <w:rFonts w:asciiTheme="majorBidi" w:hAnsiTheme="majorBidi" w:cstheme="majorBidi"/>
        </w:rPr>
        <w:fldChar w:fldCharType="end"/>
      </w:r>
      <w:r w:rsidR="00886B27" w:rsidRPr="0024451B">
        <w:rPr>
          <w:rFonts w:asciiTheme="majorBidi" w:hAnsiTheme="majorBidi" w:cstheme="majorBidi"/>
        </w:rPr>
        <w:t xml:space="preserve"> above). </w:t>
      </w:r>
    </w:p>
    <w:p w14:paraId="2BC2CCA4" w14:textId="5E03FAF4" w:rsidR="00C3570E" w:rsidRPr="0024451B" w:rsidRDefault="00C51E53" w:rsidP="00A606F9">
      <w:pPr>
        <w:pStyle w:val="SingleTxtG"/>
        <w:numPr>
          <w:ilvl w:val="0"/>
          <w:numId w:val="3"/>
        </w:numPr>
        <w:tabs>
          <w:tab w:val="clear" w:pos="1711"/>
          <w:tab w:val="num" w:pos="1135"/>
        </w:tabs>
        <w:ind w:left="1134" w:right="0" w:firstLine="0"/>
        <w:rPr>
          <w:rFonts w:asciiTheme="majorBidi" w:hAnsiTheme="majorBidi" w:cstheme="majorBidi"/>
        </w:rPr>
      </w:pPr>
      <w:r w:rsidRPr="0024451B">
        <w:rPr>
          <w:rFonts w:asciiTheme="majorBidi" w:hAnsiTheme="majorBidi" w:cstheme="majorBidi"/>
        </w:rPr>
        <w:t>In that regard, t</w:t>
      </w:r>
      <w:r w:rsidR="00C3570E" w:rsidRPr="0024451B">
        <w:rPr>
          <w:rFonts w:asciiTheme="majorBidi" w:hAnsiTheme="majorBidi" w:cstheme="majorBidi"/>
        </w:rPr>
        <w:t xml:space="preserve">he communicant does not claim that environmental associations would not have had standing to challenge the 2015 Order. Rather, he seems to acknowledge that they would have (see para. </w:t>
      </w:r>
      <w:r w:rsidR="00C3570E" w:rsidRPr="0024451B">
        <w:rPr>
          <w:rFonts w:asciiTheme="majorBidi" w:hAnsiTheme="majorBidi" w:cstheme="majorBidi"/>
        </w:rPr>
        <w:fldChar w:fldCharType="begin"/>
      </w:r>
      <w:r w:rsidR="00C3570E" w:rsidRPr="0024451B">
        <w:rPr>
          <w:rFonts w:asciiTheme="majorBidi" w:hAnsiTheme="majorBidi" w:cstheme="majorBidi"/>
        </w:rPr>
        <w:instrText xml:space="preserve"> REF _Ref19188602 \r \h  \* MERGEFORMAT </w:instrText>
      </w:r>
      <w:r w:rsidR="00C3570E" w:rsidRPr="0024451B">
        <w:rPr>
          <w:rFonts w:asciiTheme="majorBidi" w:hAnsiTheme="majorBidi" w:cstheme="majorBidi"/>
        </w:rPr>
      </w:r>
      <w:r w:rsidR="00C3570E" w:rsidRPr="0024451B">
        <w:rPr>
          <w:rFonts w:asciiTheme="majorBidi" w:hAnsiTheme="majorBidi" w:cstheme="majorBidi"/>
        </w:rPr>
        <w:fldChar w:fldCharType="separate"/>
      </w:r>
      <w:r w:rsidR="00451BCF">
        <w:rPr>
          <w:rFonts w:asciiTheme="majorBidi" w:hAnsiTheme="majorBidi" w:cstheme="majorBidi"/>
          <w:cs/>
        </w:rPr>
        <w:t>‎</w:t>
      </w:r>
      <w:r w:rsidR="00451BCF">
        <w:rPr>
          <w:rFonts w:asciiTheme="majorBidi" w:hAnsiTheme="majorBidi" w:cstheme="majorBidi"/>
        </w:rPr>
        <w:t>35</w:t>
      </w:r>
      <w:r w:rsidR="00C3570E" w:rsidRPr="0024451B">
        <w:rPr>
          <w:rFonts w:asciiTheme="majorBidi" w:hAnsiTheme="majorBidi" w:cstheme="majorBidi"/>
        </w:rPr>
        <w:fldChar w:fldCharType="end"/>
      </w:r>
      <w:r w:rsidR="00C3570E" w:rsidRPr="0024451B">
        <w:rPr>
          <w:rFonts w:asciiTheme="majorBidi" w:hAnsiTheme="majorBidi" w:cstheme="majorBidi"/>
        </w:rPr>
        <w:t xml:space="preserve"> above). </w:t>
      </w:r>
    </w:p>
    <w:p w14:paraId="6B316A52" w14:textId="08078415" w:rsidR="00C3570E" w:rsidRPr="0024451B" w:rsidRDefault="00C3570E" w:rsidP="00C3570E">
      <w:pPr>
        <w:pStyle w:val="SingleTxtG"/>
        <w:numPr>
          <w:ilvl w:val="0"/>
          <w:numId w:val="3"/>
        </w:numPr>
        <w:tabs>
          <w:tab w:val="clear" w:pos="1711"/>
          <w:tab w:val="num" w:pos="1135"/>
        </w:tabs>
        <w:ind w:left="1134" w:right="0" w:firstLine="0"/>
        <w:rPr>
          <w:rFonts w:asciiTheme="majorBidi" w:hAnsiTheme="majorBidi" w:cstheme="majorBidi"/>
        </w:rPr>
      </w:pPr>
      <w:bookmarkStart w:id="20" w:name="_Ref22244275"/>
      <w:r w:rsidRPr="0024451B">
        <w:rPr>
          <w:rFonts w:asciiTheme="majorBidi" w:hAnsiTheme="majorBidi" w:cstheme="majorBidi"/>
        </w:rPr>
        <w:t xml:space="preserve">Nor does </w:t>
      </w:r>
      <w:r w:rsidR="00142C1A" w:rsidRPr="0024451B">
        <w:rPr>
          <w:rFonts w:asciiTheme="majorBidi" w:hAnsiTheme="majorBidi" w:cstheme="majorBidi"/>
        </w:rPr>
        <w:t xml:space="preserve">the communicant </w:t>
      </w:r>
      <w:r w:rsidRPr="0024451B">
        <w:rPr>
          <w:rFonts w:asciiTheme="majorBidi" w:hAnsiTheme="majorBidi" w:cstheme="majorBidi"/>
        </w:rPr>
        <w:t>provide any evidence to demonstrate that other natural persons, for example those who live or work in or recreationally use the areas covered by the 2015 Order, would be denied standing. His sole claim is that he personally was denied standing and that this amounts to a breach of the Convention.</w:t>
      </w:r>
      <w:bookmarkEnd w:id="20"/>
      <w:r w:rsidRPr="0024451B">
        <w:rPr>
          <w:rFonts w:asciiTheme="majorBidi" w:hAnsiTheme="majorBidi" w:cstheme="majorBidi"/>
        </w:rPr>
        <w:t xml:space="preserve"> </w:t>
      </w:r>
    </w:p>
    <w:p w14:paraId="7119CA5C" w14:textId="1BAD87C2" w:rsidR="000C36E7" w:rsidRPr="0024451B" w:rsidRDefault="000C36E7" w:rsidP="00A05614">
      <w:pPr>
        <w:pStyle w:val="SingleTxtG"/>
        <w:numPr>
          <w:ilvl w:val="0"/>
          <w:numId w:val="3"/>
        </w:numPr>
        <w:tabs>
          <w:tab w:val="clear" w:pos="1711"/>
          <w:tab w:val="num" w:pos="1135"/>
        </w:tabs>
        <w:ind w:left="1134" w:right="0" w:firstLine="0"/>
      </w:pPr>
      <w:r w:rsidRPr="0024451B">
        <w:t xml:space="preserve">In his pleadings to the Conseil </w:t>
      </w:r>
      <w:proofErr w:type="spellStart"/>
      <w:r w:rsidRPr="0024451B">
        <w:t>d’État</w:t>
      </w:r>
      <w:proofErr w:type="spellEnd"/>
      <w:r w:rsidRPr="0024451B">
        <w:t xml:space="preserve">, the communicant claimed he should be granted standing to challenge the 2015 Order for three reasons (see para. </w:t>
      </w:r>
      <w:r w:rsidRPr="0024451B">
        <w:fldChar w:fldCharType="begin"/>
      </w:r>
      <w:r w:rsidRPr="0024451B">
        <w:instrText xml:space="preserve"> REF _Ref19191638 \r \h  \* MERGEFORMAT </w:instrText>
      </w:r>
      <w:r w:rsidRPr="0024451B">
        <w:fldChar w:fldCharType="separate"/>
      </w:r>
      <w:r w:rsidR="00451BCF">
        <w:rPr>
          <w:cs/>
        </w:rPr>
        <w:t>‎</w:t>
      </w:r>
      <w:r w:rsidR="00451BCF">
        <w:t>22</w:t>
      </w:r>
      <w:r w:rsidRPr="0024451B">
        <w:fldChar w:fldCharType="end"/>
      </w:r>
      <w:r w:rsidRPr="0024451B">
        <w:t xml:space="preserve"> above). First, </w:t>
      </w:r>
      <w:r w:rsidR="00142C1A" w:rsidRPr="0024451B">
        <w:t>because</w:t>
      </w:r>
      <w:r w:rsidRPr="0024451B">
        <w:t xml:space="preserve"> article 7 of the Charter for the Environment and article 9 of the Convention mean that everyone has the right to participate in, and initiate proceedings against, decisions that affect the environment. Second, </w:t>
      </w:r>
      <w:r w:rsidR="00142C1A" w:rsidRPr="0024451B">
        <w:t xml:space="preserve">because of </w:t>
      </w:r>
      <w:r w:rsidRPr="0024451B">
        <w:t xml:space="preserve">his interest in wildlife and its preservation, reflected in his publication of numerous articles in specialized journals and his involvement through the years as a founding member or administrator of environmental protection associations. Third, </w:t>
      </w:r>
      <w:r w:rsidR="00142C1A" w:rsidRPr="0024451B">
        <w:t>since</w:t>
      </w:r>
      <w:r w:rsidRPr="0024451B">
        <w:t xml:space="preserve"> he took part in the public participation procedure during the preparation of the 2015 Order. </w:t>
      </w:r>
      <w:r w:rsidR="009C59DD" w:rsidRPr="0024451B">
        <w:t xml:space="preserve">While it is not for the Committee to examine whether the communicant’s interpretation of French law is correct, the question is whether the </w:t>
      </w:r>
      <w:r w:rsidR="004239DA" w:rsidRPr="0024451B">
        <w:t xml:space="preserve">ruling by the Conseil </w:t>
      </w:r>
      <w:proofErr w:type="spellStart"/>
      <w:r w:rsidR="004239DA" w:rsidRPr="0024451B">
        <w:t>d’Etat</w:t>
      </w:r>
      <w:proofErr w:type="spellEnd"/>
      <w:r w:rsidR="004239DA" w:rsidRPr="0024451B">
        <w:t xml:space="preserve"> </w:t>
      </w:r>
      <w:r w:rsidR="00406A90" w:rsidRPr="0024451B">
        <w:t xml:space="preserve">of 23 October 2015 denying the communicant </w:t>
      </w:r>
      <w:r w:rsidR="004239DA" w:rsidRPr="0024451B">
        <w:t xml:space="preserve">standing </w:t>
      </w:r>
      <w:r w:rsidR="00406A90" w:rsidRPr="0024451B">
        <w:t>to challenge the 2015 Order</w:t>
      </w:r>
      <w:r w:rsidR="004239DA" w:rsidRPr="0024451B">
        <w:t xml:space="preserve"> was compatible with article 9(3) of the Convention</w:t>
      </w:r>
      <w:r w:rsidR="009C59DD" w:rsidRPr="0024451B">
        <w:t xml:space="preserve">. </w:t>
      </w:r>
      <w:r w:rsidRPr="0024451B">
        <w:t>The Committee examines each of these below.</w:t>
      </w:r>
    </w:p>
    <w:p w14:paraId="05752123" w14:textId="6D9E1D0E" w:rsidR="000C36E7" w:rsidRPr="0024451B" w:rsidRDefault="000C36E7" w:rsidP="000C36E7">
      <w:pPr>
        <w:pStyle w:val="SingleTxtG"/>
        <w:numPr>
          <w:ilvl w:val="0"/>
          <w:numId w:val="3"/>
        </w:numPr>
        <w:tabs>
          <w:tab w:val="clear" w:pos="1711"/>
        </w:tabs>
        <w:ind w:left="1134" w:right="0" w:firstLine="0"/>
      </w:pPr>
      <w:r w:rsidRPr="0024451B">
        <w:t xml:space="preserve">With respect to the communicant’s first argument, the </w:t>
      </w:r>
      <w:r w:rsidR="004239DA" w:rsidRPr="0024451B">
        <w:t xml:space="preserve">Committee </w:t>
      </w:r>
      <w:r w:rsidR="00142C1A" w:rsidRPr="0024451B">
        <w:t>repeats</w:t>
      </w:r>
      <w:r w:rsidRPr="0024451B">
        <w:t xml:space="preserve"> that </w:t>
      </w:r>
      <w:r w:rsidR="004239DA" w:rsidRPr="0024451B">
        <w:t xml:space="preserve">article 9(3) of </w:t>
      </w:r>
      <w:r w:rsidRPr="0024451B">
        <w:t xml:space="preserve">the Convention does not </w:t>
      </w:r>
      <w:r w:rsidR="00D525C7" w:rsidRPr="0024451B">
        <w:t xml:space="preserve">establish an </w:t>
      </w:r>
      <w:proofErr w:type="spellStart"/>
      <w:r w:rsidR="00D525C7" w:rsidRPr="0024451B">
        <w:rPr>
          <w:i/>
          <w:iCs/>
        </w:rPr>
        <w:t>actio</w:t>
      </w:r>
      <w:proofErr w:type="spellEnd"/>
      <w:r w:rsidR="00D525C7" w:rsidRPr="0024451B">
        <w:rPr>
          <w:i/>
          <w:iCs/>
        </w:rPr>
        <w:t xml:space="preserve"> </w:t>
      </w:r>
      <w:proofErr w:type="spellStart"/>
      <w:r w:rsidR="00D525C7" w:rsidRPr="0024451B">
        <w:rPr>
          <w:i/>
          <w:iCs/>
        </w:rPr>
        <w:t>popularis</w:t>
      </w:r>
      <w:proofErr w:type="spellEnd"/>
      <w:r w:rsidR="00D525C7" w:rsidRPr="0024451B">
        <w:t xml:space="preserve"> </w:t>
      </w:r>
      <w:r w:rsidR="00763BCF" w:rsidRPr="0024451B">
        <w:t xml:space="preserve">that would </w:t>
      </w:r>
      <w:proofErr w:type="gramStart"/>
      <w:r w:rsidR="00763BCF" w:rsidRPr="0024451B">
        <w:t xml:space="preserve">mean </w:t>
      </w:r>
      <w:r w:rsidR="00D525C7" w:rsidRPr="0024451B">
        <w:t xml:space="preserve"> that</w:t>
      </w:r>
      <w:proofErr w:type="gramEnd"/>
      <w:r w:rsidR="00D525C7" w:rsidRPr="0024451B">
        <w:t xml:space="preserve"> any </w:t>
      </w:r>
      <w:r w:rsidRPr="0024451B">
        <w:t xml:space="preserve">person </w:t>
      </w:r>
      <w:r w:rsidR="00D525C7" w:rsidRPr="0024451B">
        <w:t xml:space="preserve">can  </w:t>
      </w:r>
      <w:r w:rsidRPr="0024451B">
        <w:t xml:space="preserve">challenge </w:t>
      </w:r>
      <w:r w:rsidR="00D525C7" w:rsidRPr="0024451B">
        <w:t xml:space="preserve">any </w:t>
      </w:r>
      <w:r w:rsidRPr="0024451B">
        <w:t>decision</w:t>
      </w:r>
      <w:r w:rsidR="00D525C7" w:rsidRPr="0024451B">
        <w:t>, act or omission</w:t>
      </w:r>
      <w:r w:rsidRPr="0024451B">
        <w:t xml:space="preserve"> related to the environment. </w:t>
      </w:r>
    </w:p>
    <w:p w14:paraId="7984FCF9" w14:textId="32373068" w:rsidR="000C36E7" w:rsidRPr="0024451B" w:rsidRDefault="000C36E7" w:rsidP="000C36E7">
      <w:pPr>
        <w:pStyle w:val="SingleTxtG"/>
        <w:numPr>
          <w:ilvl w:val="0"/>
          <w:numId w:val="3"/>
        </w:numPr>
        <w:tabs>
          <w:tab w:val="clear" w:pos="1711"/>
        </w:tabs>
        <w:ind w:left="1134" w:right="0" w:firstLine="0"/>
      </w:pPr>
      <w:r w:rsidRPr="0024451B">
        <w:t xml:space="preserve">Concerning the communicant’s </w:t>
      </w:r>
      <w:r w:rsidR="0088639A" w:rsidRPr="0024451B">
        <w:t xml:space="preserve">second </w:t>
      </w:r>
      <w:r w:rsidRPr="0024451B">
        <w:t xml:space="preserve">claim that he should have had standing to challenge the 2015 Order due to his demonstrated environmental experience and commitment, </w:t>
      </w:r>
      <w:r w:rsidR="000B1173" w:rsidRPr="0024451B">
        <w:t xml:space="preserve">the Committee considers that </w:t>
      </w:r>
      <w:r w:rsidR="00313E84" w:rsidRPr="0024451B">
        <w:t xml:space="preserve">such </w:t>
      </w:r>
      <w:r w:rsidR="0090637C" w:rsidRPr="0024451B">
        <w:t xml:space="preserve">factors </w:t>
      </w:r>
      <w:r w:rsidRPr="0024451B">
        <w:t xml:space="preserve">in themselves do not </w:t>
      </w:r>
      <w:r w:rsidR="000B1173" w:rsidRPr="0024451B">
        <w:t xml:space="preserve">necessarily </w:t>
      </w:r>
      <w:r w:rsidRPr="0024451B">
        <w:t xml:space="preserve">provide </w:t>
      </w:r>
      <w:r w:rsidR="000B1173" w:rsidRPr="0024451B">
        <w:t>for</w:t>
      </w:r>
      <w:r w:rsidRPr="0024451B">
        <w:t xml:space="preserve"> standing</w:t>
      </w:r>
      <w:r w:rsidR="000B1173" w:rsidRPr="0024451B">
        <w:t xml:space="preserve"> under the Convention</w:t>
      </w:r>
      <w:r w:rsidRPr="0024451B">
        <w:t xml:space="preserve">. </w:t>
      </w:r>
    </w:p>
    <w:p w14:paraId="630091CB" w14:textId="40E72B63" w:rsidR="005E75B9" w:rsidRPr="0024451B" w:rsidRDefault="000C36E7" w:rsidP="005E75B9">
      <w:pPr>
        <w:pStyle w:val="SingleTxtG"/>
        <w:numPr>
          <w:ilvl w:val="0"/>
          <w:numId w:val="3"/>
        </w:numPr>
        <w:tabs>
          <w:tab w:val="clear" w:pos="1711"/>
        </w:tabs>
        <w:ind w:left="1134" w:right="0" w:firstLine="0"/>
        <w:rPr>
          <w:rFonts w:asciiTheme="majorBidi" w:hAnsiTheme="majorBidi" w:cstheme="majorBidi"/>
        </w:rPr>
      </w:pPr>
      <w:r w:rsidRPr="0024451B">
        <w:t xml:space="preserve">Finally, regarding his claim that his involvement in the public participation procedure regarding the 2015 Order should be a </w:t>
      </w:r>
      <w:proofErr w:type="gramStart"/>
      <w:r w:rsidRPr="0024451B">
        <w:t>sufficient</w:t>
      </w:r>
      <w:proofErr w:type="gramEnd"/>
      <w:r w:rsidRPr="0024451B">
        <w:t xml:space="preserve"> legal basis for standing</w:t>
      </w:r>
      <w:r w:rsidR="000B1173" w:rsidRPr="0024451B">
        <w:t xml:space="preserve"> under the Convention</w:t>
      </w:r>
      <w:r w:rsidRPr="0024451B">
        <w:t xml:space="preserve">, the Committee </w:t>
      </w:r>
      <w:r w:rsidR="000B1173" w:rsidRPr="0024451B">
        <w:t xml:space="preserve">points out that the </w:t>
      </w:r>
      <w:r w:rsidRPr="0024451B">
        <w:t xml:space="preserve">right under the Convention to participate in decision-making in environmental matters is separate </w:t>
      </w:r>
      <w:r w:rsidR="00142C1A" w:rsidRPr="0024451B">
        <w:t>from</w:t>
      </w:r>
      <w:r w:rsidRPr="0024451B">
        <w:t xml:space="preserve"> the right to have access to justice in environmental matters. As the Committee </w:t>
      </w:r>
      <w:r w:rsidR="00A03EEC" w:rsidRPr="0024451B">
        <w:t>clarified</w:t>
      </w:r>
      <w:r w:rsidRPr="0024451B">
        <w:t xml:space="preserve"> in its findings on communication ACCC/C/2013/76 (Bulgaria), the Convention does not make participation in the administrative procedure a precondition for access to justice to challenge the decision taken as a result of that procedure and introducing such a general requirement for standing would not be in line with the Convention.</w:t>
      </w:r>
      <w:r w:rsidRPr="0024451B">
        <w:rPr>
          <w:bCs/>
          <w:iCs/>
          <w:vertAlign w:val="superscript"/>
        </w:rPr>
        <w:footnoteReference w:id="55"/>
      </w:r>
      <w:r w:rsidRPr="0024451B">
        <w:t xml:space="preserve"> At the same time, participation by a member of the public in an administrative procedure does not automatically convey on that person a right of standing under article 9(3) to challenge an act or omission related to that procedure, unless such a right would be in accordance with the criteria for standing </w:t>
      </w:r>
      <w:r w:rsidRPr="0024451B">
        <w:lastRenderedPageBreak/>
        <w:t xml:space="preserve">laid down in the national law. </w:t>
      </w:r>
      <w:r w:rsidR="005E75B9" w:rsidRPr="0024451B">
        <w:t xml:space="preserve">While </w:t>
      </w:r>
      <w:r w:rsidRPr="0024451B">
        <w:t>the Committee reiterates that any criteria set out in national law should be applied in the light of paragraph 18 of the preamble of the Convention</w:t>
      </w:r>
      <w:r w:rsidR="00A03EEC" w:rsidRPr="0024451B">
        <w:t xml:space="preserve"> (see para. </w:t>
      </w:r>
      <w:r w:rsidR="00A03EEC" w:rsidRPr="0024451B">
        <w:fldChar w:fldCharType="begin"/>
      </w:r>
      <w:r w:rsidR="00A03EEC" w:rsidRPr="0024451B">
        <w:instrText xml:space="preserve"> REF _Ref19301895 \r \h </w:instrText>
      </w:r>
      <w:r w:rsidR="00761A75" w:rsidRPr="0024451B">
        <w:instrText xml:space="preserve"> \* MERGEFORMAT </w:instrText>
      </w:r>
      <w:r w:rsidR="00A03EEC" w:rsidRPr="0024451B">
        <w:fldChar w:fldCharType="separate"/>
      </w:r>
      <w:r w:rsidR="00451BCF">
        <w:rPr>
          <w:cs/>
        </w:rPr>
        <w:t>‎</w:t>
      </w:r>
      <w:r w:rsidR="00451BCF">
        <w:t>62</w:t>
      </w:r>
      <w:r w:rsidR="00A03EEC" w:rsidRPr="0024451B">
        <w:fldChar w:fldCharType="end"/>
      </w:r>
      <w:r w:rsidR="00A03EEC" w:rsidRPr="0024451B">
        <w:t xml:space="preserve"> </w:t>
      </w:r>
      <w:proofErr w:type="gramStart"/>
      <w:r w:rsidR="00A03EEC" w:rsidRPr="0024451B">
        <w:t>above)</w:t>
      </w:r>
      <w:r w:rsidR="003D078F" w:rsidRPr="0024451B">
        <w:t>,</w:t>
      </w:r>
      <w:proofErr w:type="gramEnd"/>
      <w:r w:rsidRPr="0024451B">
        <w:rPr>
          <w:rStyle w:val="FootnoteReference"/>
        </w:rPr>
        <w:footnoteReference w:id="56"/>
      </w:r>
      <w:r w:rsidR="005E75B9" w:rsidRPr="0024451B">
        <w:t xml:space="preserve"> </w:t>
      </w:r>
      <w:r w:rsidR="00C3570E" w:rsidRPr="0024451B">
        <w:rPr>
          <w:rFonts w:asciiTheme="majorBidi" w:hAnsiTheme="majorBidi" w:cstheme="majorBidi"/>
        </w:rPr>
        <w:t>the lack of an opportunity for the communicant himself to challenge the 2015 Order does not in itself necessarily amount to non-compliance with article 9(3).</w:t>
      </w:r>
      <w:r w:rsidR="00C3570E" w:rsidRPr="0024451B">
        <w:rPr>
          <w:rStyle w:val="FootnoteReference"/>
          <w:rFonts w:asciiTheme="majorBidi" w:hAnsiTheme="majorBidi" w:cstheme="majorBidi"/>
          <w:sz w:val="20"/>
        </w:rPr>
        <w:footnoteReference w:id="57"/>
      </w:r>
      <w:r w:rsidR="00C3570E" w:rsidRPr="0024451B">
        <w:rPr>
          <w:rFonts w:asciiTheme="majorBidi" w:hAnsiTheme="majorBidi" w:cstheme="majorBidi"/>
        </w:rPr>
        <w:t xml:space="preserve"> </w:t>
      </w:r>
    </w:p>
    <w:p w14:paraId="61C8B536" w14:textId="437A1D45" w:rsidR="00C3570E" w:rsidRPr="0024451B" w:rsidRDefault="005E75B9" w:rsidP="0024451B">
      <w:pPr>
        <w:pStyle w:val="SingleTxtG"/>
        <w:numPr>
          <w:ilvl w:val="0"/>
          <w:numId w:val="3"/>
        </w:numPr>
        <w:tabs>
          <w:tab w:val="clear" w:pos="1711"/>
        </w:tabs>
        <w:ind w:left="1134" w:right="0" w:firstLine="0"/>
        <w:rPr>
          <w:rFonts w:asciiTheme="majorBidi" w:hAnsiTheme="majorBidi" w:cstheme="majorBidi"/>
        </w:rPr>
      </w:pPr>
      <w:r w:rsidRPr="0024451B">
        <w:rPr>
          <w:rFonts w:asciiTheme="majorBidi" w:hAnsiTheme="majorBidi" w:cstheme="majorBidi"/>
        </w:rPr>
        <w:t xml:space="preserve">In addition, as pointed out in paragraph </w:t>
      </w:r>
      <w:r w:rsidR="003D078F" w:rsidRPr="0024451B">
        <w:rPr>
          <w:rFonts w:asciiTheme="majorBidi" w:hAnsiTheme="majorBidi"/>
        </w:rPr>
        <w:fldChar w:fldCharType="begin"/>
      </w:r>
      <w:r w:rsidR="003D078F" w:rsidRPr="0024451B">
        <w:rPr>
          <w:rFonts w:asciiTheme="majorBidi" w:hAnsiTheme="majorBidi"/>
        </w:rPr>
        <w:instrText xml:space="preserve"> REF _Ref22244275 \r \h </w:instrText>
      </w:r>
      <w:r w:rsidR="002D0764" w:rsidRPr="0024451B">
        <w:rPr>
          <w:rFonts w:asciiTheme="majorBidi" w:hAnsiTheme="majorBidi"/>
        </w:rPr>
        <w:instrText xml:space="preserve"> \* MERGEFORMAT </w:instrText>
      </w:r>
      <w:r w:rsidR="003D078F" w:rsidRPr="0024451B">
        <w:rPr>
          <w:rFonts w:asciiTheme="majorBidi" w:hAnsiTheme="majorBidi"/>
        </w:rPr>
      </w:r>
      <w:r w:rsidR="003D078F" w:rsidRPr="0024451B">
        <w:rPr>
          <w:rFonts w:asciiTheme="majorBidi" w:hAnsiTheme="majorBidi"/>
        </w:rPr>
        <w:fldChar w:fldCharType="separate"/>
      </w:r>
      <w:r w:rsidR="00451BCF" w:rsidRPr="00451BCF">
        <w:rPr>
          <w:rFonts w:asciiTheme="majorBidi" w:hAnsiTheme="majorBidi" w:cstheme="majorBidi"/>
          <w:cs/>
        </w:rPr>
        <w:t>‎</w:t>
      </w:r>
      <w:r w:rsidR="00451BCF">
        <w:rPr>
          <w:rFonts w:asciiTheme="majorBidi" w:hAnsiTheme="majorBidi"/>
        </w:rPr>
        <w:t>70</w:t>
      </w:r>
      <w:r w:rsidR="003D078F" w:rsidRPr="0024451B">
        <w:rPr>
          <w:rFonts w:asciiTheme="majorBidi" w:hAnsiTheme="majorBidi"/>
        </w:rPr>
        <w:fldChar w:fldCharType="end"/>
      </w:r>
      <w:r w:rsidRPr="0024451B">
        <w:rPr>
          <w:rFonts w:asciiTheme="majorBidi" w:hAnsiTheme="majorBidi" w:cstheme="majorBidi"/>
        </w:rPr>
        <w:t xml:space="preserve"> above, the </w:t>
      </w:r>
      <w:r w:rsidR="003D078F" w:rsidRPr="0024451B">
        <w:rPr>
          <w:rFonts w:asciiTheme="majorBidi" w:hAnsiTheme="majorBidi" w:cstheme="majorBidi"/>
        </w:rPr>
        <w:t>communicant</w:t>
      </w:r>
      <w:r w:rsidRPr="0024451B">
        <w:rPr>
          <w:rFonts w:asciiTheme="majorBidi" w:hAnsiTheme="majorBidi" w:cstheme="majorBidi"/>
        </w:rPr>
        <w:t xml:space="preserve"> has not demonstrated that </w:t>
      </w:r>
      <w:r w:rsidR="00C3570E" w:rsidRPr="0024451B">
        <w:rPr>
          <w:rFonts w:asciiTheme="majorBidi" w:hAnsiTheme="majorBidi" w:cstheme="majorBidi"/>
        </w:rPr>
        <w:t>other natural persons, such as those who live or work in or recreationally use the areas covered by the 2015 Order, would likewise be denied standing</w:t>
      </w:r>
      <w:r w:rsidRPr="0024451B">
        <w:rPr>
          <w:rFonts w:asciiTheme="majorBidi" w:hAnsiTheme="majorBidi"/>
        </w:rPr>
        <w:t>.</w:t>
      </w:r>
      <w:r w:rsidRPr="0024451B">
        <w:rPr>
          <w:rFonts w:asciiTheme="majorBidi" w:hAnsiTheme="majorBidi" w:cstheme="majorBidi"/>
        </w:rPr>
        <w:t xml:space="preserve"> </w:t>
      </w:r>
    </w:p>
    <w:p w14:paraId="6BDCC855" w14:textId="4824CCE1" w:rsidR="00C3570E" w:rsidRPr="0024451B" w:rsidRDefault="00C3570E" w:rsidP="00C3570E">
      <w:pPr>
        <w:pStyle w:val="SingleTxtG"/>
        <w:numPr>
          <w:ilvl w:val="0"/>
          <w:numId w:val="3"/>
        </w:numPr>
        <w:tabs>
          <w:tab w:val="clear" w:pos="1711"/>
          <w:tab w:val="num" w:pos="1135"/>
        </w:tabs>
        <w:ind w:left="1134" w:right="0" w:firstLine="0"/>
        <w:rPr>
          <w:rFonts w:asciiTheme="majorBidi" w:hAnsiTheme="majorBidi" w:cstheme="majorBidi"/>
        </w:rPr>
      </w:pPr>
      <w:r w:rsidRPr="0024451B">
        <w:rPr>
          <w:rFonts w:asciiTheme="majorBidi" w:hAnsiTheme="majorBidi" w:cstheme="majorBidi"/>
        </w:rPr>
        <w:t xml:space="preserve"> Based on the above, the Committee considers that the communicant has not demonstrated </w:t>
      </w:r>
      <w:r w:rsidRPr="0024451B">
        <w:rPr>
          <w:rFonts w:asciiTheme="majorBidi" w:hAnsiTheme="majorBidi"/>
        </w:rPr>
        <w:t>that</w:t>
      </w:r>
      <w:r w:rsidRPr="0024451B">
        <w:rPr>
          <w:rFonts w:asciiTheme="majorBidi" w:hAnsiTheme="majorBidi" w:cstheme="majorBidi"/>
        </w:rPr>
        <w:t xml:space="preserve"> </w:t>
      </w:r>
      <w:r w:rsidR="00736783" w:rsidRPr="0024451B">
        <w:rPr>
          <w:rFonts w:asciiTheme="majorBidi" w:hAnsiTheme="majorBidi" w:cstheme="majorBidi"/>
        </w:rPr>
        <w:t xml:space="preserve">the </w:t>
      </w:r>
      <w:r w:rsidRPr="0024451B">
        <w:rPr>
          <w:rFonts w:asciiTheme="majorBidi" w:hAnsiTheme="majorBidi" w:cstheme="majorBidi"/>
        </w:rPr>
        <w:t xml:space="preserve">decision of the Conseil </w:t>
      </w:r>
      <w:proofErr w:type="spellStart"/>
      <w:r w:rsidRPr="0024451B">
        <w:rPr>
          <w:rFonts w:asciiTheme="majorBidi" w:hAnsiTheme="majorBidi" w:cstheme="majorBidi"/>
        </w:rPr>
        <w:t>d’État</w:t>
      </w:r>
      <w:proofErr w:type="spellEnd"/>
      <w:r w:rsidRPr="0024451B">
        <w:rPr>
          <w:rFonts w:asciiTheme="majorBidi" w:hAnsiTheme="majorBidi" w:cstheme="majorBidi"/>
        </w:rPr>
        <w:t xml:space="preserve"> to reject his challenge to the 2015 Order on the ground of lack of standing amounted to non-compliance with article 9(3) of the Convention. The Committee thus finds that the Party concerned </w:t>
      </w:r>
      <w:r w:rsidR="00142C1A" w:rsidRPr="0024451B">
        <w:rPr>
          <w:rFonts w:asciiTheme="majorBidi" w:hAnsiTheme="majorBidi" w:cstheme="majorBidi"/>
        </w:rPr>
        <w:t>has not failed to comply</w:t>
      </w:r>
      <w:r w:rsidRPr="0024451B">
        <w:rPr>
          <w:rFonts w:asciiTheme="majorBidi" w:hAnsiTheme="majorBidi" w:cstheme="majorBidi"/>
        </w:rPr>
        <w:t xml:space="preserve"> with article 9(3) of the Convention in the circumstances of this case.</w:t>
      </w:r>
    </w:p>
    <w:p w14:paraId="7BCE5756" w14:textId="77777777" w:rsidR="006010D9" w:rsidRPr="0024451B" w:rsidRDefault="006010D9" w:rsidP="006010D9">
      <w:pPr>
        <w:pStyle w:val="HChG"/>
        <w:jc w:val="both"/>
        <w:rPr>
          <w:bCs/>
        </w:rPr>
      </w:pPr>
      <w:r w:rsidRPr="0024451B">
        <w:rPr>
          <w:bCs/>
        </w:rPr>
        <w:tab/>
        <w:t>IV.</w:t>
      </w:r>
      <w:r w:rsidRPr="0024451B">
        <w:rPr>
          <w:bCs/>
        </w:rPr>
        <w:tab/>
        <w:t>Conclusions</w:t>
      </w:r>
    </w:p>
    <w:p w14:paraId="4D12007A" w14:textId="66816A8B" w:rsidR="00237D4E" w:rsidRPr="0024451B" w:rsidRDefault="007C1BC0" w:rsidP="007C1BC0">
      <w:pPr>
        <w:pStyle w:val="SingleTxtG"/>
        <w:numPr>
          <w:ilvl w:val="0"/>
          <w:numId w:val="3"/>
        </w:numPr>
        <w:tabs>
          <w:tab w:val="clear" w:pos="1711"/>
          <w:tab w:val="num" w:pos="1170"/>
        </w:tabs>
        <w:ind w:left="1170" w:right="0" w:firstLine="0"/>
      </w:pPr>
      <w:r w:rsidRPr="0024451B">
        <w:t xml:space="preserve">In the light of the above considerations, the Committee finds that the Party concerned </w:t>
      </w:r>
      <w:r w:rsidR="00142C1A" w:rsidRPr="0024451B">
        <w:t>has not failed to comply</w:t>
      </w:r>
      <w:r w:rsidRPr="0024451B">
        <w:t xml:space="preserve"> with article 9(2) or (3) of the Convention in the circumstances of this case.</w:t>
      </w:r>
    </w:p>
    <w:p w14:paraId="20206019" w14:textId="77777777" w:rsidR="007C1BC0" w:rsidRPr="0024451B" w:rsidRDefault="007C1BC0" w:rsidP="00237D4E">
      <w:pPr>
        <w:tabs>
          <w:tab w:val="right" w:pos="993"/>
        </w:tabs>
        <w:spacing w:after="120"/>
        <w:ind w:left="1134" w:right="1134"/>
        <w:jc w:val="center"/>
      </w:pPr>
    </w:p>
    <w:p w14:paraId="46A930B2" w14:textId="15D1791F" w:rsidR="00237D4E" w:rsidRPr="00557A55" w:rsidRDefault="00237D4E" w:rsidP="00237D4E">
      <w:pPr>
        <w:tabs>
          <w:tab w:val="right" w:pos="993"/>
        </w:tabs>
        <w:spacing w:after="120"/>
        <w:ind w:left="1134" w:right="1134"/>
        <w:jc w:val="center"/>
      </w:pPr>
      <w:r w:rsidRPr="0024451B">
        <w:t>________________________</w:t>
      </w:r>
    </w:p>
    <w:p w14:paraId="63BDF77A" w14:textId="77777777" w:rsidR="00237D4E" w:rsidRPr="00B115DE" w:rsidRDefault="00237D4E" w:rsidP="00B115DE">
      <w:pPr>
        <w:pStyle w:val="SingleTxtG"/>
        <w:ind w:right="0"/>
      </w:pPr>
    </w:p>
    <w:sectPr w:rsidR="00237D4E" w:rsidRPr="00B115DE" w:rsidSect="00C0782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B625C" w14:textId="77777777" w:rsidR="0024451B" w:rsidRDefault="0024451B"/>
  </w:endnote>
  <w:endnote w:type="continuationSeparator" w:id="0">
    <w:p w14:paraId="19CAA08B" w14:textId="77777777" w:rsidR="0024451B" w:rsidRDefault="0024451B"/>
  </w:endnote>
  <w:endnote w:type="continuationNotice" w:id="1">
    <w:p w14:paraId="2CA11F17" w14:textId="77777777" w:rsidR="0024451B" w:rsidRDefault="00244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D101" w14:textId="77777777" w:rsidR="0016546C" w:rsidRPr="002D0246" w:rsidRDefault="0016546C" w:rsidP="002D0246">
    <w:pPr>
      <w:pStyle w:val="Footer"/>
      <w:jc w:val="right"/>
    </w:pPr>
    <w:r>
      <w:fldChar w:fldCharType="begin"/>
    </w:r>
    <w:r>
      <w:instrText xml:space="preserve"> PAGE   \* MERGEFORMAT </w:instrText>
    </w:r>
    <w:r>
      <w:fldChar w:fldCharType="separate"/>
    </w:r>
    <w:r>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31C5" w14:textId="078C4DEE" w:rsidR="0016546C" w:rsidRDefault="0016546C">
    <w:pPr>
      <w:pStyle w:val="Footer"/>
      <w:jc w:val="right"/>
    </w:pPr>
    <w:r>
      <w:fldChar w:fldCharType="begin"/>
    </w:r>
    <w:r>
      <w:instrText xml:space="preserve"> PAGE   \* MERGEFORMAT </w:instrText>
    </w:r>
    <w:r>
      <w:fldChar w:fldCharType="separate"/>
    </w:r>
    <w:r w:rsidR="00736783">
      <w:rPr>
        <w:noProof/>
      </w:rPr>
      <w:t>1</w:t>
    </w:r>
    <w:r>
      <w:rPr>
        <w:noProof/>
      </w:rPr>
      <w:fldChar w:fldCharType="end"/>
    </w:r>
  </w:p>
  <w:p w14:paraId="383B42A9" w14:textId="77777777" w:rsidR="0016546C" w:rsidRPr="0023575C" w:rsidRDefault="0016546C" w:rsidP="0023575C">
    <w:pPr>
      <w:pStyle w:val="Footer"/>
      <w:tabs>
        <w:tab w:val="right" w:pos="9638"/>
      </w:tabs>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107F" w14:textId="77777777" w:rsidR="0016546C" w:rsidRPr="002D0246" w:rsidRDefault="0016546C" w:rsidP="002D0246">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71D47" w14:textId="77777777" w:rsidR="0024451B" w:rsidRPr="000B175B" w:rsidRDefault="0024451B" w:rsidP="000B175B">
      <w:pPr>
        <w:tabs>
          <w:tab w:val="right" w:pos="2155"/>
        </w:tabs>
        <w:spacing w:after="80"/>
        <w:ind w:left="680"/>
        <w:rPr>
          <w:u w:val="single"/>
        </w:rPr>
      </w:pPr>
      <w:r>
        <w:rPr>
          <w:u w:val="single"/>
        </w:rPr>
        <w:tab/>
      </w:r>
    </w:p>
  </w:footnote>
  <w:footnote w:type="continuationSeparator" w:id="0">
    <w:p w14:paraId="410AC2E7" w14:textId="77777777" w:rsidR="0024451B" w:rsidRPr="00FC68B7" w:rsidRDefault="0024451B" w:rsidP="00FC68B7">
      <w:pPr>
        <w:tabs>
          <w:tab w:val="left" w:pos="2155"/>
        </w:tabs>
        <w:spacing w:after="80"/>
        <w:ind w:left="680"/>
        <w:rPr>
          <w:u w:val="single"/>
        </w:rPr>
      </w:pPr>
      <w:r>
        <w:rPr>
          <w:u w:val="single"/>
        </w:rPr>
        <w:tab/>
      </w:r>
    </w:p>
  </w:footnote>
  <w:footnote w:type="continuationNotice" w:id="1">
    <w:p w14:paraId="47A1B271" w14:textId="77777777" w:rsidR="0024451B" w:rsidRDefault="0024451B"/>
  </w:footnote>
  <w:footnote w:id="2">
    <w:p w14:paraId="4A43E6F7" w14:textId="77777777" w:rsidR="0016546C" w:rsidRPr="004C3400" w:rsidRDefault="0016546C" w:rsidP="003A1551">
      <w:pPr>
        <w:pStyle w:val="FootnoteText"/>
        <w:tabs>
          <w:tab w:val="clear" w:pos="1021"/>
        </w:tabs>
        <w:ind w:left="1080" w:firstLine="0"/>
      </w:pPr>
      <w:r w:rsidRPr="004C3400">
        <w:rPr>
          <w:rStyle w:val="FootnoteReference"/>
        </w:rPr>
        <w:footnoteRef/>
      </w:r>
      <w:r w:rsidRPr="004C3400">
        <w:t xml:space="preserve"> This section summarizes only the main facts, evidence and issues considered to be relevant to the question of compliance, as presented to and considered by the Committee.</w:t>
      </w:r>
    </w:p>
  </w:footnote>
  <w:footnote w:id="3">
    <w:p w14:paraId="2A0060EE" w14:textId="77777777" w:rsidR="0016546C" w:rsidRPr="00BF2FF9" w:rsidRDefault="0016546C" w:rsidP="000F267A">
      <w:pPr>
        <w:pStyle w:val="FootnoteText"/>
        <w:ind w:hanging="54"/>
      </w:pPr>
      <w:r>
        <w:rPr>
          <w:rStyle w:val="FootnoteReference"/>
        </w:rPr>
        <w:footnoteRef/>
      </w:r>
      <w:r>
        <w:t xml:space="preserve"> </w:t>
      </w:r>
      <w:r w:rsidRPr="00C10361">
        <w:t>Party</w:t>
      </w:r>
      <w:r>
        <w:t>’s response to the communication, p. 1.</w:t>
      </w:r>
    </w:p>
  </w:footnote>
  <w:footnote w:id="4">
    <w:p w14:paraId="6B936413" w14:textId="77777777" w:rsidR="0016546C" w:rsidRPr="00BF2FF9" w:rsidRDefault="0016546C" w:rsidP="001D0D61">
      <w:pPr>
        <w:pStyle w:val="FootnoteText"/>
        <w:ind w:hanging="54"/>
      </w:pPr>
      <w:r>
        <w:rPr>
          <w:rStyle w:val="FootnoteReference"/>
        </w:rPr>
        <w:footnoteRef/>
      </w:r>
      <w:r>
        <w:t xml:space="preserve"> </w:t>
      </w:r>
      <w:r w:rsidRPr="00C10361">
        <w:t>Party</w:t>
      </w:r>
      <w:r>
        <w:t>’s response to the communication, p. 1.</w:t>
      </w:r>
    </w:p>
  </w:footnote>
  <w:footnote w:id="5">
    <w:p w14:paraId="10731009" w14:textId="77777777" w:rsidR="0016546C" w:rsidRPr="00E95532" w:rsidRDefault="0016546C" w:rsidP="000F267A">
      <w:pPr>
        <w:pStyle w:val="FootnoteText"/>
        <w:ind w:hanging="54"/>
      </w:pPr>
      <w:r w:rsidRPr="00E95532">
        <w:rPr>
          <w:rStyle w:val="FootnoteReference"/>
        </w:rPr>
        <w:footnoteRef/>
      </w:r>
      <w:r w:rsidRPr="00E95532">
        <w:t xml:space="preserve"> Communication</w:t>
      </w:r>
      <w:r>
        <w:t>,</w:t>
      </w:r>
      <w:r w:rsidRPr="00E95532">
        <w:t xml:space="preserve"> p. 2</w:t>
      </w:r>
      <w:r>
        <w:t xml:space="preserve">, and </w:t>
      </w:r>
      <w:r w:rsidRPr="00C10361">
        <w:t>Party</w:t>
      </w:r>
      <w:r>
        <w:t>’s response to the communication, p. 1</w:t>
      </w:r>
      <w:r w:rsidRPr="00E95532">
        <w:t>.</w:t>
      </w:r>
    </w:p>
  </w:footnote>
  <w:footnote w:id="6">
    <w:p w14:paraId="293AE8BC" w14:textId="77777777" w:rsidR="0016546C" w:rsidRPr="006D4DED" w:rsidRDefault="0016546C" w:rsidP="000C2AA7">
      <w:pPr>
        <w:pStyle w:val="FootnoteText"/>
        <w:ind w:hanging="54"/>
      </w:pPr>
      <w:r>
        <w:rPr>
          <w:rStyle w:val="FootnoteReference"/>
        </w:rPr>
        <w:footnoteRef/>
      </w:r>
      <w:r w:rsidRPr="006D4DED">
        <w:t xml:space="preserve"> </w:t>
      </w:r>
      <w:r>
        <w:t>Party’s response to the communication, p. 3.</w:t>
      </w:r>
    </w:p>
  </w:footnote>
  <w:footnote w:id="7">
    <w:p w14:paraId="53FF485E" w14:textId="77777777" w:rsidR="0016546C" w:rsidRPr="006D4DED" w:rsidRDefault="0016546C" w:rsidP="00B63208">
      <w:pPr>
        <w:pStyle w:val="FootnoteText"/>
        <w:ind w:hanging="54"/>
      </w:pPr>
      <w:r>
        <w:rPr>
          <w:rStyle w:val="FootnoteReference"/>
        </w:rPr>
        <w:footnoteRef/>
      </w:r>
      <w:r w:rsidRPr="006D4DED">
        <w:t xml:space="preserve"> </w:t>
      </w:r>
      <w:r>
        <w:t>Party’s response to the communication, p. 3.</w:t>
      </w:r>
    </w:p>
  </w:footnote>
  <w:footnote w:id="8">
    <w:p w14:paraId="03881059" w14:textId="6A066B80" w:rsidR="0016546C" w:rsidRPr="006D4DED" w:rsidRDefault="0016546C" w:rsidP="000A1870">
      <w:pPr>
        <w:pStyle w:val="FootnoteText"/>
        <w:ind w:hanging="54"/>
      </w:pPr>
      <w:r>
        <w:rPr>
          <w:rStyle w:val="FootnoteReference"/>
        </w:rPr>
        <w:footnoteRef/>
      </w:r>
      <w:r w:rsidRPr="006D4DED">
        <w:t xml:space="preserve"> </w:t>
      </w:r>
      <w:r>
        <w:t>Party’s response to the communication, p. 3.</w:t>
      </w:r>
    </w:p>
  </w:footnote>
  <w:footnote w:id="9">
    <w:p w14:paraId="15E7E3C7" w14:textId="1356F188" w:rsidR="0016546C" w:rsidRPr="00CE1DF9" w:rsidRDefault="0016546C" w:rsidP="00B115DE">
      <w:pPr>
        <w:pStyle w:val="FootnoteText"/>
        <w:ind w:left="1080" w:firstLine="0"/>
      </w:pPr>
      <w:r>
        <w:rPr>
          <w:rStyle w:val="FootnoteReference"/>
        </w:rPr>
        <w:footnoteRef/>
      </w:r>
      <w:r>
        <w:t xml:space="preserve"> </w:t>
      </w:r>
      <w:r w:rsidRPr="009A08B0">
        <w:t>Party’s additional written submissions, 25 June 2018, p</w:t>
      </w:r>
      <w:r>
        <w:t>p</w:t>
      </w:r>
      <w:r w:rsidRPr="009A08B0">
        <w:t xml:space="preserve">. </w:t>
      </w:r>
      <w:r>
        <w:t>2-3.</w:t>
      </w:r>
    </w:p>
  </w:footnote>
  <w:footnote w:id="10">
    <w:p w14:paraId="7C19FAAB" w14:textId="77777777" w:rsidR="0016546C" w:rsidRPr="00BF2FF9" w:rsidRDefault="0016546C" w:rsidP="00C33249">
      <w:pPr>
        <w:pStyle w:val="FootnoteText"/>
        <w:ind w:hanging="54"/>
      </w:pPr>
      <w:r>
        <w:rPr>
          <w:rStyle w:val="FootnoteReference"/>
        </w:rPr>
        <w:footnoteRef/>
      </w:r>
      <w:r>
        <w:t xml:space="preserve"> Party’s response to the communication, p. 3.</w:t>
      </w:r>
    </w:p>
  </w:footnote>
  <w:footnote w:id="11">
    <w:p w14:paraId="0BB266DD" w14:textId="77777777" w:rsidR="0016546C" w:rsidRPr="00BF2FF9" w:rsidRDefault="0016546C" w:rsidP="009C0667">
      <w:pPr>
        <w:pStyle w:val="FootnoteText"/>
        <w:ind w:hanging="54"/>
      </w:pPr>
      <w:r>
        <w:rPr>
          <w:rStyle w:val="FootnoteReference"/>
        </w:rPr>
        <w:footnoteRef/>
      </w:r>
      <w:r>
        <w:t xml:space="preserve"> Party’s response to the communication, p. 3.</w:t>
      </w:r>
    </w:p>
  </w:footnote>
  <w:footnote w:id="12">
    <w:p w14:paraId="5620DFC3" w14:textId="77777777" w:rsidR="0016546C" w:rsidRPr="004071D0" w:rsidRDefault="0016546C" w:rsidP="000C21CB">
      <w:pPr>
        <w:pStyle w:val="FootnoteText"/>
        <w:ind w:hanging="54"/>
        <w:rPr>
          <w:lang w:val="fr-CH"/>
        </w:rPr>
      </w:pPr>
      <w:r>
        <w:rPr>
          <w:rStyle w:val="FootnoteReference"/>
        </w:rPr>
        <w:footnoteRef/>
      </w:r>
      <w:r w:rsidRPr="004071D0">
        <w:rPr>
          <w:lang w:val="fr-CH"/>
        </w:rPr>
        <w:t xml:space="preserve"> Communication, </w:t>
      </w:r>
      <w:proofErr w:type="spellStart"/>
      <w:r w:rsidRPr="004071D0">
        <w:rPr>
          <w:lang w:val="fr-CH"/>
        </w:rPr>
        <w:t>annex</w:t>
      </w:r>
      <w:proofErr w:type="spellEnd"/>
      <w:r w:rsidRPr="004071D0">
        <w:rPr>
          <w:lang w:val="fr-CH"/>
        </w:rPr>
        <w:t xml:space="preserve"> 1, p. 1.</w:t>
      </w:r>
    </w:p>
  </w:footnote>
  <w:footnote w:id="13">
    <w:p w14:paraId="46350D83" w14:textId="77777777" w:rsidR="0016546C" w:rsidRPr="004071D0" w:rsidRDefault="0016546C" w:rsidP="004071D0">
      <w:pPr>
        <w:pStyle w:val="FootnoteText"/>
        <w:ind w:hanging="54"/>
        <w:rPr>
          <w:lang w:val="fr-CH"/>
        </w:rPr>
      </w:pPr>
      <w:r>
        <w:rPr>
          <w:rStyle w:val="FootnoteReference"/>
        </w:rPr>
        <w:footnoteRef/>
      </w:r>
      <w:r w:rsidRPr="004071D0">
        <w:rPr>
          <w:lang w:val="fr-CH"/>
        </w:rPr>
        <w:t xml:space="preserve"> Communication, </w:t>
      </w:r>
      <w:proofErr w:type="spellStart"/>
      <w:r w:rsidRPr="004071D0">
        <w:rPr>
          <w:lang w:val="fr-CH"/>
        </w:rPr>
        <w:t>annex</w:t>
      </w:r>
      <w:proofErr w:type="spellEnd"/>
      <w:r w:rsidRPr="004071D0">
        <w:rPr>
          <w:lang w:val="fr-CH"/>
        </w:rPr>
        <w:t xml:space="preserve"> 1, p. 1.</w:t>
      </w:r>
    </w:p>
  </w:footnote>
  <w:footnote w:id="14">
    <w:p w14:paraId="7C5433FA" w14:textId="77777777" w:rsidR="0016546C" w:rsidRPr="00A64D70" w:rsidRDefault="0016546C" w:rsidP="000F267A">
      <w:pPr>
        <w:pStyle w:val="FootnoteText"/>
        <w:ind w:hanging="54"/>
      </w:pPr>
      <w:r>
        <w:rPr>
          <w:rStyle w:val="FootnoteReference"/>
        </w:rPr>
        <w:footnoteRef/>
      </w:r>
      <w:r w:rsidRPr="00A64D70">
        <w:t xml:space="preserve"> Communication, p. 2, and Party’s response to the communication, p. </w:t>
      </w:r>
      <w:r>
        <w:t>1</w:t>
      </w:r>
      <w:r w:rsidRPr="00A64D70">
        <w:t>.</w:t>
      </w:r>
    </w:p>
  </w:footnote>
  <w:footnote w:id="15">
    <w:p w14:paraId="455AF269" w14:textId="097CB4B1" w:rsidR="0016546C" w:rsidRPr="00B115DE" w:rsidRDefault="0016546C" w:rsidP="00823EC8">
      <w:pPr>
        <w:pStyle w:val="FootnoteText"/>
        <w:ind w:hanging="54"/>
        <w:rPr>
          <w:lang w:val="fr-CH"/>
        </w:rPr>
      </w:pPr>
      <w:r>
        <w:rPr>
          <w:rStyle w:val="FootnoteReference"/>
        </w:rPr>
        <w:footnoteRef/>
      </w:r>
      <w:r w:rsidRPr="00B115DE">
        <w:rPr>
          <w:lang w:val="fr-CH"/>
        </w:rPr>
        <w:t xml:space="preserve"> Communication, </w:t>
      </w:r>
      <w:proofErr w:type="spellStart"/>
      <w:r w:rsidRPr="00823EC8">
        <w:rPr>
          <w:lang w:val="fr-CH"/>
        </w:rPr>
        <w:t>annex</w:t>
      </w:r>
      <w:proofErr w:type="spellEnd"/>
      <w:r w:rsidRPr="00823EC8">
        <w:rPr>
          <w:lang w:val="fr-CH"/>
        </w:rPr>
        <w:t xml:space="preserve"> 1, </w:t>
      </w:r>
      <w:r w:rsidRPr="00B115DE">
        <w:rPr>
          <w:lang w:val="fr-CH"/>
        </w:rPr>
        <w:t xml:space="preserve">p. </w:t>
      </w:r>
      <w:r w:rsidRPr="00823EC8">
        <w:rPr>
          <w:lang w:val="fr-CH"/>
        </w:rPr>
        <w:t>1</w:t>
      </w:r>
      <w:r w:rsidRPr="00B115DE">
        <w:rPr>
          <w:lang w:val="fr-CH"/>
        </w:rPr>
        <w:t>.</w:t>
      </w:r>
    </w:p>
  </w:footnote>
  <w:footnote w:id="16">
    <w:p w14:paraId="4D1271E6" w14:textId="102CAC51" w:rsidR="0016546C" w:rsidRPr="00B115DE" w:rsidRDefault="0016546C" w:rsidP="002E0B10">
      <w:pPr>
        <w:pStyle w:val="FootnoteText"/>
        <w:ind w:hanging="54"/>
        <w:rPr>
          <w:lang w:val="fr-CH"/>
        </w:rPr>
      </w:pPr>
      <w:r>
        <w:rPr>
          <w:rStyle w:val="FootnoteReference"/>
        </w:rPr>
        <w:footnoteRef/>
      </w:r>
      <w:r w:rsidRPr="00B115DE">
        <w:rPr>
          <w:lang w:val="fr-CH"/>
        </w:rPr>
        <w:t xml:space="preserve"> Communication, </w:t>
      </w:r>
      <w:proofErr w:type="spellStart"/>
      <w:r w:rsidRPr="002E0B10">
        <w:rPr>
          <w:lang w:val="fr-CH"/>
        </w:rPr>
        <w:t>annex</w:t>
      </w:r>
      <w:proofErr w:type="spellEnd"/>
      <w:r w:rsidRPr="002E0B10">
        <w:rPr>
          <w:lang w:val="fr-CH"/>
        </w:rPr>
        <w:t xml:space="preserve"> 1, </w:t>
      </w:r>
      <w:r w:rsidRPr="00B115DE">
        <w:rPr>
          <w:lang w:val="fr-CH"/>
        </w:rPr>
        <w:t xml:space="preserve">p. </w:t>
      </w:r>
      <w:r w:rsidRPr="002E0B10">
        <w:rPr>
          <w:lang w:val="fr-CH"/>
        </w:rPr>
        <w:t>1</w:t>
      </w:r>
      <w:r w:rsidRPr="00B115DE">
        <w:rPr>
          <w:lang w:val="fr-CH"/>
        </w:rPr>
        <w:t>.</w:t>
      </w:r>
    </w:p>
  </w:footnote>
  <w:footnote w:id="17">
    <w:p w14:paraId="57A85088" w14:textId="77777777" w:rsidR="0016546C" w:rsidRPr="002E0B10" w:rsidRDefault="0016546C" w:rsidP="00A02B40">
      <w:pPr>
        <w:pStyle w:val="FootnoteText"/>
        <w:ind w:hanging="54"/>
        <w:rPr>
          <w:lang w:val="fr-CH"/>
        </w:rPr>
      </w:pPr>
      <w:r>
        <w:rPr>
          <w:rStyle w:val="FootnoteReference"/>
        </w:rPr>
        <w:footnoteRef/>
      </w:r>
      <w:r w:rsidRPr="002E0B10">
        <w:rPr>
          <w:lang w:val="fr-CH"/>
        </w:rPr>
        <w:t xml:space="preserve"> Communication, </w:t>
      </w:r>
      <w:proofErr w:type="spellStart"/>
      <w:r w:rsidRPr="002E0B10">
        <w:rPr>
          <w:lang w:val="fr-CH"/>
        </w:rPr>
        <w:t>annex</w:t>
      </w:r>
      <w:proofErr w:type="spellEnd"/>
      <w:r w:rsidRPr="002E0B10">
        <w:rPr>
          <w:lang w:val="fr-CH"/>
        </w:rPr>
        <w:t xml:space="preserve"> 1, p. </w:t>
      </w:r>
      <w:r>
        <w:rPr>
          <w:lang w:val="fr-CH"/>
        </w:rPr>
        <w:t xml:space="preserve">2, and </w:t>
      </w:r>
      <w:proofErr w:type="spellStart"/>
      <w:r>
        <w:rPr>
          <w:lang w:val="fr-CH"/>
        </w:rPr>
        <w:t>annex</w:t>
      </w:r>
      <w:proofErr w:type="spellEnd"/>
      <w:r>
        <w:rPr>
          <w:lang w:val="fr-CH"/>
        </w:rPr>
        <w:t xml:space="preserve"> 2, p. 1</w:t>
      </w:r>
      <w:r w:rsidRPr="002E0B10">
        <w:rPr>
          <w:lang w:val="fr-CH"/>
        </w:rPr>
        <w:t>.</w:t>
      </w:r>
    </w:p>
  </w:footnote>
  <w:footnote w:id="18">
    <w:p w14:paraId="6F265249" w14:textId="77777777" w:rsidR="0016546C" w:rsidRPr="008B4019" w:rsidRDefault="0016546C" w:rsidP="00FF4002">
      <w:pPr>
        <w:pStyle w:val="FootnoteText"/>
        <w:ind w:hanging="54"/>
        <w:rPr>
          <w:lang w:val="fr-CH"/>
        </w:rPr>
      </w:pPr>
      <w:r>
        <w:rPr>
          <w:rStyle w:val="FootnoteReference"/>
        </w:rPr>
        <w:footnoteRef/>
      </w:r>
      <w:r w:rsidRPr="008B4019">
        <w:rPr>
          <w:lang w:val="fr-CH"/>
        </w:rPr>
        <w:t xml:space="preserve"> Communication, </w:t>
      </w:r>
      <w:proofErr w:type="spellStart"/>
      <w:r w:rsidRPr="008B4019">
        <w:rPr>
          <w:lang w:val="fr-CH"/>
        </w:rPr>
        <w:t>annex</w:t>
      </w:r>
      <w:proofErr w:type="spellEnd"/>
      <w:r w:rsidRPr="008B4019">
        <w:rPr>
          <w:lang w:val="fr-CH"/>
        </w:rPr>
        <w:t xml:space="preserve"> 1, p. 2, and </w:t>
      </w:r>
      <w:proofErr w:type="spellStart"/>
      <w:r w:rsidRPr="008B4019">
        <w:rPr>
          <w:lang w:val="fr-CH"/>
        </w:rPr>
        <w:t>communicant’s</w:t>
      </w:r>
      <w:proofErr w:type="spellEnd"/>
      <w:r w:rsidRPr="008B4019">
        <w:rPr>
          <w:lang w:val="fr-CH"/>
        </w:rPr>
        <w:t xml:space="preserve"> </w:t>
      </w:r>
      <w:proofErr w:type="spellStart"/>
      <w:r w:rsidRPr="008B4019">
        <w:rPr>
          <w:lang w:val="fr-CH"/>
        </w:rPr>
        <w:t>comments</w:t>
      </w:r>
      <w:proofErr w:type="spellEnd"/>
      <w:r w:rsidRPr="008B4019">
        <w:rPr>
          <w:lang w:val="fr-CH"/>
        </w:rPr>
        <w:t xml:space="preserve"> on the </w:t>
      </w:r>
      <w:proofErr w:type="spellStart"/>
      <w:r w:rsidRPr="008B4019">
        <w:rPr>
          <w:lang w:val="fr-CH"/>
        </w:rPr>
        <w:t>Party’s</w:t>
      </w:r>
      <w:proofErr w:type="spellEnd"/>
      <w:r w:rsidRPr="008B4019">
        <w:rPr>
          <w:lang w:val="fr-CH"/>
        </w:rPr>
        <w:t xml:space="preserve"> </w:t>
      </w:r>
      <w:proofErr w:type="spellStart"/>
      <w:r w:rsidRPr="008B4019">
        <w:rPr>
          <w:lang w:val="fr-CH"/>
        </w:rPr>
        <w:t>response</w:t>
      </w:r>
      <w:proofErr w:type="spellEnd"/>
      <w:r w:rsidRPr="008B4019">
        <w:rPr>
          <w:lang w:val="fr-CH"/>
        </w:rPr>
        <w:t xml:space="preserve"> to the communication, 19 </w:t>
      </w:r>
      <w:proofErr w:type="spellStart"/>
      <w:r w:rsidRPr="008B4019">
        <w:rPr>
          <w:lang w:val="fr-CH"/>
        </w:rPr>
        <w:t>September</w:t>
      </w:r>
      <w:proofErr w:type="spellEnd"/>
      <w:r w:rsidRPr="008B4019">
        <w:rPr>
          <w:lang w:val="fr-CH"/>
        </w:rPr>
        <w:t xml:space="preserve"> 2019, p. 1.</w:t>
      </w:r>
    </w:p>
  </w:footnote>
  <w:footnote w:id="19">
    <w:p w14:paraId="2C2FB567" w14:textId="77777777" w:rsidR="0016546C" w:rsidRPr="002E0B10" w:rsidRDefault="0016546C" w:rsidP="00FF4002">
      <w:pPr>
        <w:pStyle w:val="FootnoteText"/>
        <w:ind w:hanging="54"/>
        <w:rPr>
          <w:lang w:val="fr-CH"/>
        </w:rPr>
      </w:pPr>
      <w:r>
        <w:rPr>
          <w:rStyle w:val="FootnoteReference"/>
        </w:rPr>
        <w:footnoteRef/>
      </w:r>
      <w:r w:rsidRPr="002E0B10">
        <w:rPr>
          <w:lang w:val="fr-CH"/>
        </w:rPr>
        <w:t xml:space="preserve"> Communication, </w:t>
      </w:r>
      <w:proofErr w:type="spellStart"/>
      <w:r w:rsidRPr="002E0B10">
        <w:rPr>
          <w:lang w:val="fr-CH"/>
        </w:rPr>
        <w:t>annex</w:t>
      </w:r>
      <w:proofErr w:type="spellEnd"/>
      <w:r w:rsidRPr="002E0B10">
        <w:rPr>
          <w:lang w:val="fr-CH"/>
        </w:rPr>
        <w:t xml:space="preserve"> 1, p. </w:t>
      </w:r>
      <w:r>
        <w:rPr>
          <w:lang w:val="fr-CH"/>
        </w:rPr>
        <w:t>2</w:t>
      </w:r>
      <w:r w:rsidRPr="002E0B10">
        <w:rPr>
          <w:lang w:val="fr-CH"/>
        </w:rPr>
        <w:t>.</w:t>
      </w:r>
    </w:p>
  </w:footnote>
  <w:footnote w:id="20">
    <w:p w14:paraId="3D4F0610" w14:textId="77777777" w:rsidR="0016546C" w:rsidRPr="00B115DE" w:rsidRDefault="0016546C" w:rsidP="000F267A">
      <w:pPr>
        <w:pStyle w:val="FootnoteText"/>
        <w:ind w:hanging="54"/>
        <w:rPr>
          <w:lang w:val="fr-CH"/>
        </w:rPr>
      </w:pPr>
      <w:r>
        <w:rPr>
          <w:rStyle w:val="FootnoteReference"/>
        </w:rPr>
        <w:footnoteRef/>
      </w:r>
      <w:r w:rsidRPr="00B115DE">
        <w:rPr>
          <w:lang w:val="fr-CH"/>
        </w:rPr>
        <w:t xml:space="preserve"> Communication, p. 2.</w:t>
      </w:r>
    </w:p>
  </w:footnote>
  <w:footnote w:id="21">
    <w:p w14:paraId="1BA85EE5" w14:textId="77777777" w:rsidR="0016546C" w:rsidRPr="006D4DED" w:rsidRDefault="0016546C" w:rsidP="000F267A">
      <w:pPr>
        <w:pStyle w:val="FootnoteText"/>
        <w:ind w:hanging="54"/>
      </w:pPr>
      <w:r>
        <w:rPr>
          <w:rStyle w:val="FootnoteReference"/>
        </w:rPr>
        <w:footnoteRef/>
      </w:r>
      <w:r w:rsidRPr="006D4DED">
        <w:t xml:space="preserve"> </w:t>
      </w:r>
      <w:r>
        <w:t xml:space="preserve">Party’s comments on preliminary admissibility, </w:t>
      </w:r>
      <w:r w:rsidRPr="00791E57">
        <w:t>8</w:t>
      </w:r>
      <w:r>
        <w:t xml:space="preserve"> December </w:t>
      </w:r>
      <w:r w:rsidRPr="00791E57">
        <w:t>2015</w:t>
      </w:r>
      <w:r>
        <w:t>, pp. 1-2.</w:t>
      </w:r>
    </w:p>
  </w:footnote>
  <w:footnote w:id="22">
    <w:p w14:paraId="254D2AD2" w14:textId="77777777" w:rsidR="0016546C" w:rsidRPr="00D054D6" w:rsidRDefault="0016546C" w:rsidP="000F267A">
      <w:pPr>
        <w:pStyle w:val="FootnoteText"/>
        <w:ind w:hanging="54"/>
      </w:pPr>
      <w:r>
        <w:rPr>
          <w:rStyle w:val="FootnoteReference"/>
        </w:rPr>
        <w:footnoteRef/>
      </w:r>
      <w:r w:rsidRPr="00D054D6">
        <w:t xml:space="preserve"> Communication</w:t>
      </w:r>
      <w:r>
        <w:t>,</w:t>
      </w:r>
      <w:r w:rsidRPr="00D054D6">
        <w:t xml:space="preserve"> p. 2.</w:t>
      </w:r>
    </w:p>
  </w:footnote>
  <w:footnote w:id="23">
    <w:p w14:paraId="1C707389" w14:textId="252D97E9" w:rsidR="0016546C" w:rsidRPr="00E51A01" w:rsidRDefault="0016546C" w:rsidP="000F267A">
      <w:pPr>
        <w:pStyle w:val="FootnoteText"/>
        <w:tabs>
          <w:tab w:val="clear" w:pos="1021"/>
        </w:tabs>
        <w:ind w:left="1080" w:firstLine="0"/>
      </w:pPr>
      <w:r>
        <w:rPr>
          <w:rStyle w:val="FootnoteReference"/>
        </w:rPr>
        <w:footnoteRef/>
      </w:r>
      <w:r>
        <w:t xml:space="preserve"> Party’s comments on preliminary admissibility, </w:t>
      </w:r>
      <w:r w:rsidRPr="00791E57">
        <w:t>8</w:t>
      </w:r>
      <w:r>
        <w:t xml:space="preserve"> December </w:t>
      </w:r>
      <w:r w:rsidRPr="00791E57">
        <w:t>2015</w:t>
      </w:r>
      <w:r>
        <w:t>, p. 1, and Party’s response to the communication, pp. 2-3.</w:t>
      </w:r>
    </w:p>
  </w:footnote>
  <w:footnote w:id="24">
    <w:p w14:paraId="210D1FEB" w14:textId="77777777" w:rsidR="0016546C" w:rsidRPr="00B115DE" w:rsidRDefault="0016546C" w:rsidP="002B603E">
      <w:pPr>
        <w:pStyle w:val="FootnoteText"/>
        <w:ind w:hanging="54"/>
      </w:pPr>
      <w:r>
        <w:rPr>
          <w:rStyle w:val="FootnoteReference"/>
        </w:rPr>
        <w:footnoteRef/>
      </w:r>
      <w:r w:rsidRPr="00B115DE">
        <w:t xml:space="preserve"> Communicant’s comments on Party’s response</w:t>
      </w:r>
      <w:r w:rsidRPr="00B71C0D">
        <w:t xml:space="preserve"> to th</w:t>
      </w:r>
      <w:r>
        <w:t>e communication</w:t>
      </w:r>
      <w:r w:rsidRPr="00B71C0D">
        <w:t>, 19 September 2016</w:t>
      </w:r>
      <w:r w:rsidRPr="00B115DE">
        <w:t>, p. 1.</w:t>
      </w:r>
    </w:p>
  </w:footnote>
  <w:footnote w:id="25">
    <w:p w14:paraId="0F8E4959" w14:textId="77777777" w:rsidR="0016546C" w:rsidRPr="00B115DE" w:rsidRDefault="0016546C" w:rsidP="00C35F0E">
      <w:pPr>
        <w:pStyle w:val="FootnoteText"/>
        <w:ind w:hanging="54"/>
      </w:pPr>
      <w:r>
        <w:rPr>
          <w:rStyle w:val="FootnoteReference"/>
        </w:rPr>
        <w:footnoteRef/>
      </w:r>
      <w:r w:rsidRPr="00B115DE">
        <w:t xml:space="preserve"> Communication, p. 3.</w:t>
      </w:r>
    </w:p>
  </w:footnote>
  <w:footnote w:id="26">
    <w:p w14:paraId="78F5F27E" w14:textId="77777777" w:rsidR="00DE1C5B" w:rsidRPr="00B115DE" w:rsidRDefault="00DE1C5B" w:rsidP="00DE1C5B">
      <w:pPr>
        <w:pStyle w:val="FootnoteText"/>
        <w:ind w:hanging="54"/>
      </w:pPr>
      <w:r>
        <w:rPr>
          <w:rStyle w:val="FootnoteReference"/>
        </w:rPr>
        <w:footnoteRef/>
      </w:r>
      <w:r w:rsidRPr="00B115DE">
        <w:t xml:space="preserve"> Communicant’s comments on Party’s response to the communication, 19 September 2016, p. 1.</w:t>
      </w:r>
    </w:p>
  </w:footnote>
  <w:footnote w:id="27">
    <w:p w14:paraId="0D288F21" w14:textId="77777777" w:rsidR="0016546C" w:rsidRPr="00B115DE" w:rsidRDefault="0016546C" w:rsidP="00C35F0E">
      <w:pPr>
        <w:pStyle w:val="FootnoteText"/>
        <w:ind w:hanging="54"/>
      </w:pPr>
      <w:r>
        <w:rPr>
          <w:rStyle w:val="FootnoteReference"/>
        </w:rPr>
        <w:footnoteRef/>
      </w:r>
      <w:r w:rsidRPr="00B115DE">
        <w:t xml:space="preserve"> Communication, p. 3.</w:t>
      </w:r>
    </w:p>
  </w:footnote>
  <w:footnote w:id="28">
    <w:p w14:paraId="6807A340" w14:textId="61298FD2" w:rsidR="0016546C" w:rsidRPr="008B4019" w:rsidRDefault="0016546C" w:rsidP="00C35F0E">
      <w:pPr>
        <w:pStyle w:val="FootnoteText"/>
        <w:ind w:hanging="54"/>
      </w:pPr>
      <w:r>
        <w:rPr>
          <w:rStyle w:val="FootnoteReference"/>
        </w:rPr>
        <w:footnoteRef/>
      </w:r>
      <w:r w:rsidRPr="008B4019">
        <w:t xml:space="preserve"> Communication, pp. 3-4.</w:t>
      </w:r>
    </w:p>
  </w:footnote>
  <w:footnote w:id="29">
    <w:p w14:paraId="080ECC48" w14:textId="77777777" w:rsidR="0016546C" w:rsidRPr="008B4019" w:rsidRDefault="0016546C" w:rsidP="00D44985">
      <w:pPr>
        <w:pStyle w:val="FootnoteText"/>
        <w:tabs>
          <w:tab w:val="clear" w:pos="1021"/>
        </w:tabs>
        <w:ind w:left="1080" w:firstLine="0"/>
      </w:pPr>
      <w:r>
        <w:rPr>
          <w:rStyle w:val="FootnoteReference"/>
        </w:rPr>
        <w:footnoteRef/>
      </w:r>
      <w:r w:rsidRPr="008B4019">
        <w:t xml:space="preserve"> Communicant’s comments on Party’s response to the communication, 19 September 2016, p. 4.</w:t>
      </w:r>
    </w:p>
  </w:footnote>
  <w:footnote w:id="30">
    <w:p w14:paraId="3ABFAD90" w14:textId="77777777" w:rsidR="0016546C" w:rsidRPr="008B4019" w:rsidRDefault="0016546C" w:rsidP="00D44985">
      <w:pPr>
        <w:pStyle w:val="FootnoteText"/>
        <w:ind w:hanging="54"/>
      </w:pPr>
      <w:r>
        <w:rPr>
          <w:rStyle w:val="FootnoteReference"/>
        </w:rPr>
        <w:footnoteRef/>
      </w:r>
      <w:r w:rsidRPr="008B4019">
        <w:t xml:space="preserve"> Communicant’s comments on Party’s response to the communication, 19 September 2016, p. 2.</w:t>
      </w:r>
    </w:p>
  </w:footnote>
  <w:footnote w:id="31">
    <w:p w14:paraId="66724B1F" w14:textId="00C3AD63" w:rsidR="0016546C" w:rsidRPr="008B4019" w:rsidRDefault="0016546C" w:rsidP="003B526E">
      <w:pPr>
        <w:pStyle w:val="FootnoteText"/>
        <w:ind w:hanging="54"/>
      </w:pPr>
      <w:r>
        <w:rPr>
          <w:rStyle w:val="FootnoteReference"/>
        </w:rPr>
        <w:footnoteRef/>
      </w:r>
      <w:r w:rsidRPr="008B4019">
        <w:t xml:space="preserve"> Communicant’s comments on Party’s response to the communication, 19 September 2016, p. </w:t>
      </w:r>
      <w:r w:rsidR="00563248">
        <w:t>2</w:t>
      </w:r>
      <w:r w:rsidRPr="008B4019">
        <w:t>.</w:t>
      </w:r>
    </w:p>
  </w:footnote>
  <w:footnote w:id="32">
    <w:p w14:paraId="49B8CDFC" w14:textId="77777777" w:rsidR="0016546C" w:rsidRPr="008B4019" w:rsidRDefault="0016546C" w:rsidP="00D44985">
      <w:pPr>
        <w:pStyle w:val="FootnoteText"/>
        <w:ind w:hanging="54"/>
      </w:pPr>
      <w:r>
        <w:rPr>
          <w:rStyle w:val="FootnoteReference"/>
        </w:rPr>
        <w:footnoteRef/>
      </w:r>
      <w:r w:rsidRPr="008B4019">
        <w:t xml:space="preserve"> Communicant’s comments on Party’s response to the communication, 19 September 2016, p. 1.</w:t>
      </w:r>
    </w:p>
  </w:footnote>
  <w:footnote w:id="33">
    <w:p w14:paraId="51C321B3" w14:textId="77777777" w:rsidR="0016546C" w:rsidRPr="008B4019" w:rsidRDefault="0016546C" w:rsidP="00FE6A94">
      <w:pPr>
        <w:pStyle w:val="FootnoteText"/>
        <w:tabs>
          <w:tab w:val="clear" w:pos="1021"/>
        </w:tabs>
        <w:ind w:left="1080" w:firstLine="0"/>
      </w:pPr>
      <w:r>
        <w:rPr>
          <w:rStyle w:val="FootnoteReference"/>
        </w:rPr>
        <w:footnoteRef/>
      </w:r>
      <w:r w:rsidRPr="008B4019">
        <w:t xml:space="preserve"> Communicant’s comments on Party’s response to the communication, 19 September 2016, pp. 2-3.</w:t>
      </w:r>
    </w:p>
  </w:footnote>
  <w:footnote w:id="34">
    <w:p w14:paraId="45F0B21C" w14:textId="77777777" w:rsidR="0016546C" w:rsidRPr="008B4019" w:rsidRDefault="0016546C" w:rsidP="00B36921">
      <w:pPr>
        <w:pStyle w:val="FootnoteText"/>
        <w:tabs>
          <w:tab w:val="clear" w:pos="1021"/>
        </w:tabs>
        <w:ind w:left="1080" w:firstLine="0"/>
      </w:pPr>
      <w:r>
        <w:rPr>
          <w:rStyle w:val="FootnoteReference"/>
        </w:rPr>
        <w:footnoteRef/>
      </w:r>
      <w:r w:rsidRPr="008B4019">
        <w:t xml:space="preserve"> Communicant’s comments on Party’s response to the communication, 19 September 2016, p. 3.</w:t>
      </w:r>
    </w:p>
  </w:footnote>
  <w:footnote w:id="35">
    <w:p w14:paraId="3DEDAD18" w14:textId="6A8C4AE6" w:rsidR="0016546C" w:rsidRPr="008B4019" w:rsidRDefault="0016546C" w:rsidP="00B115DE">
      <w:pPr>
        <w:pStyle w:val="FootnoteText"/>
        <w:ind w:hanging="54"/>
      </w:pPr>
      <w:r>
        <w:rPr>
          <w:rStyle w:val="FootnoteReference"/>
        </w:rPr>
        <w:footnoteRef/>
      </w:r>
      <w:r w:rsidRPr="008B4019">
        <w:t xml:space="preserve"> Communication, p. 4.</w:t>
      </w:r>
    </w:p>
  </w:footnote>
  <w:footnote w:id="36">
    <w:p w14:paraId="62165226" w14:textId="77777777" w:rsidR="0016546C" w:rsidRPr="009A08B0" w:rsidRDefault="0016546C" w:rsidP="000F267A">
      <w:pPr>
        <w:pStyle w:val="FootnoteText"/>
        <w:ind w:hanging="54"/>
      </w:pPr>
      <w:r>
        <w:rPr>
          <w:rStyle w:val="FootnoteReference"/>
        </w:rPr>
        <w:footnoteRef/>
      </w:r>
      <w:r>
        <w:t xml:space="preserve"> </w:t>
      </w:r>
      <w:r w:rsidRPr="009A08B0">
        <w:t>Party’s additional written submissions, 25 June 2018, p</w:t>
      </w:r>
      <w:r>
        <w:t>p</w:t>
      </w:r>
      <w:r w:rsidRPr="009A08B0">
        <w:t xml:space="preserve">. </w:t>
      </w:r>
      <w:r>
        <w:t>1-2.</w:t>
      </w:r>
    </w:p>
  </w:footnote>
  <w:footnote w:id="37">
    <w:p w14:paraId="0D5A733E" w14:textId="77777777" w:rsidR="0016546C" w:rsidRPr="00E51A01" w:rsidRDefault="0016546C" w:rsidP="00CE0DFE">
      <w:pPr>
        <w:pStyle w:val="FootnoteText"/>
        <w:ind w:hanging="54"/>
      </w:pPr>
      <w:r>
        <w:rPr>
          <w:rStyle w:val="FootnoteReference"/>
        </w:rPr>
        <w:footnoteRef/>
      </w:r>
      <w:r>
        <w:t xml:space="preserve"> </w:t>
      </w:r>
      <w:r w:rsidRPr="00C10361">
        <w:t>Party</w:t>
      </w:r>
      <w:r>
        <w:t>’s response to the communication, p. 3.</w:t>
      </w:r>
    </w:p>
  </w:footnote>
  <w:footnote w:id="38">
    <w:p w14:paraId="6203D987" w14:textId="77777777" w:rsidR="0016546C" w:rsidRPr="007019D4" w:rsidRDefault="0016546C" w:rsidP="00E10AA7">
      <w:pPr>
        <w:pStyle w:val="FootnoteText"/>
        <w:ind w:hanging="54"/>
      </w:pPr>
      <w:r>
        <w:rPr>
          <w:rStyle w:val="FootnoteReference"/>
        </w:rPr>
        <w:footnoteRef/>
      </w:r>
      <w:r>
        <w:t xml:space="preserve"> </w:t>
      </w:r>
      <w:r w:rsidRPr="009A08B0">
        <w:t xml:space="preserve">Party’s additional written submissions, 25 June 2018, p. </w:t>
      </w:r>
      <w:r>
        <w:t>3.</w:t>
      </w:r>
    </w:p>
  </w:footnote>
  <w:footnote w:id="39">
    <w:p w14:paraId="48BCFF3D" w14:textId="77777777" w:rsidR="0016546C" w:rsidRPr="00CE1DF9" w:rsidRDefault="0016546C" w:rsidP="003E4067">
      <w:pPr>
        <w:pStyle w:val="FootnoteText"/>
        <w:ind w:left="1080" w:firstLine="0"/>
      </w:pPr>
      <w:r>
        <w:rPr>
          <w:rStyle w:val="FootnoteReference"/>
        </w:rPr>
        <w:footnoteRef/>
      </w:r>
      <w:r>
        <w:t xml:space="preserve"> </w:t>
      </w:r>
      <w:r w:rsidRPr="009A08B0">
        <w:t>Party’s additional written submissions, 25 June 2018, p</w:t>
      </w:r>
      <w:r>
        <w:t>p</w:t>
      </w:r>
      <w:r w:rsidRPr="009A08B0">
        <w:t xml:space="preserve">. </w:t>
      </w:r>
      <w:r>
        <w:t>2-3.</w:t>
      </w:r>
    </w:p>
  </w:footnote>
  <w:footnote w:id="40">
    <w:p w14:paraId="15988FEB" w14:textId="77777777" w:rsidR="0016546C" w:rsidRPr="00E51A01" w:rsidRDefault="0016546C" w:rsidP="005C5A54">
      <w:pPr>
        <w:pStyle w:val="FootnoteText"/>
        <w:ind w:hanging="54"/>
      </w:pPr>
      <w:r>
        <w:rPr>
          <w:rStyle w:val="FootnoteReference"/>
        </w:rPr>
        <w:footnoteRef/>
      </w:r>
      <w:r>
        <w:t xml:space="preserve"> Party’s response to the communication, pp. 3-4.</w:t>
      </w:r>
    </w:p>
  </w:footnote>
  <w:footnote w:id="41">
    <w:p w14:paraId="61D1A6CD" w14:textId="23224FDE" w:rsidR="0016546C" w:rsidRPr="00B115DE" w:rsidRDefault="0016546C" w:rsidP="000F267A">
      <w:pPr>
        <w:pStyle w:val="FootnoteText"/>
        <w:ind w:hanging="54"/>
      </w:pPr>
      <w:r>
        <w:rPr>
          <w:rStyle w:val="FootnoteReference"/>
        </w:rPr>
        <w:footnoteRef/>
      </w:r>
      <w:r w:rsidRPr="00B115DE">
        <w:t xml:space="preserve"> Party’s response to </w:t>
      </w:r>
      <w:r>
        <w:t xml:space="preserve">the </w:t>
      </w:r>
      <w:r w:rsidRPr="00B115DE">
        <w:t>communication, pp. 1-2</w:t>
      </w:r>
    </w:p>
  </w:footnote>
  <w:footnote w:id="42">
    <w:p w14:paraId="42F8F25F" w14:textId="765ECA37" w:rsidR="0016546C" w:rsidRPr="003D271F" w:rsidRDefault="0016546C" w:rsidP="000F267A">
      <w:pPr>
        <w:pStyle w:val="FootnoteText"/>
        <w:ind w:hanging="54"/>
      </w:pPr>
      <w:r>
        <w:rPr>
          <w:rStyle w:val="FootnoteReference"/>
        </w:rPr>
        <w:footnoteRef/>
      </w:r>
      <w:r w:rsidRPr="003D271F">
        <w:t xml:space="preserve"> Party’s response to the communication, p. 3.</w:t>
      </w:r>
    </w:p>
  </w:footnote>
  <w:footnote w:id="43">
    <w:p w14:paraId="6376EF91" w14:textId="77777777" w:rsidR="0016546C" w:rsidRPr="003D271F" w:rsidRDefault="0016546C" w:rsidP="000F267A">
      <w:pPr>
        <w:pStyle w:val="FootnoteText"/>
        <w:ind w:hanging="54"/>
      </w:pPr>
      <w:r>
        <w:rPr>
          <w:rStyle w:val="FootnoteReference"/>
        </w:rPr>
        <w:footnoteRef/>
      </w:r>
      <w:r w:rsidRPr="003D271F">
        <w:t xml:space="preserve"> Party’s response to the communication, p. 3.</w:t>
      </w:r>
    </w:p>
  </w:footnote>
  <w:footnote w:id="44">
    <w:p w14:paraId="64D16B56" w14:textId="2D80A6A1" w:rsidR="0016546C" w:rsidRPr="00B431A6" w:rsidRDefault="0016546C" w:rsidP="000F267A">
      <w:pPr>
        <w:pStyle w:val="FootnoteText"/>
        <w:ind w:hanging="54"/>
      </w:pPr>
      <w:r>
        <w:rPr>
          <w:rStyle w:val="FootnoteReference"/>
        </w:rPr>
        <w:footnoteRef/>
      </w:r>
      <w:r w:rsidRPr="00B431A6">
        <w:t xml:space="preserve"> </w:t>
      </w:r>
      <w:r>
        <w:t>Party’s response to the communication</w:t>
      </w:r>
      <w:r w:rsidRPr="00B431A6">
        <w:t>, p. 3.</w:t>
      </w:r>
    </w:p>
  </w:footnote>
  <w:footnote w:id="45">
    <w:p w14:paraId="510F9E07" w14:textId="77777777" w:rsidR="0016546C" w:rsidRPr="007019D4" w:rsidRDefault="0016546C" w:rsidP="005C5A54">
      <w:pPr>
        <w:pStyle w:val="FootnoteText"/>
        <w:ind w:hanging="54"/>
      </w:pPr>
      <w:r>
        <w:rPr>
          <w:rStyle w:val="FootnoteReference"/>
        </w:rPr>
        <w:footnoteRef/>
      </w:r>
      <w:r>
        <w:t xml:space="preserve"> </w:t>
      </w:r>
      <w:r w:rsidRPr="009A08B0">
        <w:t xml:space="preserve">Party’s additional written submissions, 25 June 2018, p. </w:t>
      </w:r>
      <w:r>
        <w:t>5.</w:t>
      </w:r>
    </w:p>
  </w:footnote>
  <w:footnote w:id="46">
    <w:p w14:paraId="5F2E5FF0" w14:textId="77777777" w:rsidR="0016546C" w:rsidRPr="00DA53CD" w:rsidRDefault="0016546C" w:rsidP="00FD17FD">
      <w:pPr>
        <w:pStyle w:val="FootnoteText"/>
        <w:ind w:hanging="54"/>
      </w:pPr>
      <w:r>
        <w:rPr>
          <w:rStyle w:val="FootnoteReference"/>
        </w:rPr>
        <w:footnoteRef/>
      </w:r>
      <w:r w:rsidRPr="00DA53CD">
        <w:t xml:space="preserve"> Communication p. </w:t>
      </w:r>
      <w:r>
        <w:t>5.</w:t>
      </w:r>
    </w:p>
  </w:footnote>
  <w:footnote w:id="47">
    <w:p w14:paraId="54077F85" w14:textId="77777777" w:rsidR="005312D1" w:rsidRPr="00A47DA9" w:rsidRDefault="005312D1" w:rsidP="005312D1">
      <w:pPr>
        <w:pStyle w:val="FootnoteText"/>
        <w:ind w:hanging="54"/>
      </w:pPr>
      <w:r>
        <w:rPr>
          <w:rStyle w:val="FootnoteReference"/>
        </w:rPr>
        <w:footnoteRef/>
      </w:r>
      <w:r w:rsidRPr="00DA53CD">
        <w:t xml:space="preserve"> </w:t>
      </w:r>
      <w:r>
        <w:t xml:space="preserve">See, for example, ECE/MP.PP/C.1/2006/4/Add.2, para. </w:t>
      </w:r>
      <w:r w:rsidRPr="00C236F8">
        <w:t>29, ECE/</w:t>
      </w:r>
      <w:proofErr w:type="gramStart"/>
      <w:r w:rsidRPr="00C236F8">
        <w:t>MP.PP</w:t>
      </w:r>
      <w:proofErr w:type="gramEnd"/>
      <w:r w:rsidRPr="00C236F8">
        <w:t xml:space="preserve">/C.1/2007/4/Add.1, para, 65, and ECE/MP.PP/2008/5/Add.4, para. </w:t>
      </w:r>
      <w:r w:rsidRPr="00A47DA9">
        <w:t>30.</w:t>
      </w:r>
    </w:p>
  </w:footnote>
  <w:footnote w:id="48">
    <w:p w14:paraId="56611D0D" w14:textId="7E4F9E8A" w:rsidR="005F2AA8" w:rsidRPr="005F2AA8" w:rsidRDefault="00BE0D6E">
      <w:pPr>
        <w:pStyle w:val="FootnoteText"/>
      </w:pPr>
      <w:r>
        <w:t xml:space="preserve"> </w:t>
      </w:r>
      <w:r>
        <w:tab/>
        <w:t xml:space="preserve"> </w:t>
      </w:r>
      <w:r>
        <w:tab/>
      </w:r>
      <w:r w:rsidR="005F2AA8">
        <w:rPr>
          <w:rStyle w:val="FootnoteReference"/>
        </w:rPr>
        <w:footnoteRef/>
      </w:r>
      <w:r w:rsidR="005F2AA8">
        <w:t xml:space="preserve"> </w:t>
      </w:r>
      <w:r w:rsidR="005F2AA8" w:rsidRPr="005824AB">
        <w:t>Party’s response</w:t>
      </w:r>
      <w:r w:rsidR="005F2AA8">
        <w:t xml:space="preserve"> to the communication, p</w:t>
      </w:r>
      <w:r w:rsidR="00C42086">
        <w:t xml:space="preserve">. </w:t>
      </w:r>
      <w:r w:rsidR="005F2AA8">
        <w:t>3</w:t>
      </w:r>
      <w:r w:rsidR="005F2AA8" w:rsidRPr="005824AB">
        <w:t xml:space="preserve">, and </w:t>
      </w:r>
      <w:r w:rsidR="005F2AA8" w:rsidRPr="009A08B0">
        <w:t>Party’s additional written submissions, 25 June 2018</w:t>
      </w:r>
      <w:r w:rsidR="005F2AA8">
        <w:t>, p</w:t>
      </w:r>
      <w:r w:rsidR="005F2AA8" w:rsidRPr="005824AB">
        <w:t>.</w:t>
      </w:r>
      <w:r w:rsidR="005F2AA8">
        <w:t xml:space="preserve"> 2</w:t>
      </w:r>
      <w:r w:rsidR="00C42086">
        <w:t>.</w:t>
      </w:r>
    </w:p>
  </w:footnote>
  <w:footnote w:id="49">
    <w:p w14:paraId="0FFE5E6A" w14:textId="77777777" w:rsidR="00C3570E" w:rsidRPr="00C3570E" w:rsidRDefault="00C3570E" w:rsidP="00C3570E">
      <w:pPr>
        <w:pStyle w:val="FootnoteText"/>
        <w:ind w:hanging="54"/>
        <w:rPr>
          <w:lang w:val="es-ES"/>
        </w:rPr>
      </w:pPr>
      <w:r w:rsidRPr="00447024">
        <w:rPr>
          <w:rStyle w:val="FootnoteReference"/>
        </w:rPr>
        <w:footnoteRef/>
      </w:r>
      <w:r w:rsidRPr="00447024">
        <w:t xml:space="preserve"> See for example ACCC/C/2006/16 (Lithuania), (ECE/MP.PP/2008/5/Add. 6), para. </w:t>
      </w:r>
      <w:r w:rsidRPr="00C236F8">
        <w:t>59, ACCC/C/2007/21 (European Community), (ECE/</w:t>
      </w:r>
      <w:proofErr w:type="gramStart"/>
      <w:r w:rsidRPr="00C236F8">
        <w:t>MP.PP</w:t>
      </w:r>
      <w:proofErr w:type="gramEnd"/>
      <w:r w:rsidRPr="00C236F8">
        <w:t xml:space="preserve">/C.1/2009/2/Add.1), para. </w:t>
      </w:r>
      <w:r w:rsidRPr="00C3570E">
        <w:rPr>
          <w:lang w:val="es-ES"/>
        </w:rPr>
        <w:t>28.</w:t>
      </w:r>
    </w:p>
  </w:footnote>
  <w:footnote w:id="50">
    <w:p w14:paraId="2C78D3F6" w14:textId="77777777" w:rsidR="00C3570E" w:rsidRPr="00C236F8" w:rsidRDefault="00C3570E" w:rsidP="00C3570E">
      <w:pPr>
        <w:pStyle w:val="FootnoteText"/>
        <w:ind w:hanging="54"/>
        <w:rPr>
          <w:lang w:val="es-ES"/>
        </w:rPr>
      </w:pPr>
      <w:r>
        <w:rPr>
          <w:rStyle w:val="FootnoteReference"/>
        </w:rPr>
        <w:footnoteRef/>
      </w:r>
      <w:r w:rsidRPr="00704C1B">
        <w:rPr>
          <w:lang w:val="es-ES"/>
        </w:rPr>
        <w:t xml:space="preserve"> </w:t>
      </w:r>
      <w:r w:rsidRPr="0049500F">
        <w:rPr>
          <w:lang w:val="es-ES"/>
        </w:rPr>
        <w:t xml:space="preserve">ECE/MP.PP/C.1/2016/10, para. </w:t>
      </w:r>
      <w:r w:rsidRPr="0024451B">
        <w:rPr>
          <w:lang w:val="es-ES"/>
        </w:rPr>
        <w:t xml:space="preserve">76. </w:t>
      </w:r>
      <w:proofErr w:type="spellStart"/>
      <w:r w:rsidRPr="0024451B">
        <w:rPr>
          <w:lang w:val="es-ES"/>
        </w:rPr>
        <w:t>See</w:t>
      </w:r>
      <w:proofErr w:type="spellEnd"/>
      <w:r w:rsidRPr="0024451B">
        <w:rPr>
          <w:lang w:val="es-ES"/>
        </w:rPr>
        <w:t xml:space="preserve"> </w:t>
      </w:r>
      <w:proofErr w:type="spellStart"/>
      <w:r w:rsidRPr="0024451B">
        <w:rPr>
          <w:lang w:val="es-ES"/>
        </w:rPr>
        <w:t>also</w:t>
      </w:r>
      <w:proofErr w:type="spellEnd"/>
      <w:r w:rsidRPr="0024451B">
        <w:rPr>
          <w:lang w:val="es-ES"/>
        </w:rPr>
        <w:t xml:space="preserve"> ECE/</w:t>
      </w:r>
      <w:proofErr w:type="gramStart"/>
      <w:r w:rsidRPr="0024451B">
        <w:rPr>
          <w:lang w:val="es-ES"/>
        </w:rPr>
        <w:t>MP.PP</w:t>
      </w:r>
      <w:proofErr w:type="gramEnd"/>
      <w:r w:rsidRPr="0024451B">
        <w:rPr>
          <w:lang w:val="es-ES"/>
        </w:rPr>
        <w:t xml:space="preserve">/C.1/2013/4, para. </w:t>
      </w:r>
      <w:r w:rsidRPr="00C236F8">
        <w:rPr>
          <w:lang w:val="es-ES"/>
        </w:rPr>
        <w:t>52.</w:t>
      </w:r>
    </w:p>
  </w:footnote>
  <w:footnote w:id="51">
    <w:p w14:paraId="32685AD6" w14:textId="77777777" w:rsidR="00C3570E" w:rsidRPr="00C236F8" w:rsidRDefault="00C3570E" w:rsidP="00C3570E">
      <w:pPr>
        <w:pStyle w:val="FootnoteText"/>
        <w:ind w:hanging="54"/>
        <w:rPr>
          <w:lang w:val="es-ES"/>
        </w:rPr>
      </w:pPr>
      <w:r>
        <w:rPr>
          <w:rStyle w:val="FootnoteReference"/>
        </w:rPr>
        <w:footnoteRef/>
      </w:r>
      <w:r w:rsidRPr="00C236F8">
        <w:rPr>
          <w:lang w:val="es-ES"/>
        </w:rPr>
        <w:t xml:space="preserve"> ECE/MP.PP/C.1/2006/4/Add.2, para. </w:t>
      </w:r>
      <w:r w:rsidRPr="006D6E98">
        <w:t>35</w:t>
      </w:r>
      <w:r w:rsidRPr="00B66FA7">
        <w:t xml:space="preserve">. See also ECE/MP.PP/2008/5/Add.4, para. </w:t>
      </w:r>
      <w:r w:rsidRPr="00C236F8">
        <w:rPr>
          <w:lang w:val="es-ES"/>
        </w:rPr>
        <w:t>29.</w:t>
      </w:r>
    </w:p>
  </w:footnote>
  <w:footnote w:id="52">
    <w:p w14:paraId="68718EBE" w14:textId="77777777" w:rsidR="00C3570E" w:rsidRPr="00C3570E" w:rsidRDefault="00C3570E" w:rsidP="00C3570E">
      <w:pPr>
        <w:pStyle w:val="FootnoteText"/>
        <w:rPr>
          <w:lang w:val="es-ES"/>
        </w:rPr>
      </w:pPr>
      <w:r w:rsidRPr="005204D6">
        <w:rPr>
          <w:lang w:val="es-ES"/>
        </w:rPr>
        <w:tab/>
      </w:r>
      <w:r w:rsidRPr="005204D6">
        <w:rPr>
          <w:lang w:val="es-ES"/>
        </w:rPr>
        <w:tab/>
      </w:r>
      <w:r>
        <w:rPr>
          <w:rStyle w:val="FootnoteReference"/>
        </w:rPr>
        <w:footnoteRef/>
      </w:r>
      <w:r w:rsidRPr="00C236F8">
        <w:rPr>
          <w:lang w:val="es-ES"/>
        </w:rPr>
        <w:t xml:space="preserve"> ECE/MP.PP/2008/5/Add.4, para. </w:t>
      </w:r>
      <w:r w:rsidRPr="00C3570E">
        <w:rPr>
          <w:lang w:val="es-ES"/>
        </w:rPr>
        <w:t>31.</w:t>
      </w:r>
    </w:p>
  </w:footnote>
  <w:footnote w:id="53">
    <w:p w14:paraId="677E0868" w14:textId="77777777" w:rsidR="00C3570E" w:rsidRPr="00C1259D" w:rsidRDefault="00C3570E" w:rsidP="00C3570E">
      <w:pPr>
        <w:pStyle w:val="FootnoteText"/>
        <w:rPr>
          <w:lang w:val="es-ES"/>
        </w:rPr>
      </w:pPr>
      <w:r>
        <w:rPr>
          <w:lang w:val="es-ES"/>
        </w:rPr>
        <w:tab/>
      </w:r>
      <w:r>
        <w:rPr>
          <w:lang w:val="es-ES"/>
        </w:rPr>
        <w:tab/>
      </w:r>
      <w:r>
        <w:rPr>
          <w:rStyle w:val="FootnoteReference"/>
        </w:rPr>
        <w:footnoteRef/>
      </w:r>
      <w:r w:rsidRPr="00C1259D">
        <w:rPr>
          <w:lang w:val="es-ES"/>
        </w:rPr>
        <w:t xml:space="preserve"> </w:t>
      </w:r>
      <w:r>
        <w:rPr>
          <w:lang w:val="es-ES"/>
        </w:rPr>
        <w:t>ECE/MP.PP/C.1/2017/7, para. 93.</w:t>
      </w:r>
    </w:p>
  </w:footnote>
  <w:footnote w:id="54">
    <w:p w14:paraId="69156182" w14:textId="77777777" w:rsidR="00C3570E" w:rsidRPr="00C1259D" w:rsidRDefault="00C3570E" w:rsidP="00C3570E">
      <w:pPr>
        <w:pStyle w:val="FootnoteText"/>
        <w:rPr>
          <w:lang w:val="es-ES"/>
        </w:rPr>
      </w:pPr>
      <w:r w:rsidRPr="00C3570E">
        <w:rPr>
          <w:lang w:val="es-ES"/>
        </w:rPr>
        <w:tab/>
      </w:r>
      <w:r w:rsidRPr="00C3570E">
        <w:rPr>
          <w:lang w:val="es-ES"/>
        </w:rPr>
        <w:tab/>
      </w:r>
      <w:r>
        <w:rPr>
          <w:rStyle w:val="FootnoteReference"/>
        </w:rPr>
        <w:footnoteRef/>
      </w:r>
      <w:r w:rsidRPr="00290190">
        <w:rPr>
          <w:lang w:val="es-ES"/>
        </w:rPr>
        <w:t xml:space="preserve"> ECE/MP.PP/2008/5/Add.4, para. </w:t>
      </w:r>
      <w:r>
        <w:rPr>
          <w:lang w:val="es-ES"/>
        </w:rPr>
        <w:t>32.</w:t>
      </w:r>
    </w:p>
  </w:footnote>
  <w:footnote w:id="55">
    <w:p w14:paraId="5CD47841" w14:textId="77777777" w:rsidR="000C36E7" w:rsidRPr="003A098E" w:rsidRDefault="000C36E7" w:rsidP="000C36E7">
      <w:pPr>
        <w:pStyle w:val="FootnoteText"/>
        <w:ind w:hanging="54"/>
      </w:pPr>
      <w:r>
        <w:rPr>
          <w:rStyle w:val="FootnoteReference"/>
        </w:rPr>
        <w:footnoteRef/>
      </w:r>
      <w:r w:rsidRPr="00704C1B">
        <w:rPr>
          <w:lang w:val="es-ES"/>
        </w:rPr>
        <w:t xml:space="preserve"> </w:t>
      </w:r>
      <w:r>
        <w:rPr>
          <w:lang w:val="es-ES"/>
        </w:rPr>
        <w:t xml:space="preserve">ECE/MP.PP/C.1/2016/3, para. </w:t>
      </w:r>
      <w:r w:rsidRPr="00E61DC1">
        <w:t>68, and ECE/</w:t>
      </w:r>
      <w:proofErr w:type="gramStart"/>
      <w:r w:rsidRPr="00E61DC1">
        <w:t>MP.PP</w:t>
      </w:r>
      <w:proofErr w:type="gramEnd"/>
      <w:r>
        <w:t xml:space="preserve">/2017/33, paras. </w:t>
      </w:r>
      <w:r w:rsidRPr="003A098E">
        <w:t>57-60.</w:t>
      </w:r>
    </w:p>
  </w:footnote>
  <w:footnote w:id="56">
    <w:p w14:paraId="5E164914" w14:textId="77777777" w:rsidR="000C36E7" w:rsidRPr="002D0764" w:rsidRDefault="000C36E7" w:rsidP="000C36E7">
      <w:pPr>
        <w:pStyle w:val="FootnoteText"/>
        <w:ind w:left="0" w:firstLine="0"/>
        <w:rPr>
          <w:lang w:val="es-ES"/>
        </w:rPr>
      </w:pPr>
      <w:r>
        <w:t xml:space="preserve"> </w:t>
      </w:r>
      <w:r>
        <w:tab/>
        <w:t xml:space="preserve">                       </w:t>
      </w:r>
      <w:r>
        <w:rPr>
          <w:rStyle w:val="FootnoteReference"/>
        </w:rPr>
        <w:footnoteRef/>
      </w:r>
      <w:r>
        <w:t xml:space="preserve">  </w:t>
      </w:r>
      <w:r w:rsidRPr="006C33E1">
        <w:t>See ECE/</w:t>
      </w:r>
      <w:proofErr w:type="gramStart"/>
      <w:r w:rsidRPr="006C33E1">
        <w:t>MP.PP</w:t>
      </w:r>
      <w:proofErr w:type="gramEnd"/>
      <w:r w:rsidRPr="006C33E1">
        <w:t xml:space="preserve">/C.1/2016/10, para. </w:t>
      </w:r>
      <w:r w:rsidRPr="002D0764">
        <w:rPr>
          <w:lang w:val="es-ES"/>
        </w:rPr>
        <w:t>76.</w:t>
      </w:r>
    </w:p>
  </w:footnote>
  <w:footnote w:id="57">
    <w:p w14:paraId="744AAF5C" w14:textId="77777777" w:rsidR="00C3570E" w:rsidRPr="00C3570E" w:rsidRDefault="00C3570E" w:rsidP="00C3570E">
      <w:pPr>
        <w:pStyle w:val="FootnoteText"/>
      </w:pPr>
      <w:r w:rsidRPr="0024451B">
        <w:rPr>
          <w:lang w:val="es-ES"/>
        </w:rPr>
        <w:tab/>
      </w:r>
      <w:r w:rsidRPr="0024451B">
        <w:rPr>
          <w:lang w:val="es-ES"/>
        </w:rPr>
        <w:tab/>
      </w:r>
      <w:r>
        <w:rPr>
          <w:rStyle w:val="FootnoteReference"/>
        </w:rPr>
        <w:footnoteRef/>
      </w:r>
      <w:r w:rsidRPr="00381C58">
        <w:rPr>
          <w:lang w:val="es-ES"/>
        </w:rPr>
        <w:t xml:space="preserve"> ECE/MP.PP/2008/5/Add.4, para. </w:t>
      </w:r>
      <w:r w:rsidRPr="00C3570E">
        <w:t>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2B53" w14:textId="77777777" w:rsidR="0016546C" w:rsidRDefault="0016546C" w:rsidP="002208DD">
    <w:pPr>
      <w:pStyle w:val="Header"/>
      <w:jc w:val="right"/>
      <w:rPr>
        <w:b w:val="0"/>
        <w:lang w:val="en-US"/>
      </w:rPr>
    </w:pPr>
    <w:r>
      <w:rPr>
        <w:b w:val="0"/>
        <w:lang w:val="en-US"/>
      </w:rPr>
      <w:t>Preliminary (pre-discussion) draft</w:t>
    </w:r>
  </w:p>
  <w:p w14:paraId="60FCD116" w14:textId="77777777" w:rsidR="0016546C" w:rsidRDefault="0016546C" w:rsidP="002208DD">
    <w:pPr>
      <w:pStyle w:val="Header"/>
      <w:jc w:val="right"/>
    </w:pPr>
    <w:r>
      <w:rPr>
        <w:b w:val="0"/>
        <w:lang w:val="en-US"/>
      </w:rPr>
      <w:t>12 September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0F2F" w14:textId="77777777" w:rsidR="0016546C" w:rsidRPr="00F56A6B" w:rsidRDefault="0016546C" w:rsidP="00D0509A">
    <w:pPr>
      <w:pStyle w:val="Header"/>
      <w:jc w:val="right"/>
    </w:pPr>
    <w:r>
      <w:rPr>
        <w:b w:val="0"/>
      </w:rPr>
      <w:t>ACCC/C/2015/135 (France)</w:t>
    </w:r>
  </w:p>
  <w:p w14:paraId="266647E1" w14:textId="1330631B" w:rsidR="0016546C" w:rsidRPr="00406A90" w:rsidRDefault="0016546C" w:rsidP="009A0EEC">
    <w:pPr>
      <w:pStyle w:val="Header"/>
      <w:jc w:val="right"/>
      <w:rPr>
        <w:b w:val="0"/>
        <w:lang w:val="en-US"/>
      </w:rPr>
    </w:pPr>
    <w:r>
      <w:rPr>
        <w:b w:val="0"/>
      </w:rPr>
      <w:t xml:space="preserve">Draft findings for </w:t>
    </w:r>
    <w:r w:rsidR="00451BCF">
      <w:rPr>
        <w:b w:val="0"/>
      </w:rPr>
      <w:t>parties’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0C0F" w14:textId="77777777" w:rsidR="0016546C" w:rsidRDefault="0016546C" w:rsidP="002208DD">
    <w:pPr>
      <w:pStyle w:val="Header"/>
      <w:jc w:val="right"/>
      <w:rPr>
        <w:b w:val="0"/>
        <w:lang w:val="en-US"/>
      </w:rPr>
    </w:pPr>
    <w:r>
      <w:rPr>
        <w:b w:val="0"/>
        <w:lang w:val="en-US"/>
      </w:rPr>
      <w:t>Preliminary (pre-discussion) draft</w:t>
    </w:r>
  </w:p>
  <w:p w14:paraId="774765DA" w14:textId="77777777" w:rsidR="0016546C" w:rsidRDefault="0016546C" w:rsidP="002208DD">
    <w:pPr>
      <w:pStyle w:val="Header"/>
      <w:jc w:val="right"/>
    </w:pPr>
    <w:r>
      <w:rPr>
        <w:b w:val="0"/>
        <w:lang w:val="en-US"/>
      </w:rPr>
      <w:t>22 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B2C44"/>
    <w:multiLevelType w:val="hybridMultilevel"/>
    <w:tmpl w:val="E9E809FC"/>
    <w:lvl w:ilvl="0" w:tplc="EC7E3D62">
      <w:start w:val="1"/>
      <w:numFmt w:val="decimal"/>
      <w:lvlText w:val="%1."/>
      <w:lvlJc w:val="left"/>
      <w:pPr>
        <w:tabs>
          <w:tab w:val="num" w:pos="1711"/>
        </w:tabs>
        <w:ind w:left="1711" w:hanging="576"/>
      </w:pPr>
      <w:rPr>
        <w:rFonts w:hint="default"/>
        <w:b w:val="0"/>
        <w:bCs/>
        <w:i w:val="0"/>
        <w:iCs/>
      </w:rPr>
    </w:lvl>
    <w:lvl w:ilvl="1" w:tplc="88E4FE6A">
      <w:start w:val="1"/>
      <w:numFmt w:val="lowerLetter"/>
      <w:lvlText w:val="(%2)"/>
      <w:lvlJc w:val="left"/>
      <w:pPr>
        <w:tabs>
          <w:tab w:val="num" w:pos="1440"/>
        </w:tabs>
        <w:ind w:left="1440" w:hanging="720"/>
      </w:pPr>
      <w:rPr>
        <w:rFonts w:hint="default"/>
        <w:sz w:val="20"/>
        <w:szCs w:val="20"/>
      </w:rPr>
    </w:lvl>
    <w:lvl w:ilvl="2" w:tplc="08090017">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B2C37EC"/>
    <w:multiLevelType w:val="hybridMultilevel"/>
    <w:tmpl w:val="33E06720"/>
    <w:lvl w:ilvl="0" w:tplc="D30CFC7E">
      <w:start w:val="1"/>
      <w:numFmt w:val="lowerLetter"/>
      <w:lvlText w:val="(%1)"/>
      <w:lvlJc w:val="left"/>
      <w:pPr>
        <w:tabs>
          <w:tab w:val="num" w:pos="2277"/>
        </w:tabs>
        <w:ind w:left="2277" w:hanging="576"/>
      </w:pPr>
      <w:rPr>
        <w:rFonts w:ascii="Times New Roman" w:eastAsia="Times New Roman" w:hAnsi="Times New Roman" w:cs="Times New Roman" w:hint="default"/>
        <w:b w:val="0"/>
        <w:bCs w:val="0"/>
        <w:i w:val="0"/>
        <w:iCs w:val="0"/>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13" w15:restartNumberingAfterBreak="0">
    <w:nsid w:val="0CF536C8"/>
    <w:multiLevelType w:val="hybridMultilevel"/>
    <w:tmpl w:val="A2F2B884"/>
    <w:lvl w:ilvl="0" w:tplc="D30CFC7E">
      <w:start w:val="1"/>
      <w:numFmt w:val="lowerLetter"/>
      <w:lvlText w:val="(%1)"/>
      <w:lvlJc w:val="left"/>
      <w:pPr>
        <w:tabs>
          <w:tab w:val="num" w:pos="1711"/>
        </w:tabs>
        <w:ind w:left="1711" w:hanging="576"/>
      </w:pPr>
      <w:rPr>
        <w:rFonts w:ascii="Times New Roman" w:eastAsia="Times New Roman" w:hAnsi="Times New Roman" w:cs="Times New Roman"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FB314F"/>
    <w:multiLevelType w:val="hybridMultilevel"/>
    <w:tmpl w:val="BB82D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2F220A"/>
    <w:multiLevelType w:val="hybridMultilevel"/>
    <w:tmpl w:val="569E7936"/>
    <w:lvl w:ilvl="0" w:tplc="D30CFC7E">
      <w:start w:val="1"/>
      <w:numFmt w:val="lowerLetter"/>
      <w:lvlText w:val="(%1)"/>
      <w:lvlJc w:val="left"/>
      <w:pPr>
        <w:tabs>
          <w:tab w:val="num" w:pos="1711"/>
        </w:tabs>
        <w:ind w:left="1711" w:hanging="576"/>
      </w:pPr>
      <w:rPr>
        <w:rFonts w:ascii="Times New Roman" w:eastAsia="Times New Roman" w:hAnsi="Times New Roman" w:cs="Times New Roman"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015CDB"/>
    <w:multiLevelType w:val="hybridMultilevel"/>
    <w:tmpl w:val="7D6AE26E"/>
    <w:lvl w:ilvl="0" w:tplc="9898A6A4">
      <w:start w:val="43"/>
      <w:numFmt w:val="decimal"/>
      <w:lvlText w:val="%1."/>
      <w:lvlJc w:val="left"/>
      <w:pPr>
        <w:tabs>
          <w:tab w:val="num" w:pos="1710"/>
        </w:tabs>
        <w:ind w:left="1710" w:hanging="576"/>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147F0BE8"/>
    <w:multiLevelType w:val="hybridMultilevel"/>
    <w:tmpl w:val="DE3C4D18"/>
    <w:lvl w:ilvl="0" w:tplc="11BCA316">
      <w:start w:val="1"/>
      <w:numFmt w:val="bullet"/>
      <w:lvlText w:val=""/>
      <w:lvlJc w:val="left"/>
      <w:pPr>
        <w:ind w:left="2421" w:hanging="360"/>
      </w:pPr>
      <w:rPr>
        <w:rFonts w:ascii="Symbol" w:hAnsi="Symbol" w:hint="default"/>
        <w:sz w:val="20"/>
        <w:szCs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16E15F16"/>
    <w:multiLevelType w:val="hybridMultilevel"/>
    <w:tmpl w:val="590EEF44"/>
    <w:lvl w:ilvl="0" w:tplc="D30CFC7E">
      <w:start w:val="1"/>
      <w:numFmt w:val="lowerLetter"/>
      <w:lvlText w:val="(%1)"/>
      <w:lvlJc w:val="left"/>
      <w:pPr>
        <w:tabs>
          <w:tab w:val="num" w:pos="1711"/>
        </w:tabs>
        <w:ind w:left="1711" w:hanging="576"/>
      </w:pPr>
      <w:rPr>
        <w:rFonts w:ascii="Times New Roman" w:eastAsia="Times New Roman" w:hAnsi="Times New Roman" w:cs="Times New Roman"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EA5448"/>
    <w:multiLevelType w:val="hybridMultilevel"/>
    <w:tmpl w:val="8902AD36"/>
    <w:lvl w:ilvl="0" w:tplc="D30CFC7E">
      <w:start w:val="1"/>
      <w:numFmt w:val="lowerLetter"/>
      <w:lvlText w:val="(%1)"/>
      <w:lvlJc w:val="left"/>
      <w:pPr>
        <w:tabs>
          <w:tab w:val="num" w:pos="1711"/>
        </w:tabs>
        <w:ind w:left="1711" w:hanging="576"/>
      </w:pPr>
      <w:rPr>
        <w:rFonts w:ascii="Times New Roman" w:eastAsia="Times New Roman" w:hAnsi="Times New Roman" w:cs="Times New Roman"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6A2DCF"/>
    <w:multiLevelType w:val="hybridMultilevel"/>
    <w:tmpl w:val="0EB48F5A"/>
    <w:lvl w:ilvl="0" w:tplc="D30CFC7E">
      <w:start w:val="1"/>
      <w:numFmt w:val="lowerLetter"/>
      <w:lvlText w:val="(%1)"/>
      <w:lvlJc w:val="left"/>
      <w:pPr>
        <w:ind w:left="2061" w:hanging="360"/>
      </w:pPr>
      <w:rPr>
        <w:rFonts w:ascii="Times New Roman" w:eastAsia="Times New Roman" w:hAnsi="Times New Roman"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20DF504B"/>
    <w:multiLevelType w:val="multilevel"/>
    <w:tmpl w:val="483806A6"/>
    <w:lvl w:ilvl="0">
      <w:start w:val="1"/>
      <w:numFmt w:val="decimal"/>
      <w:lvlText w:val="%1."/>
      <w:lvlJc w:val="left"/>
      <w:pPr>
        <w:tabs>
          <w:tab w:val="num" w:pos="1710"/>
        </w:tabs>
        <w:ind w:left="1710" w:hanging="576"/>
      </w:pPr>
      <w:rPr>
        <w:rFonts w:hint="default"/>
      </w:rPr>
    </w:lvl>
    <w:lvl w:ilvl="1">
      <w:start w:val="1"/>
      <w:numFmt w:val="lowerLetter"/>
      <w:lvlText w:val="(%2)"/>
      <w:lvlJc w:val="left"/>
      <w:pPr>
        <w:tabs>
          <w:tab w:val="num" w:pos="2574"/>
        </w:tabs>
        <w:ind w:left="2574" w:hanging="720"/>
      </w:pPr>
      <w:rPr>
        <w:rFonts w:hint="default"/>
        <w:sz w:val="24"/>
        <w:szCs w:val="24"/>
      </w:r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5" w15:restartNumberingAfterBreak="0">
    <w:nsid w:val="223743D7"/>
    <w:multiLevelType w:val="hybridMultilevel"/>
    <w:tmpl w:val="8A4C2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2AF3D1E"/>
    <w:multiLevelType w:val="hybridMultilevel"/>
    <w:tmpl w:val="B0809E62"/>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7" w15:restartNumberingAfterBreak="0">
    <w:nsid w:val="27D66FBD"/>
    <w:multiLevelType w:val="hybridMultilevel"/>
    <w:tmpl w:val="0A8E2D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282A0FAE"/>
    <w:multiLevelType w:val="hybridMultilevel"/>
    <w:tmpl w:val="4606DFBE"/>
    <w:lvl w:ilvl="0" w:tplc="0809001B">
      <w:start w:val="1"/>
      <w:numFmt w:val="lowerRoman"/>
      <w:lvlText w:val="%1."/>
      <w:lvlJc w:val="right"/>
      <w:pPr>
        <w:tabs>
          <w:tab w:val="num" w:pos="1711"/>
        </w:tabs>
        <w:ind w:left="1711" w:hanging="576"/>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E60E7D"/>
    <w:multiLevelType w:val="hybridMultilevel"/>
    <w:tmpl w:val="8902AD36"/>
    <w:lvl w:ilvl="0" w:tplc="D30CFC7E">
      <w:start w:val="1"/>
      <w:numFmt w:val="lowerLetter"/>
      <w:lvlText w:val="(%1)"/>
      <w:lvlJc w:val="left"/>
      <w:pPr>
        <w:tabs>
          <w:tab w:val="num" w:pos="1711"/>
        </w:tabs>
        <w:ind w:left="1711" w:hanging="576"/>
      </w:pPr>
      <w:rPr>
        <w:rFonts w:ascii="Times New Roman" w:eastAsia="Times New Roman" w:hAnsi="Times New Roman" w:cs="Times New Roman"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B8E7992"/>
    <w:multiLevelType w:val="hybridMultilevel"/>
    <w:tmpl w:val="569E7936"/>
    <w:lvl w:ilvl="0" w:tplc="D30CFC7E">
      <w:start w:val="1"/>
      <w:numFmt w:val="lowerLetter"/>
      <w:lvlText w:val="(%1)"/>
      <w:lvlJc w:val="left"/>
      <w:pPr>
        <w:tabs>
          <w:tab w:val="num" w:pos="1711"/>
        </w:tabs>
        <w:ind w:left="1711" w:hanging="576"/>
      </w:pPr>
      <w:rPr>
        <w:rFonts w:ascii="Times New Roman" w:eastAsia="Times New Roman" w:hAnsi="Times New Roman" w:cs="Times New Roman"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856E82"/>
    <w:multiLevelType w:val="hybridMultilevel"/>
    <w:tmpl w:val="BB82D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E341863"/>
    <w:multiLevelType w:val="hybridMultilevel"/>
    <w:tmpl w:val="4606DFBE"/>
    <w:lvl w:ilvl="0" w:tplc="0809001B">
      <w:start w:val="1"/>
      <w:numFmt w:val="lowerRoman"/>
      <w:lvlText w:val="%1."/>
      <w:lvlJc w:val="right"/>
      <w:pPr>
        <w:tabs>
          <w:tab w:val="num" w:pos="1711"/>
        </w:tabs>
        <w:ind w:left="1711" w:hanging="576"/>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23112E"/>
    <w:multiLevelType w:val="hybridMultilevel"/>
    <w:tmpl w:val="BB9830FE"/>
    <w:lvl w:ilvl="0" w:tplc="0409000F">
      <w:start w:val="1"/>
      <w:numFmt w:val="decimal"/>
      <w:lvlText w:val="%1."/>
      <w:lvlJc w:val="left"/>
      <w:pPr>
        <w:tabs>
          <w:tab w:val="num" w:pos="1260"/>
        </w:tabs>
        <w:ind w:left="1260" w:hanging="360"/>
      </w:pPr>
    </w:lvl>
    <w:lvl w:ilvl="1" w:tplc="4C8AAB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43F70ED"/>
    <w:multiLevelType w:val="hybridMultilevel"/>
    <w:tmpl w:val="38C40C52"/>
    <w:lvl w:ilvl="0" w:tplc="1F66E9E0">
      <w:start w:val="1"/>
      <w:numFmt w:val="decimal"/>
      <w:lvlText w:val="%1."/>
      <w:lvlJc w:val="left"/>
      <w:pPr>
        <w:tabs>
          <w:tab w:val="num" w:pos="1711"/>
        </w:tabs>
        <w:ind w:left="1711" w:hanging="576"/>
      </w:pPr>
      <w:rPr>
        <w:rFonts w:hint="default"/>
        <w:b w:val="0"/>
        <w:bCs w:val="0"/>
        <w:i w:val="0"/>
        <w:iCs w:val="0"/>
      </w:rPr>
    </w:lvl>
    <w:lvl w:ilvl="1" w:tplc="0809000F">
      <w:start w:val="1"/>
      <w:numFmt w:val="decimal"/>
      <w:lvlText w:val="%2."/>
      <w:lvlJc w:val="left"/>
      <w:pPr>
        <w:tabs>
          <w:tab w:val="num" w:pos="1440"/>
        </w:tabs>
        <w:ind w:left="1440" w:hanging="720"/>
      </w:pPr>
      <w:rPr>
        <w:rFonts w:hint="default"/>
        <w:sz w:val="20"/>
        <w:szCs w:val="20"/>
      </w:rPr>
    </w:lvl>
    <w:lvl w:ilvl="2" w:tplc="0409001B">
      <w:start w:val="1"/>
      <w:numFmt w:val="lowerRoman"/>
      <w:lvlText w:val="%3."/>
      <w:lvlJc w:val="right"/>
      <w:pPr>
        <w:tabs>
          <w:tab w:val="num" w:pos="1800"/>
        </w:tabs>
        <w:ind w:left="1800" w:hanging="180"/>
      </w:pPr>
    </w:lvl>
    <w:lvl w:ilvl="3" w:tplc="08090017">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AB96DF7"/>
    <w:multiLevelType w:val="hybridMultilevel"/>
    <w:tmpl w:val="F4F8860A"/>
    <w:lvl w:ilvl="0" w:tplc="B234EB9C">
      <w:start w:val="1"/>
      <w:numFmt w:val="decimal"/>
      <w:lvlText w:val="%1."/>
      <w:lvlJc w:val="left"/>
      <w:pPr>
        <w:tabs>
          <w:tab w:val="num" w:pos="1710"/>
        </w:tabs>
        <w:ind w:left="1710" w:hanging="576"/>
      </w:pPr>
      <w:rPr>
        <w:rFonts w:hint="default"/>
      </w:rPr>
    </w:lvl>
    <w:lvl w:ilvl="1" w:tplc="04090001">
      <w:start w:val="1"/>
      <w:numFmt w:val="bullet"/>
      <w:lvlText w:val=""/>
      <w:lvlJc w:val="left"/>
      <w:pPr>
        <w:tabs>
          <w:tab w:val="num" w:pos="2214"/>
        </w:tabs>
        <w:ind w:left="2214" w:hanging="360"/>
      </w:pPr>
      <w:rPr>
        <w:rFonts w:ascii="Symbol" w:hAnsi="Symbol"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8" w15:restartNumberingAfterBreak="0">
    <w:nsid w:val="4D8A750A"/>
    <w:multiLevelType w:val="hybridMultilevel"/>
    <w:tmpl w:val="C71E87DC"/>
    <w:lvl w:ilvl="0" w:tplc="B234EB9C">
      <w:start w:val="1"/>
      <w:numFmt w:val="decimal"/>
      <w:lvlText w:val="%1."/>
      <w:lvlJc w:val="left"/>
      <w:pPr>
        <w:tabs>
          <w:tab w:val="num" w:pos="1710"/>
        </w:tabs>
        <w:ind w:left="1710" w:hanging="576"/>
      </w:pPr>
      <w:rPr>
        <w:rFonts w:hint="default"/>
      </w:rPr>
    </w:lvl>
    <w:lvl w:ilvl="1" w:tplc="04090001">
      <w:start w:val="1"/>
      <w:numFmt w:val="bullet"/>
      <w:lvlText w:val=""/>
      <w:lvlJc w:val="left"/>
      <w:pPr>
        <w:tabs>
          <w:tab w:val="num" w:pos="2214"/>
        </w:tabs>
        <w:ind w:left="2214" w:hanging="360"/>
      </w:pPr>
      <w:rPr>
        <w:rFonts w:ascii="Symbol" w:hAnsi="Symbol" w:hint="default"/>
      </w:rPr>
    </w:lvl>
    <w:lvl w:ilvl="2" w:tplc="04090001">
      <w:start w:val="1"/>
      <w:numFmt w:val="bullet"/>
      <w:lvlText w:val=""/>
      <w:lvlJc w:val="left"/>
      <w:pPr>
        <w:tabs>
          <w:tab w:val="num" w:pos="3114"/>
        </w:tabs>
        <w:ind w:left="3114" w:hanging="360"/>
      </w:pPr>
      <w:rPr>
        <w:rFonts w:ascii="Symbol" w:hAnsi="Symbol" w:hint="default"/>
      </w:rPr>
    </w:lvl>
    <w:lvl w:ilvl="3" w:tplc="0409000F">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9" w15:restartNumberingAfterBreak="0">
    <w:nsid w:val="5A595C9A"/>
    <w:multiLevelType w:val="hybridMultilevel"/>
    <w:tmpl w:val="5A54AA68"/>
    <w:lvl w:ilvl="0" w:tplc="34F89090">
      <w:start w:val="1"/>
      <w:numFmt w:val="upperLetter"/>
      <w:lvlText w:val="%1."/>
      <w:lvlJc w:val="left"/>
      <w:pPr>
        <w:tabs>
          <w:tab w:val="num" w:pos="1200"/>
        </w:tabs>
        <w:ind w:left="1200" w:hanging="525"/>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0" w15:restartNumberingAfterBreak="0">
    <w:nsid w:val="5AB9306A"/>
    <w:multiLevelType w:val="hybridMultilevel"/>
    <w:tmpl w:val="F91A0360"/>
    <w:lvl w:ilvl="0" w:tplc="D30CFC7E">
      <w:start w:val="1"/>
      <w:numFmt w:val="lowerLetter"/>
      <w:lvlText w:val="(%1)"/>
      <w:lvlJc w:val="left"/>
      <w:pPr>
        <w:tabs>
          <w:tab w:val="num" w:pos="1711"/>
        </w:tabs>
        <w:ind w:left="1711" w:hanging="576"/>
      </w:pPr>
      <w:rPr>
        <w:rFonts w:ascii="Times New Roman" w:eastAsia="Times New Roman" w:hAnsi="Times New Roman" w:cs="Times New Roman"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8815B5"/>
    <w:multiLevelType w:val="hybridMultilevel"/>
    <w:tmpl w:val="BF8AB13E"/>
    <w:lvl w:ilvl="0" w:tplc="03AC273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031539"/>
    <w:multiLevelType w:val="hybridMultilevel"/>
    <w:tmpl w:val="AE48A06E"/>
    <w:lvl w:ilvl="0" w:tplc="69DC9F8C">
      <w:start w:val="1"/>
      <w:numFmt w:val="lowerLetter"/>
      <w:lvlText w:val="%1)"/>
      <w:lvlJc w:val="left"/>
      <w:pPr>
        <w:tabs>
          <w:tab w:val="num" w:pos="1380"/>
        </w:tabs>
        <w:ind w:left="1380" w:hanging="6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E732D6A"/>
    <w:multiLevelType w:val="hybridMultilevel"/>
    <w:tmpl w:val="A1606A62"/>
    <w:lvl w:ilvl="0" w:tplc="1F66E9E0">
      <w:start w:val="1"/>
      <w:numFmt w:val="decimal"/>
      <w:lvlText w:val="%1."/>
      <w:lvlJc w:val="left"/>
      <w:pPr>
        <w:tabs>
          <w:tab w:val="num" w:pos="1711"/>
        </w:tabs>
        <w:ind w:left="1711" w:hanging="576"/>
      </w:pPr>
      <w:rPr>
        <w:rFonts w:hint="default"/>
        <w:b w:val="0"/>
        <w:bCs w:val="0"/>
        <w:i w:val="0"/>
        <w:iCs w:val="0"/>
      </w:rPr>
    </w:lvl>
    <w:lvl w:ilvl="1" w:tplc="0809000F">
      <w:start w:val="1"/>
      <w:numFmt w:val="decimal"/>
      <w:lvlText w:val="%2."/>
      <w:lvlJc w:val="left"/>
      <w:pPr>
        <w:tabs>
          <w:tab w:val="num" w:pos="1440"/>
        </w:tabs>
        <w:ind w:left="1440" w:hanging="720"/>
      </w:pPr>
      <w:rPr>
        <w:rFonts w:hint="default"/>
        <w:sz w:val="20"/>
        <w:szCs w:val="20"/>
      </w:rPr>
    </w:lvl>
    <w:lvl w:ilvl="2" w:tplc="0409001B">
      <w:start w:val="1"/>
      <w:numFmt w:val="lowerRoman"/>
      <w:lvlText w:val="%3."/>
      <w:lvlJc w:val="right"/>
      <w:pPr>
        <w:tabs>
          <w:tab w:val="num" w:pos="1800"/>
        </w:tabs>
        <w:ind w:left="1800" w:hanging="180"/>
      </w:pPr>
    </w:lvl>
    <w:lvl w:ilvl="3" w:tplc="08090017">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1C16DB2"/>
    <w:multiLevelType w:val="hybridMultilevel"/>
    <w:tmpl w:val="92A4341C"/>
    <w:lvl w:ilvl="0" w:tplc="13B453F0">
      <w:start w:val="1"/>
      <w:numFmt w:val="upperLetter"/>
      <w:lvlText w:val="%1."/>
      <w:lvlJc w:val="left"/>
      <w:pPr>
        <w:ind w:left="1200" w:hanging="52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062086"/>
    <w:multiLevelType w:val="hybridMultilevel"/>
    <w:tmpl w:val="38C40C52"/>
    <w:lvl w:ilvl="0" w:tplc="1F66E9E0">
      <w:start w:val="1"/>
      <w:numFmt w:val="decimal"/>
      <w:lvlText w:val="%1."/>
      <w:lvlJc w:val="left"/>
      <w:pPr>
        <w:tabs>
          <w:tab w:val="num" w:pos="1711"/>
        </w:tabs>
        <w:ind w:left="1711" w:hanging="576"/>
      </w:pPr>
      <w:rPr>
        <w:rFonts w:hint="default"/>
        <w:b w:val="0"/>
        <w:bCs w:val="0"/>
        <w:i w:val="0"/>
        <w:iCs w:val="0"/>
      </w:rPr>
    </w:lvl>
    <w:lvl w:ilvl="1" w:tplc="0809000F">
      <w:start w:val="1"/>
      <w:numFmt w:val="decimal"/>
      <w:lvlText w:val="%2."/>
      <w:lvlJc w:val="left"/>
      <w:pPr>
        <w:tabs>
          <w:tab w:val="num" w:pos="1440"/>
        </w:tabs>
        <w:ind w:left="1440" w:hanging="720"/>
      </w:pPr>
      <w:rPr>
        <w:rFonts w:hint="default"/>
        <w:sz w:val="20"/>
        <w:szCs w:val="20"/>
      </w:rPr>
    </w:lvl>
    <w:lvl w:ilvl="2" w:tplc="0409001B">
      <w:start w:val="1"/>
      <w:numFmt w:val="lowerRoman"/>
      <w:lvlText w:val="%3."/>
      <w:lvlJc w:val="right"/>
      <w:pPr>
        <w:tabs>
          <w:tab w:val="num" w:pos="1800"/>
        </w:tabs>
        <w:ind w:left="1800" w:hanging="180"/>
      </w:pPr>
    </w:lvl>
    <w:lvl w:ilvl="3" w:tplc="08090017">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D355CA7"/>
    <w:multiLevelType w:val="hybridMultilevel"/>
    <w:tmpl w:val="38C40C52"/>
    <w:lvl w:ilvl="0" w:tplc="1F66E9E0">
      <w:start w:val="1"/>
      <w:numFmt w:val="decimal"/>
      <w:lvlText w:val="%1."/>
      <w:lvlJc w:val="left"/>
      <w:pPr>
        <w:tabs>
          <w:tab w:val="num" w:pos="1711"/>
        </w:tabs>
        <w:ind w:left="1711" w:hanging="576"/>
      </w:pPr>
      <w:rPr>
        <w:rFonts w:hint="default"/>
        <w:b w:val="0"/>
        <w:bCs w:val="0"/>
        <w:i w:val="0"/>
        <w:iCs w:val="0"/>
      </w:rPr>
    </w:lvl>
    <w:lvl w:ilvl="1" w:tplc="0809000F">
      <w:start w:val="1"/>
      <w:numFmt w:val="decimal"/>
      <w:lvlText w:val="%2."/>
      <w:lvlJc w:val="left"/>
      <w:pPr>
        <w:tabs>
          <w:tab w:val="num" w:pos="1440"/>
        </w:tabs>
        <w:ind w:left="1440" w:hanging="720"/>
      </w:pPr>
      <w:rPr>
        <w:rFonts w:hint="default"/>
        <w:sz w:val="20"/>
        <w:szCs w:val="20"/>
      </w:rPr>
    </w:lvl>
    <w:lvl w:ilvl="2" w:tplc="0409001B">
      <w:start w:val="1"/>
      <w:numFmt w:val="lowerRoman"/>
      <w:lvlText w:val="%3."/>
      <w:lvlJc w:val="right"/>
      <w:pPr>
        <w:tabs>
          <w:tab w:val="num" w:pos="1800"/>
        </w:tabs>
        <w:ind w:left="1800" w:hanging="180"/>
      </w:pPr>
    </w:lvl>
    <w:lvl w:ilvl="3" w:tplc="08090017">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6F9024FD"/>
    <w:multiLevelType w:val="multilevel"/>
    <w:tmpl w:val="47C854B8"/>
    <w:lvl w:ilvl="0">
      <w:start w:val="1"/>
      <w:numFmt w:val="decimal"/>
      <w:lvlText w:val="%1."/>
      <w:lvlJc w:val="left"/>
      <w:pPr>
        <w:tabs>
          <w:tab w:val="num" w:pos="1710"/>
        </w:tabs>
        <w:ind w:left="1710" w:hanging="576"/>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49" w15:restartNumberingAfterBreak="0">
    <w:nsid w:val="70D44D6B"/>
    <w:multiLevelType w:val="hybridMultilevel"/>
    <w:tmpl w:val="4606DFBE"/>
    <w:lvl w:ilvl="0" w:tplc="0809001B">
      <w:start w:val="1"/>
      <w:numFmt w:val="lowerRoman"/>
      <w:lvlText w:val="%1."/>
      <w:lvlJc w:val="right"/>
      <w:pPr>
        <w:tabs>
          <w:tab w:val="num" w:pos="1711"/>
        </w:tabs>
        <w:ind w:left="1711" w:hanging="576"/>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0"/>
  </w:num>
  <w:num w:numId="3">
    <w:abstractNumId w:val="43"/>
  </w:num>
  <w:num w:numId="4">
    <w:abstractNumId w:val="12"/>
  </w:num>
  <w:num w:numId="5">
    <w:abstractNumId w:val="44"/>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22"/>
  </w:num>
  <w:num w:numId="18">
    <w:abstractNumId w:val="10"/>
  </w:num>
  <w:num w:numId="19">
    <w:abstractNumId w:val="20"/>
  </w:num>
  <w:num w:numId="20">
    <w:abstractNumId w:val="31"/>
  </w:num>
  <w:num w:numId="21">
    <w:abstractNumId w:val="21"/>
  </w:num>
  <w:num w:numId="22">
    <w:abstractNumId w:val="26"/>
  </w:num>
  <w:num w:numId="23">
    <w:abstractNumId w:val="48"/>
  </w:num>
  <w:num w:numId="24">
    <w:abstractNumId w:val="24"/>
  </w:num>
  <w:num w:numId="25">
    <w:abstractNumId w:val="16"/>
  </w:num>
  <w:num w:numId="26">
    <w:abstractNumId w:val="35"/>
  </w:num>
  <w:num w:numId="27">
    <w:abstractNumId w:val="42"/>
  </w:num>
  <w:num w:numId="28">
    <w:abstractNumId w:val="37"/>
  </w:num>
  <w:num w:numId="29">
    <w:abstractNumId w:val="38"/>
  </w:num>
  <w:num w:numId="30">
    <w:abstractNumId w:val="11"/>
  </w:num>
  <w:num w:numId="31">
    <w:abstractNumId w:val="39"/>
  </w:num>
  <w:num w:numId="32">
    <w:abstractNumId w:val="17"/>
  </w:num>
  <w:num w:numId="33">
    <w:abstractNumId w:val="23"/>
  </w:num>
  <w:num w:numId="34">
    <w:abstractNumId w:val="36"/>
  </w:num>
  <w:num w:numId="35">
    <w:abstractNumId w:val="25"/>
  </w:num>
  <w:num w:numId="36">
    <w:abstractNumId w:val="29"/>
  </w:num>
  <w:num w:numId="37">
    <w:abstractNumId w:val="19"/>
  </w:num>
  <w:num w:numId="38">
    <w:abstractNumId w:val="46"/>
  </w:num>
  <w:num w:numId="39">
    <w:abstractNumId w:val="28"/>
  </w:num>
  <w:num w:numId="40">
    <w:abstractNumId w:val="34"/>
  </w:num>
  <w:num w:numId="41">
    <w:abstractNumId w:val="49"/>
  </w:num>
  <w:num w:numId="42">
    <w:abstractNumId w:val="47"/>
  </w:num>
  <w:num w:numId="43">
    <w:abstractNumId w:val="18"/>
  </w:num>
  <w:num w:numId="44">
    <w:abstractNumId w:val="13"/>
  </w:num>
  <w:num w:numId="45">
    <w:abstractNumId w:val="40"/>
  </w:num>
  <w:num w:numId="46">
    <w:abstractNumId w:val="32"/>
  </w:num>
  <w:num w:numId="47">
    <w:abstractNumId w:val="15"/>
  </w:num>
  <w:num w:numId="48">
    <w:abstractNumId w:val="14"/>
  </w:num>
  <w:num w:numId="49">
    <w:abstractNumId w:val="33"/>
  </w:num>
  <w:num w:numId="50">
    <w:abstractNumId w:val="41"/>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fr-CH" w:vendorID="64" w:dllVersion="6" w:nlCheck="1" w:checkStyle="0"/>
  <w:activeWritingStyle w:appName="MSWord" w:lang="ar-SA" w:vendorID="64" w:dllVersion="0" w:nlCheck="1" w:checkStyle="0"/>
  <w:activeWritingStyle w:appName="MSWord" w:lang="es-ES" w:vendorID="64" w:dllVersion="0" w:nlCheck="1" w:checkStyle="0"/>
  <w:activeWritingStyle w:appName="MSWord" w:lang="ar-SA" w:vendorID="64" w:dllVersion="6" w:nlCheck="1" w:checkStyle="0"/>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5C"/>
    <w:rsid w:val="000016D4"/>
    <w:rsid w:val="00001E04"/>
    <w:rsid w:val="00002A7D"/>
    <w:rsid w:val="000038A8"/>
    <w:rsid w:val="00004967"/>
    <w:rsid w:val="00005071"/>
    <w:rsid w:val="00006790"/>
    <w:rsid w:val="00010481"/>
    <w:rsid w:val="0001175F"/>
    <w:rsid w:val="00012044"/>
    <w:rsid w:val="00012205"/>
    <w:rsid w:val="000134C6"/>
    <w:rsid w:val="000138E0"/>
    <w:rsid w:val="00016262"/>
    <w:rsid w:val="00016B01"/>
    <w:rsid w:val="00016DC3"/>
    <w:rsid w:val="0002076B"/>
    <w:rsid w:val="000222BA"/>
    <w:rsid w:val="000242F0"/>
    <w:rsid w:val="0002541D"/>
    <w:rsid w:val="00027624"/>
    <w:rsid w:val="000356C4"/>
    <w:rsid w:val="0003764F"/>
    <w:rsid w:val="0004065D"/>
    <w:rsid w:val="000417EF"/>
    <w:rsid w:val="00044AD7"/>
    <w:rsid w:val="00046173"/>
    <w:rsid w:val="00050F6B"/>
    <w:rsid w:val="000538F4"/>
    <w:rsid w:val="0005736C"/>
    <w:rsid w:val="000575FC"/>
    <w:rsid w:val="00060B42"/>
    <w:rsid w:val="00062220"/>
    <w:rsid w:val="00064385"/>
    <w:rsid w:val="000672F3"/>
    <w:rsid w:val="00067634"/>
    <w:rsid w:val="000678CD"/>
    <w:rsid w:val="00072085"/>
    <w:rsid w:val="00072C8C"/>
    <w:rsid w:val="000733FF"/>
    <w:rsid w:val="00075F4A"/>
    <w:rsid w:val="000817E0"/>
    <w:rsid w:val="00081CE0"/>
    <w:rsid w:val="00084AC5"/>
    <w:rsid w:val="00084D30"/>
    <w:rsid w:val="00085754"/>
    <w:rsid w:val="0008578A"/>
    <w:rsid w:val="00090320"/>
    <w:rsid w:val="00090745"/>
    <w:rsid w:val="00090D28"/>
    <w:rsid w:val="000931C0"/>
    <w:rsid w:val="000A04F0"/>
    <w:rsid w:val="000A0552"/>
    <w:rsid w:val="000A1870"/>
    <w:rsid w:val="000A2E09"/>
    <w:rsid w:val="000A7014"/>
    <w:rsid w:val="000A75CC"/>
    <w:rsid w:val="000B1173"/>
    <w:rsid w:val="000B175B"/>
    <w:rsid w:val="000B3A0F"/>
    <w:rsid w:val="000B65FD"/>
    <w:rsid w:val="000B76CF"/>
    <w:rsid w:val="000C1411"/>
    <w:rsid w:val="000C1B90"/>
    <w:rsid w:val="000C1BED"/>
    <w:rsid w:val="000C21CB"/>
    <w:rsid w:val="000C2AA7"/>
    <w:rsid w:val="000C2B8B"/>
    <w:rsid w:val="000C2F3C"/>
    <w:rsid w:val="000C34F4"/>
    <w:rsid w:val="000C36E7"/>
    <w:rsid w:val="000C4677"/>
    <w:rsid w:val="000C6CBD"/>
    <w:rsid w:val="000D0603"/>
    <w:rsid w:val="000D0B6C"/>
    <w:rsid w:val="000E0415"/>
    <w:rsid w:val="000E0B40"/>
    <w:rsid w:val="000E2FCA"/>
    <w:rsid w:val="000E43E9"/>
    <w:rsid w:val="000E60B6"/>
    <w:rsid w:val="000F218D"/>
    <w:rsid w:val="000F257B"/>
    <w:rsid w:val="000F267A"/>
    <w:rsid w:val="000F4DC7"/>
    <w:rsid w:val="000F638F"/>
    <w:rsid w:val="000F7715"/>
    <w:rsid w:val="001021DF"/>
    <w:rsid w:val="001067DE"/>
    <w:rsid w:val="00106F63"/>
    <w:rsid w:val="001071F4"/>
    <w:rsid w:val="001132E8"/>
    <w:rsid w:val="0011501A"/>
    <w:rsid w:val="001175A6"/>
    <w:rsid w:val="00126C72"/>
    <w:rsid w:val="0013259A"/>
    <w:rsid w:val="00134AB3"/>
    <w:rsid w:val="00137ECA"/>
    <w:rsid w:val="00140824"/>
    <w:rsid w:val="00142C1A"/>
    <w:rsid w:val="001436E4"/>
    <w:rsid w:val="001449E7"/>
    <w:rsid w:val="00147246"/>
    <w:rsid w:val="001501E0"/>
    <w:rsid w:val="00150FC8"/>
    <w:rsid w:val="00151A14"/>
    <w:rsid w:val="0015548F"/>
    <w:rsid w:val="00156B99"/>
    <w:rsid w:val="00157228"/>
    <w:rsid w:val="00157832"/>
    <w:rsid w:val="0016304E"/>
    <w:rsid w:val="00164945"/>
    <w:rsid w:val="0016546C"/>
    <w:rsid w:val="00166124"/>
    <w:rsid w:val="00170A8B"/>
    <w:rsid w:val="001714EB"/>
    <w:rsid w:val="001740AA"/>
    <w:rsid w:val="001811B5"/>
    <w:rsid w:val="00183130"/>
    <w:rsid w:val="00184DDA"/>
    <w:rsid w:val="00185729"/>
    <w:rsid w:val="001866F9"/>
    <w:rsid w:val="00186EB8"/>
    <w:rsid w:val="00187BAF"/>
    <w:rsid w:val="001900CD"/>
    <w:rsid w:val="001915A1"/>
    <w:rsid w:val="00194341"/>
    <w:rsid w:val="00194D32"/>
    <w:rsid w:val="00194EF4"/>
    <w:rsid w:val="00197315"/>
    <w:rsid w:val="001A033E"/>
    <w:rsid w:val="001A0452"/>
    <w:rsid w:val="001A6036"/>
    <w:rsid w:val="001B0663"/>
    <w:rsid w:val="001B0B71"/>
    <w:rsid w:val="001B125F"/>
    <w:rsid w:val="001B4B04"/>
    <w:rsid w:val="001B5875"/>
    <w:rsid w:val="001B6C91"/>
    <w:rsid w:val="001C0752"/>
    <w:rsid w:val="001C3763"/>
    <w:rsid w:val="001C4B9C"/>
    <w:rsid w:val="001C5C42"/>
    <w:rsid w:val="001C5CFB"/>
    <w:rsid w:val="001C652E"/>
    <w:rsid w:val="001C6663"/>
    <w:rsid w:val="001C7895"/>
    <w:rsid w:val="001D0D61"/>
    <w:rsid w:val="001D1A44"/>
    <w:rsid w:val="001D26DF"/>
    <w:rsid w:val="001D40EA"/>
    <w:rsid w:val="001D522C"/>
    <w:rsid w:val="001D7A72"/>
    <w:rsid w:val="001D7C28"/>
    <w:rsid w:val="001E3C99"/>
    <w:rsid w:val="001E5E6C"/>
    <w:rsid w:val="001E7252"/>
    <w:rsid w:val="001F1599"/>
    <w:rsid w:val="001F19C4"/>
    <w:rsid w:val="001F3036"/>
    <w:rsid w:val="002039AD"/>
    <w:rsid w:val="002043F0"/>
    <w:rsid w:val="002059F6"/>
    <w:rsid w:val="002069F4"/>
    <w:rsid w:val="00207BC8"/>
    <w:rsid w:val="00211D37"/>
    <w:rsid w:val="00211E0B"/>
    <w:rsid w:val="00213670"/>
    <w:rsid w:val="00213980"/>
    <w:rsid w:val="00214E78"/>
    <w:rsid w:val="00216CFC"/>
    <w:rsid w:val="002208DD"/>
    <w:rsid w:val="002211FF"/>
    <w:rsid w:val="00221C3B"/>
    <w:rsid w:val="00224181"/>
    <w:rsid w:val="00226073"/>
    <w:rsid w:val="00230A91"/>
    <w:rsid w:val="00232575"/>
    <w:rsid w:val="00232C60"/>
    <w:rsid w:val="00232CA9"/>
    <w:rsid w:val="00233D7E"/>
    <w:rsid w:val="0023575C"/>
    <w:rsid w:val="00235766"/>
    <w:rsid w:val="00237D4E"/>
    <w:rsid w:val="002409E1"/>
    <w:rsid w:val="002431F1"/>
    <w:rsid w:val="00243D15"/>
    <w:rsid w:val="0024451B"/>
    <w:rsid w:val="00244576"/>
    <w:rsid w:val="00244DC1"/>
    <w:rsid w:val="0024542A"/>
    <w:rsid w:val="00247258"/>
    <w:rsid w:val="0025084D"/>
    <w:rsid w:val="00254BB2"/>
    <w:rsid w:val="00257CAC"/>
    <w:rsid w:val="00257E48"/>
    <w:rsid w:val="00260A15"/>
    <w:rsid w:val="00260E72"/>
    <w:rsid w:val="00261341"/>
    <w:rsid w:val="00261F0F"/>
    <w:rsid w:val="002660E3"/>
    <w:rsid w:val="00271F9A"/>
    <w:rsid w:val="0027237A"/>
    <w:rsid w:val="002726F9"/>
    <w:rsid w:val="002735E5"/>
    <w:rsid w:val="00281BEA"/>
    <w:rsid w:val="00282FEF"/>
    <w:rsid w:val="0028366D"/>
    <w:rsid w:val="00285756"/>
    <w:rsid w:val="00287459"/>
    <w:rsid w:val="002908BC"/>
    <w:rsid w:val="00291507"/>
    <w:rsid w:val="00293E97"/>
    <w:rsid w:val="00293F71"/>
    <w:rsid w:val="002974E9"/>
    <w:rsid w:val="002A7F94"/>
    <w:rsid w:val="002B0FF1"/>
    <w:rsid w:val="002B109A"/>
    <w:rsid w:val="002B40E7"/>
    <w:rsid w:val="002B603E"/>
    <w:rsid w:val="002B64FD"/>
    <w:rsid w:val="002B6871"/>
    <w:rsid w:val="002B68BD"/>
    <w:rsid w:val="002B711E"/>
    <w:rsid w:val="002C14F3"/>
    <w:rsid w:val="002C1DBD"/>
    <w:rsid w:val="002C6B37"/>
    <w:rsid w:val="002C6D45"/>
    <w:rsid w:val="002C6E6E"/>
    <w:rsid w:val="002C7744"/>
    <w:rsid w:val="002D0246"/>
    <w:rsid w:val="002D0764"/>
    <w:rsid w:val="002D3580"/>
    <w:rsid w:val="002D45D9"/>
    <w:rsid w:val="002D5A06"/>
    <w:rsid w:val="002D60D1"/>
    <w:rsid w:val="002D6221"/>
    <w:rsid w:val="002D6E53"/>
    <w:rsid w:val="002D7782"/>
    <w:rsid w:val="002E07BD"/>
    <w:rsid w:val="002E0B10"/>
    <w:rsid w:val="002E3DC2"/>
    <w:rsid w:val="002E67DC"/>
    <w:rsid w:val="002E6D16"/>
    <w:rsid w:val="002E7566"/>
    <w:rsid w:val="002F046D"/>
    <w:rsid w:val="002F670A"/>
    <w:rsid w:val="003000F5"/>
    <w:rsid w:val="00301764"/>
    <w:rsid w:val="003017CA"/>
    <w:rsid w:val="003028A4"/>
    <w:rsid w:val="003040D0"/>
    <w:rsid w:val="00313E84"/>
    <w:rsid w:val="00314B06"/>
    <w:rsid w:val="00315974"/>
    <w:rsid w:val="00315EF1"/>
    <w:rsid w:val="0031600A"/>
    <w:rsid w:val="00317793"/>
    <w:rsid w:val="00317F35"/>
    <w:rsid w:val="00320197"/>
    <w:rsid w:val="0032128D"/>
    <w:rsid w:val="00322487"/>
    <w:rsid w:val="003229D8"/>
    <w:rsid w:val="00323255"/>
    <w:rsid w:val="003302AD"/>
    <w:rsid w:val="00330893"/>
    <w:rsid w:val="00331628"/>
    <w:rsid w:val="003324E1"/>
    <w:rsid w:val="003344B5"/>
    <w:rsid w:val="00336C97"/>
    <w:rsid w:val="003374AF"/>
    <w:rsid w:val="00337DC2"/>
    <w:rsid w:val="00337F88"/>
    <w:rsid w:val="00342432"/>
    <w:rsid w:val="00344FD8"/>
    <w:rsid w:val="00346E8D"/>
    <w:rsid w:val="003506B4"/>
    <w:rsid w:val="0035223F"/>
    <w:rsid w:val="00352D4B"/>
    <w:rsid w:val="00353952"/>
    <w:rsid w:val="0035446A"/>
    <w:rsid w:val="0035638C"/>
    <w:rsid w:val="00357C77"/>
    <w:rsid w:val="00360B00"/>
    <w:rsid w:val="00361219"/>
    <w:rsid w:val="00361729"/>
    <w:rsid w:val="0036373B"/>
    <w:rsid w:val="0036432D"/>
    <w:rsid w:val="003706F2"/>
    <w:rsid w:val="00372B13"/>
    <w:rsid w:val="0037362A"/>
    <w:rsid w:val="00382932"/>
    <w:rsid w:val="00382B3B"/>
    <w:rsid w:val="00384368"/>
    <w:rsid w:val="00384709"/>
    <w:rsid w:val="0038485A"/>
    <w:rsid w:val="0039163E"/>
    <w:rsid w:val="0039450B"/>
    <w:rsid w:val="00397F09"/>
    <w:rsid w:val="003A1551"/>
    <w:rsid w:val="003A46BB"/>
    <w:rsid w:val="003A4EC7"/>
    <w:rsid w:val="003A6563"/>
    <w:rsid w:val="003A7295"/>
    <w:rsid w:val="003A7F75"/>
    <w:rsid w:val="003B12A8"/>
    <w:rsid w:val="003B17C8"/>
    <w:rsid w:val="003B1F60"/>
    <w:rsid w:val="003B526E"/>
    <w:rsid w:val="003B7A32"/>
    <w:rsid w:val="003B7B9C"/>
    <w:rsid w:val="003C268E"/>
    <w:rsid w:val="003C2CC4"/>
    <w:rsid w:val="003C3524"/>
    <w:rsid w:val="003C3D2E"/>
    <w:rsid w:val="003C4290"/>
    <w:rsid w:val="003D078F"/>
    <w:rsid w:val="003D0BF1"/>
    <w:rsid w:val="003D271F"/>
    <w:rsid w:val="003D28EE"/>
    <w:rsid w:val="003D3232"/>
    <w:rsid w:val="003D4B23"/>
    <w:rsid w:val="003D5D47"/>
    <w:rsid w:val="003E2289"/>
    <w:rsid w:val="003E278A"/>
    <w:rsid w:val="003E4067"/>
    <w:rsid w:val="003E4E76"/>
    <w:rsid w:val="003E6226"/>
    <w:rsid w:val="003E692A"/>
    <w:rsid w:val="003E6DEC"/>
    <w:rsid w:val="003F0690"/>
    <w:rsid w:val="003F2EE5"/>
    <w:rsid w:val="003F3377"/>
    <w:rsid w:val="003F45F3"/>
    <w:rsid w:val="003F469F"/>
    <w:rsid w:val="003F4CB7"/>
    <w:rsid w:val="003F6000"/>
    <w:rsid w:val="00403B78"/>
    <w:rsid w:val="00404846"/>
    <w:rsid w:val="00406A90"/>
    <w:rsid w:val="004071D0"/>
    <w:rsid w:val="00413520"/>
    <w:rsid w:val="00414C4B"/>
    <w:rsid w:val="004239DA"/>
    <w:rsid w:val="00427E4E"/>
    <w:rsid w:val="004325CB"/>
    <w:rsid w:val="00434F68"/>
    <w:rsid w:val="00435572"/>
    <w:rsid w:val="004372FF"/>
    <w:rsid w:val="00440A07"/>
    <w:rsid w:val="004453A2"/>
    <w:rsid w:val="00447024"/>
    <w:rsid w:val="00447409"/>
    <w:rsid w:val="00450146"/>
    <w:rsid w:val="00450D7A"/>
    <w:rsid w:val="0045141A"/>
    <w:rsid w:val="00451BCF"/>
    <w:rsid w:val="00452221"/>
    <w:rsid w:val="004528C2"/>
    <w:rsid w:val="00461A83"/>
    <w:rsid w:val="0046251E"/>
    <w:rsid w:val="00462880"/>
    <w:rsid w:val="004648D4"/>
    <w:rsid w:val="00464BFE"/>
    <w:rsid w:val="0046546C"/>
    <w:rsid w:val="00465A48"/>
    <w:rsid w:val="00467F66"/>
    <w:rsid w:val="00476733"/>
    <w:rsid w:val="00476AE2"/>
    <w:rsid w:val="00476F24"/>
    <w:rsid w:val="00477049"/>
    <w:rsid w:val="004770C3"/>
    <w:rsid w:val="0048092E"/>
    <w:rsid w:val="00481131"/>
    <w:rsid w:val="004853C2"/>
    <w:rsid w:val="00486452"/>
    <w:rsid w:val="00486632"/>
    <w:rsid w:val="00492336"/>
    <w:rsid w:val="0049500F"/>
    <w:rsid w:val="00497B9D"/>
    <w:rsid w:val="004A1707"/>
    <w:rsid w:val="004A3449"/>
    <w:rsid w:val="004B1836"/>
    <w:rsid w:val="004B21A8"/>
    <w:rsid w:val="004B76B8"/>
    <w:rsid w:val="004C25F6"/>
    <w:rsid w:val="004C55B0"/>
    <w:rsid w:val="004C6E33"/>
    <w:rsid w:val="004C752A"/>
    <w:rsid w:val="004D28B0"/>
    <w:rsid w:val="004D513F"/>
    <w:rsid w:val="004D5E9D"/>
    <w:rsid w:val="004E15BB"/>
    <w:rsid w:val="004E1AB8"/>
    <w:rsid w:val="004E30BF"/>
    <w:rsid w:val="004E3D26"/>
    <w:rsid w:val="004E6D18"/>
    <w:rsid w:val="004F0A6F"/>
    <w:rsid w:val="004F5577"/>
    <w:rsid w:val="004F6BA0"/>
    <w:rsid w:val="0050271E"/>
    <w:rsid w:val="00503BEA"/>
    <w:rsid w:val="005053A4"/>
    <w:rsid w:val="00506BC8"/>
    <w:rsid w:val="0051089B"/>
    <w:rsid w:val="00511975"/>
    <w:rsid w:val="00513CBA"/>
    <w:rsid w:val="00515DE8"/>
    <w:rsid w:val="00516182"/>
    <w:rsid w:val="005204D6"/>
    <w:rsid w:val="0052549C"/>
    <w:rsid w:val="00525E51"/>
    <w:rsid w:val="005277B4"/>
    <w:rsid w:val="00527EA4"/>
    <w:rsid w:val="005300B5"/>
    <w:rsid w:val="005312D1"/>
    <w:rsid w:val="005314B1"/>
    <w:rsid w:val="00533616"/>
    <w:rsid w:val="005352BA"/>
    <w:rsid w:val="005355E3"/>
    <w:rsid w:val="00535ABA"/>
    <w:rsid w:val="0053768B"/>
    <w:rsid w:val="0054018E"/>
    <w:rsid w:val="005420F2"/>
    <w:rsid w:val="0054214A"/>
    <w:rsid w:val="0054285C"/>
    <w:rsid w:val="005507EF"/>
    <w:rsid w:val="005519A3"/>
    <w:rsid w:val="00552F98"/>
    <w:rsid w:val="00553474"/>
    <w:rsid w:val="00555AAE"/>
    <w:rsid w:val="005607C8"/>
    <w:rsid w:val="00562958"/>
    <w:rsid w:val="00563248"/>
    <w:rsid w:val="00563313"/>
    <w:rsid w:val="00563700"/>
    <w:rsid w:val="00563BE6"/>
    <w:rsid w:val="00566502"/>
    <w:rsid w:val="00571ECC"/>
    <w:rsid w:val="00572DDF"/>
    <w:rsid w:val="00576E20"/>
    <w:rsid w:val="00577B1E"/>
    <w:rsid w:val="005824AB"/>
    <w:rsid w:val="00582F9D"/>
    <w:rsid w:val="00584173"/>
    <w:rsid w:val="00591A41"/>
    <w:rsid w:val="0059455A"/>
    <w:rsid w:val="00595520"/>
    <w:rsid w:val="005959D4"/>
    <w:rsid w:val="00595F03"/>
    <w:rsid w:val="005A055C"/>
    <w:rsid w:val="005A0800"/>
    <w:rsid w:val="005A44B9"/>
    <w:rsid w:val="005A4BF5"/>
    <w:rsid w:val="005A5430"/>
    <w:rsid w:val="005A5F62"/>
    <w:rsid w:val="005B1BA0"/>
    <w:rsid w:val="005B1DE8"/>
    <w:rsid w:val="005B3736"/>
    <w:rsid w:val="005B3C6A"/>
    <w:rsid w:val="005B3DB3"/>
    <w:rsid w:val="005B4980"/>
    <w:rsid w:val="005C1636"/>
    <w:rsid w:val="005C5A54"/>
    <w:rsid w:val="005D0025"/>
    <w:rsid w:val="005D15CA"/>
    <w:rsid w:val="005E5D9B"/>
    <w:rsid w:val="005E75B9"/>
    <w:rsid w:val="005E7F04"/>
    <w:rsid w:val="005F0BB9"/>
    <w:rsid w:val="005F0F7C"/>
    <w:rsid w:val="005F2AA8"/>
    <w:rsid w:val="005F3066"/>
    <w:rsid w:val="005F3E61"/>
    <w:rsid w:val="005F76B7"/>
    <w:rsid w:val="006010D9"/>
    <w:rsid w:val="00603C34"/>
    <w:rsid w:val="006045F0"/>
    <w:rsid w:val="00604DDD"/>
    <w:rsid w:val="00606320"/>
    <w:rsid w:val="00606CFC"/>
    <w:rsid w:val="00610CF5"/>
    <w:rsid w:val="006115CC"/>
    <w:rsid w:val="00611CC7"/>
    <w:rsid w:val="00611FC4"/>
    <w:rsid w:val="006122D5"/>
    <w:rsid w:val="00614380"/>
    <w:rsid w:val="006176FB"/>
    <w:rsid w:val="00630594"/>
    <w:rsid w:val="00630FCB"/>
    <w:rsid w:val="0063729E"/>
    <w:rsid w:val="006402F1"/>
    <w:rsid w:val="00640B26"/>
    <w:rsid w:val="006411A3"/>
    <w:rsid w:val="00641DBC"/>
    <w:rsid w:val="0064635A"/>
    <w:rsid w:val="00651ADE"/>
    <w:rsid w:val="00653723"/>
    <w:rsid w:val="00653F8F"/>
    <w:rsid w:val="006541F6"/>
    <w:rsid w:val="0065458C"/>
    <w:rsid w:val="006550F5"/>
    <w:rsid w:val="00655FDE"/>
    <w:rsid w:val="006573A4"/>
    <w:rsid w:val="00661A4B"/>
    <w:rsid w:val="00664681"/>
    <w:rsid w:val="006654A1"/>
    <w:rsid w:val="00667C32"/>
    <w:rsid w:val="00667FE1"/>
    <w:rsid w:val="006728A1"/>
    <w:rsid w:val="00674F78"/>
    <w:rsid w:val="006770B2"/>
    <w:rsid w:val="00677DF4"/>
    <w:rsid w:val="00682548"/>
    <w:rsid w:val="006837FF"/>
    <w:rsid w:val="00683823"/>
    <w:rsid w:val="006853A9"/>
    <w:rsid w:val="00685A1E"/>
    <w:rsid w:val="00685B5F"/>
    <w:rsid w:val="00690A76"/>
    <w:rsid w:val="006932E3"/>
    <w:rsid w:val="006940E1"/>
    <w:rsid w:val="00694E0D"/>
    <w:rsid w:val="00695065"/>
    <w:rsid w:val="006952E3"/>
    <w:rsid w:val="006953AF"/>
    <w:rsid w:val="00696B24"/>
    <w:rsid w:val="006A3925"/>
    <w:rsid w:val="006A3C72"/>
    <w:rsid w:val="006A3F59"/>
    <w:rsid w:val="006A48F6"/>
    <w:rsid w:val="006A648B"/>
    <w:rsid w:val="006A7392"/>
    <w:rsid w:val="006B03A1"/>
    <w:rsid w:val="006B0A3B"/>
    <w:rsid w:val="006B2152"/>
    <w:rsid w:val="006B381B"/>
    <w:rsid w:val="006B49C1"/>
    <w:rsid w:val="006B67D9"/>
    <w:rsid w:val="006C2A0E"/>
    <w:rsid w:val="006C33E1"/>
    <w:rsid w:val="006C5535"/>
    <w:rsid w:val="006C5D56"/>
    <w:rsid w:val="006D01F0"/>
    <w:rsid w:val="006D0589"/>
    <w:rsid w:val="006D0BB9"/>
    <w:rsid w:val="006D40FA"/>
    <w:rsid w:val="006D4DED"/>
    <w:rsid w:val="006D4FA2"/>
    <w:rsid w:val="006D6A2E"/>
    <w:rsid w:val="006D6E98"/>
    <w:rsid w:val="006E0DA0"/>
    <w:rsid w:val="006E13A2"/>
    <w:rsid w:val="006E1689"/>
    <w:rsid w:val="006E564B"/>
    <w:rsid w:val="006E7154"/>
    <w:rsid w:val="006F485E"/>
    <w:rsid w:val="006F513F"/>
    <w:rsid w:val="006F551A"/>
    <w:rsid w:val="006F7379"/>
    <w:rsid w:val="006F73DC"/>
    <w:rsid w:val="006F777E"/>
    <w:rsid w:val="006F7A38"/>
    <w:rsid w:val="007003CD"/>
    <w:rsid w:val="007007D3"/>
    <w:rsid w:val="007019D4"/>
    <w:rsid w:val="00703DAE"/>
    <w:rsid w:val="00704C1B"/>
    <w:rsid w:val="007062A9"/>
    <w:rsid w:val="0070701E"/>
    <w:rsid w:val="00712C76"/>
    <w:rsid w:val="0071307D"/>
    <w:rsid w:val="00716AEC"/>
    <w:rsid w:val="00721281"/>
    <w:rsid w:val="00721E69"/>
    <w:rsid w:val="00721F48"/>
    <w:rsid w:val="0072271A"/>
    <w:rsid w:val="00724633"/>
    <w:rsid w:val="00724A8B"/>
    <w:rsid w:val="0072632A"/>
    <w:rsid w:val="007322FD"/>
    <w:rsid w:val="00732B83"/>
    <w:rsid w:val="007358E8"/>
    <w:rsid w:val="00736783"/>
    <w:rsid w:val="00736ECE"/>
    <w:rsid w:val="00743E8D"/>
    <w:rsid w:val="0074533B"/>
    <w:rsid w:val="0074667A"/>
    <w:rsid w:val="00746974"/>
    <w:rsid w:val="00747658"/>
    <w:rsid w:val="00747FC6"/>
    <w:rsid w:val="00750A50"/>
    <w:rsid w:val="00750C20"/>
    <w:rsid w:val="007519A9"/>
    <w:rsid w:val="00752CC3"/>
    <w:rsid w:val="00761A75"/>
    <w:rsid w:val="007621D9"/>
    <w:rsid w:val="00763BCF"/>
    <w:rsid w:val="007643BC"/>
    <w:rsid w:val="00764B84"/>
    <w:rsid w:val="00766406"/>
    <w:rsid w:val="00770F98"/>
    <w:rsid w:val="007737D6"/>
    <w:rsid w:val="007811E3"/>
    <w:rsid w:val="00781E11"/>
    <w:rsid w:val="00785AB4"/>
    <w:rsid w:val="007904C2"/>
    <w:rsid w:val="00791E57"/>
    <w:rsid w:val="00794B7C"/>
    <w:rsid w:val="0079514C"/>
    <w:rsid w:val="007955D6"/>
    <w:rsid w:val="0079582A"/>
    <w:rsid w:val="007959FE"/>
    <w:rsid w:val="007A0CF1"/>
    <w:rsid w:val="007A40B1"/>
    <w:rsid w:val="007B5AB1"/>
    <w:rsid w:val="007B6A03"/>
    <w:rsid w:val="007B6BA5"/>
    <w:rsid w:val="007B6DCC"/>
    <w:rsid w:val="007B73FA"/>
    <w:rsid w:val="007C1BC0"/>
    <w:rsid w:val="007C3390"/>
    <w:rsid w:val="007C42D8"/>
    <w:rsid w:val="007C4F4B"/>
    <w:rsid w:val="007C7134"/>
    <w:rsid w:val="007D13B0"/>
    <w:rsid w:val="007D4E0E"/>
    <w:rsid w:val="007D6D89"/>
    <w:rsid w:val="007D7362"/>
    <w:rsid w:val="007D7C31"/>
    <w:rsid w:val="007E1ECD"/>
    <w:rsid w:val="007E56E7"/>
    <w:rsid w:val="007E58B4"/>
    <w:rsid w:val="007E59C1"/>
    <w:rsid w:val="007F25A7"/>
    <w:rsid w:val="007F54A8"/>
    <w:rsid w:val="007F5CE2"/>
    <w:rsid w:val="007F6611"/>
    <w:rsid w:val="007F6C5B"/>
    <w:rsid w:val="00800135"/>
    <w:rsid w:val="00803061"/>
    <w:rsid w:val="00803DDA"/>
    <w:rsid w:val="0080707A"/>
    <w:rsid w:val="00807925"/>
    <w:rsid w:val="00807AC4"/>
    <w:rsid w:val="00810BAC"/>
    <w:rsid w:val="00811150"/>
    <w:rsid w:val="008120F7"/>
    <w:rsid w:val="0081268F"/>
    <w:rsid w:val="00812873"/>
    <w:rsid w:val="00812A67"/>
    <w:rsid w:val="008137D7"/>
    <w:rsid w:val="008153E2"/>
    <w:rsid w:val="00815AA6"/>
    <w:rsid w:val="008171D1"/>
    <w:rsid w:val="008175E9"/>
    <w:rsid w:val="00823EC8"/>
    <w:rsid w:val="00824165"/>
    <w:rsid w:val="008242D7"/>
    <w:rsid w:val="0082577B"/>
    <w:rsid w:val="00830E2E"/>
    <w:rsid w:val="00831094"/>
    <w:rsid w:val="00834258"/>
    <w:rsid w:val="008344C8"/>
    <w:rsid w:val="0083536A"/>
    <w:rsid w:val="0083783E"/>
    <w:rsid w:val="008405E0"/>
    <w:rsid w:val="0084408F"/>
    <w:rsid w:val="008451FE"/>
    <w:rsid w:val="0085036B"/>
    <w:rsid w:val="00853AB8"/>
    <w:rsid w:val="00853C0F"/>
    <w:rsid w:val="00855F1D"/>
    <w:rsid w:val="00855FE1"/>
    <w:rsid w:val="0085639E"/>
    <w:rsid w:val="00856E86"/>
    <w:rsid w:val="0085753E"/>
    <w:rsid w:val="00857753"/>
    <w:rsid w:val="008633FA"/>
    <w:rsid w:val="00864874"/>
    <w:rsid w:val="0086592A"/>
    <w:rsid w:val="00866893"/>
    <w:rsid w:val="00866F02"/>
    <w:rsid w:val="00867D18"/>
    <w:rsid w:val="00871E04"/>
    <w:rsid w:val="00871F9A"/>
    <w:rsid w:val="00871FD5"/>
    <w:rsid w:val="0087792C"/>
    <w:rsid w:val="00880948"/>
    <w:rsid w:val="00880F98"/>
    <w:rsid w:val="0088123C"/>
    <w:rsid w:val="0088172E"/>
    <w:rsid w:val="00881EAA"/>
    <w:rsid w:val="00881EFA"/>
    <w:rsid w:val="00882601"/>
    <w:rsid w:val="00885C77"/>
    <w:rsid w:val="0088639A"/>
    <w:rsid w:val="00886B27"/>
    <w:rsid w:val="008879CB"/>
    <w:rsid w:val="00893207"/>
    <w:rsid w:val="00893AF8"/>
    <w:rsid w:val="00895AC3"/>
    <w:rsid w:val="008979B1"/>
    <w:rsid w:val="008A513F"/>
    <w:rsid w:val="008A6B25"/>
    <w:rsid w:val="008A6C4F"/>
    <w:rsid w:val="008B1AEA"/>
    <w:rsid w:val="008B3876"/>
    <w:rsid w:val="008B389E"/>
    <w:rsid w:val="008B4005"/>
    <w:rsid w:val="008B4019"/>
    <w:rsid w:val="008B603F"/>
    <w:rsid w:val="008C100D"/>
    <w:rsid w:val="008C1DED"/>
    <w:rsid w:val="008C2506"/>
    <w:rsid w:val="008C4D69"/>
    <w:rsid w:val="008C5BA0"/>
    <w:rsid w:val="008C66FE"/>
    <w:rsid w:val="008D0135"/>
    <w:rsid w:val="008D045E"/>
    <w:rsid w:val="008D3F25"/>
    <w:rsid w:val="008D451D"/>
    <w:rsid w:val="008D4D82"/>
    <w:rsid w:val="008D5EF0"/>
    <w:rsid w:val="008D6E9C"/>
    <w:rsid w:val="008E0E46"/>
    <w:rsid w:val="008E7116"/>
    <w:rsid w:val="008E7AFF"/>
    <w:rsid w:val="008F143B"/>
    <w:rsid w:val="008F3882"/>
    <w:rsid w:val="008F4B7C"/>
    <w:rsid w:val="00906323"/>
    <w:rsid w:val="0090637C"/>
    <w:rsid w:val="00907CD5"/>
    <w:rsid w:val="009130BD"/>
    <w:rsid w:val="00913C16"/>
    <w:rsid w:val="009153BE"/>
    <w:rsid w:val="00921B11"/>
    <w:rsid w:val="00921E67"/>
    <w:rsid w:val="00924169"/>
    <w:rsid w:val="00926E47"/>
    <w:rsid w:val="0093125C"/>
    <w:rsid w:val="00932087"/>
    <w:rsid w:val="00933AFA"/>
    <w:rsid w:val="00934C66"/>
    <w:rsid w:val="009366A9"/>
    <w:rsid w:val="00940E42"/>
    <w:rsid w:val="00946712"/>
    <w:rsid w:val="00947162"/>
    <w:rsid w:val="009471A0"/>
    <w:rsid w:val="00950346"/>
    <w:rsid w:val="00956565"/>
    <w:rsid w:val="00956F26"/>
    <w:rsid w:val="00960905"/>
    <w:rsid w:val="009610D0"/>
    <w:rsid w:val="00961752"/>
    <w:rsid w:val="0096375C"/>
    <w:rsid w:val="00963B25"/>
    <w:rsid w:val="009649E4"/>
    <w:rsid w:val="00965E8F"/>
    <w:rsid w:val="009662E6"/>
    <w:rsid w:val="00970562"/>
    <w:rsid w:val="0097095E"/>
    <w:rsid w:val="0097697F"/>
    <w:rsid w:val="009772C4"/>
    <w:rsid w:val="0098132B"/>
    <w:rsid w:val="00982676"/>
    <w:rsid w:val="0098353E"/>
    <w:rsid w:val="009835E5"/>
    <w:rsid w:val="00984F93"/>
    <w:rsid w:val="0098592B"/>
    <w:rsid w:val="00985FC4"/>
    <w:rsid w:val="00986298"/>
    <w:rsid w:val="00990766"/>
    <w:rsid w:val="00991006"/>
    <w:rsid w:val="00991198"/>
    <w:rsid w:val="00991261"/>
    <w:rsid w:val="009935D3"/>
    <w:rsid w:val="009942BE"/>
    <w:rsid w:val="0099508E"/>
    <w:rsid w:val="009964C4"/>
    <w:rsid w:val="00997D4F"/>
    <w:rsid w:val="009A08B0"/>
    <w:rsid w:val="009A0EEC"/>
    <w:rsid w:val="009A5AFA"/>
    <w:rsid w:val="009A7B81"/>
    <w:rsid w:val="009B17C9"/>
    <w:rsid w:val="009B6683"/>
    <w:rsid w:val="009C0667"/>
    <w:rsid w:val="009C0AB5"/>
    <w:rsid w:val="009C141D"/>
    <w:rsid w:val="009C47F6"/>
    <w:rsid w:val="009C4917"/>
    <w:rsid w:val="009C5903"/>
    <w:rsid w:val="009C59DD"/>
    <w:rsid w:val="009D01C0"/>
    <w:rsid w:val="009D2981"/>
    <w:rsid w:val="009D4463"/>
    <w:rsid w:val="009D51FB"/>
    <w:rsid w:val="009D5933"/>
    <w:rsid w:val="009D6A08"/>
    <w:rsid w:val="009E0A16"/>
    <w:rsid w:val="009E0EAD"/>
    <w:rsid w:val="009E5900"/>
    <w:rsid w:val="009E6455"/>
    <w:rsid w:val="009E6CB7"/>
    <w:rsid w:val="009E7970"/>
    <w:rsid w:val="009F171C"/>
    <w:rsid w:val="009F18E6"/>
    <w:rsid w:val="009F2EAC"/>
    <w:rsid w:val="009F39C4"/>
    <w:rsid w:val="009F57E3"/>
    <w:rsid w:val="009F68F2"/>
    <w:rsid w:val="00A02526"/>
    <w:rsid w:val="00A02577"/>
    <w:rsid w:val="00A02B40"/>
    <w:rsid w:val="00A03EEC"/>
    <w:rsid w:val="00A05614"/>
    <w:rsid w:val="00A06A31"/>
    <w:rsid w:val="00A10F4F"/>
    <w:rsid w:val="00A11067"/>
    <w:rsid w:val="00A1574B"/>
    <w:rsid w:val="00A15D88"/>
    <w:rsid w:val="00A1704A"/>
    <w:rsid w:val="00A17307"/>
    <w:rsid w:val="00A217AD"/>
    <w:rsid w:val="00A21EEE"/>
    <w:rsid w:val="00A228A9"/>
    <w:rsid w:val="00A22B52"/>
    <w:rsid w:val="00A25147"/>
    <w:rsid w:val="00A26472"/>
    <w:rsid w:val="00A30029"/>
    <w:rsid w:val="00A30293"/>
    <w:rsid w:val="00A30F55"/>
    <w:rsid w:val="00A35C0F"/>
    <w:rsid w:val="00A376FC"/>
    <w:rsid w:val="00A41729"/>
    <w:rsid w:val="00A42116"/>
    <w:rsid w:val="00A425EB"/>
    <w:rsid w:val="00A426DD"/>
    <w:rsid w:val="00A42ABF"/>
    <w:rsid w:val="00A46457"/>
    <w:rsid w:val="00A46547"/>
    <w:rsid w:val="00A47DA9"/>
    <w:rsid w:val="00A506DA"/>
    <w:rsid w:val="00A55FE1"/>
    <w:rsid w:val="00A6047A"/>
    <w:rsid w:val="00A606F9"/>
    <w:rsid w:val="00A625D1"/>
    <w:rsid w:val="00A64D70"/>
    <w:rsid w:val="00A660D7"/>
    <w:rsid w:val="00A66D43"/>
    <w:rsid w:val="00A709A9"/>
    <w:rsid w:val="00A722C3"/>
    <w:rsid w:val="00A72F22"/>
    <w:rsid w:val="00A733BC"/>
    <w:rsid w:val="00A7380B"/>
    <w:rsid w:val="00A74200"/>
    <w:rsid w:val="00A748A6"/>
    <w:rsid w:val="00A75138"/>
    <w:rsid w:val="00A762DD"/>
    <w:rsid w:val="00A76A69"/>
    <w:rsid w:val="00A82DEF"/>
    <w:rsid w:val="00A82ED0"/>
    <w:rsid w:val="00A83447"/>
    <w:rsid w:val="00A85C20"/>
    <w:rsid w:val="00A87362"/>
    <w:rsid w:val="00A879A4"/>
    <w:rsid w:val="00A93AA3"/>
    <w:rsid w:val="00A94F80"/>
    <w:rsid w:val="00A973C6"/>
    <w:rsid w:val="00AA0FF8"/>
    <w:rsid w:val="00AA7277"/>
    <w:rsid w:val="00AB0917"/>
    <w:rsid w:val="00AC0F2C"/>
    <w:rsid w:val="00AC3446"/>
    <w:rsid w:val="00AC40CF"/>
    <w:rsid w:val="00AC502A"/>
    <w:rsid w:val="00AC5188"/>
    <w:rsid w:val="00AC61EC"/>
    <w:rsid w:val="00AD44AA"/>
    <w:rsid w:val="00AD4C96"/>
    <w:rsid w:val="00AD6F03"/>
    <w:rsid w:val="00AD7F24"/>
    <w:rsid w:val="00AE1F66"/>
    <w:rsid w:val="00AE4311"/>
    <w:rsid w:val="00AE484E"/>
    <w:rsid w:val="00AE7A35"/>
    <w:rsid w:val="00AF2C78"/>
    <w:rsid w:val="00AF4603"/>
    <w:rsid w:val="00AF4E90"/>
    <w:rsid w:val="00AF58C1"/>
    <w:rsid w:val="00AF69F2"/>
    <w:rsid w:val="00B00EFA"/>
    <w:rsid w:val="00B022BC"/>
    <w:rsid w:val="00B04911"/>
    <w:rsid w:val="00B04A3F"/>
    <w:rsid w:val="00B050F1"/>
    <w:rsid w:val="00B052BB"/>
    <w:rsid w:val="00B06643"/>
    <w:rsid w:val="00B115DE"/>
    <w:rsid w:val="00B12491"/>
    <w:rsid w:val="00B12AA6"/>
    <w:rsid w:val="00B15055"/>
    <w:rsid w:val="00B1521A"/>
    <w:rsid w:val="00B233A2"/>
    <w:rsid w:val="00B30179"/>
    <w:rsid w:val="00B301D7"/>
    <w:rsid w:val="00B30A2F"/>
    <w:rsid w:val="00B30F3B"/>
    <w:rsid w:val="00B320DB"/>
    <w:rsid w:val="00B34698"/>
    <w:rsid w:val="00B34741"/>
    <w:rsid w:val="00B36921"/>
    <w:rsid w:val="00B37B15"/>
    <w:rsid w:val="00B431A6"/>
    <w:rsid w:val="00B45C02"/>
    <w:rsid w:val="00B47F95"/>
    <w:rsid w:val="00B50C45"/>
    <w:rsid w:val="00B51148"/>
    <w:rsid w:val="00B52F5F"/>
    <w:rsid w:val="00B53DB9"/>
    <w:rsid w:val="00B541AD"/>
    <w:rsid w:val="00B54F8B"/>
    <w:rsid w:val="00B550AE"/>
    <w:rsid w:val="00B553C3"/>
    <w:rsid w:val="00B5559E"/>
    <w:rsid w:val="00B61984"/>
    <w:rsid w:val="00B63208"/>
    <w:rsid w:val="00B63839"/>
    <w:rsid w:val="00B649B0"/>
    <w:rsid w:val="00B66FA7"/>
    <w:rsid w:val="00B67C46"/>
    <w:rsid w:val="00B71C0D"/>
    <w:rsid w:val="00B72A1E"/>
    <w:rsid w:val="00B73ED1"/>
    <w:rsid w:val="00B75EE5"/>
    <w:rsid w:val="00B800DF"/>
    <w:rsid w:val="00B8103B"/>
    <w:rsid w:val="00B81E12"/>
    <w:rsid w:val="00B83DF7"/>
    <w:rsid w:val="00B85741"/>
    <w:rsid w:val="00B8678C"/>
    <w:rsid w:val="00B918CC"/>
    <w:rsid w:val="00B940C1"/>
    <w:rsid w:val="00BA200B"/>
    <w:rsid w:val="00BA339B"/>
    <w:rsid w:val="00BA5072"/>
    <w:rsid w:val="00BA7819"/>
    <w:rsid w:val="00BB1736"/>
    <w:rsid w:val="00BB3F83"/>
    <w:rsid w:val="00BB7E46"/>
    <w:rsid w:val="00BC1E7E"/>
    <w:rsid w:val="00BC3BBA"/>
    <w:rsid w:val="00BC433D"/>
    <w:rsid w:val="00BC74E9"/>
    <w:rsid w:val="00BC7EFB"/>
    <w:rsid w:val="00BD0DD2"/>
    <w:rsid w:val="00BD282E"/>
    <w:rsid w:val="00BD2C50"/>
    <w:rsid w:val="00BD4963"/>
    <w:rsid w:val="00BD4FA8"/>
    <w:rsid w:val="00BD6512"/>
    <w:rsid w:val="00BD736B"/>
    <w:rsid w:val="00BD786F"/>
    <w:rsid w:val="00BE0D6E"/>
    <w:rsid w:val="00BE36A9"/>
    <w:rsid w:val="00BE3F4E"/>
    <w:rsid w:val="00BE5AC4"/>
    <w:rsid w:val="00BE618E"/>
    <w:rsid w:val="00BE7BEC"/>
    <w:rsid w:val="00BF0131"/>
    <w:rsid w:val="00BF0A5A"/>
    <w:rsid w:val="00BF0E63"/>
    <w:rsid w:val="00BF12A3"/>
    <w:rsid w:val="00BF16D7"/>
    <w:rsid w:val="00BF2373"/>
    <w:rsid w:val="00BF2FF9"/>
    <w:rsid w:val="00BF35B3"/>
    <w:rsid w:val="00BF5133"/>
    <w:rsid w:val="00BF69CD"/>
    <w:rsid w:val="00C044E2"/>
    <w:rsid w:val="00C048CB"/>
    <w:rsid w:val="00C05F78"/>
    <w:rsid w:val="00C066F3"/>
    <w:rsid w:val="00C07248"/>
    <w:rsid w:val="00C07690"/>
    <w:rsid w:val="00C07821"/>
    <w:rsid w:val="00C10361"/>
    <w:rsid w:val="00C11E80"/>
    <w:rsid w:val="00C11F90"/>
    <w:rsid w:val="00C1259D"/>
    <w:rsid w:val="00C1398E"/>
    <w:rsid w:val="00C2169E"/>
    <w:rsid w:val="00C236F8"/>
    <w:rsid w:val="00C25258"/>
    <w:rsid w:val="00C25BB8"/>
    <w:rsid w:val="00C25FFF"/>
    <w:rsid w:val="00C275B3"/>
    <w:rsid w:val="00C27622"/>
    <w:rsid w:val="00C331FE"/>
    <w:rsid w:val="00C33249"/>
    <w:rsid w:val="00C3350C"/>
    <w:rsid w:val="00C3570E"/>
    <w:rsid w:val="00C35F0E"/>
    <w:rsid w:val="00C40BDF"/>
    <w:rsid w:val="00C412F0"/>
    <w:rsid w:val="00C42086"/>
    <w:rsid w:val="00C446FB"/>
    <w:rsid w:val="00C44782"/>
    <w:rsid w:val="00C44AC1"/>
    <w:rsid w:val="00C4599E"/>
    <w:rsid w:val="00C463DD"/>
    <w:rsid w:val="00C47AE0"/>
    <w:rsid w:val="00C47C87"/>
    <w:rsid w:val="00C51E53"/>
    <w:rsid w:val="00C57669"/>
    <w:rsid w:val="00C633C6"/>
    <w:rsid w:val="00C6594B"/>
    <w:rsid w:val="00C65EE5"/>
    <w:rsid w:val="00C6701E"/>
    <w:rsid w:val="00C700BB"/>
    <w:rsid w:val="00C745C3"/>
    <w:rsid w:val="00C76BD8"/>
    <w:rsid w:val="00C77C93"/>
    <w:rsid w:val="00C805B4"/>
    <w:rsid w:val="00C83D12"/>
    <w:rsid w:val="00C84321"/>
    <w:rsid w:val="00C85038"/>
    <w:rsid w:val="00C90CFC"/>
    <w:rsid w:val="00C917F7"/>
    <w:rsid w:val="00C92926"/>
    <w:rsid w:val="00C93611"/>
    <w:rsid w:val="00C941AC"/>
    <w:rsid w:val="00C95A87"/>
    <w:rsid w:val="00CA0F3D"/>
    <w:rsid w:val="00CA24A4"/>
    <w:rsid w:val="00CA4AC9"/>
    <w:rsid w:val="00CA5A8A"/>
    <w:rsid w:val="00CA653F"/>
    <w:rsid w:val="00CB348D"/>
    <w:rsid w:val="00CB476F"/>
    <w:rsid w:val="00CD16F7"/>
    <w:rsid w:val="00CD1DF5"/>
    <w:rsid w:val="00CD3F48"/>
    <w:rsid w:val="00CD46F5"/>
    <w:rsid w:val="00CD6F1A"/>
    <w:rsid w:val="00CD7934"/>
    <w:rsid w:val="00CE0DFE"/>
    <w:rsid w:val="00CE1C03"/>
    <w:rsid w:val="00CE1DF9"/>
    <w:rsid w:val="00CE228B"/>
    <w:rsid w:val="00CE4A8F"/>
    <w:rsid w:val="00CE5F38"/>
    <w:rsid w:val="00CE7437"/>
    <w:rsid w:val="00CF071D"/>
    <w:rsid w:val="00CF0F86"/>
    <w:rsid w:val="00CF122E"/>
    <w:rsid w:val="00CF1925"/>
    <w:rsid w:val="00CF5329"/>
    <w:rsid w:val="00CF5B37"/>
    <w:rsid w:val="00D0509A"/>
    <w:rsid w:val="00D054D6"/>
    <w:rsid w:val="00D0702F"/>
    <w:rsid w:val="00D12AF7"/>
    <w:rsid w:val="00D15B04"/>
    <w:rsid w:val="00D16BE0"/>
    <w:rsid w:val="00D17140"/>
    <w:rsid w:val="00D173E5"/>
    <w:rsid w:val="00D2031B"/>
    <w:rsid w:val="00D24421"/>
    <w:rsid w:val="00D25FE2"/>
    <w:rsid w:val="00D27145"/>
    <w:rsid w:val="00D27512"/>
    <w:rsid w:val="00D30D48"/>
    <w:rsid w:val="00D30F5C"/>
    <w:rsid w:val="00D31736"/>
    <w:rsid w:val="00D322C3"/>
    <w:rsid w:val="00D344A7"/>
    <w:rsid w:val="00D36B17"/>
    <w:rsid w:val="00D378B2"/>
    <w:rsid w:val="00D37DA9"/>
    <w:rsid w:val="00D406A7"/>
    <w:rsid w:val="00D41440"/>
    <w:rsid w:val="00D429B8"/>
    <w:rsid w:val="00D43252"/>
    <w:rsid w:val="00D44985"/>
    <w:rsid w:val="00D44D86"/>
    <w:rsid w:val="00D50B7D"/>
    <w:rsid w:val="00D51C2B"/>
    <w:rsid w:val="00D51F12"/>
    <w:rsid w:val="00D52012"/>
    <w:rsid w:val="00D525C7"/>
    <w:rsid w:val="00D55950"/>
    <w:rsid w:val="00D57B24"/>
    <w:rsid w:val="00D57FD8"/>
    <w:rsid w:val="00D60A37"/>
    <w:rsid w:val="00D615C0"/>
    <w:rsid w:val="00D6274C"/>
    <w:rsid w:val="00D64CFF"/>
    <w:rsid w:val="00D65B4C"/>
    <w:rsid w:val="00D65E1D"/>
    <w:rsid w:val="00D701E7"/>
    <w:rsid w:val="00D704E5"/>
    <w:rsid w:val="00D706C1"/>
    <w:rsid w:val="00D70E45"/>
    <w:rsid w:val="00D72727"/>
    <w:rsid w:val="00D75500"/>
    <w:rsid w:val="00D81F95"/>
    <w:rsid w:val="00D820ED"/>
    <w:rsid w:val="00D82786"/>
    <w:rsid w:val="00D842C8"/>
    <w:rsid w:val="00D85D0B"/>
    <w:rsid w:val="00D86BD3"/>
    <w:rsid w:val="00D921E0"/>
    <w:rsid w:val="00D929AC"/>
    <w:rsid w:val="00D92DC5"/>
    <w:rsid w:val="00D9552C"/>
    <w:rsid w:val="00D95F7D"/>
    <w:rsid w:val="00D971FB"/>
    <w:rsid w:val="00D9763A"/>
    <w:rsid w:val="00D9779A"/>
    <w:rsid w:val="00D978C6"/>
    <w:rsid w:val="00DA0126"/>
    <w:rsid w:val="00DA0956"/>
    <w:rsid w:val="00DA240A"/>
    <w:rsid w:val="00DA2F51"/>
    <w:rsid w:val="00DA3282"/>
    <w:rsid w:val="00DA357F"/>
    <w:rsid w:val="00DA3E12"/>
    <w:rsid w:val="00DA40E9"/>
    <w:rsid w:val="00DA4247"/>
    <w:rsid w:val="00DA47C7"/>
    <w:rsid w:val="00DA52A8"/>
    <w:rsid w:val="00DA53CD"/>
    <w:rsid w:val="00DB06B3"/>
    <w:rsid w:val="00DB229B"/>
    <w:rsid w:val="00DB2FB0"/>
    <w:rsid w:val="00DC0D50"/>
    <w:rsid w:val="00DC18AD"/>
    <w:rsid w:val="00DC38E8"/>
    <w:rsid w:val="00DC40CE"/>
    <w:rsid w:val="00DC7908"/>
    <w:rsid w:val="00DC7EDE"/>
    <w:rsid w:val="00DD77BE"/>
    <w:rsid w:val="00DE16C9"/>
    <w:rsid w:val="00DE1C5B"/>
    <w:rsid w:val="00DE4198"/>
    <w:rsid w:val="00DE7851"/>
    <w:rsid w:val="00DF73CC"/>
    <w:rsid w:val="00DF7CAE"/>
    <w:rsid w:val="00E03DBE"/>
    <w:rsid w:val="00E03E36"/>
    <w:rsid w:val="00E04976"/>
    <w:rsid w:val="00E10AA7"/>
    <w:rsid w:val="00E11FB5"/>
    <w:rsid w:val="00E12E2E"/>
    <w:rsid w:val="00E138AC"/>
    <w:rsid w:val="00E154B6"/>
    <w:rsid w:val="00E170D1"/>
    <w:rsid w:val="00E21D89"/>
    <w:rsid w:val="00E26390"/>
    <w:rsid w:val="00E35A77"/>
    <w:rsid w:val="00E36991"/>
    <w:rsid w:val="00E37148"/>
    <w:rsid w:val="00E4002B"/>
    <w:rsid w:val="00E403A1"/>
    <w:rsid w:val="00E40873"/>
    <w:rsid w:val="00E4145F"/>
    <w:rsid w:val="00E423C0"/>
    <w:rsid w:val="00E43ED3"/>
    <w:rsid w:val="00E50FED"/>
    <w:rsid w:val="00E512AD"/>
    <w:rsid w:val="00E51A01"/>
    <w:rsid w:val="00E5655C"/>
    <w:rsid w:val="00E56618"/>
    <w:rsid w:val="00E574B7"/>
    <w:rsid w:val="00E61DC1"/>
    <w:rsid w:val="00E62BFB"/>
    <w:rsid w:val="00E6414C"/>
    <w:rsid w:val="00E64975"/>
    <w:rsid w:val="00E7206D"/>
    <w:rsid w:val="00E7260F"/>
    <w:rsid w:val="00E748C1"/>
    <w:rsid w:val="00E75B26"/>
    <w:rsid w:val="00E77167"/>
    <w:rsid w:val="00E77AF8"/>
    <w:rsid w:val="00E80C72"/>
    <w:rsid w:val="00E814DD"/>
    <w:rsid w:val="00E82E55"/>
    <w:rsid w:val="00E84060"/>
    <w:rsid w:val="00E85342"/>
    <w:rsid w:val="00E85A18"/>
    <w:rsid w:val="00E85FAF"/>
    <w:rsid w:val="00E8702D"/>
    <w:rsid w:val="00E916A9"/>
    <w:rsid w:val="00E916DE"/>
    <w:rsid w:val="00E91D98"/>
    <w:rsid w:val="00E91E00"/>
    <w:rsid w:val="00E925AD"/>
    <w:rsid w:val="00E92C0C"/>
    <w:rsid w:val="00E94BAD"/>
    <w:rsid w:val="00E95532"/>
    <w:rsid w:val="00E96630"/>
    <w:rsid w:val="00EA15BB"/>
    <w:rsid w:val="00EA278E"/>
    <w:rsid w:val="00EB44B7"/>
    <w:rsid w:val="00EB5483"/>
    <w:rsid w:val="00EB6A54"/>
    <w:rsid w:val="00EB708D"/>
    <w:rsid w:val="00EB70DC"/>
    <w:rsid w:val="00EC0356"/>
    <w:rsid w:val="00EC04EE"/>
    <w:rsid w:val="00ED05AC"/>
    <w:rsid w:val="00ED18DC"/>
    <w:rsid w:val="00ED2E2E"/>
    <w:rsid w:val="00ED6201"/>
    <w:rsid w:val="00ED7A2A"/>
    <w:rsid w:val="00ED7BB7"/>
    <w:rsid w:val="00EE16B7"/>
    <w:rsid w:val="00EE5CCD"/>
    <w:rsid w:val="00EE691E"/>
    <w:rsid w:val="00EE7324"/>
    <w:rsid w:val="00EF1D7F"/>
    <w:rsid w:val="00EF27C2"/>
    <w:rsid w:val="00EF50BF"/>
    <w:rsid w:val="00EF75C9"/>
    <w:rsid w:val="00F0137E"/>
    <w:rsid w:val="00F0210A"/>
    <w:rsid w:val="00F04826"/>
    <w:rsid w:val="00F07FCE"/>
    <w:rsid w:val="00F11DD9"/>
    <w:rsid w:val="00F12114"/>
    <w:rsid w:val="00F12296"/>
    <w:rsid w:val="00F13088"/>
    <w:rsid w:val="00F1551C"/>
    <w:rsid w:val="00F1624B"/>
    <w:rsid w:val="00F21786"/>
    <w:rsid w:val="00F22CBA"/>
    <w:rsid w:val="00F239C2"/>
    <w:rsid w:val="00F24CB0"/>
    <w:rsid w:val="00F35B8C"/>
    <w:rsid w:val="00F3742B"/>
    <w:rsid w:val="00F41FDB"/>
    <w:rsid w:val="00F42EE7"/>
    <w:rsid w:val="00F4351A"/>
    <w:rsid w:val="00F44C3C"/>
    <w:rsid w:val="00F45FD6"/>
    <w:rsid w:val="00F47B51"/>
    <w:rsid w:val="00F47DEF"/>
    <w:rsid w:val="00F507EC"/>
    <w:rsid w:val="00F50BC6"/>
    <w:rsid w:val="00F54ABD"/>
    <w:rsid w:val="00F5589E"/>
    <w:rsid w:val="00F56D63"/>
    <w:rsid w:val="00F609A9"/>
    <w:rsid w:val="00F61203"/>
    <w:rsid w:val="00F6121E"/>
    <w:rsid w:val="00F61D90"/>
    <w:rsid w:val="00F646A8"/>
    <w:rsid w:val="00F6710A"/>
    <w:rsid w:val="00F72743"/>
    <w:rsid w:val="00F76112"/>
    <w:rsid w:val="00F7756F"/>
    <w:rsid w:val="00F80C99"/>
    <w:rsid w:val="00F82F4B"/>
    <w:rsid w:val="00F867EC"/>
    <w:rsid w:val="00F86B5F"/>
    <w:rsid w:val="00F90858"/>
    <w:rsid w:val="00F91B2B"/>
    <w:rsid w:val="00F941E8"/>
    <w:rsid w:val="00F96646"/>
    <w:rsid w:val="00F96EB8"/>
    <w:rsid w:val="00FA0A3C"/>
    <w:rsid w:val="00FA327C"/>
    <w:rsid w:val="00FA32A0"/>
    <w:rsid w:val="00FB1A2D"/>
    <w:rsid w:val="00FB49AB"/>
    <w:rsid w:val="00FB6502"/>
    <w:rsid w:val="00FC03CD"/>
    <w:rsid w:val="00FC0646"/>
    <w:rsid w:val="00FC370A"/>
    <w:rsid w:val="00FC448B"/>
    <w:rsid w:val="00FC4B75"/>
    <w:rsid w:val="00FC575A"/>
    <w:rsid w:val="00FC68B7"/>
    <w:rsid w:val="00FC6BF5"/>
    <w:rsid w:val="00FC746A"/>
    <w:rsid w:val="00FD17FD"/>
    <w:rsid w:val="00FD2B21"/>
    <w:rsid w:val="00FD3BE6"/>
    <w:rsid w:val="00FD3C08"/>
    <w:rsid w:val="00FD4FFF"/>
    <w:rsid w:val="00FD690A"/>
    <w:rsid w:val="00FD72DB"/>
    <w:rsid w:val="00FE01FA"/>
    <w:rsid w:val="00FE1578"/>
    <w:rsid w:val="00FE1BB7"/>
    <w:rsid w:val="00FE1C6A"/>
    <w:rsid w:val="00FE1CA7"/>
    <w:rsid w:val="00FE2CC0"/>
    <w:rsid w:val="00FE3438"/>
    <w:rsid w:val="00FE42DE"/>
    <w:rsid w:val="00FE6985"/>
    <w:rsid w:val="00FE6A94"/>
    <w:rsid w:val="00FE7CE7"/>
    <w:rsid w:val="00FF4002"/>
    <w:rsid w:val="00FF4B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0D6B6"/>
  <w15:docId w15:val="{BF10BCF0-5CF0-4EC7-8024-66F4F896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semiHidden/>
    <w:rsid w:val="00C90CFC"/>
    <w:rPr>
      <w:sz w:val="16"/>
      <w:szCs w:val="16"/>
    </w:rPr>
  </w:style>
  <w:style w:type="paragraph" w:styleId="CommentText">
    <w:name w:val="annotation text"/>
    <w:basedOn w:val="Normal"/>
    <w:link w:val="CommentTextChar"/>
    <w:semiHidden/>
    <w:rsid w:val="00C90CFC"/>
  </w:style>
  <w:style w:type="paragraph" w:styleId="CommentSubject">
    <w:name w:val="annotation subject"/>
    <w:basedOn w:val="CommentText"/>
    <w:next w:val="CommentText"/>
    <w:semiHidden/>
    <w:rsid w:val="00C90CFC"/>
    <w:rPr>
      <w:b/>
      <w:bCs/>
    </w:rPr>
  </w:style>
  <w:style w:type="paragraph" w:styleId="BalloonText">
    <w:name w:val="Balloon Text"/>
    <w:basedOn w:val="Normal"/>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A35C0F"/>
    <w:rPr>
      <w:rFonts w:cs="Times New Roman"/>
      <w:color w:val="auto"/>
    </w:rPr>
  </w:style>
  <w:style w:type="character" w:customStyle="1" w:styleId="FootnoteTextChar">
    <w:name w:val="Footnote Text Char"/>
    <w:aliases w:val="5_G Char"/>
    <w:link w:val="FootnoteText"/>
    <w:rsid w:val="002431F1"/>
    <w:rPr>
      <w:sz w:val="18"/>
      <w:lang w:val="en-GB" w:eastAsia="en-US" w:bidi="ar-SA"/>
    </w:rPr>
  </w:style>
  <w:style w:type="character" w:styleId="Strong">
    <w:name w:val="Strong"/>
    <w:uiPriority w:val="22"/>
    <w:qFormat/>
    <w:rsid w:val="00010481"/>
    <w:rPr>
      <w:b/>
      <w:bCs/>
    </w:rPr>
  </w:style>
  <w:style w:type="character" w:styleId="Emphasis">
    <w:name w:val="Emphasis"/>
    <w:qFormat/>
    <w:rsid w:val="00010481"/>
    <w:rPr>
      <w:i/>
      <w:iCs/>
    </w:rPr>
  </w:style>
  <w:style w:type="paragraph" w:styleId="NormalWeb">
    <w:name w:val="Normal (Web)"/>
    <w:basedOn w:val="Normal"/>
    <w:rsid w:val="00B85741"/>
    <w:pPr>
      <w:suppressAutoHyphens w:val="0"/>
      <w:spacing w:before="100" w:beforeAutospacing="1" w:after="100" w:afterAutospacing="1" w:line="240" w:lineRule="auto"/>
    </w:pPr>
    <w:rPr>
      <w:sz w:val="24"/>
      <w:szCs w:val="24"/>
      <w:lang w:val="en-US"/>
    </w:rPr>
  </w:style>
  <w:style w:type="paragraph" w:customStyle="1" w:styleId="astandardp10">
    <w:name w:val="a_standard_p10"/>
    <w:basedOn w:val="Normal"/>
    <w:rsid w:val="00FE01FA"/>
    <w:pPr>
      <w:suppressAutoHyphens w:val="0"/>
      <w:spacing w:before="100" w:beforeAutospacing="1" w:after="100" w:afterAutospacing="1" w:line="240" w:lineRule="auto"/>
    </w:pPr>
    <w:rPr>
      <w:sz w:val="24"/>
      <w:szCs w:val="24"/>
      <w:lang w:val="en-US"/>
    </w:rPr>
  </w:style>
  <w:style w:type="character" w:customStyle="1" w:styleId="at5">
    <w:name w:val="a__t5"/>
    <w:basedOn w:val="DefaultParagraphFont"/>
    <w:rsid w:val="00FE01FA"/>
  </w:style>
  <w:style w:type="character" w:customStyle="1" w:styleId="FooterChar">
    <w:name w:val="Footer Char"/>
    <w:aliases w:val="3_G Char"/>
    <w:link w:val="Footer"/>
    <w:uiPriority w:val="99"/>
    <w:rsid w:val="002D0246"/>
    <w:rPr>
      <w:sz w:val="16"/>
      <w:lang w:eastAsia="en-US"/>
    </w:rPr>
  </w:style>
  <w:style w:type="character" w:customStyle="1" w:styleId="SingleTxtGChar">
    <w:name w:val="_ Single Txt_G Char"/>
    <w:link w:val="SingleTxtG"/>
    <w:locked/>
    <w:rsid w:val="00E574B7"/>
    <w:rPr>
      <w:lang w:eastAsia="en-US"/>
    </w:rPr>
  </w:style>
  <w:style w:type="character" w:customStyle="1" w:styleId="UnresolvedMention1">
    <w:name w:val="Unresolved Mention1"/>
    <w:uiPriority w:val="99"/>
    <w:semiHidden/>
    <w:unhideWhenUsed/>
    <w:rsid w:val="00C07821"/>
    <w:rPr>
      <w:color w:val="808080"/>
      <w:shd w:val="clear" w:color="auto" w:fill="E6E6E6"/>
    </w:rPr>
  </w:style>
  <w:style w:type="character" w:customStyle="1" w:styleId="st">
    <w:name w:val="st"/>
    <w:rsid w:val="003E4E76"/>
  </w:style>
  <w:style w:type="character" w:customStyle="1" w:styleId="Heading1Char">
    <w:name w:val="Heading 1 Char"/>
    <w:aliases w:val="Table_G Char"/>
    <w:link w:val="Heading1"/>
    <w:rsid w:val="00C700BB"/>
    <w:rPr>
      <w:lang w:eastAsia="en-US"/>
    </w:rPr>
  </w:style>
  <w:style w:type="character" w:customStyle="1" w:styleId="EndnoteTextChar">
    <w:name w:val="Endnote Text Char"/>
    <w:aliases w:val="2_G Char"/>
    <w:link w:val="EndnoteText"/>
    <w:rsid w:val="003324E1"/>
    <w:rPr>
      <w:sz w:val="18"/>
      <w:lang w:eastAsia="en-US"/>
    </w:rPr>
  </w:style>
  <w:style w:type="paragraph" w:styleId="ListParagraph">
    <w:name w:val="List Paragraph"/>
    <w:basedOn w:val="Normal"/>
    <w:uiPriority w:val="34"/>
    <w:qFormat/>
    <w:rsid w:val="00EB70DC"/>
    <w:pPr>
      <w:suppressAutoHyphens w:val="0"/>
      <w:spacing w:after="200" w:line="276" w:lineRule="auto"/>
      <w:ind w:left="720"/>
      <w:contextualSpacing/>
    </w:pPr>
    <w:rPr>
      <w:rFonts w:ascii="Calibri" w:eastAsia="Calibri" w:hAnsi="Calibri" w:cs="Arial"/>
      <w:sz w:val="22"/>
      <w:szCs w:val="22"/>
      <w:lang w:val="bg-BG"/>
    </w:rPr>
  </w:style>
  <w:style w:type="paragraph" w:styleId="Revision">
    <w:name w:val="Revision"/>
    <w:hidden/>
    <w:uiPriority w:val="99"/>
    <w:semiHidden/>
    <w:rsid w:val="00563313"/>
    <w:rPr>
      <w:lang w:eastAsia="en-US"/>
    </w:rPr>
  </w:style>
  <w:style w:type="character" w:customStyle="1" w:styleId="FootnoteCharacters">
    <w:name w:val="Footnote Characters"/>
    <w:rsid w:val="00961752"/>
    <w:rPr>
      <w:rFonts w:ascii="Times New Roman" w:hAnsi="Times New Roman" w:cs="Times New Roman" w:hint="default"/>
      <w:sz w:val="18"/>
      <w:vertAlign w:val="superscript"/>
    </w:rPr>
  </w:style>
  <w:style w:type="character" w:customStyle="1" w:styleId="CommentTextChar">
    <w:name w:val="Comment Text Char"/>
    <w:basedOn w:val="DefaultParagraphFont"/>
    <w:link w:val="CommentText"/>
    <w:semiHidden/>
    <w:rsid w:val="000C36E7"/>
    <w:rPr>
      <w:lang w:eastAsia="en-US"/>
    </w:rPr>
  </w:style>
  <w:style w:type="character" w:customStyle="1" w:styleId="UnresolvedMention2">
    <w:name w:val="Unresolved Mention2"/>
    <w:uiPriority w:val="99"/>
    <w:semiHidden/>
    <w:unhideWhenUsed/>
    <w:rsid w:val="00F42EE7"/>
    <w:rPr>
      <w:color w:val="808080"/>
      <w:shd w:val="clear" w:color="auto" w:fill="E6E6E6"/>
    </w:rPr>
  </w:style>
  <w:style w:type="character" w:customStyle="1" w:styleId="UnresolvedMention3">
    <w:name w:val="Unresolved Mention3"/>
    <w:uiPriority w:val="99"/>
    <w:semiHidden/>
    <w:unhideWhenUsed/>
    <w:rsid w:val="00382932"/>
    <w:rPr>
      <w:color w:val="808080"/>
      <w:shd w:val="clear" w:color="auto" w:fill="E6E6E6"/>
    </w:rPr>
  </w:style>
  <w:style w:type="character" w:styleId="UnresolvedMention">
    <w:name w:val="Unresolved Mention"/>
    <w:uiPriority w:val="99"/>
    <w:semiHidden/>
    <w:unhideWhenUsed/>
    <w:rsid w:val="002445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8662">
      <w:bodyDiv w:val="1"/>
      <w:marLeft w:val="0"/>
      <w:marRight w:val="0"/>
      <w:marTop w:val="0"/>
      <w:marBottom w:val="0"/>
      <w:divBdr>
        <w:top w:val="none" w:sz="0" w:space="0" w:color="auto"/>
        <w:left w:val="none" w:sz="0" w:space="0" w:color="auto"/>
        <w:bottom w:val="none" w:sz="0" w:space="0" w:color="auto"/>
        <w:right w:val="none" w:sz="0" w:space="0" w:color="auto"/>
      </w:divBdr>
    </w:div>
    <w:div w:id="525214430">
      <w:bodyDiv w:val="1"/>
      <w:marLeft w:val="0"/>
      <w:marRight w:val="0"/>
      <w:marTop w:val="0"/>
      <w:marBottom w:val="0"/>
      <w:divBdr>
        <w:top w:val="none" w:sz="0" w:space="0" w:color="auto"/>
        <w:left w:val="none" w:sz="0" w:space="0" w:color="auto"/>
        <w:bottom w:val="none" w:sz="0" w:space="0" w:color="auto"/>
        <w:right w:val="none" w:sz="0" w:space="0" w:color="auto"/>
      </w:divBdr>
    </w:div>
    <w:div w:id="913053297">
      <w:bodyDiv w:val="1"/>
      <w:marLeft w:val="0"/>
      <w:marRight w:val="0"/>
      <w:marTop w:val="0"/>
      <w:marBottom w:val="0"/>
      <w:divBdr>
        <w:top w:val="none" w:sz="0" w:space="0" w:color="auto"/>
        <w:left w:val="none" w:sz="0" w:space="0" w:color="auto"/>
        <w:bottom w:val="none" w:sz="0" w:space="0" w:color="auto"/>
        <w:right w:val="none" w:sz="0" w:space="0" w:color="auto"/>
      </w:divBdr>
    </w:div>
    <w:div w:id="1529025596">
      <w:bodyDiv w:val="1"/>
      <w:marLeft w:val="0"/>
      <w:marRight w:val="0"/>
      <w:marTop w:val="0"/>
      <w:marBottom w:val="0"/>
      <w:divBdr>
        <w:top w:val="none" w:sz="0" w:space="0" w:color="auto"/>
        <w:left w:val="none" w:sz="0" w:space="0" w:color="auto"/>
        <w:bottom w:val="none" w:sz="0" w:space="0" w:color="auto"/>
        <w:right w:val="none" w:sz="0" w:space="0" w:color="auto"/>
      </w:divBdr>
    </w:div>
    <w:div w:id="1622804785">
      <w:bodyDiv w:val="1"/>
      <w:marLeft w:val="0"/>
      <w:marRight w:val="0"/>
      <w:marTop w:val="0"/>
      <w:marBottom w:val="0"/>
      <w:divBdr>
        <w:top w:val="none" w:sz="0" w:space="0" w:color="auto"/>
        <w:left w:val="none" w:sz="0" w:space="0" w:color="auto"/>
        <w:bottom w:val="none" w:sz="0" w:space="0" w:color="auto"/>
        <w:right w:val="none" w:sz="0" w:space="0" w:color="auto"/>
      </w:divBdr>
      <w:divsChild>
        <w:div w:id="1393187732">
          <w:marLeft w:val="0"/>
          <w:marRight w:val="0"/>
          <w:marTop w:val="0"/>
          <w:marBottom w:val="0"/>
          <w:divBdr>
            <w:top w:val="none" w:sz="0" w:space="0" w:color="auto"/>
            <w:left w:val="none" w:sz="0" w:space="0" w:color="auto"/>
            <w:bottom w:val="none" w:sz="0" w:space="0" w:color="auto"/>
            <w:right w:val="none" w:sz="0" w:space="0" w:color="auto"/>
          </w:divBdr>
          <w:divsChild>
            <w:div w:id="2105880038">
              <w:marLeft w:val="0"/>
              <w:marRight w:val="0"/>
              <w:marTop w:val="0"/>
              <w:marBottom w:val="0"/>
              <w:divBdr>
                <w:top w:val="none" w:sz="0" w:space="0" w:color="auto"/>
                <w:left w:val="none" w:sz="0" w:space="0" w:color="auto"/>
                <w:bottom w:val="none" w:sz="0" w:space="0" w:color="auto"/>
                <w:right w:val="none" w:sz="0" w:space="0" w:color="auto"/>
              </w:divBdr>
              <w:divsChild>
                <w:div w:id="2038694899">
                  <w:marLeft w:val="0"/>
                  <w:marRight w:val="0"/>
                  <w:marTop w:val="0"/>
                  <w:marBottom w:val="0"/>
                  <w:divBdr>
                    <w:top w:val="none" w:sz="0" w:space="0" w:color="auto"/>
                    <w:left w:val="none" w:sz="0" w:space="0" w:color="auto"/>
                    <w:bottom w:val="none" w:sz="0" w:space="0" w:color="auto"/>
                    <w:right w:val="none" w:sz="0" w:space="0" w:color="auto"/>
                  </w:divBdr>
                  <w:divsChild>
                    <w:div w:id="2111926830">
                      <w:marLeft w:val="75"/>
                      <w:marRight w:val="75"/>
                      <w:marTop w:val="0"/>
                      <w:marBottom w:val="0"/>
                      <w:divBdr>
                        <w:top w:val="none" w:sz="0" w:space="0" w:color="auto"/>
                        <w:left w:val="none" w:sz="0" w:space="0" w:color="auto"/>
                        <w:bottom w:val="none" w:sz="0" w:space="0" w:color="auto"/>
                        <w:right w:val="none" w:sz="0" w:space="0" w:color="auto"/>
                      </w:divBdr>
                      <w:divsChild>
                        <w:div w:id="481193888">
                          <w:marLeft w:val="0"/>
                          <w:marRight w:val="0"/>
                          <w:marTop w:val="0"/>
                          <w:marBottom w:val="0"/>
                          <w:divBdr>
                            <w:top w:val="none" w:sz="0" w:space="0" w:color="auto"/>
                            <w:left w:val="none" w:sz="0" w:space="0" w:color="auto"/>
                            <w:bottom w:val="none" w:sz="0" w:space="0" w:color="auto"/>
                            <w:right w:val="none" w:sz="0" w:space="0" w:color="auto"/>
                          </w:divBdr>
                          <w:divsChild>
                            <w:div w:id="554658023">
                              <w:marLeft w:val="0"/>
                              <w:marRight w:val="0"/>
                              <w:marTop w:val="0"/>
                              <w:marBottom w:val="0"/>
                              <w:divBdr>
                                <w:top w:val="none" w:sz="0" w:space="0" w:color="auto"/>
                                <w:left w:val="none" w:sz="0" w:space="0" w:color="auto"/>
                                <w:bottom w:val="none" w:sz="0" w:space="0" w:color="auto"/>
                                <w:right w:val="none" w:sz="0" w:space="0" w:color="auto"/>
                              </w:divBdr>
                              <w:divsChild>
                                <w:div w:id="14705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51206">
      <w:bodyDiv w:val="1"/>
      <w:marLeft w:val="0"/>
      <w:marRight w:val="0"/>
      <w:marTop w:val="0"/>
      <w:marBottom w:val="0"/>
      <w:divBdr>
        <w:top w:val="none" w:sz="0" w:space="0" w:color="auto"/>
        <w:left w:val="none" w:sz="0" w:space="0" w:color="auto"/>
        <w:bottom w:val="none" w:sz="0" w:space="0" w:color="auto"/>
        <w:right w:val="none" w:sz="0" w:space="0" w:color="auto"/>
      </w:divBdr>
    </w:div>
    <w:div w:id="1958369241">
      <w:bodyDiv w:val="1"/>
      <w:marLeft w:val="0"/>
      <w:marRight w:val="0"/>
      <w:marTop w:val="0"/>
      <w:marBottom w:val="0"/>
      <w:divBdr>
        <w:top w:val="none" w:sz="0" w:space="0" w:color="auto"/>
        <w:left w:val="none" w:sz="0" w:space="0" w:color="auto"/>
        <w:bottom w:val="none" w:sz="0" w:space="0" w:color="auto"/>
        <w:right w:val="none" w:sz="0" w:space="0" w:color="auto"/>
      </w:divBdr>
    </w:div>
    <w:div w:id="20252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834F8-8FC1-4D85-8E65-84FF76B2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19</TotalTime>
  <Pages>11</Pages>
  <Words>5320</Words>
  <Characters>30324</Characters>
  <Application>Microsoft Office Word</Application>
  <DocSecurity>0</DocSecurity>
  <Lines>252</Lines>
  <Paragraphs>71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Aarhus secretariat</cp:lastModifiedBy>
  <cp:revision>2</cp:revision>
  <cp:lastPrinted>2019-09-20T07:22:00Z</cp:lastPrinted>
  <dcterms:created xsi:type="dcterms:W3CDTF">2019-10-30T07:24:00Z</dcterms:created>
  <dcterms:modified xsi:type="dcterms:W3CDTF">2019-11-06T22:31:00Z</dcterms:modified>
</cp:coreProperties>
</file>