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A14F" w14:textId="5591BD96" w:rsidR="00DD3AA1" w:rsidRPr="009B52A9" w:rsidRDefault="00972F87" w:rsidP="005D584F">
      <w:pPr>
        <w:keepNext/>
        <w:keepLines/>
        <w:tabs>
          <w:tab w:val="right" w:pos="851"/>
          <w:tab w:val="left" w:pos="1134"/>
        </w:tabs>
        <w:suppressAutoHyphens/>
        <w:spacing w:before="360" w:after="240" w:line="300" w:lineRule="exact"/>
        <w:ind w:left="567" w:right="1134"/>
        <w:jc w:val="both"/>
        <w:rPr>
          <w:rFonts w:ascii="Times New Roman" w:eastAsia="Times New Roman" w:hAnsi="Times New Roman" w:cs="Times New Roman"/>
          <w:b/>
          <w:sz w:val="20"/>
          <w:szCs w:val="20"/>
        </w:rPr>
      </w:pPr>
      <w:r w:rsidRPr="009B52A9">
        <w:rPr>
          <w:rFonts w:ascii="Times New Roman" w:eastAsia="Times New Roman" w:hAnsi="Times New Roman" w:cs="Times New Roman"/>
          <w:b/>
          <w:sz w:val="20"/>
          <w:szCs w:val="20"/>
        </w:rPr>
        <w:t xml:space="preserve"> </w:t>
      </w:r>
    </w:p>
    <w:p w14:paraId="1AFC4562" w14:textId="0CBBD010" w:rsidR="00D14D7D" w:rsidRPr="00462388" w:rsidRDefault="00D14D7D" w:rsidP="00A244F5">
      <w:pPr>
        <w:keepNext/>
        <w:keepLines/>
        <w:tabs>
          <w:tab w:val="right" w:pos="851"/>
          <w:tab w:val="left" w:pos="1134"/>
        </w:tabs>
        <w:suppressAutoHyphens/>
        <w:spacing w:before="360" w:after="240" w:line="300" w:lineRule="exact"/>
        <w:ind w:left="567" w:right="1134"/>
        <w:jc w:val="center"/>
        <w:rPr>
          <w:rFonts w:ascii="Times New Roman" w:eastAsia="Times New Roman" w:hAnsi="Times New Roman" w:cs="Times New Roman"/>
          <w:b/>
          <w:bCs/>
          <w:sz w:val="28"/>
          <w:szCs w:val="28"/>
        </w:rPr>
      </w:pPr>
      <w:r w:rsidRPr="00462388">
        <w:rPr>
          <w:rFonts w:ascii="Times New Roman" w:eastAsia="Times New Roman" w:hAnsi="Times New Roman" w:cs="Times New Roman"/>
          <w:b/>
          <w:sz w:val="28"/>
          <w:szCs w:val="28"/>
        </w:rPr>
        <w:t>Draft f</w:t>
      </w:r>
      <w:r w:rsidRPr="00462388">
        <w:rPr>
          <w:rFonts w:ascii="Times New Roman" w:eastAsia="Times New Roman" w:hAnsi="Times New Roman" w:cs="Times New Roman"/>
          <w:b/>
          <w:bCs/>
          <w:spacing w:val="-2"/>
          <w:sz w:val="28"/>
          <w:szCs w:val="28"/>
        </w:rPr>
        <w:t xml:space="preserve">indings and recommendations </w:t>
      </w:r>
      <w:proofErr w:type="gramStart"/>
      <w:r w:rsidRPr="00462388">
        <w:rPr>
          <w:rFonts w:ascii="Times New Roman" w:eastAsia="Times New Roman" w:hAnsi="Times New Roman" w:cs="Times New Roman"/>
          <w:b/>
          <w:bCs/>
          <w:spacing w:val="-2"/>
          <w:sz w:val="28"/>
          <w:szCs w:val="28"/>
        </w:rPr>
        <w:t>with regard to</w:t>
      </w:r>
      <w:proofErr w:type="gramEnd"/>
      <w:r w:rsidRPr="00462388">
        <w:rPr>
          <w:rFonts w:ascii="Times New Roman" w:eastAsia="Times New Roman" w:hAnsi="Times New Roman" w:cs="Times New Roman"/>
          <w:b/>
          <w:bCs/>
          <w:spacing w:val="-2"/>
          <w:sz w:val="28"/>
          <w:szCs w:val="28"/>
        </w:rPr>
        <w:t xml:space="preserve"> communication</w:t>
      </w:r>
      <w:r w:rsidRPr="00462388">
        <w:rPr>
          <w:rFonts w:ascii="Times New Roman" w:eastAsia="Times New Roman" w:hAnsi="Times New Roman" w:cs="Times New Roman"/>
          <w:b/>
          <w:bCs/>
          <w:sz w:val="28"/>
          <w:szCs w:val="28"/>
        </w:rPr>
        <w:t xml:space="preserve"> ACCC/C/201</w:t>
      </w:r>
      <w:r w:rsidR="001864F6" w:rsidRPr="00462388">
        <w:rPr>
          <w:rFonts w:ascii="Times New Roman" w:eastAsia="Times New Roman" w:hAnsi="Times New Roman" w:cs="Times New Roman"/>
          <w:b/>
          <w:bCs/>
          <w:sz w:val="28"/>
          <w:szCs w:val="28"/>
        </w:rPr>
        <w:t>4</w:t>
      </w:r>
      <w:r w:rsidRPr="00462388">
        <w:rPr>
          <w:rFonts w:ascii="Times New Roman" w:eastAsia="Times New Roman" w:hAnsi="Times New Roman" w:cs="Times New Roman"/>
          <w:b/>
          <w:bCs/>
          <w:sz w:val="28"/>
          <w:szCs w:val="28"/>
        </w:rPr>
        <w:t>/</w:t>
      </w:r>
      <w:r w:rsidR="001864F6" w:rsidRPr="00462388">
        <w:rPr>
          <w:rFonts w:ascii="Times New Roman" w:eastAsia="Times New Roman" w:hAnsi="Times New Roman" w:cs="Times New Roman"/>
          <w:b/>
          <w:bCs/>
          <w:sz w:val="28"/>
          <w:szCs w:val="28"/>
        </w:rPr>
        <w:t>100</w:t>
      </w:r>
      <w:r w:rsidRPr="00462388">
        <w:rPr>
          <w:rFonts w:ascii="Times New Roman" w:eastAsia="Times New Roman" w:hAnsi="Times New Roman" w:cs="Times New Roman"/>
          <w:b/>
          <w:bCs/>
          <w:sz w:val="28"/>
          <w:szCs w:val="28"/>
        </w:rPr>
        <w:t xml:space="preserve"> concerning compliance by </w:t>
      </w:r>
      <w:r w:rsidR="001864F6" w:rsidRPr="00462388">
        <w:rPr>
          <w:rFonts w:ascii="Times New Roman" w:eastAsia="Times New Roman" w:hAnsi="Times New Roman" w:cs="Times New Roman"/>
          <w:b/>
          <w:bCs/>
          <w:sz w:val="28"/>
          <w:szCs w:val="28"/>
        </w:rPr>
        <w:t>United Kingdom</w:t>
      </w:r>
    </w:p>
    <w:p w14:paraId="5AFE8EC0" w14:textId="77777777" w:rsidR="00D14D7D" w:rsidRPr="00462388" w:rsidRDefault="00D14D7D" w:rsidP="00FD13A4">
      <w:pPr>
        <w:keepNext/>
        <w:keepLines/>
        <w:tabs>
          <w:tab w:val="right" w:pos="851"/>
          <w:tab w:val="left" w:pos="1134"/>
        </w:tabs>
        <w:suppressAutoHyphens/>
        <w:spacing w:before="360" w:after="240" w:line="270" w:lineRule="exact"/>
        <w:ind w:left="567" w:right="1134"/>
        <w:jc w:val="both"/>
        <w:outlineLvl w:val="0"/>
        <w:rPr>
          <w:rFonts w:ascii="Times New Roman" w:eastAsia="Times New Roman" w:hAnsi="Times New Roman" w:cs="Times New Roman"/>
          <w:b/>
          <w:sz w:val="24"/>
          <w:szCs w:val="24"/>
        </w:rPr>
      </w:pPr>
      <w:r w:rsidRPr="00462388">
        <w:rPr>
          <w:rFonts w:ascii="Times New Roman" w:eastAsia="Times New Roman" w:hAnsi="Times New Roman" w:cs="Times New Roman"/>
          <w:b/>
          <w:sz w:val="24"/>
          <w:szCs w:val="24"/>
        </w:rPr>
        <w:tab/>
      </w:r>
      <w:r w:rsidRPr="00462388">
        <w:rPr>
          <w:rFonts w:ascii="Times New Roman" w:eastAsia="Times New Roman" w:hAnsi="Times New Roman" w:cs="Times New Roman"/>
          <w:b/>
          <w:sz w:val="24"/>
          <w:szCs w:val="24"/>
        </w:rPr>
        <w:tab/>
        <w:t>Adopted by the Compliance Committee on …</w:t>
      </w:r>
    </w:p>
    <w:p w14:paraId="72B746E5" w14:textId="77777777" w:rsidR="00D14D7D" w:rsidRPr="00462388" w:rsidRDefault="00D14D7D" w:rsidP="005D584F">
      <w:pPr>
        <w:keepNext/>
        <w:keepLines/>
        <w:numPr>
          <w:ilvl w:val="0"/>
          <w:numId w:val="1"/>
        </w:numPr>
        <w:tabs>
          <w:tab w:val="right" w:pos="851"/>
          <w:tab w:val="left" w:pos="1134"/>
        </w:tabs>
        <w:suppressAutoHyphens/>
        <w:spacing w:before="360" w:after="240" w:line="300" w:lineRule="exact"/>
        <w:ind w:left="567" w:right="1134" w:firstLine="0"/>
        <w:jc w:val="both"/>
        <w:rPr>
          <w:rFonts w:ascii="Times New Roman" w:eastAsia="Times New Roman" w:hAnsi="Times New Roman" w:cs="Times New Roman"/>
          <w:b/>
          <w:sz w:val="24"/>
          <w:szCs w:val="24"/>
        </w:rPr>
      </w:pPr>
      <w:r w:rsidRPr="00462388">
        <w:rPr>
          <w:rFonts w:ascii="Times New Roman" w:eastAsia="Times New Roman" w:hAnsi="Times New Roman" w:cs="Times New Roman"/>
          <w:b/>
          <w:sz w:val="24"/>
          <w:szCs w:val="24"/>
        </w:rPr>
        <w:t>Introduction</w:t>
      </w:r>
    </w:p>
    <w:p w14:paraId="7C27B5A6" w14:textId="5741908A" w:rsidR="000E3F4A" w:rsidRPr="00462388" w:rsidRDefault="003D7601"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62388">
        <w:rPr>
          <w:rFonts w:ascii="Times New Roman" w:eastAsia="Times New Roman" w:hAnsi="Times New Roman" w:cs="Times New Roman"/>
          <w:sz w:val="20"/>
          <w:szCs w:val="20"/>
        </w:rPr>
        <w:t xml:space="preserve">On </w:t>
      </w:r>
      <w:r w:rsidR="00682361" w:rsidRPr="00462388">
        <w:rPr>
          <w:rFonts w:ascii="Times New Roman" w:eastAsia="Times New Roman" w:hAnsi="Times New Roman" w:cs="Times New Roman"/>
          <w:sz w:val="20"/>
          <w:szCs w:val="20"/>
        </w:rPr>
        <w:t>15</w:t>
      </w:r>
      <w:r w:rsidRPr="00462388">
        <w:rPr>
          <w:rFonts w:ascii="Times New Roman" w:eastAsia="Times New Roman" w:hAnsi="Times New Roman" w:cs="Times New Roman"/>
          <w:sz w:val="20"/>
          <w:szCs w:val="20"/>
        </w:rPr>
        <w:t xml:space="preserve"> </w:t>
      </w:r>
      <w:r w:rsidR="00682361" w:rsidRPr="00462388">
        <w:rPr>
          <w:rFonts w:ascii="Times New Roman" w:eastAsia="Times New Roman" w:hAnsi="Times New Roman" w:cs="Times New Roman"/>
          <w:sz w:val="20"/>
          <w:szCs w:val="20"/>
        </w:rPr>
        <w:t>April</w:t>
      </w:r>
      <w:r w:rsidRPr="00462388">
        <w:rPr>
          <w:rFonts w:ascii="Times New Roman" w:eastAsia="Times New Roman" w:hAnsi="Times New Roman" w:cs="Times New Roman"/>
          <w:sz w:val="20"/>
          <w:szCs w:val="20"/>
        </w:rPr>
        <w:t xml:space="preserve"> </w:t>
      </w:r>
      <w:r w:rsidR="00D14D7D" w:rsidRPr="00462388">
        <w:rPr>
          <w:rFonts w:ascii="Times New Roman" w:eastAsia="Times New Roman" w:hAnsi="Times New Roman" w:cs="Times New Roman"/>
          <w:sz w:val="20"/>
          <w:szCs w:val="20"/>
        </w:rPr>
        <w:t>201</w:t>
      </w:r>
      <w:r w:rsidR="00682361" w:rsidRPr="00462388">
        <w:rPr>
          <w:rFonts w:ascii="Times New Roman" w:eastAsia="Times New Roman" w:hAnsi="Times New Roman" w:cs="Times New Roman"/>
          <w:sz w:val="20"/>
          <w:szCs w:val="20"/>
        </w:rPr>
        <w:t>4</w:t>
      </w:r>
      <w:r w:rsidR="00D14D7D" w:rsidRPr="00462388">
        <w:rPr>
          <w:rFonts w:ascii="Times New Roman" w:eastAsia="Times New Roman" w:hAnsi="Times New Roman" w:cs="Times New Roman"/>
          <w:sz w:val="20"/>
          <w:szCs w:val="20"/>
        </w:rPr>
        <w:t xml:space="preserve">, </w:t>
      </w:r>
      <w:r w:rsidR="002C3234" w:rsidRPr="00462388">
        <w:rPr>
          <w:rFonts w:ascii="Times New Roman" w:eastAsia="Times New Roman" w:hAnsi="Times New Roman" w:cs="Times New Roman"/>
          <w:sz w:val="20"/>
          <w:szCs w:val="20"/>
        </w:rPr>
        <w:t>High Speed 2</w:t>
      </w:r>
      <w:r w:rsidR="00682361" w:rsidRPr="00462388">
        <w:rPr>
          <w:rFonts w:ascii="Times New Roman" w:eastAsia="Times New Roman" w:hAnsi="Times New Roman" w:cs="Times New Roman"/>
          <w:sz w:val="20"/>
          <w:szCs w:val="20"/>
        </w:rPr>
        <w:t xml:space="preserve"> Action Alliance Limited, </w:t>
      </w:r>
      <w:r w:rsidR="00BB0772" w:rsidRPr="00462388">
        <w:rPr>
          <w:rFonts w:ascii="Times New Roman" w:eastAsia="Times New Roman" w:hAnsi="Times New Roman" w:cs="Times New Roman"/>
          <w:sz w:val="20"/>
          <w:szCs w:val="20"/>
        </w:rPr>
        <w:t>a non-governmental organization</w:t>
      </w:r>
      <w:r w:rsidR="00682361" w:rsidRPr="00462388">
        <w:rPr>
          <w:rFonts w:ascii="Times New Roman" w:eastAsia="Times New Roman" w:hAnsi="Times New Roman" w:cs="Times New Roman"/>
          <w:sz w:val="20"/>
          <w:szCs w:val="20"/>
        </w:rPr>
        <w:t>,  the</w:t>
      </w:r>
      <w:r w:rsidR="00BB0772" w:rsidRPr="00462388">
        <w:rPr>
          <w:rFonts w:ascii="Times New Roman" w:eastAsia="Times New Roman" w:hAnsi="Times New Roman" w:cs="Times New Roman"/>
          <w:sz w:val="20"/>
          <w:szCs w:val="20"/>
        </w:rPr>
        <w:t xml:space="preserve"> London Borough of Hillingdon, </w:t>
      </w:r>
      <w:r w:rsidR="00682361" w:rsidRPr="00462388">
        <w:rPr>
          <w:rFonts w:ascii="Times New Roman" w:eastAsia="Times New Roman" w:hAnsi="Times New Roman" w:cs="Times New Roman"/>
          <w:sz w:val="20"/>
          <w:szCs w:val="20"/>
        </w:rPr>
        <w:t>and Charlotte Jones</w:t>
      </w:r>
      <w:r w:rsidR="00BB0772" w:rsidRPr="00462388">
        <w:rPr>
          <w:rFonts w:ascii="Times New Roman" w:eastAsia="Times New Roman" w:hAnsi="Times New Roman" w:cs="Times New Roman"/>
          <w:sz w:val="20"/>
          <w:szCs w:val="20"/>
        </w:rPr>
        <w:t>, a member of the public</w:t>
      </w:r>
      <w:r w:rsidR="00682361" w:rsidRPr="00462388">
        <w:rPr>
          <w:rFonts w:ascii="Times New Roman" w:eastAsia="Times New Roman" w:hAnsi="Times New Roman" w:cs="Times New Roman"/>
          <w:sz w:val="20"/>
          <w:szCs w:val="20"/>
        </w:rPr>
        <w:t xml:space="preserve"> </w:t>
      </w:r>
      <w:r w:rsidR="00800B8C" w:rsidRPr="00462388">
        <w:rPr>
          <w:rFonts w:ascii="Times New Roman" w:eastAsia="Times New Roman" w:hAnsi="Times New Roman" w:cs="Times New Roman"/>
          <w:sz w:val="20"/>
          <w:szCs w:val="20"/>
        </w:rPr>
        <w:t>(</w:t>
      </w:r>
      <w:r w:rsidR="00181789" w:rsidRPr="00B04ED2">
        <w:rPr>
          <w:rFonts w:ascii="Times New Roman" w:eastAsia="Times New Roman" w:hAnsi="Times New Roman" w:cs="Times New Roman"/>
          <w:sz w:val="20"/>
          <w:szCs w:val="20"/>
        </w:rPr>
        <w:t>t</w:t>
      </w:r>
      <w:r w:rsidR="00800B8C" w:rsidRPr="004F2D82">
        <w:rPr>
          <w:rFonts w:ascii="Times New Roman" w:eastAsia="Times New Roman" w:hAnsi="Times New Roman" w:cs="Times New Roman"/>
          <w:sz w:val="20"/>
          <w:szCs w:val="20"/>
        </w:rPr>
        <w:t>he communicants)</w:t>
      </w:r>
      <w:r w:rsidR="004F6F32" w:rsidRPr="004F2D82">
        <w:rPr>
          <w:rFonts w:ascii="Times New Roman" w:eastAsia="Times New Roman" w:hAnsi="Times New Roman" w:cs="Times New Roman"/>
          <w:sz w:val="20"/>
          <w:szCs w:val="20"/>
        </w:rPr>
        <w:t>,</w:t>
      </w:r>
      <w:r w:rsidR="00D14D7D" w:rsidRPr="00462388">
        <w:rPr>
          <w:rFonts w:ascii="Times New Roman" w:eastAsia="Times New Roman" w:hAnsi="Times New Roman" w:cs="Times New Roman"/>
          <w:sz w:val="20"/>
          <w:szCs w:val="20"/>
        </w:rPr>
        <w:t xml:space="preserve"> submitted a communication to the Compliance Committee under the Convention on Access to Information</w:t>
      </w:r>
      <w:r w:rsidRPr="004F2D82">
        <w:rPr>
          <w:rFonts w:ascii="Times New Roman" w:eastAsia="Times New Roman" w:hAnsi="Times New Roman" w:cs="Times New Roman"/>
          <w:sz w:val="20"/>
          <w:szCs w:val="20"/>
        </w:rPr>
        <w:t>,</w:t>
      </w:r>
      <w:r w:rsidR="00E07968" w:rsidRPr="004F2D82">
        <w:rPr>
          <w:rFonts w:ascii="Times New Roman" w:eastAsia="Times New Roman" w:hAnsi="Times New Roman" w:cs="Times New Roman"/>
          <w:sz w:val="20"/>
          <w:szCs w:val="20"/>
        </w:rPr>
        <w:t xml:space="preserve"> </w:t>
      </w:r>
      <w:r w:rsidR="00D14D7D" w:rsidRPr="004F2D82">
        <w:rPr>
          <w:rFonts w:ascii="Times New Roman" w:eastAsia="Times New Roman" w:hAnsi="Times New Roman" w:cs="Times New Roman"/>
          <w:sz w:val="20"/>
          <w:szCs w:val="20"/>
        </w:rPr>
        <w:t xml:space="preserve">Public Participation in Decision-making and Access to Justice in Environmental Matters (Aarhus Convention) alleging </w:t>
      </w:r>
      <w:r w:rsidR="00824ADE" w:rsidRPr="004F2D82">
        <w:rPr>
          <w:rFonts w:ascii="Times New Roman" w:eastAsia="Times New Roman" w:hAnsi="Times New Roman" w:cs="Times New Roman"/>
          <w:sz w:val="20"/>
          <w:szCs w:val="20"/>
        </w:rPr>
        <w:t xml:space="preserve">a </w:t>
      </w:r>
      <w:r w:rsidR="00D14D7D" w:rsidRPr="004F2D82">
        <w:rPr>
          <w:rFonts w:ascii="Times New Roman" w:eastAsia="Times New Roman" w:hAnsi="Times New Roman" w:cs="Times New Roman"/>
          <w:sz w:val="20"/>
          <w:szCs w:val="20"/>
        </w:rPr>
        <w:t xml:space="preserve">failure </w:t>
      </w:r>
      <w:r w:rsidR="00824ADE" w:rsidRPr="004F2D82">
        <w:rPr>
          <w:rFonts w:ascii="Times New Roman" w:eastAsia="Times New Roman" w:hAnsi="Times New Roman" w:cs="Times New Roman"/>
          <w:sz w:val="20"/>
          <w:szCs w:val="20"/>
        </w:rPr>
        <w:t xml:space="preserve">by </w:t>
      </w:r>
      <w:r w:rsidR="0087189C" w:rsidRPr="004F2D82">
        <w:rPr>
          <w:rFonts w:ascii="Times New Roman" w:eastAsia="Times New Roman" w:hAnsi="Times New Roman" w:cs="Times New Roman"/>
          <w:bCs/>
          <w:sz w:val="20"/>
          <w:szCs w:val="20"/>
        </w:rPr>
        <w:t>the United Kingdom</w:t>
      </w:r>
      <w:r w:rsidR="00334E98" w:rsidRPr="004F2D82">
        <w:rPr>
          <w:rFonts w:ascii="Times New Roman" w:eastAsia="Times New Roman" w:hAnsi="Times New Roman" w:cs="Times New Roman"/>
          <w:bCs/>
          <w:sz w:val="20"/>
          <w:szCs w:val="20"/>
        </w:rPr>
        <w:t xml:space="preserve"> </w:t>
      </w:r>
      <w:r w:rsidR="00E4278B" w:rsidRPr="004F2D82">
        <w:rPr>
          <w:rFonts w:ascii="Times New Roman" w:eastAsia="Times New Roman" w:hAnsi="Times New Roman" w:cs="Times New Roman"/>
          <w:sz w:val="20"/>
          <w:szCs w:val="20"/>
        </w:rPr>
        <w:t xml:space="preserve">to comply with its obligations under </w:t>
      </w:r>
      <w:r w:rsidR="008A302A" w:rsidRPr="004F2D82">
        <w:rPr>
          <w:rFonts w:ascii="Times New Roman" w:eastAsia="Times New Roman" w:hAnsi="Times New Roman" w:cs="Times New Roman"/>
          <w:sz w:val="20"/>
          <w:szCs w:val="20"/>
        </w:rPr>
        <w:t xml:space="preserve">article </w:t>
      </w:r>
      <w:r w:rsidR="001D086B" w:rsidRPr="004F2D82">
        <w:rPr>
          <w:rFonts w:ascii="Times New Roman" w:eastAsia="Times New Roman" w:hAnsi="Times New Roman" w:cs="Times New Roman"/>
          <w:sz w:val="20"/>
          <w:szCs w:val="20"/>
        </w:rPr>
        <w:t>7 generally, and article 7</w:t>
      </w:r>
      <w:r w:rsidR="006C4B0A" w:rsidRPr="004F2D82">
        <w:rPr>
          <w:rFonts w:ascii="Times New Roman" w:eastAsia="Times New Roman" w:hAnsi="Times New Roman" w:cs="Times New Roman"/>
          <w:sz w:val="20"/>
          <w:szCs w:val="20"/>
        </w:rPr>
        <w:t xml:space="preserve"> </w:t>
      </w:r>
      <w:r w:rsidR="001D086B" w:rsidRPr="004F2D82">
        <w:rPr>
          <w:rFonts w:ascii="Times New Roman" w:eastAsia="Times New Roman" w:hAnsi="Times New Roman" w:cs="Times New Roman"/>
          <w:sz w:val="20"/>
          <w:szCs w:val="20"/>
        </w:rPr>
        <w:t xml:space="preserve">in conjunction with </w:t>
      </w:r>
      <w:r w:rsidR="00F23343" w:rsidRPr="004F2D82">
        <w:rPr>
          <w:rFonts w:ascii="Times New Roman" w:eastAsia="Times New Roman" w:hAnsi="Times New Roman" w:cs="Times New Roman"/>
          <w:sz w:val="20"/>
          <w:szCs w:val="20"/>
        </w:rPr>
        <w:t xml:space="preserve">article </w:t>
      </w:r>
      <w:r w:rsidR="0035670D" w:rsidRPr="004F2D82">
        <w:rPr>
          <w:rFonts w:ascii="Times New Roman" w:eastAsia="Times New Roman" w:hAnsi="Times New Roman" w:cs="Times New Roman"/>
          <w:sz w:val="20"/>
          <w:szCs w:val="20"/>
        </w:rPr>
        <w:t>6</w:t>
      </w:r>
      <w:r w:rsidR="005A2FC2" w:rsidRPr="004F2D82">
        <w:rPr>
          <w:rFonts w:ascii="Times New Roman" w:eastAsia="Times New Roman" w:hAnsi="Times New Roman" w:cs="Times New Roman"/>
          <w:sz w:val="20"/>
          <w:szCs w:val="20"/>
        </w:rPr>
        <w:t xml:space="preserve">(3) and (4) </w:t>
      </w:r>
      <w:r w:rsidR="00CA34E9" w:rsidRPr="004F2D82">
        <w:rPr>
          <w:rFonts w:ascii="Times New Roman" w:eastAsia="Times New Roman" w:hAnsi="Times New Roman" w:cs="Times New Roman"/>
          <w:sz w:val="20"/>
          <w:szCs w:val="20"/>
        </w:rPr>
        <w:t>of the Convention.</w:t>
      </w:r>
      <w:r w:rsidR="00DA2368" w:rsidRPr="00462388">
        <w:rPr>
          <w:rStyle w:val="FootnoteReference"/>
          <w:sz w:val="20"/>
          <w:szCs w:val="20"/>
          <w:lang w:eastAsia="ar-SA"/>
        </w:rPr>
        <w:footnoteReference w:id="2"/>
      </w:r>
    </w:p>
    <w:p w14:paraId="2DCB05EE" w14:textId="0952F07A" w:rsidR="00B40CA2" w:rsidRPr="00462388" w:rsidRDefault="00B40CA2"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 xml:space="preserve">Specifically, the </w:t>
      </w:r>
      <w:r w:rsidR="0041245D">
        <w:rPr>
          <w:rFonts w:ascii="Times New Roman" w:eastAsia="Times New Roman" w:hAnsi="Times New Roman" w:cs="Times New Roman"/>
          <w:sz w:val="20"/>
          <w:szCs w:val="20"/>
        </w:rPr>
        <w:t xml:space="preserve">communicants </w:t>
      </w:r>
      <w:r w:rsidRPr="004F2D82">
        <w:rPr>
          <w:rFonts w:ascii="Times New Roman" w:eastAsia="Times New Roman" w:hAnsi="Times New Roman" w:cs="Times New Roman"/>
          <w:sz w:val="20"/>
          <w:szCs w:val="20"/>
        </w:rPr>
        <w:t>allege</w:t>
      </w:r>
      <w:r w:rsidR="0041245D">
        <w:rPr>
          <w:rFonts w:ascii="Times New Roman" w:eastAsia="Times New Roman" w:hAnsi="Times New Roman" w:cs="Times New Roman"/>
          <w:sz w:val="20"/>
          <w:szCs w:val="20"/>
        </w:rPr>
        <w:t xml:space="preserve"> </w:t>
      </w:r>
      <w:r w:rsidRPr="004F2D82">
        <w:rPr>
          <w:rFonts w:ascii="Times New Roman" w:eastAsia="Times New Roman" w:hAnsi="Times New Roman" w:cs="Times New Roman"/>
          <w:sz w:val="20"/>
          <w:szCs w:val="20"/>
        </w:rPr>
        <w:t xml:space="preserve">that the Party concerned has failed to comply with article 7 of the Convention by failing to ensure public participation </w:t>
      </w:r>
      <w:r w:rsidRPr="004F2D82">
        <w:rPr>
          <w:rFonts w:ascii="Times New Roman" w:eastAsia="Times New Roman" w:hAnsi="Times New Roman" w:cs="Times New Roman"/>
          <w:bCs/>
          <w:sz w:val="20"/>
          <w:szCs w:val="20"/>
        </w:rPr>
        <w:t xml:space="preserve">in relation to the decisions issued by the Secretary of State for Transport on 10 January 2012 in the Command Paper </w:t>
      </w:r>
      <w:r w:rsidR="00C87638" w:rsidRPr="004F2D82">
        <w:rPr>
          <w:rFonts w:ascii="Times New Roman" w:eastAsia="Times New Roman" w:hAnsi="Times New Roman" w:cs="Times New Roman"/>
          <w:bCs/>
          <w:sz w:val="20"/>
          <w:szCs w:val="20"/>
        </w:rPr>
        <w:t>“</w:t>
      </w:r>
      <w:r w:rsidRPr="004F2D82">
        <w:rPr>
          <w:rFonts w:ascii="Times New Roman" w:eastAsia="Times New Roman" w:hAnsi="Times New Roman" w:cs="Times New Roman"/>
          <w:bCs/>
          <w:sz w:val="20"/>
          <w:szCs w:val="20"/>
        </w:rPr>
        <w:t xml:space="preserve">High Speed Rail: Investing in Britain’s Future – Decisions and Next </w:t>
      </w:r>
      <w:r w:rsidR="00C87638" w:rsidRPr="004F2D82">
        <w:rPr>
          <w:rFonts w:ascii="Times New Roman" w:eastAsia="Times New Roman" w:hAnsi="Times New Roman" w:cs="Times New Roman"/>
          <w:bCs/>
          <w:sz w:val="20"/>
          <w:szCs w:val="20"/>
        </w:rPr>
        <w:t xml:space="preserve">Steps” </w:t>
      </w:r>
      <w:r w:rsidRPr="004F2D82">
        <w:rPr>
          <w:rFonts w:ascii="Times New Roman" w:eastAsia="Times New Roman" w:hAnsi="Times New Roman" w:cs="Times New Roman"/>
          <w:bCs/>
          <w:sz w:val="20"/>
          <w:szCs w:val="20"/>
        </w:rPr>
        <w:t xml:space="preserve">(the DNS) which sets out the strategy </w:t>
      </w:r>
      <w:r w:rsidR="00F76EB5" w:rsidRPr="004F2D82">
        <w:rPr>
          <w:rFonts w:ascii="Times New Roman" w:eastAsia="Times New Roman" w:hAnsi="Times New Roman" w:cs="Times New Roman"/>
          <w:bCs/>
          <w:sz w:val="20"/>
          <w:szCs w:val="20"/>
        </w:rPr>
        <w:t xml:space="preserve">of the Party concerned </w:t>
      </w:r>
      <w:r w:rsidRPr="004F2D82">
        <w:rPr>
          <w:rFonts w:ascii="Times New Roman" w:eastAsia="Times New Roman" w:hAnsi="Times New Roman" w:cs="Times New Roman"/>
          <w:bCs/>
          <w:sz w:val="20"/>
          <w:szCs w:val="20"/>
        </w:rPr>
        <w:t xml:space="preserve">for the promotion, construction and operation of a new </w:t>
      </w:r>
      <w:r w:rsidR="003848C9" w:rsidRPr="004F2D82">
        <w:rPr>
          <w:rFonts w:ascii="Times New Roman" w:eastAsia="Times New Roman" w:hAnsi="Times New Roman" w:cs="Times New Roman"/>
          <w:bCs/>
          <w:sz w:val="20"/>
          <w:szCs w:val="20"/>
        </w:rPr>
        <w:t>“Y”</w:t>
      </w:r>
      <w:r w:rsidRPr="004F2D82">
        <w:rPr>
          <w:rFonts w:ascii="Times New Roman" w:eastAsia="Times New Roman" w:hAnsi="Times New Roman" w:cs="Times New Roman"/>
          <w:bCs/>
          <w:sz w:val="20"/>
          <w:szCs w:val="20"/>
        </w:rPr>
        <w:t xml:space="preserve"> shaped high speed railway from London to the West Midlands, Manchester and Leeds known as High Speed 2.</w:t>
      </w:r>
      <w:r w:rsidRPr="00462388">
        <w:rPr>
          <w:rStyle w:val="FootnoteReference"/>
          <w:rFonts w:eastAsia="Times New Roman"/>
          <w:bCs/>
          <w:sz w:val="20"/>
          <w:szCs w:val="20"/>
        </w:rPr>
        <w:footnoteReference w:id="3"/>
      </w:r>
      <w:r w:rsidRPr="00462388">
        <w:rPr>
          <w:rFonts w:ascii="Times New Roman" w:eastAsia="Times New Roman" w:hAnsi="Times New Roman" w:cs="Times New Roman"/>
          <w:bCs/>
          <w:sz w:val="20"/>
          <w:szCs w:val="20"/>
        </w:rPr>
        <w:t xml:space="preserve"> </w:t>
      </w:r>
    </w:p>
    <w:p w14:paraId="6EF37E55" w14:textId="5A0AA54D" w:rsidR="00D14D7D" w:rsidRPr="004F2D82" w:rsidRDefault="00D14D7D"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 xml:space="preserve">At its </w:t>
      </w:r>
      <w:r w:rsidR="00314868" w:rsidRPr="004F2D82">
        <w:rPr>
          <w:rFonts w:ascii="Times New Roman" w:eastAsia="Times New Roman" w:hAnsi="Times New Roman" w:cs="Times New Roman"/>
          <w:sz w:val="20"/>
          <w:szCs w:val="20"/>
        </w:rPr>
        <w:t>forty-fifth meeting (29 June</w:t>
      </w:r>
      <w:r w:rsidR="00D67F3A" w:rsidRPr="004F2D82">
        <w:t>—</w:t>
      </w:r>
      <w:r w:rsidR="00314868" w:rsidRPr="004F2D82">
        <w:rPr>
          <w:rFonts w:ascii="Times New Roman" w:eastAsia="Times New Roman" w:hAnsi="Times New Roman" w:cs="Times New Roman"/>
          <w:sz w:val="20"/>
          <w:szCs w:val="20"/>
        </w:rPr>
        <w:t>July 2014</w:t>
      </w:r>
      <w:r w:rsidRPr="004F2D82">
        <w:rPr>
          <w:rFonts w:ascii="Times New Roman" w:eastAsia="Times New Roman" w:hAnsi="Times New Roman" w:cs="Times New Roman"/>
          <w:sz w:val="20"/>
          <w:szCs w:val="20"/>
        </w:rPr>
        <w:t>), the Committee determined on a preliminary basis that the communication was admissible.</w:t>
      </w:r>
      <w:r w:rsidR="00D67F3A" w:rsidRPr="004F2D82">
        <w:rPr>
          <w:rFonts w:ascii="Times New Roman" w:eastAsia="Times New Roman" w:hAnsi="Times New Roman" w:cs="Times New Roman"/>
          <w:sz w:val="20"/>
          <w:szCs w:val="20"/>
        </w:rPr>
        <w:t xml:space="preserve"> </w:t>
      </w:r>
    </w:p>
    <w:p w14:paraId="0E426FFA" w14:textId="46D424D1" w:rsidR="00D14D7D" w:rsidRPr="004F2D82" w:rsidRDefault="00D14D7D"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 xml:space="preserve">Pursuant to paragraph 22 of the annex to decision I/7 of the Meeting of the Parties to the Convention, the communication was forwarded to the Party concerned on </w:t>
      </w:r>
      <w:r w:rsidR="00824ADE" w:rsidRPr="004F2D82">
        <w:rPr>
          <w:rFonts w:ascii="Times New Roman" w:eastAsia="Times New Roman" w:hAnsi="Times New Roman" w:cs="Times New Roman"/>
          <w:sz w:val="20"/>
          <w:szCs w:val="20"/>
        </w:rPr>
        <w:br/>
      </w:r>
      <w:r w:rsidR="00314868" w:rsidRPr="004F2D82">
        <w:rPr>
          <w:rFonts w:ascii="Times New Roman" w:eastAsia="Times New Roman" w:hAnsi="Times New Roman" w:cs="Times New Roman"/>
          <w:sz w:val="20"/>
          <w:szCs w:val="20"/>
        </w:rPr>
        <w:t>9</w:t>
      </w:r>
      <w:r w:rsidR="005906B0" w:rsidRPr="004F2D82">
        <w:rPr>
          <w:rFonts w:ascii="Times New Roman" w:eastAsia="Times New Roman" w:hAnsi="Times New Roman" w:cs="Times New Roman"/>
          <w:sz w:val="20"/>
          <w:szCs w:val="20"/>
        </w:rPr>
        <w:t xml:space="preserve"> </w:t>
      </w:r>
      <w:r w:rsidR="00314868" w:rsidRPr="004F2D82">
        <w:rPr>
          <w:rFonts w:ascii="Times New Roman" w:eastAsia="Times New Roman" w:hAnsi="Times New Roman" w:cs="Times New Roman"/>
          <w:sz w:val="20"/>
          <w:szCs w:val="20"/>
        </w:rPr>
        <w:t>September 2014</w:t>
      </w:r>
      <w:r w:rsidRPr="004F2D82">
        <w:rPr>
          <w:rFonts w:ascii="Times New Roman" w:eastAsia="Times New Roman" w:hAnsi="Times New Roman" w:cs="Times New Roman"/>
          <w:sz w:val="20"/>
          <w:szCs w:val="20"/>
        </w:rPr>
        <w:t>.</w:t>
      </w:r>
    </w:p>
    <w:p w14:paraId="25CE8F48" w14:textId="7AAD34FF" w:rsidR="003A1838" w:rsidRPr="004F2D82" w:rsidRDefault="00D14D7D"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 xml:space="preserve">The Party concerned </w:t>
      </w:r>
      <w:r w:rsidR="00573C28" w:rsidRPr="004F2D82">
        <w:rPr>
          <w:rFonts w:ascii="Times New Roman" w:eastAsia="Times New Roman" w:hAnsi="Times New Roman" w:cs="Times New Roman"/>
          <w:sz w:val="20"/>
          <w:szCs w:val="20"/>
        </w:rPr>
        <w:t>provided its response to the communication</w:t>
      </w:r>
      <w:r w:rsidRPr="004F2D82">
        <w:rPr>
          <w:rFonts w:ascii="Times New Roman" w:eastAsia="Times New Roman" w:hAnsi="Times New Roman" w:cs="Times New Roman"/>
          <w:sz w:val="20"/>
          <w:szCs w:val="20"/>
        </w:rPr>
        <w:t xml:space="preserve"> on </w:t>
      </w:r>
      <w:r w:rsidR="00314868" w:rsidRPr="004F2D82">
        <w:rPr>
          <w:rFonts w:ascii="Times New Roman" w:eastAsia="Times New Roman" w:hAnsi="Times New Roman" w:cs="Times New Roman"/>
          <w:sz w:val="20"/>
          <w:szCs w:val="20"/>
        </w:rPr>
        <w:t>9 February</w:t>
      </w:r>
      <w:r w:rsidR="003A1838" w:rsidRPr="004F2D82">
        <w:rPr>
          <w:rFonts w:ascii="Times New Roman" w:eastAsia="Times New Roman" w:hAnsi="Times New Roman" w:cs="Times New Roman"/>
          <w:sz w:val="20"/>
          <w:szCs w:val="20"/>
        </w:rPr>
        <w:t xml:space="preserve"> 201</w:t>
      </w:r>
      <w:r w:rsidR="00314868" w:rsidRPr="004F2D82">
        <w:rPr>
          <w:rFonts w:ascii="Times New Roman" w:eastAsia="Times New Roman" w:hAnsi="Times New Roman" w:cs="Times New Roman"/>
          <w:sz w:val="20"/>
          <w:szCs w:val="20"/>
        </w:rPr>
        <w:t>5</w:t>
      </w:r>
      <w:r w:rsidR="003A1838" w:rsidRPr="004F2D82">
        <w:rPr>
          <w:rFonts w:ascii="Times New Roman" w:eastAsia="Times New Roman" w:hAnsi="Times New Roman" w:cs="Times New Roman"/>
          <w:sz w:val="20"/>
          <w:szCs w:val="20"/>
        </w:rPr>
        <w:t>.</w:t>
      </w:r>
    </w:p>
    <w:p w14:paraId="236E99C0" w14:textId="0242F44B" w:rsidR="00466A68" w:rsidRPr="004F2D82" w:rsidRDefault="005906B0"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 xml:space="preserve">On </w:t>
      </w:r>
      <w:r w:rsidR="0035670D" w:rsidRPr="004F2D82">
        <w:rPr>
          <w:rFonts w:ascii="Times New Roman" w:eastAsia="Times New Roman" w:hAnsi="Times New Roman" w:cs="Times New Roman"/>
          <w:sz w:val="20"/>
          <w:szCs w:val="20"/>
        </w:rPr>
        <w:t>1</w:t>
      </w:r>
      <w:r w:rsidR="00F63AD5" w:rsidRPr="004F2D82">
        <w:rPr>
          <w:rFonts w:ascii="Times New Roman" w:eastAsia="Times New Roman" w:hAnsi="Times New Roman" w:cs="Times New Roman"/>
          <w:sz w:val="20"/>
          <w:szCs w:val="20"/>
        </w:rPr>
        <w:t>7</w:t>
      </w:r>
      <w:r w:rsidR="0035670D" w:rsidRPr="004F2D82">
        <w:rPr>
          <w:rFonts w:ascii="Times New Roman" w:eastAsia="Times New Roman" w:hAnsi="Times New Roman" w:cs="Times New Roman"/>
          <w:sz w:val="20"/>
          <w:szCs w:val="20"/>
        </w:rPr>
        <w:t xml:space="preserve"> March 2015</w:t>
      </w:r>
      <w:r w:rsidR="00466A68" w:rsidRPr="004F2D82">
        <w:rPr>
          <w:rFonts w:ascii="Times New Roman" w:eastAsia="Times New Roman" w:hAnsi="Times New Roman" w:cs="Times New Roman"/>
          <w:sz w:val="20"/>
          <w:szCs w:val="20"/>
        </w:rPr>
        <w:t>, the communicant</w:t>
      </w:r>
      <w:r w:rsidR="00573C28" w:rsidRPr="004F2D82">
        <w:rPr>
          <w:rFonts w:ascii="Times New Roman" w:eastAsia="Times New Roman" w:hAnsi="Times New Roman" w:cs="Times New Roman"/>
          <w:sz w:val="20"/>
          <w:szCs w:val="20"/>
        </w:rPr>
        <w:t>s</w:t>
      </w:r>
      <w:r w:rsidR="00466A68" w:rsidRPr="004F2D82">
        <w:rPr>
          <w:rFonts w:ascii="Times New Roman" w:eastAsia="Times New Roman" w:hAnsi="Times New Roman" w:cs="Times New Roman"/>
          <w:sz w:val="20"/>
          <w:szCs w:val="20"/>
        </w:rPr>
        <w:t xml:space="preserve"> provided comments on the response of the Party concerned.</w:t>
      </w:r>
    </w:p>
    <w:p w14:paraId="005B7F3F" w14:textId="7F694759" w:rsidR="005906B0" w:rsidRPr="004F2D82" w:rsidRDefault="00466A68"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 xml:space="preserve">By letter of 20 May 2015, the Committee </w:t>
      </w:r>
      <w:r w:rsidR="009243CD" w:rsidRPr="004F2D82">
        <w:rPr>
          <w:rFonts w:ascii="Times New Roman" w:eastAsia="Times New Roman" w:hAnsi="Times New Roman" w:cs="Times New Roman"/>
          <w:sz w:val="20"/>
          <w:szCs w:val="20"/>
        </w:rPr>
        <w:t xml:space="preserve">enquired </w:t>
      </w:r>
      <w:r w:rsidRPr="004F2D82">
        <w:rPr>
          <w:rFonts w:ascii="Times New Roman" w:eastAsia="Times New Roman" w:hAnsi="Times New Roman" w:cs="Times New Roman"/>
          <w:sz w:val="20"/>
          <w:szCs w:val="20"/>
        </w:rPr>
        <w:t>with the communicant</w:t>
      </w:r>
      <w:r w:rsidR="00573C28" w:rsidRPr="004F2D82">
        <w:rPr>
          <w:rFonts w:ascii="Times New Roman" w:eastAsia="Times New Roman" w:hAnsi="Times New Roman" w:cs="Times New Roman"/>
          <w:sz w:val="20"/>
          <w:szCs w:val="20"/>
        </w:rPr>
        <w:t>s</w:t>
      </w:r>
      <w:r w:rsidRPr="004F2D82">
        <w:rPr>
          <w:rFonts w:ascii="Times New Roman" w:eastAsia="Times New Roman" w:hAnsi="Times New Roman" w:cs="Times New Roman"/>
          <w:sz w:val="20"/>
          <w:szCs w:val="20"/>
        </w:rPr>
        <w:t xml:space="preserve"> as to whether the London Borough of Hillingdon</w:t>
      </w:r>
      <w:r w:rsidR="0035670D" w:rsidRPr="004F2D82">
        <w:rPr>
          <w:rFonts w:ascii="Times New Roman" w:eastAsia="Times New Roman" w:hAnsi="Times New Roman" w:cs="Times New Roman"/>
          <w:sz w:val="20"/>
          <w:szCs w:val="20"/>
        </w:rPr>
        <w:t xml:space="preserve"> </w:t>
      </w:r>
      <w:r w:rsidRPr="004F2D82">
        <w:rPr>
          <w:rFonts w:ascii="Times New Roman" w:eastAsia="Times New Roman" w:hAnsi="Times New Roman" w:cs="Times New Roman"/>
          <w:sz w:val="20"/>
          <w:szCs w:val="20"/>
        </w:rPr>
        <w:t xml:space="preserve">constituted a member of the public </w:t>
      </w:r>
      <w:r w:rsidR="00F63AD5" w:rsidRPr="004F2D82">
        <w:rPr>
          <w:rFonts w:ascii="Times New Roman" w:eastAsia="Times New Roman" w:hAnsi="Times New Roman" w:cs="Times New Roman"/>
          <w:sz w:val="20"/>
          <w:szCs w:val="20"/>
        </w:rPr>
        <w:t xml:space="preserve">and </w:t>
      </w:r>
      <w:r w:rsidRPr="004F2D82">
        <w:rPr>
          <w:rFonts w:ascii="Times New Roman" w:eastAsia="Times New Roman" w:hAnsi="Times New Roman" w:cs="Times New Roman"/>
          <w:sz w:val="20"/>
          <w:szCs w:val="20"/>
        </w:rPr>
        <w:t xml:space="preserve">on </w:t>
      </w:r>
      <w:r w:rsidR="0035670D" w:rsidRPr="004F2D82">
        <w:rPr>
          <w:rFonts w:ascii="Times New Roman" w:eastAsia="Times New Roman" w:hAnsi="Times New Roman" w:cs="Times New Roman"/>
          <w:sz w:val="20"/>
          <w:szCs w:val="20"/>
        </w:rPr>
        <w:t>4</w:t>
      </w:r>
      <w:r w:rsidR="00F63AD5" w:rsidRPr="004F2D82">
        <w:rPr>
          <w:rFonts w:ascii="Times New Roman" w:eastAsia="Times New Roman" w:hAnsi="Times New Roman" w:cs="Times New Roman"/>
          <w:sz w:val="20"/>
          <w:szCs w:val="20"/>
        </w:rPr>
        <w:t xml:space="preserve"> </w:t>
      </w:r>
      <w:r w:rsidR="0035670D" w:rsidRPr="004F2D82">
        <w:rPr>
          <w:rFonts w:ascii="Times New Roman" w:eastAsia="Times New Roman" w:hAnsi="Times New Roman" w:cs="Times New Roman"/>
          <w:sz w:val="20"/>
          <w:szCs w:val="20"/>
        </w:rPr>
        <w:t xml:space="preserve">June </w:t>
      </w:r>
      <w:r w:rsidR="005906B0" w:rsidRPr="004F2D82">
        <w:rPr>
          <w:rFonts w:ascii="Times New Roman" w:eastAsia="Times New Roman" w:hAnsi="Times New Roman" w:cs="Times New Roman"/>
          <w:sz w:val="20"/>
          <w:szCs w:val="20"/>
        </w:rPr>
        <w:t>201</w:t>
      </w:r>
      <w:r w:rsidR="0035670D" w:rsidRPr="004F2D82">
        <w:rPr>
          <w:rFonts w:ascii="Times New Roman" w:eastAsia="Times New Roman" w:hAnsi="Times New Roman" w:cs="Times New Roman"/>
          <w:sz w:val="20"/>
          <w:szCs w:val="20"/>
        </w:rPr>
        <w:t>5</w:t>
      </w:r>
      <w:r w:rsidR="006C4B0A" w:rsidRPr="004F2D82">
        <w:rPr>
          <w:rFonts w:ascii="Times New Roman" w:eastAsia="Times New Roman" w:hAnsi="Times New Roman" w:cs="Times New Roman"/>
          <w:sz w:val="20"/>
          <w:szCs w:val="20"/>
        </w:rPr>
        <w:t xml:space="preserve"> </w:t>
      </w:r>
      <w:r w:rsidR="005906B0" w:rsidRPr="004F2D82">
        <w:rPr>
          <w:rFonts w:ascii="Times New Roman" w:eastAsia="Times New Roman" w:hAnsi="Times New Roman" w:cs="Times New Roman"/>
          <w:sz w:val="20"/>
          <w:szCs w:val="20"/>
        </w:rPr>
        <w:t>the communicant</w:t>
      </w:r>
      <w:r w:rsidR="00DB4172" w:rsidRPr="004F2D82">
        <w:rPr>
          <w:rFonts w:ascii="Times New Roman" w:eastAsia="Times New Roman" w:hAnsi="Times New Roman" w:cs="Times New Roman"/>
          <w:sz w:val="20"/>
          <w:szCs w:val="20"/>
        </w:rPr>
        <w:t>s</w:t>
      </w:r>
      <w:r w:rsidR="005906B0" w:rsidRPr="004F2D82">
        <w:rPr>
          <w:rFonts w:ascii="Times New Roman" w:eastAsia="Times New Roman" w:hAnsi="Times New Roman" w:cs="Times New Roman"/>
          <w:sz w:val="20"/>
          <w:szCs w:val="20"/>
        </w:rPr>
        <w:t xml:space="preserve"> </w:t>
      </w:r>
      <w:r w:rsidRPr="004F2D82">
        <w:rPr>
          <w:rFonts w:ascii="Times New Roman" w:eastAsia="Times New Roman" w:hAnsi="Times New Roman" w:cs="Times New Roman"/>
          <w:sz w:val="20"/>
          <w:szCs w:val="20"/>
        </w:rPr>
        <w:t xml:space="preserve">replied to this </w:t>
      </w:r>
      <w:r w:rsidR="009243CD" w:rsidRPr="004F2D82">
        <w:rPr>
          <w:rFonts w:ascii="Times New Roman" w:eastAsia="Times New Roman" w:hAnsi="Times New Roman" w:cs="Times New Roman"/>
          <w:sz w:val="20"/>
          <w:szCs w:val="20"/>
        </w:rPr>
        <w:t>enquiry</w:t>
      </w:r>
      <w:r w:rsidR="005906B0" w:rsidRPr="004F2D82">
        <w:rPr>
          <w:rFonts w:ascii="Times New Roman" w:eastAsia="Times New Roman" w:hAnsi="Times New Roman" w:cs="Times New Roman"/>
          <w:sz w:val="20"/>
          <w:szCs w:val="20"/>
        </w:rPr>
        <w:t>.</w:t>
      </w:r>
    </w:p>
    <w:p w14:paraId="686464EA" w14:textId="3D2B271C" w:rsidR="00C168E1" w:rsidRPr="004F2D82" w:rsidRDefault="00C168E1"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bookmarkStart w:id="0" w:name="_Ref495315355"/>
      <w:r w:rsidRPr="004F2D82">
        <w:rPr>
          <w:rFonts w:ascii="Times New Roman" w:eastAsia="Times New Roman" w:hAnsi="Times New Roman" w:cs="Times New Roman"/>
          <w:sz w:val="20"/>
          <w:szCs w:val="20"/>
        </w:rPr>
        <w:t>At its forty-ninth meeting (Geneva, 30 June</w:t>
      </w:r>
      <w:r w:rsidR="00D67F3A" w:rsidRPr="004F2D82">
        <w:t>—</w:t>
      </w:r>
      <w:r w:rsidRPr="004F2D82">
        <w:rPr>
          <w:rFonts w:ascii="Times New Roman" w:eastAsia="Times New Roman" w:hAnsi="Times New Roman" w:cs="Times New Roman"/>
          <w:sz w:val="20"/>
          <w:szCs w:val="20"/>
        </w:rPr>
        <w:t>3 July 2015), the Committee found</w:t>
      </w:r>
      <w:r w:rsidR="00D67F3A" w:rsidRPr="004F2D82">
        <w:rPr>
          <w:rFonts w:ascii="Times New Roman" w:eastAsia="Times New Roman" w:hAnsi="Times New Roman" w:cs="Times New Roman"/>
          <w:sz w:val="20"/>
          <w:szCs w:val="20"/>
        </w:rPr>
        <w:t xml:space="preserve"> </w:t>
      </w:r>
      <w:r w:rsidRPr="004F2D82">
        <w:rPr>
          <w:rFonts w:ascii="Times New Roman" w:eastAsia="Times New Roman" w:hAnsi="Times New Roman" w:cs="Times New Roman"/>
          <w:sz w:val="20"/>
          <w:szCs w:val="20"/>
        </w:rPr>
        <w:t>that the London Borough of Hillingdon was not a member of the public for the purposes of article 15 of the Convention and was thus unable to submit a communication to the Committee under paragraph 18 of the annex to decision I/7 of the Meeting of the Parties.</w:t>
      </w:r>
      <w:r w:rsidRPr="004F2D82">
        <w:rPr>
          <w:rFonts w:ascii="Times New Roman" w:hAnsi="Times New Roman" w:cs="Times New Roman"/>
          <w:sz w:val="20"/>
          <w:szCs w:val="20"/>
        </w:rPr>
        <w:t xml:space="preserve"> </w:t>
      </w:r>
      <w:r w:rsidRPr="004F2D82">
        <w:rPr>
          <w:rFonts w:ascii="Times New Roman" w:eastAsia="Times New Roman" w:hAnsi="Times New Roman" w:cs="Times New Roman"/>
          <w:sz w:val="20"/>
          <w:szCs w:val="20"/>
        </w:rPr>
        <w:t>It re-confirmed its earlier determination of preliminary admissibility with respect to the other two communicants.</w:t>
      </w:r>
      <w:bookmarkEnd w:id="0"/>
      <w:r w:rsidR="00B40CA2" w:rsidRPr="004F2D82">
        <w:rPr>
          <w:rFonts w:ascii="Times New Roman" w:eastAsia="Times New Roman" w:hAnsi="Times New Roman" w:cs="Times New Roman"/>
          <w:sz w:val="20"/>
          <w:szCs w:val="20"/>
        </w:rPr>
        <w:t xml:space="preserve"> </w:t>
      </w:r>
    </w:p>
    <w:p w14:paraId="7AC93CC6" w14:textId="693DF65C" w:rsidR="00466A68" w:rsidRPr="004F2D82" w:rsidRDefault="00466A68"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On 29 August 2015, an observer</w:t>
      </w:r>
      <w:r w:rsidR="000E1310" w:rsidRPr="004F2D82">
        <w:rPr>
          <w:rFonts w:ascii="Times New Roman" w:eastAsia="Times New Roman" w:hAnsi="Times New Roman" w:cs="Times New Roman"/>
          <w:sz w:val="20"/>
          <w:szCs w:val="20"/>
        </w:rPr>
        <w:t>,</w:t>
      </w:r>
      <w:r w:rsidRPr="004F2D82">
        <w:rPr>
          <w:rFonts w:ascii="Times New Roman" w:eastAsia="Times New Roman" w:hAnsi="Times New Roman" w:cs="Times New Roman"/>
          <w:sz w:val="20"/>
          <w:szCs w:val="20"/>
        </w:rPr>
        <w:t xml:space="preserve"> Ms. </w:t>
      </w:r>
      <w:proofErr w:type="spellStart"/>
      <w:r w:rsidRPr="004F2D82">
        <w:rPr>
          <w:rFonts w:ascii="Times New Roman" w:eastAsia="Times New Roman" w:hAnsi="Times New Roman" w:cs="Times New Roman"/>
          <w:sz w:val="20"/>
          <w:szCs w:val="20"/>
        </w:rPr>
        <w:t>Boman-Behram</w:t>
      </w:r>
      <w:proofErr w:type="spellEnd"/>
      <w:r w:rsidR="000E1310" w:rsidRPr="004F2D82">
        <w:rPr>
          <w:rFonts w:ascii="Times New Roman" w:eastAsia="Times New Roman" w:hAnsi="Times New Roman" w:cs="Times New Roman"/>
          <w:sz w:val="20"/>
          <w:szCs w:val="20"/>
        </w:rPr>
        <w:t>,</w:t>
      </w:r>
      <w:r w:rsidRPr="004F2D82">
        <w:rPr>
          <w:rFonts w:ascii="Times New Roman" w:eastAsia="Times New Roman" w:hAnsi="Times New Roman" w:cs="Times New Roman"/>
          <w:sz w:val="20"/>
          <w:szCs w:val="20"/>
        </w:rPr>
        <w:t xml:space="preserve"> submitted a statement for the Committee</w:t>
      </w:r>
      <w:r w:rsidR="00573C28" w:rsidRPr="004F2D82">
        <w:rPr>
          <w:rFonts w:ascii="Times New Roman" w:eastAsia="Times New Roman" w:hAnsi="Times New Roman" w:cs="Times New Roman"/>
          <w:sz w:val="20"/>
          <w:szCs w:val="20"/>
        </w:rPr>
        <w:t>’s consideration in the case</w:t>
      </w:r>
      <w:r w:rsidRPr="004F2D82">
        <w:rPr>
          <w:rFonts w:ascii="Times New Roman" w:eastAsia="Times New Roman" w:hAnsi="Times New Roman" w:cs="Times New Roman"/>
          <w:sz w:val="20"/>
          <w:szCs w:val="20"/>
        </w:rPr>
        <w:t>.</w:t>
      </w:r>
    </w:p>
    <w:p w14:paraId="06C7EE9C" w14:textId="7B06AA88" w:rsidR="00466A68" w:rsidRPr="004F2D82" w:rsidRDefault="00466A68"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lastRenderedPageBreak/>
        <w:t>By letter of 29 September 2015, the Party concerned requested to move back the date</w:t>
      </w:r>
      <w:r w:rsidR="00151295" w:rsidRPr="004F2D82">
        <w:rPr>
          <w:rFonts w:ascii="Times New Roman" w:eastAsia="Times New Roman" w:hAnsi="Times New Roman" w:cs="Times New Roman"/>
          <w:sz w:val="20"/>
          <w:szCs w:val="20"/>
        </w:rPr>
        <w:t xml:space="preserve"> for the hearing on the communication</w:t>
      </w:r>
      <w:r w:rsidRPr="004F2D82">
        <w:rPr>
          <w:rFonts w:ascii="Times New Roman" w:eastAsia="Times New Roman" w:hAnsi="Times New Roman" w:cs="Times New Roman"/>
          <w:sz w:val="20"/>
          <w:szCs w:val="20"/>
        </w:rPr>
        <w:t xml:space="preserve"> to 2016. On 30 September 2015, the communicant commented on this request, the Party concerned replied by letter of 2 October 2015 and the communicant replied in turn by letter of 4 October 2015.</w:t>
      </w:r>
    </w:p>
    <w:p w14:paraId="512D4F4E" w14:textId="543FA1BB" w:rsidR="005906B0" w:rsidRPr="004F2D82" w:rsidRDefault="005906B0"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 xml:space="preserve">At its </w:t>
      </w:r>
      <w:r w:rsidR="00B40CA2" w:rsidRPr="004F2D82">
        <w:rPr>
          <w:rFonts w:ascii="Times New Roman" w:eastAsia="Times New Roman" w:hAnsi="Times New Roman" w:cs="Times New Roman"/>
          <w:sz w:val="20"/>
          <w:szCs w:val="20"/>
        </w:rPr>
        <w:t>fiftieth</w:t>
      </w:r>
      <w:r w:rsidR="00DA3094" w:rsidRPr="004F2D82">
        <w:rPr>
          <w:rFonts w:ascii="Times New Roman" w:eastAsia="Times New Roman" w:hAnsi="Times New Roman" w:cs="Times New Roman"/>
          <w:sz w:val="20"/>
          <w:szCs w:val="20"/>
        </w:rPr>
        <w:t xml:space="preserve"> meeting (Geneva, </w:t>
      </w:r>
      <w:r w:rsidR="00B40CA2" w:rsidRPr="004F2D82">
        <w:rPr>
          <w:rFonts w:ascii="Times New Roman" w:eastAsia="Times New Roman" w:hAnsi="Times New Roman" w:cs="Times New Roman"/>
          <w:sz w:val="20"/>
          <w:szCs w:val="20"/>
        </w:rPr>
        <w:t>6</w:t>
      </w:r>
      <w:r w:rsidR="009C6BC5" w:rsidRPr="004F2D82">
        <w:t>—</w:t>
      </w:r>
      <w:r w:rsidR="00B40CA2" w:rsidRPr="004F2D82">
        <w:rPr>
          <w:rFonts w:ascii="Times New Roman" w:eastAsia="Times New Roman" w:hAnsi="Times New Roman" w:cs="Times New Roman"/>
          <w:sz w:val="20"/>
          <w:szCs w:val="20"/>
        </w:rPr>
        <w:t xml:space="preserve">9 October </w:t>
      </w:r>
      <w:r w:rsidR="00DA3094" w:rsidRPr="004F2D82">
        <w:rPr>
          <w:rFonts w:ascii="Times New Roman" w:eastAsia="Times New Roman" w:hAnsi="Times New Roman" w:cs="Times New Roman"/>
          <w:sz w:val="20"/>
          <w:szCs w:val="20"/>
        </w:rPr>
        <w:t>2015)</w:t>
      </w:r>
      <w:r w:rsidRPr="004F2D82">
        <w:rPr>
          <w:rFonts w:ascii="Times New Roman" w:eastAsia="Times New Roman" w:hAnsi="Times New Roman" w:cs="Times New Roman"/>
          <w:sz w:val="20"/>
          <w:szCs w:val="20"/>
        </w:rPr>
        <w:t xml:space="preserve">, </w:t>
      </w:r>
      <w:r w:rsidR="00B40CA2" w:rsidRPr="004F2D82">
        <w:rPr>
          <w:rFonts w:ascii="Times New Roman" w:eastAsia="Times New Roman" w:hAnsi="Times New Roman" w:cs="Times New Roman"/>
          <w:sz w:val="20"/>
          <w:szCs w:val="20"/>
        </w:rPr>
        <w:t>a</w:t>
      </w:r>
      <w:r w:rsidR="00DA3094" w:rsidRPr="004F2D82">
        <w:rPr>
          <w:rFonts w:ascii="Times New Roman" w:eastAsia="Times New Roman" w:hAnsi="Times New Roman" w:cs="Times New Roman"/>
          <w:sz w:val="20"/>
          <w:szCs w:val="20"/>
        </w:rPr>
        <w:t xml:space="preserve">fter </w:t>
      </w:r>
      <w:proofErr w:type="gramStart"/>
      <w:r w:rsidR="00DA3094" w:rsidRPr="004F2D82">
        <w:rPr>
          <w:rFonts w:ascii="Times New Roman" w:eastAsia="Times New Roman" w:hAnsi="Times New Roman" w:cs="Times New Roman"/>
          <w:sz w:val="20"/>
          <w:szCs w:val="20"/>
        </w:rPr>
        <w:t>taking into account</w:t>
      </w:r>
      <w:proofErr w:type="gramEnd"/>
      <w:r w:rsidR="00DA3094" w:rsidRPr="004F2D82">
        <w:rPr>
          <w:rFonts w:ascii="Times New Roman" w:eastAsia="Times New Roman" w:hAnsi="Times New Roman" w:cs="Times New Roman"/>
          <w:sz w:val="20"/>
          <w:szCs w:val="20"/>
        </w:rPr>
        <w:t xml:space="preserve"> the views of both parties, the Committee agreed to </w:t>
      </w:r>
      <w:r w:rsidR="00573C28" w:rsidRPr="004F2D82">
        <w:rPr>
          <w:rFonts w:ascii="Times New Roman" w:eastAsia="Times New Roman" w:hAnsi="Times New Roman" w:cs="Times New Roman"/>
          <w:sz w:val="20"/>
          <w:szCs w:val="20"/>
        </w:rPr>
        <w:t xml:space="preserve">hold the hearing to </w:t>
      </w:r>
      <w:r w:rsidR="00DA3094" w:rsidRPr="004F2D82">
        <w:rPr>
          <w:rFonts w:ascii="Times New Roman" w:eastAsia="Times New Roman" w:hAnsi="Times New Roman" w:cs="Times New Roman"/>
          <w:sz w:val="20"/>
          <w:szCs w:val="20"/>
        </w:rPr>
        <w:t>discuss the substance of the communication at its fifty-second meeting (Geneva, 8</w:t>
      </w:r>
      <w:r w:rsidR="00A33BED" w:rsidRPr="004F2D82">
        <w:t>—</w:t>
      </w:r>
      <w:r w:rsidR="00DA3094" w:rsidRPr="004F2D82">
        <w:rPr>
          <w:rFonts w:ascii="Times New Roman" w:eastAsia="Times New Roman" w:hAnsi="Times New Roman" w:cs="Times New Roman"/>
          <w:sz w:val="20"/>
          <w:szCs w:val="20"/>
        </w:rPr>
        <w:t>11 March 2016).</w:t>
      </w:r>
    </w:p>
    <w:p w14:paraId="59B425FF" w14:textId="3868AC74" w:rsidR="00B40CA2" w:rsidRPr="004F2D82" w:rsidRDefault="00B40CA2"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On 25 February 2016</w:t>
      </w:r>
      <w:r w:rsidR="000E1310" w:rsidRPr="004F2D82">
        <w:rPr>
          <w:rFonts w:ascii="Times New Roman" w:eastAsia="Times New Roman" w:hAnsi="Times New Roman" w:cs="Times New Roman"/>
          <w:sz w:val="20"/>
          <w:szCs w:val="20"/>
        </w:rPr>
        <w:t>,</w:t>
      </w:r>
      <w:r w:rsidRPr="004F2D82">
        <w:rPr>
          <w:rFonts w:ascii="Times New Roman" w:eastAsia="Times New Roman" w:hAnsi="Times New Roman" w:cs="Times New Roman"/>
          <w:sz w:val="20"/>
          <w:szCs w:val="20"/>
        </w:rPr>
        <w:t xml:space="preserve"> the Party concerned </w:t>
      </w:r>
      <w:r w:rsidR="00466A68" w:rsidRPr="004F2D82">
        <w:rPr>
          <w:rFonts w:ascii="Times New Roman" w:eastAsia="Times New Roman" w:hAnsi="Times New Roman" w:cs="Times New Roman"/>
          <w:sz w:val="20"/>
          <w:szCs w:val="20"/>
        </w:rPr>
        <w:t xml:space="preserve">submitted </w:t>
      </w:r>
      <w:r w:rsidRPr="004F2D82">
        <w:rPr>
          <w:rFonts w:ascii="Times New Roman" w:eastAsia="Times New Roman" w:hAnsi="Times New Roman" w:cs="Times New Roman"/>
          <w:sz w:val="20"/>
          <w:szCs w:val="20"/>
        </w:rPr>
        <w:t>additional information with a list of annexes mentioned therein.</w:t>
      </w:r>
      <w:r w:rsidR="00A33BED" w:rsidRPr="004F2D82">
        <w:rPr>
          <w:rFonts w:ascii="Times New Roman" w:eastAsia="Times New Roman" w:hAnsi="Times New Roman" w:cs="Times New Roman"/>
          <w:sz w:val="20"/>
          <w:szCs w:val="20"/>
        </w:rPr>
        <w:t xml:space="preserve"> </w:t>
      </w:r>
    </w:p>
    <w:p w14:paraId="6F22812C" w14:textId="4DE032D7" w:rsidR="00B40CA2" w:rsidRPr="004F2D82" w:rsidRDefault="00B40CA2"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bookmarkStart w:id="1" w:name="_Ref495315357"/>
      <w:r w:rsidRPr="004F2D82">
        <w:rPr>
          <w:rFonts w:ascii="Times New Roman" w:eastAsia="Times New Roman" w:hAnsi="Times New Roman" w:cs="Times New Roman"/>
          <w:sz w:val="20"/>
          <w:szCs w:val="20"/>
        </w:rPr>
        <w:t xml:space="preserve">On 3 March 2016, the </w:t>
      </w:r>
      <w:r w:rsidR="00844A9F" w:rsidRPr="004F2D82">
        <w:rPr>
          <w:rFonts w:ascii="Times New Roman" w:eastAsia="Times New Roman" w:hAnsi="Times New Roman" w:cs="Times New Roman"/>
          <w:sz w:val="20"/>
          <w:szCs w:val="20"/>
        </w:rPr>
        <w:t>communicants informed the Committee</w:t>
      </w:r>
      <w:r w:rsidRPr="004F2D82">
        <w:rPr>
          <w:rFonts w:ascii="Times New Roman" w:eastAsia="Times New Roman" w:hAnsi="Times New Roman" w:cs="Times New Roman"/>
          <w:sz w:val="20"/>
          <w:szCs w:val="20"/>
        </w:rPr>
        <w:t xml:space="preserve"> that Ms. Charlotte Jones </w:t>
      </w:r>
      <w:r w:rsidR="00543742" w:rsidRPr="004F2D82">
        <w:rPr>
          <w:rFonts w:ascii="Times New Roman" w:eastAsia="Times New Roman" w:hAnsi="Times New Roman" w:cs="Times New Roman"/>
          <w:sz w:val="20"/>
          <w:szCs w:val="20"/>
        </w:rPr>
        <w:t>had withdrawn from the communication</w:t>
      </w:r>
      <w:r w:rsidR="00770913" w:rsidRPr="004F2D82">
        <w:rPr>
          <w:rFonts w:ascii="Times New Roman" w:eastAsia="Times New Roman" w:hAnsi="Times New Roman" w:cs="Times New Roman"/>
          <w:sz w:val="20"/>
          <w:szCs w:val="20"/>
        </w:rPr>
        <w:t xml:space="preserve"> </w:t>
      </w:r>
      <w:r w:rsidRPr="004F2D82">
        <w:rPr>
          <w:rFonts w:ascii="Times New Roman" w:eastAsia="Times New Roman" w:hAnsi="Times New Roman" w:cs="Times New Roman"/>
          <w:sz w:val="20"/>
          <w:szCs w:val="20"/>
        </w:rPr>
        <w:t xml:space="preserve">leaving </w:t>
      </w:r>
      <w:r w:rsidR="002C3234" w:rsidRPr="004F2D82">
        <w:rPr>
          <w:rFonts w:ascii="Times New Roman" w:eastAsia="Times New Roman" w:hAnsi="Times New Roman" w:cs="Times New Roman"/>
          <w:sz w:val="20"/>
          <w:szCs w:val="20"/>
        </w:rPr>
        <w:t>High Speed 2</w:t>
      </w:r>
      <w:r w:rsidRPr="004F2D82">
        <w:rPr>
          <w:rFonts w:ascii="Times New Roman" w:eastAsia="Times New Roman" w:hAnsi="Times New Roman" w:cs="Times New Roman"/>
          <w:sz w:val="20"/>
          <w:szCs w:val="20"/>
        </w:rPr>
        <w:t xml:space="preserve"> Action Alliance Limited as the sole communicant.</w:t>
      </w:r>
      <w:bookmarkEnd w:id="1"/>
    </w:p>
    <w:p w14:paraId="6C4A0BEC" w14:textId="41A30B0C" w:rsidR="00466A68" w:rsidRPr="004F2D82" w:rsidRDefault="00466A68"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On 4 March 2016, an observer</w:t>
      </w:r>
      <w:r w:rsidR="000E1310" w:rsidRPr="004F2D82">
        <w:rPr>
          <w:rFonts w:ascii="Times New Roman" w:eastAsia="Times New Roman" w:hAnsi="Times New Roman" w:cs="Times New Roman"/>
          <w:sz w:val="20"/>
          <w:szCs w:val="20"/>
        </w:rPr>
        <w:t>,</w:t>
      </w:r>
      <w:r w:rsidRPr="004F2D82">
        <w:rPr>
          <w:rFonts w:ascii="Times New Roman" w:eastAsia="Times New Roman" w:hAnsi="Times New Roman" w:cs="Times New Roman"/>
          <w:sz w:val="20"/>
          <w:szCs w:val="20"/>
        </w:rPr>
        <w:t xml:space="preserve"> Mr. </w:t>
      </w:r>
      <w:proofErr w:type="spellStart"/>
      <w:r w:rsidRPr="004F2D82">
        <w:rPr>
          <w:rFonts w:ascii="Times New Roman" w:eastAsia="Times New Roman" w:hAnsi="Times New Roman" w:cs="Times New Roman"/>
          <w:sz w:val="20"/>
          <w:szCs w:val="20"/>
        </w:rPr>
        <w:t>Landells</w:t>
      </w:r>
      <w:proofErr w:type="spellEnd"/>
      <w:r w:rsidR="000E1310" w:rsidRPr="004F2D82">
        <w:rPr>
          <w:rFonts w:ascii="Times New Roman" w:eastAsia="Times New Roman" w:hAnsi="Times New Roman" w:cs="Times New Roman"/>
          <w:sz w:val="20"/>
          <w:szCs w:val="20"/>
        </w:rPr>
        <w:t>,</w:t>
      </w:r>
      <w:r w:rsidRPr="004F2D82">
        <w:rPr>
          <w:rFonts w:ascii="Times New Roman" w:eastAsia="Times New Roman" w:hAnsi="Times New Roman" w:cs="Times New Roman"/>
          <w:sz w:val="20"/>
          <w:szCs w:val="20"/>
        </w:rPr>
        <w:t xml:space="preserve"> submitted a statement for the Committee</w:t>
      </w:r>
      <w:r w:rsidR="00573C28" w:rsidRPr="004F2D82">
        <w:rPr>
          <w:rFonts w:ascii="Times New Roman" w:eastAsia="Times New Roman" w:hAnsi="Times New Roman" w:cs="Times New Roman"/>
          <w:sz w:val="20"/>
          <w:szCs w:val="20"/>
        </w:rPr>
        <w:t>’s consideration</w:t>
      </w:r>
      <w:r w:rsidRPr="004F2D82">
        <w:rPr>
          <w:rFonts w:ascii="Times New Roman" w:eastAsia="Times New Roman" w:hAnsi="Times New Roman" w:cs="Times New Roman"/>
          <w:sz w:val="20"/>
          <w:szCs w:val="20"/>
        </w:rPr>
        <w:t>.</w:t>
      </w:r>
    </w:p>
    <w:p w14:paraId="546FA040" w14:textId="37F9D50A" w:rsidR="00B40CA2" w:rsidRPr="004F2D82" w:rsidRDefault="00B40CA2" w:rsidP="00573C28">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The Committee held the hearing of the communication at its fifty-second meeting</w:t>
      </w:r>
      <w:r w:rsidR="00A33BED" w:rsidRPr="004F2D82">
        <w:rPr>
          <w:rFonts w:ascii="Times New Roman" w:eastAsia="Times New Roman" w:hAnsi="Times New Roman" w:cs="Times New Roman"/>
          <w:sz w:val="20"/>
          <w:szCs w:val="20"/>
        </w:rPr>
        <w:t xml:space="preserve"> (Geneva, 8</w:t>
      </w:r>
      <w:r w:rsidR="00A33BED" w:rsidRPr="004F2D82">
        <w:t>—</w:t>
      </w:r>
      <w:r w:rsidR="00A33BED" w:rsidRPr="004F2D82">
        <w:rPr>
          <w:rFonts w:ascii="Times New Roman" w:eastAsia="Times New Roman" w:hAnsi="Times New Roman" w:cs="Times New Roman"/>
          <w:sz w:val="20"/>
          <w:szCs w:val="20"/>
        </w:rPr>
        <w:t>11 March 2016)</w:t>
      </w:r>
      <w:r w:rsidRPr="004F2D82">
        <w:rPr>
          <w:rFonts w:ascii="Times New Roman" w:eastAsia="Times New Roman" w:hAnsi="Times New Roman" w:cs="Times New Roman"/>
          <w:sz w:val="20"/>
          <w:szCs w:val="20"/>
        </w:rPr>
        <w:t>, with the participation of representative</w:t>
      </w:r>
      <w:r w:rsidR="00573C28" w:rsidRPr="004F2D82">
        <w:rPr>
          <w:rFonts w:ascii="Times New Roman" w:eastAsia="Times New Roman" w:hAnsi="Times New Roman" w:cs="Times New Roman"/>
          <w:sz w:val="20"/>
          <w:szCs w:val="20"/>
        </w:rPr>
        <w:t>s</w:t>
      </w:r>
      <w:r w:rsidRPr="004F2D82">
        <w:rPr>
          <w:rFonts w:ascii="Times New Roman" w:eastAsia="Times New Roman" w:hAnsi="Times New Roman" w:cs="Times New Roman"/>
          <w:sz w:val="20"/>
          <w:szCs w:val="20"/>
        </w:rPr>
        <w:t xml:space="preserve"> of the communicant and Party concerned. During the hearing, the Committee confirmed </w:t>
      </w:r>
      <w:r w:rsidR="00573C28" w:rsidRPr="004F2D82">
        <w:rPr>
          <w:rFonts w:ascii="Times New Roman" w:eastAsia="Times New Roman" w:hAnsi="Times New Roman" w:cs="Times New Roman"/>
          <w:sz w:val="20"/>
          <w:szCs w:val="20"/>
        </w:rPr>
        <w:t xml:space="preserve">its determination </w:t>
      </w:r>
      <w:r w:rsidRPr="004F2D82">
        <w:rPr>
          <w:rFonts w:ascii="Times New Roman" w:eastAsia="Times New Roman" w:hAnsi="Times New Roman" w:cs="Times New Roman"/>
          <w:sz w:val="20"/>
          <w:szCs w:val="20"/>
        </w:rPr>
        <w:t xml:space="preserve">that </w:t>
      </w:r>
      <w:r w:rsidR="00573C28" w:rsidRPr="004F2D82">
        <w:rPr>
          <w:rFonts w:ascii="Times New Roman" w:eastAsia="Times New Roman" w:hAnsi="Times New Roman" w:cs="Times New Roman"/>
          <w:sz w:val="20"/>
          <w:szCs w:val="20"/>
        </w:rPr>
        <w:t xml:space="preserve">the </w:t>
      </w:r>
      <w:r w:rsidRPr="004F2D82">
        <w:rPr>
          <w:rFonts w:ascii="Times New Roman" w:eastAsia="Times New Roman" w:hAnsi="Times New Roman" w:cs="Times New Roman"/>
          <w:sz w:val="20"/>
          <w:szCs w:val="20"/>
        </w:rPr>
        <w:t xml:space="preserve">communication was admissible. </w:t>
      </w:r>
    </w:p>
    <w:p w14:paraId="493E56C0" w14:textId="6BC1623A" w:rsidR="00026537" w:rsidRPr="004F2D82" w:rsidRDefault="000E1310"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On 26 September 2016, t</w:t>
      </w:r>
      <w:r w:rsidR="00026537" w:rsidRPr="004F2D82">
        <w:rPr>
          <w:rFonts w:ascii="Times New Roman" w:eastAsia="Times New Roman" w:hAnsi="Times New Roman" w:cs="Times New Roman"/>
          <w:sz w:val="20"/>
          <w:szCs w:val="20"/>
        </w:rPr>
        <w:t>he Committee sent question</w:t>
      </w:r>
      <w:r w:rsidR="00A33BED" w:rsidRPr="004F2D82">
        <w:rPr>
          <w:rFonts w:ascii="Times New Roman" w:eastAsia="Times New Roman" w:hAnsi="Times New Roman" w:cs="Times New Roman"/>
          <w:sz w:val="20"/>
          <w:szCs w:val="20"/>
        </w:rPr>
        <w:t>s</w:t>
      </w:r>
      <w:r w:rsidR="00026537" w:rsidRPr="004F2D82">
        <w:rPr>
          <w:rFonts w:ascii="Times New Roman" w:eastAsia="Times New Roman" w:hAnsi="Times New Roman" w:cs="Times New Roman"/>
          <w:sz w:val="20"/>
          <w:szCs w:val="20"/>
        </w:rPr>
        <w:t xml:space="preserve"> to the communicant and the Party concerned</w:t>
      </w:r>
      <w:r w:rsidRPr="004F2D82">
        <w:rPr>
          <w:rFonts w:ascii="Times New Roman" w:eastAsia="Times New Roman" w:hAnsi="Times New Roman" w:cs="Times New Roman"/>
          <w:sz w:val="20"/>
          <w:szCs w:val="20"/>
        </w:rPr>
        <w:t xml:space="preserve"> for their reply</w:t>
      </w:r>
      <w:r w:rsidR="00026537" w:rsidRPr="004F2D82">
        <w:rPr>
          <w:rFonts w:ascii="Times New Roman" w:eastAsia="Times New Roman" w:hAnsi="Times New Roman" w:cs="Times New Roman"/>
          <w:sz w:val="20"/>
          <w:szCs w:val="20"/>
        </w:rPr>
        <w:t xml:space="preserve">. The communicant submitted its </w:t>
      </w:r>
      <w:r w:rsidR="00466A68" w:rsidRPr="004F2D82">
        <w:rPr>
          <w:rFonts w:ascii="Times New Roman" w:eastAsia="Times New Roman" w:hAnsi="Times New Roman" w:cs="Times New Roman"/>
          <w:sz w:val="20"/>
          <w:szCs w:val="20"/>
        </w:rPr>
        <w:t xml:space="preserve">replies </w:t>
      </w:r>
      <w:r w:rsidR="00026537" w:rsidRPr="004F2D82">
        <w:rPr>
          <w:rFonts w:ascii="Times New Roman" w:eastAsia="Times New Roman" w:hAnsi="Times New Roman" w:cs="Times New Roman"/>
          <w:sz w:val="20"/>
          <w:szCs w:val="20"/>
        </w:rPr>
        <w:t xml:space="preserve">on 28 October 2016 and the Party concerned submitted its </w:t>
      </w:r>
      <w:r w:rsidR="00466A68" w:rsidRPr="004F2D82">
        <w:rPr>
          <w:rFonts w:ascii="Times New Roman" w:eastAsia="Times New Roman" w:hAnsi="Times New Roman" w:cs="Times New Roman"/>
          <w:sz w:val="20"/>
          <w:szCs w:val="20"/>
        </w:rPr>
        <w:t xml:space="preserve">replies </w:t>
      </w:r>
      <w:r w:rsidR="00026537" w:rsidRPr="004F2D82">
        <w:rPr>
          <w:rFonts w:ascii="Times New Roman" w:eastAsia="Times New Roman" w:hAnsi="Times New Roman" w:cs="Times New Roman"/>
          <w:sz w:val="20"/>
          <w:szCs w:val="20"/>
        </w:rPr>
        <w:t>on 31 October 2016.</w:t>
      </w:r>
      <w:r w:rsidR="00466A68" w:rsidRPr="004F2D82">
        <w:rPr>
          <w:rFonts w:ascii="Times New Roman" w:eastAsia="Times New Roman" w:hAnsi="Times New Roman" w:cs="Times New Roman"/>
          <w:sz w:val="20"/>
          <w:szCs w:val="20"/>
        </w:rPr>
        <w:t xml:space="preserve"> On 11 November 2016, the communicant and the Party concerned provided comments on the other party</w:t>
      </w:r>
      <w:r w:rsidR="00573C28" w:rsidRPr="004F2D82">
        <w:rPr>
          <w:rFonts w:ascii="Times New Roman" w:eastAsia="Times New Roman" w:hAnsi="Times New Roman" w:cs="Times New Roman"/>
          <w:sz w:val="20"/>
          <w:szCs w:val="20"/>
        </w:rPr>
        <w:t>’s replies</w:t>
      </w:r>
      <w:r w:rsidR="00466A68" w:rsidRPr="004F2D82">
        <w:rPr>
          <w:rFonts w:ascii="Times New Roman" w:eastAsia="Times New Roman" w:hAnsi="Times New Roman" w:cs="Times New Roman"/>
          <w:sz w:val="20"/>
          <w:szCs w:val="20"/>
        </w:rPr>
        <w:t>.</w:t>
      </w:r>
    </w:p>
    <w:p w14:paraId="451A8E93" w14:textId="686C69AC" w:rsidR="00466A68" w:rsidRPr="004F2D82" w:rsidRDefault="00466A68"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r w:rsidRPr="004F2D82">
        <w:rPr>
          <w:rFonts w:ascii="Times New Roman" w:eastAsia="Times New Roman" w:hAnsi="Times New Roman" w:cs="Times New Roman"/>
          <w:sz w:val="20"/>
          <w:szCs w:val="20"/>
        </w:rPr>
        <w:t>The Committee received further statements from observers</w:t>
      </w:r>
      <w:r w:rsidR="000E1310" w:rsidRPr="004F2D82">
        <w:rPr>
          <w:rFonts w:ascii="Times New Roman" w:eastAsia="Times New Roman" w:hAnsi="Times New Roman" w:cs="Times New Roman"/>
          <w:sz w:val="20"/>
          <w:szCs w:val="20"/>
        </w:rPr>
        <w:t>, namely</w:t>
      </w:r>
      <w:r w:rsidRPr="004F2D82">
        <w:rPr>
          <w:rFonts w:ascii="Times New Roman" w:eastAsia="Times New Roman" w:hAnsi="Times New Roman" w:cs="Times New Roman"/>
          <w:sz w:val="20"/>
          <w:szCs w:val="20"/>
        </w:rPr>
        <w:t xml:space="preserve"> on 21 October 2016 from Ms. </w:t>
      </w:r>
      <w:proofErr w:type="spellStart"/>
      <w:r w:rsidRPr="004F2D82">
        <w:rPr>
          <w:rFonts w:ascii="Times New Roman" w:eastAsia="Times New Roman" w:hAnsi="Times New Roman" w:cs="Times New Roman"/>
          <w:sz w:val="20"/>
          <w:szCs w:val="20"/>
        </w:rPr>
        <w:t>Rispin</w:t>
      </w:r>
      <w:proofErr w:type="spellEnd"/>
      <w:r w:rsidR="000E1310" w:rsidRPr="004F2D82">
        <w:rPr>
          <w:rFonts w:ascii="Times New Roman" w:eastAsia="Times New Roman" w:hAnsi="Times New Roman" w:cs="Times New Roman"/>
          <w:sz w:val="20"/>
          <w:szCs w:val="20"/>
        </w:rPr>
        <w:t>,</w:t>
      </w:r>
      <w:r w:rsidRPr="004F2D82">
        <w:rPr>
          <w:rFonts w:ascii="Times New Roman" w:eastAsia="Times New Roman" w:hAnsi="Times New Roman" w:cs="Times New Roman"/>
          <w:sz w:val="20"/>
          <w:szCs w:val="20"/>
        </w:rPr>
        <w:t xml:space="preserve"> and on 10 December 2016</w:t>
      </w:r>
      <w:r w:rsidR="000E1310" w:rsidRPr="004F2D82">
        <w:rPr>
          <w:rFonts w:ascii="Times New Roman" w:eastAsia="Times New Roman" w:hAnsi="Times New Roman" w:cs="Times New Roman"/>
          <w:sz w:val="20"/>
          <w:szCs w:val="20"/>
        </w:rPr>
        <w:t>,</w:t>
      </w:r>
      <w:r w:rsidRPr="004F2D82">
        <w:rPr>
          <w:rFonts w:ascii="Times New Roman" w:eastAsia="Times New Roman" w:hAnsi="Times New Roman" w:cs="Times New Roman"/>
          <w:sz w:val="20"/>
          <w:szCs w:val="20"/>
        </w:rPr>
        <w:t xml:space="preserve"> from Ms. </w:t>
      </w:r>
      <w:proofErr w:type="spellStart"/>
      <w:r w:rsidRPr="004F2D82">
        <w:rPr>
          <w:rFonts w:ascii="Times New Roman" w:eastAsia="Times New Roman" w:hAnsi="Times New Roman" w:cs="Times New Roman"/>
          <w:sz w:val="20"/>
          <w:szCs w:val="20"/>
        </w:rPr>
        <w:t>Boman-Behram</w:t>
      </w:r>
      <w:proofErr w:type="spellEnd"/>
      <w:r w:rsidRPr="004F2D82">
        <w:rPr>
          <w:rFonts w:ascii="Times New Roman" w:eastAsia="Times New Roman" w:hAnsi="Times New Roman" w:cs="Times New Roman"/>
          <w:sz w:val="20"/>
          <w:szCs w:val="20"/>
        </w:rPr>
        <w:t>.</w:t>
      </w:r>
    </w:p>
    <w:p w14:paraId="59386514" w14:textId="0476E6C9" w:rsidR="00D14D7D" w:rsidRPr="002D3D2A" w:rsidRDefault="00D14D7D"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iCs/>
          <w:sz w:val="20"/>
          <w:szCs w:val="20"/>
        </w:rPr>
      </w:pPr>
      <w:r w:rsidRPr="002D3D2A">
        <w:rPr>
          <w:rFonts w:ascii="Times New Roman" w:eastAsia="Times New Roman" w:hAnsi="Times New Roman" w:cs="Times New Roman"/>
          <w:iCs/>
          <w:sz w:val="20"/>
          <w:szCs w:val="20"/>
        </w:rPr>
        <w:t xml:space="preserve">The Committee </w:t>
      </w:r>
      <w:r w:rsidR="00573C28" w:rsidRPr="002D3D2A">
        <w:rPr>
          <w:rFonts w:ascii="Times New Roman" w:eastAsia="Times New Roman" w:hAnsi="Times New Roman" w:cs="Times New Roman"/>
          <w:iCs/>
          <w:sz w:val="20"/>
          <w:szCs w:val="20"/>
        </w:rPr>
        <w:t xml:space="preserve">completed its </w:t>
      </w:r>
      <w:r w:rsidRPr="002D3D2A">
        <w:rPr>
          <w:rFonts w:ascii="Times New Roman" w:eastAsia="Times New Roman" w:hAnsi="Times New Roman" w:cs="Times New Roman"/>
          <w:iCs/>
          <w:sz w:val="20"/>
          <w:szCs w:val="20"/>
        </w:rPr>
        <w:t>draft findings through its electronic decision-making procedure</w:t>
      </w:r>
      <w:r w:rsidR="000E1310" w:rsidRPr="002D3D2A">
        <w:rPr>
          <w:rFonts w:ascii="Times New Roman" w:eastAsia="Times New Roman" w:hAnsi="Times New Roman" w:cs="Times New Roman"/>
          <w:iCs/>
          <w:sz w:val="20"/>
          <w:szCs w:val="20"/>
        </w:rPr>
        <w:t xml:space="preserve"> on </w:t>
      </w:r>
      <w:r w:rsidR="002D3D2A" w:rsidRPr="002D3D2A">
        <w:rPr>
          <w:rFonts w:ascii="Times New Roman" w:eastAsia="Times New Roman" w:hAnsi="Times New Roman" w:cs="Times New Roman"/>
          <w:iCs/>
          <w:sz w:val="20"/>
          <w:szCs w:val="20"/>
        </w:rPr>
        <w:t>26</w:t>
      </w:r>
      <w:r w:rsidR="000E1310" w:rsidRPr="002D3D2A">
        <w:rPr>
          <w:rFonts w:ascii="Times New Roman" w:eastAsia="Times New Roman" w:hAnsi="Times New Roman" w:cs="Times New Roman"/>
          <w:iCs/>
          <w:sz w:val="20"/>
          <w:szCs w:val="20"/>
        </w:rPr>
        <w:t xml:space="preserve"> November 2018</w:t>
      </w:r>
      <w:r w:rsidRPr="002D3D2A">
        <w:rPr>
          <w:rFonts w:ascii="Times New Roman" w:eastAsia="Times New Roman" w:hAnsi="Times New Roman" w:cs="Times New Roman"/>
          <w:iCs/>
          <w:sz w:val="20"/>
          <w:szCs w:val="20"/>
        </w:rPr>
        <w:t xml:space="preserve">. In accordance with paragraph 34 of the annex to decision I/7, the draft findings were then forwarded for comments to the Party concerned and the communicant on </w:t>
      </w:r>
      <w:r w:rsidR="002D3D2A" w:rsidRPr="002D3D2A">
        <w:rPr>
          <w:rFonts w:ascii="Times New Roman" w:eastAsia="Times New Roman" w:hAnsi="Times New Roman" w:cs="Times New Roman"/>
          <w:iCs/>
          <w:sz w:val="20"/>
          <w:szCs w:val="20"/>
        </w:rPr>
        <w:t>30 November 2018</w:t>
      </w:r>
      <w:r w:rsidRPr="002D3D2A">
        <w:rPr>
          <w:rFonts w:ascii="Times New Roman" w:eastAsia="Times New Roman" w:hAnsi="Times New Roman" w:cs="Times New Roman"/>
          <w:iCs/>
          <w:sz w:val="20"/>
          <w:szCs w:val="20"/>
        </w:rPr>
        <w:t xml:space="preserve">. Both were invited to provide comments by </w:t>
      </w:r>
      <w:r w:rsidR="002D3D2A">
        <w:rPr>
          <w:rFonts w:ascii="Times New Roman" w:eastAsia="Times New Roman" w:hAnsi="Times New Roman" w:cs="Times New Roman"/>
          <w:iCs/>
          <w:sz w:val="20"/>
          <w:szCs w:val="20"/>
        </w:rPr>
        <w:br/>
      </w:r>
      <w:r w:rsidR="002D3D2A" w:rsidRPr="002D3D2A">
        <w:rPr>
          <w:rFonts w:ascii="Times New Roman" w:eastAsia="Times New Roman" w:hAnsi="Times New Roman" w:cs="Times New Roman"/>
          <w:iCs/>
          <w:sz w:val="20"/>
          <w:szCs w:val="20"/>
        </w:rPr>
        <w:t>11 January 2018</w:t>
      </w:r>
      <w:r w:rsidRPr="002D3D2A">
        <w:rPr>
          <w:rFonts w:ascii="Times New Roman" w:eastAsia="Times New Roman" w:hAnsi="Times New Roman" w:cs="Times New Roman"/>
          <w:iCs/>
          <w:sz w:val="20"/>
          <w:szCs w:val="20"/>
        </w:rPr>
        <w:t>.</w:t>
      </w:r>
    </w:p>
    <w:p w14:paraId="638A94BE" w14:textId="3F4422B3" w:rsidR="00D14D7D" w:rsidRPr="004F2D82" w:rsidRDefault="00D14D7D"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i/>
          <w:sz w:val="20"/>
          <w:szCs w:val="20"/>
        </w:rPr>
      </w:pPr>
      <w:r w:rsidRPr="004F2D82">
        <w:rPr>
          <w:rFonts w:ascii="Times New Roman" w:eastAsia="Times New Roman" w:hAnsi="Times New Roman" w:cs="Times New Roman"/>
          <w:i/>
          <w:sz w:val="20"/>
          <w:szCs w:val="20"/>
        </w:rPr>
        <w:t xml:space="preserve">The Party </w:t>
      </w:r>
      <w:proofErr w:type="gramStart"/>
      <w:r w:rsidRPr="004F2D82">
        <w:rPr>
          <w:rFonts w:ascii="Times New Roman" w:eastAsia="Times New Roman" w:hAnsi="Times New Roman" w:cs="Times New Roman"/>
          <w:i/>
          <w:sz w:val="20"/>
          <w:szCs w:val="20"/>
        </w:rPr>
        <w:t>concerned</w:t>
      </w:r>
      <w:proofErr w:type="gramEnd"/>
      <w:r w:rsidRPr="004F2D82">
        <w:rPr>
          <w:rFonts w:ascii="Times New Roman" w:eastAsia="Times New Roman" w:hAnsi="Times New Roman" w:cs="Times New Roman"/>
          <w:i/>
          <w:sz w:val="20"/>
          <w:szCs w:val="20"/>
        </w:rPr>
        <w:t xml:space="preserve"> and the communicant provided comments on […] and […], respectively.</w:t>
      </w:r>
    </w:p>
    <w:p w14:paraId="56792D1D" w14:textId="77777777" w:rsidR="00D14D7D" w:rsidRPr="004F2D82" w:rsidRDefault="00D14D7D" w:rsidP="005D584F">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i/>
          <w:sz w:val="20"/>
          <w:szCs w:val="20"/>
        </w:rPr>
      </w:pPr>
      <w:r w:rsidRPr="004F2D82">
        <w:rPr>
          <w:rFonts w:ascii="Times New Roman" w:eastAsia="Times New Roman" w:hAnsi="Times New Roman" w:cs="Times New Roman"/>
          <w:i/>
          <w:sz w:val="20"/>
          <w:szCs w:val="20"/>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01C4A78D" w14:textId="77777777" w:rsidR="00D14D7D" w:rsidRPr="00462388" w:rsidRDefault="00D14D7D" w:rsidP="008673EF">
      <w:pPr>
        <w:keepNext/>
        <w:keepLines/>
        <w:numPr>
          <w:ilvl w:val="0"/>
          <w:numId w:val="1"/>
        </w:numPr>
        <w:tabs>
          <w:tab w:val="right" w:pos="851"/>
          <w:tab w:val="left" w:pos="1134"/>
        </w:tabs>
        <w:suppressAutoHyphens/>
        <w:spacing w:before="360" w:after="240" w:line="300" w:lineRule="exact"/>
        <w:ind w:left="567" w:right="1134" w:hanging="283"/>
        <w:jc w:val="both"/>
        <w:rPr>
          <w:rFonts w:ascii="Times New Roman" w:eastAsia="Times New Roman" w:hAnsi="Times New Roman" w:cs="Times New Roman"/>
          <w:b/>
          <w:sz w:val="24"/>
          <w:szCs w:val="24"/>
        </w:rPr>
      </w:pPr>
      <w:r w:rsidRPr="004F2D82">
        <w:rPr>
          <w:rFonts w:ascii="Times New Roman" w:eastAsia="Times New Roman" w:hAnsi="Times New Roman" w:cs="Times New Roman"/>
          <w:b/>
          <w:sz w:val="24"/>
          <w:szCs w:val="24"/>
        </w:rPr>
        <w:t>Summary of facts, evidence and issues</w:t>
      </w:r>
      <w:r w:rsidR="00AE109B" w:rsidRPr="00462388">
        <w:rPr>
          <w:rStyle w:val="FootnoteReference"/>
          <w:rFonts w:eastAsia="Times New Roman"/>
          <w:b/>
          <w:sz w:val="24"/>
          <w:szCs w:val="24"/>
        </w:rPr>
        <w:footnoteReference w:id="4"/>
      </w:r>
    </w:p>
    <w:p w14:paraId="3732D5AD" w14:textId="0D5DE6B9" w:rsidR="00D319A0" w:rsidRPr="004F2D82" w:rsidRDefault="00D14D7D" w:rsidP="008673EF">
      <w:pPr>
        <w:keepNext/>
        <w:keepLines/>
        <w:numPr>
          <w:ilvl w:val="0"/>
          <w:numId w:val="3"/>
        </w:numPr>
        <w:tabs>
          <w:tab w:val="clear" w:pos="1200"/>
        </w:tabs>
        <w:suppressAutoHyphens/>
        <w:spacing w:before="240" w:after="240" w:line="270" w:lineRule="exact"/>
        <w:ind w:left="567" w:right="1134" w:hanging="283"/>
        <w:jc w:val="both"/>
        <w:rPr>
          <w:rFonts w:ascii="Times New Roman" w:hAnsi="Times New Roman"/>
          <w:b/>
          <w:sz w:val="20"/>
        </w:rPr>
      </w:pPr>
      <w:r w:rsidRPr="004F2D82">
        <w:rPr>
          <w:rFonts w:ascii="Times New Roman" w:hAnsi="Times New Roman"/>
          <w:b/>
          <w:sz w:val="20"/>
        </w:rPr>
        <w:t>Legal framework</w:t>
      </w:r>
    </w:p>
    <w:p w14:paraId="11167999" w14:textId="2DB2DA8C" w:rsidR="004E2CB5" w:rsidRPr="00462388" w:rsidRDefault="002A0142" w:rsidP="009604B4">
      <w:pPr>
        <w:numPr>
          <w:ilvl w:val="0"/>
          <w:numId w:val="2"/>
        </w:numPr>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A</w:t>
      </w:r>
      <w:r w:rsidR="004E2CB5" w:rsidRPr="004F2D82">
        <w:rPr>
          <w:rFonts w:ascii="Times New Roman" w:hAnsi="Times New Roman"/>
          <w:sz w:val="20"/>
        </w:rPr>
        <w:t>rticle 3</w:t>
      </w:r>
      <w:r w:rsidR="0064794E" w:rsidRPr="004F2D82">
        <w:rPr>
          <w:rFonts w:ascii="Times New Roman" w:hAnsi="Times New Roman"/>
          <w:sz w:val="20"/>
        </w:rPr>
        <w:t xml:space="preserve">, paragraph </w:t>
      </w:r>
      <w:r w:rsidR="004E2CB5" w:rsidRPr="004F2D82">
        <w:rPr>
          <w:rFonts w:ascii="Times New Roman" w:hAnsi="Times New Roman"/>
          <w:sz w:val="20"/>
        </w:rPr>
        <w:t>2</w:t>
      </w:r>
      <w:r w:rsidR="0064794E" w:rsidRPr="004F2D82">
        <w:rPr>
          <w:rFonts w:ascii="Times New Roman" w:hAnsi="Times New Roman"/>
          <w:sz w:val="20"/>
        </w:rPr>
        <w:t>,</w:t>
      </w:r>
      <w:r w:rsidR="004E2CB5" w:rsidRPr="004F2D82">
        <w:rPr>
          <w:rFonts w:ascii="Times New Roman" w:hAnsi="Times New Roman"/>
          <w:sz w:val="20"/>
        </w:rPr>
        <w:t xml:space="preserve"> of the</w:t>
      </w:r>
      <w:r w:rsidR="0007262D" w:rsidRPr="004F2D82">
        <w:rPr>
          <w:rFonts w:ascii="Times New Roman" w:hAnsi="Times New Roman"/>
          <w:sz w:val="20"/>
        </w:rPr>
        <w:t xml:space="preserve"> </w:t>
      </w:r>
      <w:r w:rsidR="0007262D" w:rsidRPr="004F2D82">
        <w:rPr>
          <w:rFonts w:ascii="Times New Roman" w:eastAsia="Times New Roman" w:hAnsi="Times New Roman" w:cs="Times New Roman"/>
          <w:sz w:val="20"/>
          <w:szCs w:val="20"/>
        </w:rPr>
        <w:t>European Union</w:t>
      </w:r>
      <w:r w:rsidR="004E2CB5" w:rsidRPr="004F2D82">
        <w:rPr>
          <w:rFonts w:ascii="Times New Roman" w:eastAsia="Times New Roman" w:hAnsi="Times New Roman" w:cs="Times New Roman"/>
          <w:sz w:val="20"/>
          <w:szCs w:val="20"/>
        </w:rPr>
        <w:t xml:space="preserve"> </w:t>
      </w:r>
      <w:r w:rsidR="004E2CB5" w:rsidRPr="004F2D82">
        <w:rPr>
          <w:rFonts w:ascii="Times New Roman" w:hAnsi="Times New Roman"/>
          <w:sz w:val="20"/>
        </w:rPr>
        <w:t>SEA Directive</w:t>
      </w:r>
      <w:r w:rsidR="006608D6" w:rsidRPr="00462388">
        <w:rPr>
          <w:rStyle w:val="FootnoteReference"/>
        </w:rPr>
        <w:footnoteReference w:id="5"/>
      </w:r>
      <w:r w:rsidRPr="00462388">
        <w:rPr>
          <w:rFonts w:ascii="Times New Roman" w:hAnsi="Times New Roman"/>
          <w:sz w:val="20"/>
        </w:rPr>
        <w:t xml:space="preserve"> </w:t>
      </w:r>
      <w:r w:rsidR="0007262D" w:rsidRPr="00462388">
        <w:rPr>
          <w:rFonts w:ascii="Times New Roman" w:hAnsi="Times New Roman"/>
          <w:sz w:val="20"/>
        </w:rPr>
        <w:t xml:space="preserve">determines </w:t>
      </w:r>
      <w:r w:rsidR="0007262D" w:rsidRPr="00462388">
        <w:rPr>
          <w:rFonts w:ascii="Times New Roman" w:eastAsia="Times New Roman" w:hAnsi="Times New Roman" w:cs="Times New Roman"/>
          <w:sz w:val="20"/>
          <w:szCs w:val="20"/>
        </w:rPr>
        <w:t>which</w:t>
      </w:r>
      <w:r w:rsidR="0007262D" w:rsidRPr="00B04ED2">
        <w:rPr>
          <w:rFonts w:ascii="Times New Roman" w:hAnsi="Times New Roman"/>
          <w:sz w:val="20"/>
        </w:rPr>
        <w:t xml:space="preserve"> </w:t>
      </w:r>
      <w:r w:rsidRPr="004F2D82">
        <w:rPr>
          <w:rFonts w:ascii="Times New Roman" w:hAnsi="Times New Roman"/>
          <w:sz w:val="20"/>
        </w:rPr>
        <w:t>p</w:t>
      </w:r>
      <w:r w:rsidR="006608D6" w:rsidRPr="004F2D82">
        <w:rPr>
          <w:rFonts w:ascii="Times New Roman" w:hAnsi="Times New Roman"/>
          <w:sz w:val="20"/>
        </w:rPr>
        <w:t xml:space="preserve">lans and programmes </w:t>
      </w:r>
      <w:r w:rsidR="0007262D" w:rsidRPr="004F2D82">
        <w:rPr>
          <w:rFonts w:ascii="Times New Roman" w:eastAsia="Times New Roman" w:hAnsi="Times New Roman" w:cs="Times New Roman"/>
          <w:sz w:val="20"/>
          <w:szCs w:val="20"/>
        </w:rPr>
        <w:t xml:space="preserve">in its Member States are to be subject to </w:t>
      </w:r>
      <w:r w:rsidR="006608D6" w:rsidRPr="004F2D82">
        <w:rPr>
          <w:rFonts w:ascii="Times New Roman" w:hAnsi="Times New Roman"/>
          <w:sz w:val="20"/>
        </w:rPr>
        <w:t>a</w:t>
      </w:r>
      <w:r w:rsidRPr="004F2D82">
        <w:rPr>
          <w:rFonts w:ascii="Times New Roman" w:hAnsi="Times New Roman"/>
          <w:sz w:val="20"/>
        </w:rPr>
        <w:t xml:space="preserve"> </w:t>
      </w:r>
      <w:r w:rsidR="0091196A" w:rsidRPr="004F2D82">
        <w:rPr>
          <w:rFonts w:ascii="Times New Roman" w:hAnsi="Times New Roman"/>
          <w:sz w:val="20"/>
        </w:rPr>
        <w:t>s</w:t>
      </w:r>
      <w:r w:rsidRPr="004F2D82">
        <w:rPr>
          <w:rFonts w:ascii="Times New Roman" w:hAnsi="Times New Roman"/>
          <w:sz w:val="20"/>
        </w:rPr>
        <w:t xml:space="preserve">trategic </w:t>
      </w:r>
      <w:r w:rsidR="0091196A" w:rsidRPr="004F2D82">
        <w:rPr>
          <w:rFonts w:ascii="Times New Roman" w:hAnsi="Times New Roman"/>
          <w:sz w:val="20"/>
        </w:rPr>
        <w:t>e</w:t>
      </w:r>
      <w:r w:rsidRPr="004F2D82">
        <w:rPr>
          <w:rFonts w:ascii="Times New Roman" w:hAnsi="Times New Roman"/>
          <w:sz w:val="20"/>
        </w:rPr>
        <w:t xml:space="preserve">nvironmental </w:t>
      </w:r>
      <w:r w:rsidR="0091196A" w:rsidRPr="004F2D82">
        <w:rPr>
          <w:rFonts w:ascii="Times New Roman" w:hAnsi="Times New Roman"/>
          <w:sz w:val="20"/>
        </w:rPr>
        <w:t>a</w:t>
      </w:r>
      <w:r w:rsidRPr="004F2D82">
        <w:rPr>
          <w:rFonts w:ascii="Times New Roman" w:hAnsi="Times New Roman"/>
          <w:sz w:val="20"/>
        </w:rPr>
        <w:t>ssessment.</w:t>
      </w:r>
      <w:r w:rsidR="006608D6" w:rsidRPr="004F2D82">
        <w:rPr>
          <w:rFonts w:ascii="Times New Roman" w:hAnsi="Times New Roman"/>
          <w:sz w:val="20"/>
        </w:rPr>
        <w:t xml:space="preserve"> The Party concerned has implemented the SEA Directive in its national law </w:t>
      </w:r>
      <w:r w:rsidR="00151295" w:rsidRPr="004F2D82">
        <w:rPr>
          <w:rFonts w:ascii="Times New Roman" w:hAnsi="Times New Roman"/>
          <w:sz w:val="20"/>
        </w:rPr>
        <w:t>through</w:t>
      </w:r>
      <w:r w:rsidR="006608D6" w:rsidRPr="004F2D82">
        <w:rPr>
          <w:rFonts w:ascii="Times New Roman" w:hAnsi="Times New Roman"/>
          <w:sz w:val="20"/>
        </w:rPr>
        <w:t xml:space="preserve"> the SEA Regulations.</w:t>
      </w:r>
      <w:r w:rsidR="004A21FB" w:rsidRPr="00462388">
        <w:rPr>
          <w:rStyle w:val="FootnoteReference"/>
        </w:rPr>
        <w:footnoteReference w:id="6"/>
      </w:r>
    </w:p>
    <w:p w14:paraId="6B135282" w14:textId="77777777" w:rsidR="00D14D7D" w:rsidRPr="004F2D82" w:rsidRDefault="00D14D7D" w:rsidP="008673EF">
      <w:pPr>
        <w:pStyle w:val="ListParagraph"/>
        <w:keepNext/>
        <w:keepLines/>
        <w:numPr>
          <w:ilvl w:val="0"/>
          <w:numId w:val="3"/>
        </w:numPr>
        <w:tabs>
          <w:tab w:val="clear" w:pos="1200"/>
        </w:tabs>
        <w:suppressAutoHyphens/>
        <w:spacing w:before="360" w:after="120" w:line="270" w:lineRule="exact"/>
        <w:ind w:left="567" w:right="1134" w:hanging="283"/>
        <w:jc w:val="both"/>
        <w:rPr>
          <w:rFonts w:ascii="Times New Roman" w:hAnsi="Times New Roman"/>
          <w:b/>
          <w:sz w:val="20"/>
        </w:rPr>
      </w:pPr>
      <w:r w:rsidRPr="004F2D82">
        <w:rPr>
          <w:rFonts w:ascii="Times New Roman" w:hAnsi="Times New Roman"/>
          <w:b/>
          <w:sz w:val="20"/>
        </w:rPr>
        <w:lastRenderedPageBreak/>
        <w:t xml:space="preserve">Facts </w:t>
      </w:r>
    </w:p>
    <w:p w14:paraId="0568A2C4" w14:textId="65ACC52E" w:rsidR="00925964" w:rsidRPr="00462388" w:rsidRDefault="00456743" w:rsidP="002A0142">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2" w:name="_Ref495320883"/>
      <w:r w:rsidRPr="004F2D82">
        <w:rPr>
          <w:rFonts w:ascii="Times New Roman" w:hAnsi="Times New Roman"/>
          <w:sz w:val="20"/>
        </w:rPr>
        <w:t>On 15 January 2009, the Secretary of State for Transport</w:t>
      </w:r>
      <w:r w:rsidR="00286FC3" w:rsidRPr="004F2D82">
        <w:rPr>
          <w:rFonts w:ascii="Times New Roman" w:hAnsi="Times New Roman"/>
          <w:sz w:val="20"/>
        </w:rPr>
        <w:t xml:space="preserve"> of the Party concerned</w:t>
      </w:r>
      <w:r w:rsidRPr="004F2D82">
        <w:rPr>
          <w:rFonts w:ascii="Times New Roman" w:hAnsi="Times New Roman"/>
          <w:sz w:val="20"/>
        </w:rPr>
        <w:t xml:space="preserve"> announced the establishment of a new company, High Speed Two Ltd</w:t>
      </w:r>
      <w:r w:rsidR="000A1A5B" w:rsidRPr="004F2D82">
        <w:rPr>
          <w:rFonts w:ascii="Times New Roman" w:hAnsi="Times New Roman"/>
          <w:sz w:val="20"/>
        </w:rPr>
        <w:t xml:space="preserve"> (“</w:t>
      </w:r>
      <w:r w:rsidR="00151295" w:rsidRPr="004F2D82">
        <w:rPr>
          <w:rFonts w:ascii="Times New Roman" w:hAnsi="Times New Roman"/>
          <w:sz w:val="20"/>
        </w:rPr>
        <w:t>HS</w:t>
      </w:r>
      <w:r w:rsidR="002C3234" w:rsidRPr="004F2D82">
        <w:rPr>
          <w:rFonts w:ascii="Times New Roman" w:hAnsi="Times New Roman"/>
          <w:sz w:val="20"/>
        </w:rPr>
        <w:t>2</w:t>
      </w:r>
      <w:r w:rsidR="000A1A5B" w:rsidRPr="004F2D82">
        <w:rPr>
          <w:rFonts w:ascii="Times New Roman" w:hAnsi="Times New Roman"/>
          <w:sz w:val="20"/>
        </w:rPr>
        <w:t xml:space="preserve"> Ltd”)</w:t>
      </w:r>
      <w:r w:rsidRPr="004F2D82">
        <w:rPr>
          <w:rFonts w:ascii="Times New Roman" w:hAnsi="Times New Roman"/>
          <w:sz w:val="20"/>
        </w:rPr>
        <w:t xml:space="preserve"> which was to consider the case for new high speed rail services from London to Scotland, including the development of a proposal for an entirely new line between London and the West Midlands.</w:t>
      </w:r>
      <w:r w:rsidR="008673EF" w:rsidRPr="00462388">
        <w:rPr>
          <w:rStyle w:val="FootnoteReference"/>
        </w:rPr>
        <w:footnoteReference w:id="7"/>
      </w:r>
      <w:r w:rsidRPr="00462388">
        <w:rPr>
          <w:rFonts w:ascii="Times New Roman" w:hAnsi="Times New Roman"/>
          <w:sz w:val="20"/>
        </w:rPr>
        <w:t xml:space="preserve"> In 2009, </w:t>
      </w:r>
      <w:r w:rsidR="00151295" w:rsidRPr="00462388">
        <w:rPr>
          <w:rFonts w:ascii="Times New Roman" w:hAnsi="Times New Roman"/>
          <w:sz w:val="20"/>
        </w:rPr>
        <w:t>HS</w:t>
      </w:r>
      <w:r w:rsidR="002C3234" w:rsidRPr="00462388">
        <w:rPr>
          <w:rFonts w:ascii="Times New Roman" w:hAnsi="Times New Roman"/>
          <w:sz w:val="20"/>
        </w:rPr>
        <w:t>2</w:t>
      </w:r>
      <w:r w:rsidRPr="00462388">
        <w:rPr>
          <w:rFonts w:ascii="Times New Roman" w:hAnsi="Times New Roman"/>
          <w:sz w:val="20"/>
        </w:rPr>
        <w:t xml:space="preserve"> Ltd considered a number of potential route alternatives, reporting its conclusions in its </w:t>
      </w:r>
      <w:r w:rsidR="002D0A4F" w:rsidRPr="004F2D82">
        <w:rPr>
          <w:rFonts w:ascii="Times New Roman" w:hAnsi="Times New Roman"/>
          <w:sz w:val="20"/>
        </w:rPr>
        <w:t xml:space="preserve">December </w:t>
      </w:r>
      <w:r w:rsidRPr="004F2D82">
        <w:rPr>
          <w:rFonts w:ascii="Times New Roman" w:hAnsi="Times New Roman"/>
          <w:sz w:val="20"/>
        </w:rPr>
        <w:t>2009 report, “High Speed Two: London to the West Midlands and Beyond”.</w:t>
      </w:r>
      <w:r w:rsidR="00286FC3" w:rsidRPr="00462388">
        <w:rPr>
          <w:rStyle w:val="FootnoteReference"/>
        </w:rPr>
        <w:footnoteReference w:id="8"/>
      </w:r>
      <w:bookmarkEnd w:id="2"/>
      <w:r w:rsidRPr="00462388">
        <w:rPr>
          <w:rFonts w:ascii="Times New Roman" w:hAnsi="Times New Roman"/>
          <w:sz w:val="20"/>
        </w:rPr>
        <w:t xml:space="preserve"> </w:t>
      </w:r>
    </w:p>
    <w:p w14:paraId="205522C9" w14:textId="2D220023" w:rsidR="0043272D" w:rsidRPr="00462388" w:rsidRDefault="00925964" w:rsidP="002A0142">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On 20 March 2009, Booz and Co (UK) Ltd and Temple Group Ltd were appointed to assist </w:t>
      </w:r>
      <w:r w:rsidR="00151295" w:rsidRPr="004F2D82">
        <w:rPr>
          <w:rFonts w:ascii="Times New Roman" w:hAnsi="Times New Roman"/>
          <w:sz w:val="20"/>
        </w:rPr>
        <w:t>HS2 Ltd</w:t>
      </w:r>
      <w:r w:rsidR="00777CB1" w:rsidRPr="004F2D82">
        <w:rPr>
          <w:rFonts w:ascii="Times New Roman" w:hAnsi="Times New Roman"/>
          <w:sz w:val="20"/>
        </w:rPr>
        <w:t xml:space="preserve"> </w:t>
      </w:r>
      <w:r w:rsidRPr="004F2D82">
        <w:rPr>
          <w:rFonts w:ascii="Times New Roman" w:hAnsi="Times New Roman"/>
          <w:sz w:val="20"/>
        </w:rPr>
        <w:t>in the preparation of an</w:t>
      </w:r>
      <w:r w:rsidR="00777CB1" w:rsidRPr="004F2D82">
        <w:rPr>
          <w:rFonts w:ascii="Times New Roman" w:hAnsi="Times New Roman"/>
          <w:sz w:val="20"/>
        </w:rPr>
        <w:t xml:space="preserve"> Appraisal of Sustainability Report</w:t>
      </w:r>
      <w:r w:rsidRPr="004F2D82">
        <w:rPr>
          <w:rFonts w:ascii="Times New Roman" w:hAnsi="Times New Roman"/>
          <w:sz w:val="20"/>
        </w:rPr>
        <w:t xml:space="preserve">. </w:t>
      </w:r>
      <w:r w:rsidR="00AF715B" w:rsidRPr="004F2D82">
        <w:rPr>
          <w:rFonts w:ascii="Times New Roman" w:eastAsia="Times New Roman" w:hAnsi="Times New Roman" w:cs="Times New Roman"/>
          <w:sz w:val="20"/>
          <w:szCs w:val="20"/>
        </w:rPr>
        <w:t>In June 2009, a</w:t>
      </w:r>
      <w:r w:rsidRPr="004F2D82">
        <w:rPr>
          <w:rFonts w:ascii="Times New Roman" w:eastAsia="Times New Roman" w:hAnsi="Times New Roman" w:cs="Times New Roman"/>
          <w:sz w:val="20"/>
          <w:szCs w:val="20"/>
        </w:rPr>
        <w:t xml:space="preserve"> </w:t>
      </w:r>
      <w:r w:rsidR="002B558A" w:rsidRPr="004F2D82">
        <w:rPr>
          <w:rFonts w:ascii="Times New Roman" w:eastAsia="Times New Roman" w:hAnsi="Times New Roman" w:cs="Times New Roman"/>
          <w:sz w:val="20"/>
          <w:szCs w:val="20"/>
        </w:rPr>
        <w:t>draft</w:t>
      </w:r>
      <w:r w:rsidR="002B558A" w:rsidRPr="004F2D82">
        <w:rPr>
          <w:rFonts w:ascii="Times New Roman" w:hAnsi="Times New Roman"/>
          <w:sz w:val="20"/>
        </w:rPr>
        <w:t xml:space="preserve"> </w:t>
      </w:r>
      <w:r w:rsidRPr="004F2D82">
        <w:rPr>
          <w:rFonts w:ascii="Times New Roman" w:hAnsi="Times New Roman"/>
          <w:sz w:val="20"/>
        </w:rPr>
        <w:t>Appraisal of Sustainability Scoping Report was prepared and consulted upon with certain key stakeholders</w:t>
      </w:r>
      <w:r w:rsidR="00AF715B" w:rsidRPr="004F2D82">
        <w:rPr>
          <w:rFonts w:ascii="Times New Roman" w:eastAsia="Times New Roman" w:hAnsi="Times New Roman" w:cs="Times New Roman"/>
          <w:sz w:val="20"/>
          <w:szCs w:val="20"/>
        </w:rPr>
        <w:t>, including the Environment Agency and Natural England</w:t>
      </w:r>
      <w:r w:rsidRPr="004F2D82">
        <w:rPr>
          <w:rFonts w:ascii="Times New Roman" w:eastAsia="Times New Roman" w:hAnsi="Times New Roman" w:cs="Times New Roman"/>
          <w:sz w:val="20"/>
          <w:szCs w:val="20"/>
        </w:rPr>
        <w:t>.</w:t>
      </w:r>
      <w:r w:rsidRPr="004F2D82">
        <w:rPr>
          <w:rFonts w:ascii="Times New Roman" w:hAnsi="Times New Roman"/>
          <w:sz w:val="20"/>
        </w:rPr>
        <w:t xml:space="preserve"> </w:t>
      </w:r>
      <w:r w:rsidR="00151295" w:rsidRPr="004F2D82">
        <w:rPr>
          <w:rFonts w:ascii="Times New Roman" w:hAnsi="Times New Roman"/>
          <w:sz w:val="20"/>
        </w:rPr>
        <w:t>HS2 Ltd</w:t>
      </w:r>
      <w:r w:rsidRPr="004F2D82">
        <w:rPr>
          <w:rFonts w:ascii="Times New Roman" w:hAnsi="Times New Roman"/>
          <w:sz w:val="20"/>
        </w:rPr>
        <w:t xml:space="preserve"> provided a summary of the </w:t>
      </w:r>
      <w:r w:rsidR="0041477E" w:rsidRPr="004F2D82">
        <w:rPr>
          <w:rFonts w:ascii="Times New Roman" w:hAnsi="Times New Roman"/>
          <w:sz w:val="20"/>
        </w:rPr>
        <w:t>Appraisal</w:t>
      </w:r>
      <w:r w:rsidRPr="004F2D82">
        <w:rPr>
          <w:rFonts w:ascii="Times New Roman" w:hAnsi="Times New Roman"/>
          <w:sz w:val="20"/>
        </w:rPr>
        <w:t xml:space="preserve"> of Sustainability Report</w:t>
      </w:r>
      <w:r w:rsidR="00777CB1" w:rsidRPr="004F2D82">
        <w:rPr>
          <w:rFonts w:ascii="Times New Roman" w:hAnsi="Times New Roman"/>
          <w:sz w:val="20"/>
        </w:rPr>
        <w:t xml:space="preserve"> to the Secretary of State for Transport alongside its report</w:t>
      </w:r>
      <w:r w:rsidRPr="004F2D82">
        <w:rPr>
          <w:rFonts w:ascii="Times New Roman" w:hAnsi="Times New Roman"/>
          <w:sz w:val="20"/>
        </w:rPr>
        <w:t xml:space="preserve"> </w:t>
      </w:r>
      <w:r w:rsidR="00FA3643" w:rsidRPr="004F2D82">
        <w:rPr>
          <w:rFonts w:ascii="Times New Roman" w:hAnsi="Times New Roman"/>
          <w:sz w:val="20"/>
        </w:rPr>
        <w:t>of</w:t>
      </w:r>
      <w:r w:rsidRPr="004F2D82">
        <w:rPr>
          <w:rFonts w:ascii="Times New Roman" w:hAnsi="Times New Roman"/>
          <w:sz w:val="20"/>
        </w:rPr>
        <w:t xml:space="preserve"> December 2009</w:t>
      </w:r>
      <w:r w:rsidR="00777CB1" w:rsidRPr="004F2D82">
        <w:rPr>
          <w:rFonts w:ascii="Times New Roman" w:hAnsi="Times New Roman"/>
          <w:sz w:val="20"/>
        </w:rPr>
        <w:t>.</w:t>
      </w:r>
      <w:r w:rsidR="00777CB1" w:rsidRPr="00462388">
        <w:rPr>
          <w:rStyle w:val="FootnoteReference"/>
          <w:sz w:val="20"/>
        </w:rPr>
        <w:footnoteReference w:id="9"/>
      </w:r>
      <w:r w:rsidR="00777CB1" w:rsidRPr="00462388" w:rsidDel="0043272D">
        <w:rPr>
          <w:rFonts w:ascii="Times New Roman" w:hAnsi="Times New Roman"/>
          <w:sz w:val="20"/>
        </w:rPr>
        <w:t xml:space="preserve"> </w:t>
      </w:r>
    </w:p>
    <w:p w14:paraId="4C78CCEF" w14:textId="33F40F69" w:rsidR="0043272D" w:rsidRPr="00462388" w:rsidRDefault="007F05EA"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I</w:t>
      </w:r>
      <w:r w:rsidR="00456743" w:rsidRPr="004F2D82">
        <w:rPr>
          <w:rFonts w:ascii="Times New Roman" w:hAnsi="Times New Roman"/>
          <w:sz w:val="20"/>
        </w:rPr>
        <w:t>n August 2009, the Department for Transport commissioned</w:t>
      </w:r>
      <w:r w:rsidR="000A1A5B" w:rsidRPr="004F2D82">
        <w:rPr>
          <w:rFonts w:ascii="Times New Roman" w:hAnsi="Times New Roman"/>
          <w:sz w:val="20"/>
        </w:rPr>
        <w:t xml:space="preserve"> </w:t>
      </w:r>
      <w:r w:rsidR="0007262D" w:rsidRPr="004F2D82">
        <w:rPr>
          <w:rFonts w:ascii="Times New Roman" w:eastAsia="Times New Roman" w:hAnsi="Times New Roman" w:cs="Times New Roman"/>
          <w:sz w:val="20"/>
          <w:szCs w:val="20"/>
        </w:rPr>
        <w:t>WS Atkins plc</w:t>
      </w:r>
      <w:r w:rsidR="00E54FCC" w:rsidRPr="004F2D82">
        <w:rPr>
          <w:rFonts w:ascii="Times New Roman" w:eastAsia="Times New Roman" w:hAnsi="Times New Roman" w:cs="Times New Roman"/>
          <w:sz w:val="20"/>
          <w:szCs w:val="20"/>
        </w:rPr>
        <w:t>, an engineering</w:t>
      </w:r>
      <w:r w:rsidR="00E54FCC" w:rsidRPr="004F2D82">
        <w:rPr>
          <w:rFonts w:ascii="Times New Roman" w:hAnsi="Times New Roman"/>
          <w:sz w:val="20"/>
        </w:rPr>
        <w:t xml:space="preserve"> company</w:t>
      </w:r>
      <w:r w:rsidR="00E54FCC" w:rsidRPr="004F2D82">
        <w:rPr>
          <w:rFonts w:ascii="Times New Roman" w:eastAsia="Times New Roman" w:hAnsi="Times New Roman" w:cs="Times New Roman"/>
          <w:sz w:val="20"/>
          <w:szCs w:val="20"/>
        </w:rPr>
        <w:t>,</w:t>
      </w:r>
      <w:r w:rsidR="001F3332" w:rsidRPr="004F2D82">
        <w:rPr>
          <w:rFonts w:ascii="Times New Roman" w:hAnsi="Times New Roman"/>
          <w:sz w:val="20"/>
        </w:rPr>
        <w:t xml:space="preserve"> to </w:t>
      </w:r>
      <w:r w:rsidR="00456743" w:rsidRPr="004F2D82">
        <w:rPr>
          <w:rFonts w:ascii="Times New Roman" w:hAnsi="Times New Roman"/>
          <w:sz w:val="20"/>
        </w:rPr>
        <w:t>develop and assess potential enhancements to the current road and rail networks, as potential strategic alternatives to new rail lines.</w:t>
      </w:r>
      <w:r w:rsidR="0043272D" w:rsidRPr="00462388">
        <w:rPr>
          <w:rStyle w:val="FootnoteReference"/>
        </w:rPr>
        <w:footnoteReference w:id="10"/>
      </w:r>
      <w:r w:rsidR="00456743" w:rsidRPr="00462388">
        <w:rPr>
          <w:rFonts w:ascii="Times New Roman" w:hAnsi="Times New Roman"/>
          <w:sz w:val="20"/>
        </w:rPr>
        <w:t xml:space="preserve"> </w:t>
      </w:r>
      <w:r w:rsidR="001F3332" w:rsidRPr="00462388">
        <w:rPr>
          <w:rFonts w:ascii="Times New Roman" w:eastAsia="Times New Roman" w:hAnsi="Times New Roman" w:cs="Times New Roman"/>
          <w:sz w:val="20"/>
          <w:szCs w:val="20"/>
        </w:rPr>
        <w:t>This included</w:t>
      </w:r>
      <w:r w:rsidR="0043272D" w:rsidRPr="00B04ED2">
        <w:rPr>
          <w:rFonts w:ascii="Times New Roman" w:hAnsi="Times New Roman"/>
          <w:sz w:val="20"/>
        </w:rPr>
        <w:t xml:space="preserve"> the development of four packag</w:t>
      </w:r>
      <w:r w:rsidR="0043272D" w:rsidRPr="004F2D82">
        <w:rPr>
          <w:rFonts w:ascii="Times New Roman" w:hAnsi="Times New Roman"/>
          <w:sz w:val="20"/>
        </w:rPr>
        <w:t>es of potential enhancements to the strategic road network, and five packages of potential enhancements to the rail network, and an assessment of the business case for each of the options, including both economic and environmental assessments</w:t>
      </w:r>
      <w:r w:rsidR="00B31E90" w:rsidRPr="004F2D82">
        <w:rPr>
          <w:rFonts w:ascii="Times New Roman" w:hAnsi="Times New Roman"/>
          <w:sz w:val="20"/>
        </w:rPr>
        <w:t>.</w:t>
      </w:r>
      <w:r w:rsidR="0043272D" w:rsidRPr="00462388">
        <w:rPr>
          <w:rStyle w:val="FootnoteReference"/>
          <w:sz w:val="20"/>
        </w:rPr>
        <w:footnoteReference w:id="11"/>
      </w:r>
      <w:r w:rsidR="0043272D" w:rsidRPr="00462388">
        <w:rPr>
          <w:rFonts w:ascii="Times New Roman" w:hAnsi="Times New Roman"/>
          <w:sz w:val="20"/>
        </w:rPr>
        <w:t xml:space="preserve"> </w:t>
      </w:r>
      <w:r w:rsidR="001F3332" w:rsidRPr="00462388">
        <w:rPr>
          <w:rFonts w:ascii="Times New Roman" w:eastAsia="Times New Roman" w:hAnsi="Times New Roman" w:cs="Times New Roman"/>
          <w:sz w:val="20"/>
          <w:szCs w:val="20"/>
        </w:rPr>
        <w:t xml:space="preserve">WS </w:t>
      </w:r>
      <w:r w:rsidR="0043272D" w:rsidRPr="00462388">
        <w:rPr>
          <w:rFonts w:ascii="Times New Roman" w:hAnsi="Times New Roman"/>
          <w:sz w:val="20"/>
        </w:rPr>
        <w:t>Atkins</w:t>
      </w:r>
      <w:r w:rsidR="001F3332" w:rsidRPr="00462388">
        <w:rPr>
          <w:rFonts w:ascii="Times New Roman" w:eastAsia="Times New Roman" w:hAnsi="Times New Roman" w:cs="Times New Roman"/>
          <w:sz w:val="20"/>
          <w:szCs w:val="20"/>
        </w:rPr>
        <w:t xml:space="preserve"> p</w:t>
      </w:r>
      <w:r w:rsidR="001F3332" w:rsidRPr="00B04ED2">
        <w:rPr>
          <w:rFonts w:ascii="Times New Roman" w:eastAsia="Times New Roman" w:hAnsi="Times New Roman" w:cs="Times New Roman"/>
          <w:sz w:val="20"/>
          <w:szCs w:val="20"/>
        </w:rPr>
        <w:t>lc</w:t>
      </w:r>
      <w:r w:rsidR="0043272D" w:rsidRPr="004F2D82">
        <w:rPr>
          <w:rFonts w:ascii="Times New Roman" w:hAnsi="Times New Roman"/>
          <w:sz w:val="20"/>
        </w:rPr>
        <w:t xml:space="preserve"> provided </w:t>
      </w:r>
      <w:r w:rsidR="004E0C57" w:rsidRPr="004F2D82">
        <w:rPr>
          <w:rFonts w:ascii="Times New Roman" w:hAnsi="Times New Roman"/>
          <w:sz w:val="20"/>
        </w:rPr>
        <w:t xml:space="preserve">its final report </w:t>
      </w:r>
      <w:r w:rsidR="0043272D" w:rsidRPr="004F2D82">
        <w:rPr>
          <w:rFonts w:ascii="Times New Roman" w:hAnsi="Times New Roman"/>
          <w:sz w:val="20"/>
        </w:rPr>
        <w:t xml:space="preserve">to the Department </w:t>
      </w:r>
      <w:r w:rsidR="00543742" w:rsidRPr="004F2D82">
        <w:rPr>
          <w:rFonts w:ascii="Times New Roman" w:hAnsi="Times New Roman"/>
          <w:sz w:val="20"/>
        </w:rPr>
        <w:t xml:space="preserve">for </w:t>
      </w:r>
      <w:r w:rsidR="0043272D" w:rsidRPr="004F2D82">
        <w:rPr>
          <w:rFonts w:ascii="Times New Roman" w:hAnsi="Times New Roman"/>
          <w:sz w:val="20"/>
        </w:rPr>
        <w:t>Transport in early March 2010.</w:t>
      </w:r>
      <w:r w:rsidR="0043272D" w:rsidRPr="00462388">
        <w:rPr>
          <w:rStyle w:val="FootnoteReference"/>
        </w:rPr>
        <w:footnoteReference w:id="12"/>
      </w:r>
    </w:p>
    <w:p w14:paraId="74EB0FDC" w14:textId="65363E35" w:rsidR="00637931" w:rsidRPr="00462388" w:rsidRDefault="00090238"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On 11 March 2010, the Department for Transport </w:t>
      </w:r>
      <w:r w:rsidR="00770913" w:rsidRPr="004F2D82">
        <w:rPr>
          <w:rFonts w:ascii="Times New Roman" w:hAnsi="Times New Roman"/>
          <w:sz w:val="20"/>
        </w:rPr>
        <w:t xml:space="preserve"> </w:t>
      </w:r>
      <w:r w:rsidRPr="004F2D82">
        <w:rPr>
          <w:rFonts w:ascii="Times New Roman" w:hAnsi="Times New Roman"/>
          <w:sz w:val="20"/>
        </w:rPr>
        <w:t>published a Comm</w:t>
      </w:r>
      <w:r w:rsidR="0001734E" w:rsidRPr="004F2D82">
        <w:rPr>
          <w:rFonts w:ascii="Times New Roman" w:hAnsi="Times New Roman"/>
          <w:sz w:val="20"/>
        </w:rPr>
        <w:t>and</w:t>
      </w:r>
      <w:r w:rsidRPr="004F2D82">
        <w:rPr>
          <w:rFonts w:ascii="Times New Roman" w:hAnsi="Times New Roman"/>
          <w:sz w:val="20"/>
        </w:rPr>
        <w:t xml:space="preserve"> Paper entitled “High Speed Rail”,</w:t>
      </w:r>
      <w:r w:rsidR="00286FC3" w:rsidRPr="00462388">
        <w:rPr>
          <w:rStyle w:val="FootnoteReference"/>
        </w:rPr>
        <w:footnoteReference w:id="13"/>
      </w:r>
      <w:r w:rsidRPr="00462388">
        <w:rPr>
          <w:rFonts w:ascii="Times New Roman" w:hAnsi="Times New Roman"/>
          <w:sz w:val="20"/>
        </w:rPr>
        <w:t xml:space="preserve"> together with </w:t>
      </w:r>
      <w:r w:rsidR="00151295" w:rsidRPr="00462388">
        <w:rPr>
          <w:rFonts w:ascii="Times New Roman" w:hAnsi="Times New Roman"/>
          <w:sz w:val="20"/>
        </w:rPr>
        <w:t xml:space="preserve">HS2 </w:t>
      </w:r>
      <w:proofErr w:type="spellStart"/>
      <w:r w:rsidR="00151295" w:rsidRPr="00462388">
        <w:rPr>
          <w:rFonts w:ascii="Times New Roman" w:hAnsi="Times New Roman"/>
          <w:sz w:val="20"/>
        </w:rPr>
        <w:t>Ltd</w:t>
      </w:r>
      <w:r w:rsidRPr="00462388">
        <w:rPr>
          <w:rFonts w:ascii="Times New Roman" w:hAnsi="Times New Roman"/>
          <w:sz w:val="20"/>
        </w:rPr>
        <w:t>’s</w:t>
      </w:r>
      <w:proofErr w:type="spellEnd"/>
      <w:r w:rsidRPr="00462388">
        <w:rPr>
          <w:rFonts w:ascii="Times New Roman" w:hAnsi="Times New Roman"/>
          <w:sz w:val="20"/>
        </w:rPr>
        <w:t xml:space="preserve"> December 2009 Report</w:t>
      </w:r>
      <w:r w:rsidR="000F45DB" w:rsidRPr="00B04ED2">
        <w:rPr>
          <w:rFonts w:ascii="Times New Roman" w:hAnsi="Times New Roman"/>
          <w:sz w:val="20"/>
        </w:rPr>
        <w:t xml:space="preserve">, and a non-technical summary of the Appraisal of Sustainability report (the full document was not published at this stage as further work had been commissioned on </w:t>
      </w:r>
      <w:r w:rsidR="00770913" w:rsidRPr="004F2D82">
        <w:rPr>
          <w:rFonts w:ascii="Times New Roman" w:hAnsi="Times New Roman"/>
          <w:sz w:val="20"/>
        </w:rPr>
        <w:t xml:space="preserve">the </w:t>
      </w:r>
      <w:r w:rsidR="000F45DB" w:rsidRPr="004F2D82">
        <w:rPr>
          <w:rFonts w:ascii="Times New Roman" w:hAnsi="Times New Roman"/>
          <w:sz w:val="20"/>
        </w:rPr>
        <w:t xml:space="preserve">detail of the route and so analysis </w:t>
      </w:r>
      <w:r w:rsidR="00FA3643" w:rsidRPr="004F2D82">
        <w:rPr>
          <w:rFonts w:ascii="Times New Roman" w:hAnsi="Times New Roman"/>
          <w:sz w:val="20"/>
        </w:rPr>
        <w:t>was</w:t>
      </w:r>
      <w:r w:rsidR="000F45DB" w:rsidRPr="004F2D82">
        <w:rPr>
          <w:rFonts w:ascii="Times New Roman" w:hAnsi="Times New Roman"/>
          <w:sz w:val="20"/>
        </w:rPr>
        <w:t xml:space="preserve"> likely to change)</w:t>
      </w:r>
      <w:r w:rsidR="000F45DB" w:rsidRPr="00462388">
        <w:rPr>
          <w:rStyle w:val="FootnoteReference"/>
          <w:sz w:val="20"/>
        </w:rPr>
        <w:footnoteReference w:id="14"/>
      </w:r>
      <w:r w:rsidR="004E0C57" w:rsidRPr="00462388">
        <w:rPr>
          <w:rFonts w:ascii="Times New Roman" w:hAnsi="Times New Roman"/>
          <w:sz w:val="20"/>
        </w:rPr>
        <w:t xml:space="preserve"> and</w:t>
      </w:r>
      <w:r w:rsidR="000F45DB" w:rsidRPr="00462388">
        <w:rPr>
          <w:rFonts w:ascii="Times New Roman" w:hAnsi="Times New Roman"/>
          <w:sz w:val="20"/>
        </w:rPr>
        <w:t xml:space="preserve"> the full set of reports provided by </w:t>
      </w:r>
      <w:r w:rsidR="001F3332" w:rsidRPr="00462388">
        <w:rPr>
          <w:rFonts w:ascii="Times New Roman" w:eastAsia="Times New Roman" w:hAnsi="Times New Roman" w:cs="Times New Roman"/>
          <w:sz w:val="20"/>
          <w:szCs w:val="20"/>
        </w:rPr>
        <w:t xml:space="preserve">WS </w:t>
      </w:r>
      <w:r w:rsidR="000F45DB" w:rsidRPr="00462388">
        <w:rPr>
          <w:rFonts w:ascii="Times New Roman" w:hAnsi="Times New Roman"/>
          <w:sz w:val="20"/>
        </w:rPr>
        <w:t>Atkins</w:t>
      </w:r>
      <w:r w:rsidR="001F3332" w:rsidRPr="00B04ED2">
        <w:rPr>
          <w:rFonts w:ascii="Times New Roman" w:hAnsi="Times New Roman"/>
          <w:sz w:val="20"/>
        </w:rPr>
        <w:t xml:space="preserve"> </w:t>
      </w:r>
      <w:r w:rsidR="001F3332" w:rsidRPr="004F2D82">
        <w:rPr>
          <w:rFonts w:ascii="Times New Roman" w:eastAsia="Times New Roman" w:hAnsi="Times New Roman" w:cs="Times New Roman"/>
          <w:sz w:val="20"/>
          <w:szCs w:val="20"/>
        </w:rPr>
        <w:t>plc</w:t>
      </w:r>
      <w:r w:rsidR="000F45DB" w:rsidRPr="004F2D82">
        <w:rPr>
          <w:rFonts w:ascii="Times New Roman" w:eastAsia="Times New Roman" w:hAnsi="Times New Roman" w:cs="Times New Roman"/>
          <w:sz w:val="20"/>
          <w:szCs w:val="20"/>
        </w:rPr>
        <w:t xml:space="preserve"> </w:t>
      </w:r>
      <w:r w:rsidR="000F45DB" w:rsidRPr="004F2D82">
        <w:rPr>
          <w:rFonts w:ascii="Times New Roman" w:hAnsi="Times New Roman"/>
          <w:sz w:val="20"/>
        </w:rPr>
        <w:t>on the strategic alternatives study</w:t>
      </w:r>
      <w:r w:rsidRPr="004F2D82">
        <w:rPr>
          <w:rFonts w:ascii="Times New Roman" w:hAnsi="Times New Roman"/>
          <w:sz w:val="20"/>
        </w:rPr>
        <w:t>.</w:t>
      </w:r>
      <w:r w:rsidR="000F45DB" w:rsidRPr="00462388">
        <w:rPr>
          <w:rStyle w:val="FootnoteReference"/>
          <w:sz w:val="20"/>
        </w:rPr>
        <w:footnoteReference w:id="15"/>
      </w:r>
      <w:r w:rsidR="00637931" w:rsidRPr="00462388">
        <w:rPr>
          <w:rFonts w:ascii="Times New Roman" w:hAnsi="Times New Roman"/>
          <w:sz w:val="20"/>
        </w:rPr>
        <w:t xml:space="preserve"> </w:t>
      </w:r>
    </w:p>
    <w:p w14:paraId="5679120F" w14:textId="60FF6F23" w:rsidR="00C80DEE" w:rsidRPr="00462388" w:rsidRDefault="00127490" w:rsidP="006068D9">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62388">
        <w:rPr>
          <w:rFonts w:ascii="Times New Roman" w:hAnsi="Times New Roman"/>
          <w:sz w:val="20"/>
        </w:rPr>
        <w:t xml:space="preserve">On 17 March </w:t>
      </w:r>
      <w:r w:rsidR="008E3751" w:rsidRPr="00462388">
        <w:rPr>
          <w:rFonts w:ascii="Times New Roman" w:hAnsi="Times New Roman"/>
          <w:sz w:val="20"/>
        </w:rPr>
        <w:t>and 11 June 2010</w:t>
      </w:r>
      <w:r w:rsidRPr="00462388">
        <w:rPr>
          <w:rFonts w:ascii="Times New Roman" w:hAnsi="Times New Roman"/>
          <w:sz w:val="20"/>
        </w:rPr>
        <w:t xml:space="preserve">, the Secretary of State for Transport wrote to </w:t>
      </w:r>
      <w:r w:rsidR="00151295" w:rsidRPr="00B04ED2">
        <w:rPr>
          <w:rFonts w:ascii="Times New Roman" w:hAnsi="Times New Roman"/>
          <w:sz w:val="20"/>
        </w:rPr>
        <w:t>HS2 Ltd</w:t>
      </w:r>
      <w:r w:rsidRPr="004F2D82">
        <w:rPr>
          <w:rFonts w:ascii="Times New Roman" w:hAnsi="Times New Roman"/>
          <w:sz w:val="20"/>
        </w:rPr>
        <w:t xml:space="preserve"> </w:t>
      </w:r>
      <w:r w:rsidR="00086D74" w:rsidRPr="004F2D82">
        <w:rPr>
          <w:rFonts w:ascii="Times New Roman" w:hAnsi="Times New Roman"/>
          <w:sz w:val="20"/>
        </w:rPr>
        <w:t xml:space="preserve">to </w:t>
      </w:r>
      <w:r w:rsidR="008E3751" w:rsidRPr="004F2D82">
        <w:rPr>
          <w:rFonts w:ascii="Times New Roman" w:hAnsi="Times New Roman"/>
          <w:sz w:val="20"/>
        </w:rPr>
        <w:t>commission further work including the consideration of additional options.</w:t>
      </w:r>
      <w:r w:rsidR="008E3751" w:rsidRPr="00462388">
        <w:rPr>
          <w:rStyle w:val="FootnoteReference"/>
        </w:rPr>
        <w:footnoteReference w:id="16"/>
      </w:r>
      <w:r w:rsidR="008E3751" w:rsidRPr="00462388">
        <w:rPr>
          <w:rFonts w:ascii="Times New Roman" w:hAnsi="Times New Roman"/>
          <w:sz w:val="20"/>
        </w:rPr>
        <w:t xml:space="preserve"> The latter included a request for a</w:t>
      </w:r>
      <w:r w:rsidR="004F2C4D" w:rsidRPr="004F2D82">
        <w:rPr>
          <w:rFonts w:ascii="Times New Roman" w:hAnsi="Times New Roman"/>
          <w:sz w:val="20"/>
        </w:rPr>
        <w:t xml:space="preserve"> comparative</w:t>
      </w:r>
      <w:r w:rsidR="007B656E" w:rsidRPr="004F2D82">
        <w:rPr>
          <w:rFonts w:ascii="Times New Roman" w:hAnsi="Times New Roman"/>
          <w:sz w:val="20"/>
        </w:rPr>
        <w:t xml:space="preserve"> business case</w:t>
      </w:r>
      <w:r w:rsidR="004F2C4D" w:rsidRPr="004F2D82">
        <w:rPr>
          <w:rFonts w:ascii="Times New Roman" w:hAnsi="Times New Roman"/>
          <w:sz w:val="20"/>
        </w:rPr>
        <w:t xml:space="preserve"> assessment of the potential “S” and “Y” network options</w:t>
      </w:r>
      <w:r w:rsidR="00FA3643" w:rsidRPr="004F2D82">
        <w:rPr>
          <w:rFonts w:ascii="Times New Roman" w:hAnsi="Times New Roman"/>
          <w:sz w:val="20"/>
        </w:rPr>
        <w:t>.</w:t>
      </w:r>
      <w:r w:rsidR="007B656E" w:rsidRPr="004F2D82">
        <w:rPr>
          <w:rFonts w:ascii="Times New Roman" w:hAnsi="Times New Roman"/>
          <w:sz w:val="20"/>
        </w:rPr>
        <w:t xml:space="preserve"> </w:t>
      </w:r>
      <w:r w:rsidR="00151295" w:rsidRPr="004F2D82">
        <w:rPr>
          <w:rFonts w:ascii="Times New Roman" w:hAnsi="Times New Roman"/>
          <w:sz w:val="20"/>
        </w:rPr>
        <w:t>HS2 Ltd</w:t>
      </w:r>
      <w:r w:rsidR="004F2C4D" w:rsidRPr="004F2D82">
        <w:rPr>
          <w:rFonts w:ascii="Times New Roman" w:hAnsi="Times New Roman"/>
          <w:sz w:val="20"/>
        </w:rPr>
        <w:t xml:space="preserve"> published a report</w:t>
      </w:r>
      <w:r w:rsidR="007B656E" w:rsidRPr="004F2D82">
        <w:rPr>
          <w:rFonts w:ascii="Times New Roman" w:hAnsi="Times New Roman"/>
          <w:sz w:val="20"/>
        </w:rPr>
        <w:t xml:space="preserve"> in that regard</w:t>
      </w:r>
      <w:r w:rsidR="004F2C4D" w:rsidRPr="004F2D82">
        <w:rPr>
          <w:rFonts w:ascii="Times New Roman" w:hAnsi="Times New Roman"/>
          <w:sz w:val="20"/>
        </w:rPr>
        <w:t xml:space="preserve"> on 4 October 2010.</w:t>
      </w:r>
      <w:r w:rsidR="004F2C4D" w:rsidRPr="00462388">
        <w:rPr>
          <w:rStyle w:val="FootnoteReference"/>
          <w:sz w:val="20"/>
        </w:rPr>
        <w:footnoteReference w:id="17"/>
      </w:r>
      <w:r w:rsidR="004F2C4D" w:rsidRPr="00462388">
        <w:rPr>
          <w:rFonts w:ascii="Times New Roman" w:hAnsi="Times New Roman"/>
          <w:sz w:val="20"/>
        </w:rPr>
        <w:t xml:space="preserve"> </w:t>
      </w:r>
    </w:p>
    <w:p w14:paraId="0B8BE676" w14:textId="6CFD5F2D" w:rsidR="004F2C4D" w:rsidRPr="00462388" w:rsidRDefault="00192A82"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3" w:name="_Ref529979528"/>
      <w:r w:rsidRPr="00462388">
        <w:rPr>
          <w:rFonts w:ascii="Times New Roman" w:hAnsi="Times New Roman"/>
          <w:sz w:val="20"/>
        </w:rPr>
        <w:t xml:space="preserve">Between September and December 2010, HS2 Ltd published </w:t>
      </w:r>
      <w:proofErr w:type="gramStart"/>
      <w:r w:rsidRPr="00462388">
        <w:rPr>
          <w:rFonts w:ascii="Times New Roman" w:hAnsi="Times New Roman"/>
          <w:sz w:val="20"/>
        </w:rPr>
        <w:t>a nu</w:t>
      </w:r>
      <w:r w:rsidRPr="00B04ED2">
        <w:rPr>
          <w:rFonts w:ascii="Times New Roman" w:hAnsi="Times New Roman"/>
          <w:sz w:val="20"/>
        </w:rPr>
        <w:t>mber of</w:t>
      </w:r>
      <w:proofErr w:type="gramEnd"/>
      <w:r w:rsidRPr="00B04ED2">
        <w:rPr>
          <w:rFonts w:ascii="Times New Roman" w:hAnsi="Times New Roman"/>
          <w:sz w:val="20"/>
        </w:rPr>
        <w:t xml:space="preserve"> reports.</w:t>
      </w:r>
      <w:r w:rsidRPr="00462388">
        <w:rPr>
          <w:rStyle w:val="FootnoteReference"/>
          <w:sz w:val="20"/>
        </w:rPr>
        <w:footnoteReference w:id="18"/>
      </w:r>
      <w:r w:rsidRPr="00462388">
        <w:rPr>
          <w:rFonts w:ascii="Times New Roman" w:hAnsi="Times New Roman"/>
          <w:sz w:val="20"/>
        </w:rPr>
        <w:t xml:space="preserve"> </w:t>
      </w:r>
      <w:r w:rsidR="004F2C4D" w:rsidRPr="004F2D82">
        <w:rPr>
          <w:rFonts w:ascii="Times New Roman" w:hAnsi="Times New Roman"/>
          <w:sz w:val="20"/>
        </w:rPr>
        <w:t xml:space="preserve">On 4 November, 19 November and 3 December 2010, </w:t>
      </w:r>
      <w:r w:rsidR="00151295" w:rsidRPr="004F2D82">
        <w:rPr>
          <w:rFonts w:ascii="Times New Roman" w:hAnsi="Times New Roman"/>
          <w:sz w:val="20"/>
        </w:rPr>
        <w:t>HS2 Ltd</w:t>
      </w:r>
      <w:r w:rsidR="00FA3643" w:rsidRPr="004F2D82">
        <w:rPr>
          <w:rFonts w:ascii="Times New Roman" w:hAnsi="Times New Roman"/>
          <w:sz w:val="20"/>
        </w:rPr>
        <w:t xml:space="preserve"> published </w:t>
      </w:r>
      <w:r w:rsidR="004F2C4D" w:rsidRPr="004F2D82">
        <w:rPr>
          <w:rFonts w:ascii="Times New Roman" w:hAnsi="Times New Roman"/>
          <w:sz w:val="20"/>
        </w:rPr>
        <w:t xml:space="preserve">three separate </w:t>
      </w:r>
      <w:r w:rsidR="004F2C4D" w:rsidRPr="004F2D82">
        <w:rPr>
          <w:rFonts w:ascii="Times New Roman" w:hAnsi="Times New Roman"/>
          <w:sz w:val="20"/>
        </w:rPr>
        <w:lastRenderedPageBreak/>
        <w:t>supplementary reports</w:t>
      </w:r>
      <w:r w:rsidR="004B2E23" w:rsidRPr="004F2D82">
        <w:rPr>
          <w:rFonts w:ascii="Times New Roman" w:hAnsi="Times New Roman"/>
          <w:sz w:val="20"/>
        </w:rPr>
        <w:t xml:space="preserve"> </w:t>
      </w:r>
      <w:r w:rsidR="00FA3643" w:rsidRPr="004F2D82">
        <w:rPr>
          <w:rFonts w:ascii="Times New Roman" w:hAnsi="Times New Roman"/>
          <w:sz w:val="20"/>
        </w:rPr>
        <w:t>advising on</w:t>
      </w:r>
      <w:r w:rsidR="004B2E23" w:rsidRPr="004F2D82">
        <w:rPr>
          <w:rFonts w:ascii="Times New Roman" w:hAnsi="Times New Roman"/>
          <w:sz w:val="20"/>
        </w:rPr>
        <w:t xml:space="preserve"> changes </w:t>
      </w:r>
      <w:r w:rsidR="001F3332" w:rsidRPr="004F2D82">
        <w:rPr>
          <w:rFonts w:ascii="Times New Roman" w:eastAsia="Times New Roman" w:hAnsi="Times New Roman" w:cs="Times New Roman"/>
          <w:sz w:val="20"/>
          <w:szCs w:val="20"/>
        </w:rPr>
        <w:t>to</w:t>
      </w:r>
      <w:r w:rsidR="001F3332" w:rsidRPr="004F2D82">
        <w:rPr>
          <w:rFonts w:ascii="Times New Roman" w:hAnsi="Times New Roman"/>
          <w:sz w:val="20"/>
        </w:rPr>
        <w:t xml:space="preserve"> </w:t>
      </w:r>
      <w:r w:rsidR="004B2E23" w:rsidRPr="004F2D82">
        <w:rPr>
          <w:rFonts w:ascii="Times New Roman" w:hAnsi="Times New Roman"/>
          <w:sz w:val="20"/>
        </w:rPr>
        <w:t xml:space="preserve">sections of the </w:t>
      </w:r>
      <w:r w:rsidR="001F3332" w:rsidRPr="004F2D82">
        <w:rPr>
          <w:rFonts w:ascii="Times New Roman" w:eastAsia="Times New Roman" w:hAnsi="Times New Roman" w:cs="Times New Roman"/>
          <w:sz w:val="20"/>
          <w:szCs w:val="20"/>
        </w:rPr>
        <w:t xml:space="preserve">proposed </w:t>
      </w:r>
      <w:r w:rsidR="004B2E23" w:rsidRPr="004F2D82">
        <w:rPr>
          <w:rFonts w:ascii="Times New Roman" w:hAnsi="Times New Roman"/>
          <w:sz w:val="20"/>
        </w:rPr>
        <w:t>route</w:t>
      </w:r>
      <w:r w:rsidR="00FA3643" w:rsidRPr="004F2D82">
        <w:rPr>
          <w:rFonts w:ascii="Times New Roman" w:hAnsi="Times New Roman"/>
          <w:sz w:val="20"/>
        </w:rPr>
        <w:t xml:space="preserve"> to reduce</w:t>
      </w:r>
      <w:r w:rsidR="00FA3643" w:rsidRPr="004F2D82">
        <w:rPr>
          <w:rFonts w:ascii="Times New Roman" w:eastAsia="Times New Roman" w:hAnsi="Times New Roman" w:cs="Times New Roman"/>
          <w:sz w:val="20"/>
          <w:szCs w:val="20"/>
        </w:rPr>
        <w:t xml:space="preserve"> </w:t>
      </w:r>
      <w:r w:rsidR="00E54FCC" w:rsidRPr="004F2D82">
        <w:rPr>
          <w:rFonts w:ascii="Times New Roman" w:eastAsia="Times New Roman" w:hAnsi="Times New Roman" w:cs="Times New Roman"/>
          <w:sz w:val="20"/>
          <w:szCs w:val="20"/>
        </w:rPr>
        <w:t>the potential</w:t>
      </w:r>
      <w:r w:rsidR="00E54FCC" w:rsidRPr="004F2D82">
        <w:rPr>
          <w:rFonts w:ascii="Times New Roman" w:hAnsi="Times New Roman"/>
          <w:sz w:val="20"/>
        </w:rPr>
        <w:t xml:space="preserve"> </w:t>
      </w:r>
      <w:r w:rsidR="00FA3643" w:rsidRPr="004F2D82">
        <w:rPr>
          <w:rFonts w:ascii="Times New Roman" w:hAnsi="Times New Roman"/>
          <w:sz w:val="20"/>
        </w:rPr>
        <w:t>impacts on the environment and communities.</w:t>
      </w:r>
      <w:r w:rsidR="004B2E23" w:rsidRPr="00462388">
        <w:rPr>
          <w:rStyle w:val="FootnoteReference"/>
        </w:rPr>
        <w:footnoteReference w:id="19"/>
      </w:r>
      <w:bookmarkEnd w:id="3"/>
    </w:p>
    <w:p w14:paraId="7E6DF8F4" w14:textId="7E85A933" w:rsidR="00B81F30" w:rsidRPr="00462388" w:rsidRDefault="00CF127B"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4" w:name="_Ref495326790"/>
      <w:r w:rsidRPr="004F2D82">
        <w:rPr>
          <w:rFonts w:ascii="Times New Roman" w:hAnsi="Times New Roman"/>
          <w:sz w:val="20"/>
        </w:rPr>
        <w:t xml:space="preserve">On 20 December 2010, the Secretary of State </w:t>
      </w:r>
      <w:r w:rsidR="00B91F43">
        <w:rPr>
          <w:rFonts w:ascii="Times New Roman" w:hAnsi="Times New Roman"/>
          <w:sz w:val="20"/>
        </w:rPr>
        <w:t xml:space="preserve">for Transport </w:t>
      </w:r>
      <w:r w:rsidRPr="004F2D82">
        <w:rPr>
          <w:rFonts w:ascii="Times New Roman" w:hAnsi="Times New Roman"/>
          <w:sz w:val="20"/>
        </w:rPr>
        <w:t xml:space="preserve">made a statement to the House of Commons, </w:t>
      </w:r>
      <w:r w:rsidR="00192A82" w:rsidRPr="004F2D82">
        <w:rPr>
          <w:rFonts w:ascii="Times New Roman" w:hAnsi="Times New Roman"/>
          <w:sz w:val="20"/>
        </w:rPr>
        <w:t xml:space="preserve">stating </w:t>
      </w:r>
      <w:r w:rsidRPr="004F2D82">
        <w:rPr>
          <w:rFonts w:ascii="Times New Roman" w:hAnsi="Times New Roman"/>
          <w:sz w:val="20"/>
        </w:rPr>
        <w:t xml:space="preserve">that the Government intended to consult on a </w:t>
      </w:r>
      <w:r w:rsidR="003848C9" w:rsidRPr="004F2D82">
        <w:rPr>
          <w:rFonts w:ascii="Times New Roman" w:eastAsia="Times New Roman" w:hAnsi="Times New Roman" w:cs="Times New Roman"/>
          <w:sz w:val="20"/>
          <w:szCs w:val="20"/>
        </w:rPr>
        <w:t>“Y”</w:t>
      </w:r>
      <w:r w:rsidRPr="004F2D82">
        <w:rPr>
          <w:rFonts w:ascii="Times New Roman" w:hAnsi="Times New Roman"/>
          <w:sz w:val="20"/>
        </w:rPr>
        <w:t xml:space="preserve"> network for </w:t>
      </w:r>
      <w:r w:rsidR="002C3234" w:rsidRPr="004F2D82">
        <w:rPr>
          <w:rFonts w:ascii="Times New Roman" w:hAnsi="Times New Roman"/>
          <w:sz w:val="20"/>
        </w:rPr>
        <w:t>High Speed 2</w:t>
      </w:r>
      <w:r w:rsidR="003848C9" w:rsidRPr="004F2D82">
        <w:rPr>
          <w:rFonts w:ascii="Times New Roman" w:eastAsia="Times New Roman" w:hAnsi="Times New Roman" w:cs="Times New Roman"/>
          <w:sz w:val="20"/>
          <w:szCs w:val="20"/>
        </w:rPr>
        <w:t>. It was proposed that the network would</w:t>
      </w:r>
      <w:r w:rsidR="003848C9" w:rsidRPr="004F2D82">
        <w:rPr>
          <w:rFonts w:ascii="Times New Roman" w:hAnsi="Times New Roman"/>
          <w:sz w:val="20"/>
        </w:rPr>
        <w:t xml:space="preserve"> </w:t>
      </w:r>
      <w:r w:rsidRPr="004F2D82">
        <w:rPr>
          <w:rFonts w:ascii="Times New Roman" w:hAnsi="Times New Roman"/>
          <w:sz w:val="20"/>
        </w:rPr>
        <w:t>be delivered in two phases</w:t>
      </w:r>
      <w:r w:rsidR="009A23E4" w:rsidRPr="004F2D82">
        <w:rPr>
          <w:rFonts w:ascii="Times New Roman" w:hAnsi="Times New Roman"/>
          <w:sz w:val="20"/>
        </w:rPr>
        <w:t xml:space="preserve">, with </w:t>
      </w:r>
      <w:r w:rsidR="002E2406" w:rsidRPr="004F2D82">
        <w:rPr>
          <w:rFonts w:ascii="Times New Roman" w:hAnsi="Times New Roman"/>
          <w:sz w:val="20"/>
        </w:rPr>
        <w:t>phase</w:t>
      </w:r>
      <w:r w:rsidR="009A23E4" w:rsidRPr="004F2D82">
        <w:rPr>
          <w:rFonts w:ascii="Times New Roman" w:hAnsi="Times New Roman"/>
          <w:sz w:val="20"/>
        </w:rPr>
        <w:t xml:space="preserve"> 1 extending from London to West Midlands</w:t>
      </w:r>
      <w:r w:rsidR="00F374D0" w:rsidRPr="004F2D82">
        <w:rPr>
          <w:rFonts w:ascii="Times New Roman" w:hAnsi="Times New Roman"/>
          <w:sz w:val="20"/>
        </w:rPr>
        <w:t xml:space="preserve"> and phase 2 linking Birmingham with Manchester and Leeds</w:t>
      </w:r>
      <w:r w:rsidRPr="004F2D82">
        <w:rPr>
          <w:rFonts w:ascii="Times New Roman" w:hAnsi="Times New Roman"/>
          <w:sz w:val="20"/>
        </w:rPr>
        <w:t>.</w:t>
      </w:r>
      <w:bookmarkEnd w:id="4"/>
      <w:r w:rsidR="0030015E" w:rsidRPr="00462388">
        <w:rPr>
          <w:rStyle w:val="FootnoteReference"/>
        </w:rPr>
        <w:footnoteReference w:id="20"/>
      </w:r>
    </w:p>
    <w:p w14:paraId="3F68BCBC" w14:textId="6F92E355" w:rsidR="00CF127B" w:rsidRPr="00462388" w:rsidRDefault="004E5046"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A public consultation on </w:t>
      </w:r>
      <w:r w:rsidR="002E2406" w:rsidRPr="004F2D82">
        <w:rPr>
          <w:rFonts w:ascii="Times New Roman" w:hAnsi="Times New Roman"/>
          <w:sz w:val="20"/>
        </w:rPr>
        <w:t>phase</w:t>
      </w:r>
      <w:r w:rsidR="00086D74" w:rsidRPr="004F2D82">
        <w:rPr>
          <w:rFonts w:ascii="Times New Roman" w:hAnsi="Times New Roman"/>
          <w:sz w:val="20"/>
        </w:rPr>
        <w:t xml:space="preserve"> 1 of </w:t>
      </w:r>
      <w:r w:rsidR="002C3234" w:rsidRPr="004F2D82">
        <w:rPr>
          <w:rFonts w:ascii="Times New Roman" w:hAnsi="Times New Roman"/>
          <w:sz w:val="20"/>
        </w:rPr>
        <w:t>High Speed 2</w:t>
      </w:r>
      <w:r w:rsidRPr="004F2D82">
        <w:rPr>
          <w:rFonts w:ascii="Times New Roman" w:hAnsi="Times New Roman"/>
          <w:sz w:val="20"/>
        </w:rPr>
        <w:t xml:space="preserve"> commenced on 28 February 2011 and clos</w:t>
      </w:r>
      <w:r w:rsidR="00E030E3" w:rsidRPr="004F2D82">
        <w:rPr>
          <w:rFonts w:ascii="Times New Roman" w:hAnsi="Times New Roman"/>
          <w:sz w:val="20"/>
        </w:rPr>
        <w:t>ed</w:t>
      </w:r>
      <w:r w:rsidRPr="004F2D82">
        <w:rPr>
          <w:rFonts w:ascii="Times New Roman" w:hAnsi="Times New Roman"/>
          <w:sz w:val="20"/>
        </w:rPr>
        <w:t xml:space="preserve"> on 29 July 2011</w:t>
      </w:r>
      <w:r w:rsidR="004F0CD7" w:rsidRPr="004F2D82">
        <w:rPr>
          <w:rFonts w:ascii="Times New Roman" w:hAnsi="Times New Roman"/>
          <w:sz w:val="20"/>
        </w:rPr>
        <w:t>.</w:t>
      </w:r>
      <w:r w:rsidRPr="00462388">
        <w:rPr>
          <w:rStyle w:val="FootnoteReference"/>
          <w:sz w:val="20"/>
        </w:rPr>
        <w:footnoteReference w:id="21"/>
      </w:r>
      <w:r w:rsidRPr="00462388">
        <w:rPr>
          <w:rFonts w:ascii="Times New Roman" w:hAnsi="Times New Roman"/>
          <w:sz w:val="20"/>
        </w:rPr>
        <w:t xml:space="preserve"> </w:t>
      </w:r>
      <w:r w:rsidR="008E3751" w:rsidRPr="00462388">
        <w:rPr>
          <w:rFonts w:ascii="Times New Roman" w:hAnsi="Times New Roman"/>
          <w:sz w:val="20"/>
        </w:rPr>
        <w:t>For this purpose, t</w:t>
      </w:r>
      <w:r w:rsidRPr="00462388">
        <w:rPr>
          <w:rFonts w:ascii="Times New Roman" w:hAnsi="Times New Roman"/>
          <w:sz w:val="20"/>
        </w:rPr>
        <w:t xml:space="preserve">he </w:t>
      </w:r>
      <w:r w:rsidR="00192A82" w:rsidRPr="00B04ED2">
        <w:rPr>
          <w:rFonts w:ascii="Times New Roman" w:hAnsi="Times New Roman"/>
          <w:sz w:val="20"/>
        </w:rPr>
        <w:t>G</w:t>
      </w:r>
      <w:r w:rsidR="008E3751" w:rsidRPr="004F2D82">
        <w:rPr>
          <w:rFonts w:ascii="Times New Roman" w:hAnsi="Times New Roman"/>
          <w:sz w:val="20"/>
        </w:rPr>
        <w:t>overnment</w:t>
      </w:r>
      <w:r w:rsidRPr="004F2D82">
        <w:rPr>
          <w:rFonts w:ascii="Times New Roman" w:hAnsi="Times New Roman"/>
          <w:sz w:val="20"/>
        </w:rPr>
        <w:t xml:space="preserve"> published </w:t>
      </w:r>
      <w:r w:rsidR="003848C9" w:rsidRPr="004F2D82">
        <w:rPr>
          <w:rFonts w:ascii="Times New Roman" w:eastAsia="Times New Roman" w:hAnsi="Times New Roman" w:cs="Times New Roman"/>
          <w:sz w:val="20"/>
          <w:szCs w:val="20"/>
        </w:rPr>
        <w:t xml:space="preserve">a </w:t>
      </w:r>
      <w:r w:rsidRPr="004F2D82">
        <w:rPr>
          <w:rFonts w:ascii="Times New Roman" w:hAnsi="Times New Roman"/>
          <w:sz w:val="20"/>
        </w:rPr>
        <w:t xml:space="preserve">consultation document “High Speed Rail: Investing in Britain’s Future” (“the Consultation </w:t>
      </w:r>
      <w:r w:rsidR="00E54FCC" w:rsidRPr="004F2D82">
        <w:rPr>
          <w:rFonts w:ascii="Times New Roman" w:eastAsia="Times New Roman" w:hAnsi="Times New Roman" w:cs="Times New Roman"/>
          <w:sz w:val="20"/>
          <w:szCs w:val="20"/>
        </w:rPr>
        <w:t>Document</w:t>
      </w:r>
      <w:r w:rsidRPr="004F2D82">
        <w:rPr>
          <w:rFonts w:ascii="Times New Roman" w:hAnsi="Times New Roman"/>
          <w:sz w:val="20"/>
        </w:rPr>
        <w:t>”),</w:t>
      </w:r>
      <w:r w:rsidRPr="00462388">
        <w:rPr>
          <w:rStyle w:val="FootnoteReference"/>
          <w:sz w:val="20"/>
        </w:rPr>
        <w:footnoteReference w:id="22"/>
      </w:r>
      <w:r w:rsidR="00DF626A" w:rsidRPr="00462388">
        <w:rPr>
          <w:rFonts w:ascii="Times New Roman" w:hAnsi="Times New Roman"/>
          <w:sz w:val="20"/>
        </w:rPr>
        <w:t xml:space="preserve"> </w:t>
      </w:r>
      <w:r w:rsidR="00192A82" w:rsidRPr="00462388">
        <w:rPr>
          <w:rFonts w:ascii="Times New Roman" w:hAnsi="Times New Roman"/>
          <w:sz w:val="20"/>
        </w:rPr>
        <w:t>together with various</w:t>
      </w:r>
      <w:r w:rsidRPr="00462388">
        <w:rPr>
          <w:rFonts w:ascii="Times New Roman" w:hAnsi="Times New Roman"/>
          <w:sz w:val="20"/>
        </w:rPr>
        <w:t xml:space="preserve"> supporting documents </w:t>
      </w:r>
      <w:r w:rsidR="000760D0" w:rsidRPr="00B04ED2">
        <w:rPr>
          <w:rFonts w:ascii="Times New Roman" w:hAnsi="Times New Roman"/>
          <w:sz w:val="20"/>
        </w:rPr>
        <w:t>including</w:t>
      </w:r>
      <w:r w:rsidR="00192A82" w:rsidRPr="004F2D82">
        <w:rPr>
          <w:rFonts w:ascii="Times New Roman" w:hAnsi="Times New Roman"/>
          <w:sz w:val="20"/>
        </w:rPr>
        <w:t xml:space="preserve"> the</w:t>
      </w:r>
      <w:r w:rsidRPr="004F2D82">
        <w:rPr>
          <w:rFonts w:ascii="Times New Roman" w:hAnsi="Times New Roman"/>
          <w:sz w:val="20"/>
        </w:rPr>
        <w:t xml:space="preserve"> </w:t>
      </w:r>
      <w:r w:rsidR="00192A82" w:rsidRPr="004F2D82">
        <w:rPr>
          <w:rFonts w:ascii="Times New Roman" w:hAnsi="Times New Roman"/>
          <w:sz w:val="20"/>
        </w:rPr>
        <w:t>“</w:t>
      </w:r>
      <w:r w:rsidR="002C3234" w:rsidRPr="004F2D82">
        <w:rPr>
          <w:rFonts w:ascii="Times New Roman" w:hAnsi="Times New Roman"/>
          <w:sz w:val="20"/>
        </w:rPr>
        <w:t>High Speed 2</w:t>
      </w:r>
      <w:r w:rsidRPr="004F2D82">
        <w:rPr>
          <w:rFonts w:ascii="Times New Roman" w:hAnsi="Times New Roman"/>
          <w:sz w:val="20"/>
        </w:rPr>
        <w:t xml:space="preserve"> London to the West Midlan</w:t>
      </w:r>
      <w:r w:rsidR="004F2C4D" w:rsidRPr="004F2D82">
        <w:rPr>
          <w:rFonts w:ascii="Times New Roman" w:hAnsi="Times New Roman"/>
          <w:sz w:val="20"/>
        </w:rPr>
        <w:t>ds Appraisal of Sustainability</w:t>
      </w:r>
      <w:r w:rsidR="00192A82" w:rsidRPr="004F2D82">
        <w:rPr>
          <w:rFonts w:ascii="Times New Roman" w:hAnsi="Times New Roman"/>
          <w:sz w:val="20"/>
        </w:rPr>
        <w:t>”</w:t>
      </w:r>
      <w:r w:rsidR="004F2C4D" w:rsidRPr="004F2D82">
        <w:rPr>
          <w:rFonts w:ascii="Times New Roman" w:hAnsi="Times New Roman"/>
          <w:sz w:val="20"/>
        </w:rPr>
        <w:t>,</w:t>
      </w:r>
      <w:r w:rsidRPr="00462388">
        <w:rPr>
          <w:rStyle w:val="FootnoteReference"/>
          <w:sz w:val="20"/>
        </w:rPr>
        <w:footnoteReference w:id="23"/>
      </w:r>
      <w:r w:rsidRPr="00462388">
        <w:rPr>
          <w:rFonts w:ascii="Times New Roman" w:hAnsi="Times New Roman"/>
          <w:sz w:val="20"/>
        </w:rPr>
        <w:t xml:space="preserve"> </w:t>
      </w:r>
      <w:r w:rsidR="00192A82" w:rsidRPr="00462388">
        <w:rPr>
          <w:rFonts w:ascii="Times New Roman" w:hAnsi="Times New Roman"/>
          <w:sz w:val="20"/>
        </w:rPr>
        <w:t>“</w:t>
      </w:r>
      <w:r w:rsidR="00901C6D" w:rsidRPr="00462388">
        <w:rPr>
          <w:rFonts w:ascii="Times New Roman" w:hAnsi="Times New Roman"/>
          <w:sz w:val="20"/>
        </w:rPr>
        <w:t xml:space="preserve">High Speed 2 </w:t>
      </w:r>
      <w:r w:rsidR="00901C6D" w:rsidRPr="00B04ED2">
        <w:rPr>
          <w:rFonts w:ascii="Times New Roman" w:hAnsi="Times New Roman"/>
          <w:sz w:val="20"/>
        </w:rPr>
        <w:t>S</w:t>
      </w:r>
      <w:r w:rsidRPr="004F2D82">
        <w:rPr>
          <w:rFonts w:ascii="Times New Roman" w:hAnsi="Times New Roman"/>
          <w:sz w:val="20"/>
        </w:rPr>
        <w:t xml:space="preserve">trategic Alternatives </w:t>
      </w:r>
      <w:r w:rsidR="00901C6D" w:rsidRPr="004F2D82">
        <w:rPr>
          <w:rFonts w:ascii="Times New Roman" w:hAnsi="Times New Roman"/>
          <w:sz w:val="20"/>
        </w:rPr>
        <w:t>Study London to West Midlands Rail Alternatives – update of Economic Appraisal</w:t>
      </w:r>
      <w:r w:rsidR="00192A82" w:rsidRPr="004F2D82">
        <w:rPr>
          <w:rFonts w:ascii="Times New Roman" w:hAnsi="Times New Roman"/>
          <w:sz w:val="20"/>
        </w:rPr>
        <w:t>”</w:t>
      </w:r>
      <w:r w:rsidR="00DF626A" w:rsidRPr="004F2D82">
        <w:rPr>
          <w:rFonts w:ascii="Times New Roman" w:hAnsi="Times New Roman"/>
          <w:sz w:val="20"/>
        </w:rPr>
        <w:t xml:space="preserve"> (</w:t>
      </w:r>
      <w:r w:rsidR="003848C9" w:rsidRPr="004F2D82">
        <w:rPr>
          <w:rFonts w:ascii="Times New Roman" w:eastAsia="Times New Roman" w:hAnsi="Times New Roman" w:cs="Times New Roman"/>
          <w:sz w:val="20"/>
          <w:szCs w:val="20"/>
        </w:rPr>
        <w:t>a report by WS</w:t>
      </w:r>
      <w:r w:rsidR="003848C9" w:rsidRPr="004F2D82">
        <w:rPr>
          <w:rFonts w:ascii="Times New Roman" w:hAnsi="Times New Roman"/>
          <w:sz w:val="20"/>
        </w:rPr>
        <w:t xml:space="preserve"> </w:t>
      </w:r>
      <w:r w:rsidR="00DF626A" w:rsidRPr="004F2D82">
        <w:rPr>
          <w:rFonts w:ascii="Times New Roman" w:hAnsi="Times New Roman"/>
          <w:sz w:val="20"/>
        </w:rPr>
        <w:t xml:space="preserve">Atkins </w:t>
      </w:r>
      <w:r w:rsidR="003848C9" w:rsidRPr="004F2D82">
        <w:rPr>
          <w:rFonts w:ascii="Times New Roman" w:eastAsia="Times New Roman" w:hAnsi="Times New Roman" w:cs="Times New Roman"/>
          <w:sz w:val="20"/>
          <w:szCs w:val="20"/>
        </w:rPr>
        <w:t>plc</w:t>
      </w:r>
      <w:r w:rsidR="00DF626A" w:rsidRPr="004F2D82">
        <w:rPr>
          <w:rFonts w:ascii="Times New Roman" w:hAnsi="Times New Roman"/>
          <w:sz w:val="20"/>
        </w:rPr>
        <w:t>)</w:t>
      </w:r>
      <w:r w:rsidRPr="00462388">
        <w:rPr>
          <w:rStyle w:val="FootnoteReference"/>
          <w:sz w:val="20"/>
        </w:rPr>
        <w:footnoteReference w:id="24"/>
      </w:r>
      <w:r w:rsidR="00DF626A" w:rsidRPr="00462388">
        <w:rPr>
          <w:rFonts w:ascii="Times New Roman" w:hAnsi="Times New Roman"/>
          <w:sz w:val="20"/>
        </w:rPr>
        <w:t xml:space="preserve"> </w:t>
      </w:r>
      <w:r w:rsidRPr="00462388">
        <w:rPr>
          <w:rFonts w:ascii="Times New Roman" w:hAnsi="Times New Roman"/>
          <w:sz w:val="20"/>
        </w:rPr>
        <w:t>and a consultation summary report.</w:t>
      </w:r>
      <w:r w:rsidRPr="00462388">
        <w:rPr>
          <w:rStyle w:val="FootnoteReference"/>
          <w:sz w:val="20"/>
        </w:rPr>
        <w:footnoteReference w:id="25"/>
      </w:r>
      <w:r w:rsidR="001B75F4" w:rsidRPr="00462388">
        <w:rPr>
          <w:rFonts w:ascii="Times New Roman" w:hAnsi="Times New Roman"/>
          <w:sz w:val="20"/>
        </w:rPr>
        <w:t xml:space="preserve"> </w:t>
      </w:r>
      <w:r w:rsidR="00192A82" w:rsidRPr="00462388">
        <w:rPr>
          <w:rFonts w:ascii="Times New Roman" w:hAnsi="Times New Roman"/>
          <w:sz w:val="20"/>
        </w:rPr>
        <w:t>It also published detailed maps of the proposed route.</w:t>
      </w:r>
      <w:r w:rsidR="008B2C38" w:rsidRPr="00462388">
        <w:rPr>
          <w:rStyle w:val="FootnoteReference"/>
          <w:sz w:val="20"/>
        </w:rPr>
        <w:footnoteReference w:id="26"/>
      </w:r>
    </w:p>
    <w:p w14:paraId="6D24802F" w14:textId="01267DD1" w:rsidR="006B4924" w:rsidRPr="00462388" w:rsidRDefault="00E752E0"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5" w:name="_Ref518380324"/>
      <w:r w:rsidRPr="00462388">
        <w:rPr>
          <w:rFonts w:ascii="Times New Roman" w:hAnsi="Times New Roman"/>
          <w:sz w:val="20"/>
        </w:rPr>
        <w:t>The consultation asked seven question</w:t>
      </w:r>
      <w:r w:rsidR="00205FE4" w:rsidRPr="00B04ED2">
        <w:rPr>
          <w:rFonts w:ascii="Times New Roman" w:hAnsi="Times New Roman"/>
          <w:sz w:val="20"/>
        </w:rPr>
        <w:t>s</w:t>
      </w:r>
      <w:r w:rsidR="006B4924" w:rsidRPr="004F2D82">
        <w:rPr>
          <w:rFonts w:ascii="Times New Roman" w:hAnsi="Times New Roman"/>
          <w:sz w:val="20"/>
        </w:rPr>
        <w:t>:</w:t>
      </w:r>
      <w:r w:rsidRPr="00462388">
        <w:rPr>
          <w:rStyle w:val="FootnoteReference"/>
        </w:rPr>
        <w:footnoteReference w:id="27"/>
      </w:r>
      <w:bookmarkEnd w:id="5"/>
      <w:r w:rsidRPr="00462388">
        <w:rPr>
          <w:rFonts w:ascii="Times New Roman" w:hAnsi="Times New Roman"/>
          <w:sz w:val="20"/>
        </w:rPr>
        <w:t xml:space="preserve"> </w:t>
      </w:r>
    </w:p>
    <w:p w14:paraId="3CC542C3" w14:textId="0284756F" w:rsidR="00634DB9" w:rsidRPr="004F2D82" w:rsidRDefault="006B4924" w:rsidP="00A244F5">
      <w:pPr>
        <w:suppressAutoHyphens/>
        <w:spacing w:after="120" w:line="240" w:lineRule="atLeast"/>
        <w:ind w:left="1144" w:right="1134"/>
        <w:jc w:val="both"/>
        <w:rPr>
          <w:rFonts w:ascii="Times New Roman" w:hAnsi="Times New Roman"/>
          <w:sz w:val="20"/>
        </w:rPr>
      </w:pPr>
      <w:r w:rsidRPr="004F2D82">
        <w:rPr>
          <w:rFonts w:ascii="Times New Roman" w:hAnsi="Times New Roman"/>
          <w:sz w:val="20"/>
        </w:rPr>
        <w:t xml:space="preserve">1. </w:t>
      </w:r>
      <w:r w:rsidR="003848C9" w:rsidRPr="004F2D82">
        <w:rPr>
          <w:rFonts w:ascii="Times New Roman" w:eastAsia="Times New Roman" w:hAnsi="Times New Roman" w:cs="Times New Roman"/>
          <w:sz w:val="20"/>
          <w:szCs w:val="20"/>
        </w:rPr>
        <w:tab/>
      </w:r>
      <w:r w:rsidRPr="004F2D82">
        <w:rPr>
          <w:rFonts w:ascii="Times New Roman" w:hAnsi="Times New Roman"/>
          <w:sz w:val="20"/>
        </w:rPr>
        <w:t xml:space="preserve">This question is about the strategy and wider context: Do you agree that there is a strong case for enhancing the capacity and performance of Britain’s inter-city rail network to support economic growth over the coming decades? </w:t>
      </w:r>
    </w:p>
    <w:p w14:paraId="7D560700" w14:textId="1B7E3718" w:rsidR="006B4924" w:rsidRPr="004F2D82" w:rsidRDefault="006B4924" w:rsidP="00A244F5">
      <w:pPr>
        <w:suppressAutoHyphens/>
        <w:spacing w:after="120" w:line="240" w:lineRule="atLeast"/>
        <w:ind w:left="1144" w:right="1134"/>
        <w:jc w:val="both"/>
        <w:rPr>
          <w:rFonts w:ascii="Times New Roman" w:hAnsi="Times New Roman"/>
          <w:sz w:val="20"/>
        </w:rPr>
      </w:pPr>
      <w:r w:rsidRPr="004F2D82">
        <w:rPr>
          <w:rFonts w:ascii="Times New Roman" w:hAnsi="Times New Roman"/>
          <w:sz w:val="20"/>
        </w:rPr>
        <w:t xml:space="preserve">2. </w:t>
      </w:r>
      <w:r w:rsidR="003848C9" w:rsidRPr="004F2D82">
        <w:rPr>
          <w:rFonts w:ascii="Times New Roman" w:eastAsia="Times New Roman" w:hAnsi="Times New Roman" w:cs="Times New Roman"/>
          <w:sz w:val="20"/>
          <w:szCs w:val="20"/>
        </w:rPr>
        <w:tab/>
      </w:r>
      <w:r w:rsidRPr="004F2D82">
        <w:rPr>
          <w:rFonts w:ascii="Times New Roman" w:hAnsi="Times New Roman"/>
          <w:sz w:val="20"/>
        </w:rPr>
        <w:t xml:space="preserve">This question is about the case for high speed rail: Do you agree that a national </w:t>
      </w:r>
      <w:proofErr w:type="gramStart"/>
      <w:r w:rsidRPr="004F2D82">
        <w:rPr>
          <w:rFonts w:ascii="Times New Roman" w:hAnsi="Times New Roman"/>
          <w:sz w:val="20"/>
        </w:rPr>
        <w:t>high speed</w:t>
      </w:r>
      <w:proofErr w:type="gramEnd"/>
      <w:r w:rsidRPr="004F2D82">
        <w:rPr>
          <w:rFonts w:ascii="Times New Roman" w:hAnsi="Times New Roman"/>
          <w:sz w:val="20"/>
        </w:rPr>
        <w:t xml:space="preserve"> rail network from London to Birmingham, Leeds and Manchester (the</w:t>
      </w:r>
      <w:r w:rsidR="00DA6C37" w:rsidRPr="004F2D82">
        <w:rPr>
          <w:rFonts w:ascii="Times New Roman" w:hAnsi="Times New Roman"/>
          <w:sz w:val="20"/>
        </w:rPr>
        <w:t xml:space="preserve"> </w:t>
      </w:r>
      <w:r w:rsidR="00DA6C37" w:rsidRPr="004F2D82">
        <w:rPr>
          <w:rFonts w:ascii="Times New Roman" w:eastAsia="Times New Roman" w:hAnsi="Times New Roman" w:cs="Times New Roman"/>
          <w:sz w:val="20"/>
          <w:szCs w:val="20"/>
        </w:rPr>
        <w:t>“</w:t>
      </w:r>
      <w:r w:rsidR="00DA6C37" w:rsidRPr="004F2D82">
        <w:rPr>
          <w:rFonts w:ascii="Times New Roman" w:hAnsi="Times New Roman"/>
          <w:sz w:val="20"/>
        </w:rPr>
        <w:t>Y</w:t>
      </w:r>
      <w:r w:rsidR="00DA6C37" w:rsidRPr="004F2D82">
        <w:rPr>
          <w:rFonts w:ascii="Times New Roman" w:eastAsia="Times New Roman" w:hAnsi="Times New Roman" w:cs="Times New Roman"/>
          <w:sz w:val="20"/>
          <w:szCs w:val="20"/>
        </w:rPr>
        <w:t>”</w:t>
      </w:r>
      <w:r w:rsidR="00DA6C37" w:rsidRPr="004F2D82">
        <w:rPr>
          <w:rFonts w:ascii="Times New Roman" w:hAnsi="Times New Roman"/>
          <w:sz w:val="20"/>
        </w:rPr>
        <w:t xml:space="preserve"> </w:t>
      </w:r>
      <w:r w:rsidRPr="004F2D82">
        <w:rPr>
          <w:rFonts w:ascii="Times New Roman" w:hAnsi="Times New Roman"/>
          <w:sz w:val="20"/>
        </w:rPr>
        <w:t xml:space="preserve">network) would provide the best value for money solution (best balance of costs and benefits) for enhancing rail capacity and performance? </w:t>
      </w:r>
    </w:p>
    <w:p w14:paraId="509548E0" w14:textId="5C6E03B1" w:rsidR="006B4924" w:rsidRPr="004F2D82" w:rsidRDefault="006B4924" w:rsidP="00A244F5">
      <w:pPr>
        <w:suppressAutoHyphens/>
        <w:spacing w:after="120" w:line="240" w:lineRule="atLeast"/>
        <w:ind w:left="1144" w:right="1134"/>
        <w:jc w:val="both"/>
        <w:rPr>
          <w:rFonts w:ascii="Times New Roman" w:hAnsi="Times New Roman"/>
          <w:sz w:val="20"/>
        </w:rPr>
      </w:pPr>
      <w:r w:rsidRPr="004F2D82">
        <w:rPr>
          <w:rFonts w:ascii="Times New Roman" w:hAnsi="Times New Roman"/>
          <w:sz w:val="20"/>
        </w:rPr>
        <w:t xml:space="preserve">3. </w:t>
      </w:r>
      <w:r w:rsidR="003848C9" w:rsidRPr="004F2D82">
        <w:rPr>
          <w:rFonts w:ascii="Times New Roman" w:eastAsia="Times New Roman" w:hAnsi="Times New Roman" w:cs="Times New Roman"/>
          <w:sz w:val="20"/>
          <w:szCs w:val="20"/>
        </w:rPr>
        <w:tab/>
      </w:r>
      <w:r w:rsidRPr="004F2D82">
        <w:rPr>
          <w:rFonts w:ascii="Times New Roman" w:hAnsi="Times New Roman"/>
          <w:sz w:val="20"/>
        </w:rPr>
        <w:t xml:space="preserve">This question is about how to deliver the Government’s proposed network: Do you agree with the Government’s proposals for the phased roll-out of a national </w:t>
      </w:r>
      <w:proofErr w:type="gramStart"/>
      <w:r w:rsidRPr="004F2D82">
        <w:rPr>
          <w:rFonts w:ascii="Times New Roman" w:hAnsi="Times New Roman"/>
          <w:sz w:val="20"/>
        </w:rPr>
        <w:t>high speed</w:t>
      </w:r>
      <w:proofErr w:type="gramEnd"/>
      <w:r w:rsidRPr="004F2D82">
        <w:rPr>
          <w:rFonts w:ascii="Times New Roman" w:hAnsi="Times New Roman"/>
          <w:sz w:val="20"/>
        </w:rPr>
        <w:t xml:space="preserve"> rail network, and for links to Heathrow Airport and to the High Speed 1 line to the Channel Tunnel? </w:t>
      </w:r>
    </w:p>
    <w:p w14:paraId="5C891D01" w14:textId="03908920" w:rsidR="006B4924" w:rsidRPr="004F2D82" w:rsidRDefault="006B4924" w:rsidP="00A244F5">
      <w:pPr>
        <w:suppressAutoHyphens/>
        <w:spacing w:after="120" w:line="240" w:lineRule="atLeast"/>
        <w:ind w:left="1144" w:right="1134"/>
        <w:jc w:val="both"/>
        <w:rPr>
          <w:rFonts w:ascii="Times New Roman" w:hAnsi="Times New Roman"/>
          <w:sz w:val="20"/>
        </w:rPr>
      </w:pPr>
      <w:r w:rsidRPr="004F2D82">
        <w:rPr>
          <w:rFonts w:ascii="Times New Roman" w:hAnsi="Times New Roman"/>
          <w:sz w:val="20"/>
        </w:rPr>
        <w:t xml:space="preserve">4. </w:t>
      </w:r>
      <w:r w:rsidR="003848C9" w:rsidRPr="004F2D82">
        <w:rPr>
          <w:rFonts w:ascii="Times New Roman" w:eastAsia="Times New Roman" w:hAnsi="Times New Roman" w:cs="Times New Roman"/>
          <w:sz w:val="20"/>
          <w:szCs w:val="20"/>
        </w:rPr>
        <w:tab/>
      </w:r>
      <w:r w:rsidRPr="004F2D82">
        <w:rPr>
          <w:rFonts w:ascii="Times New Roman" w:hAnsi="Times New Roman"/>
          <w:sz w:val="20"/>
        </w:rPr>
        <w:t xml:space="preserve">This question is about the specification for the line between London and the West Midlands: Do you agree with the principles and specification used by HS2 Ltd to underpin its proposals for new </w:t>
      </w:r>
      <w:proofErr w:type="gramStart"/>
      <w:r w:rsidRPr="004F2D82">
        <w:rPr>
          <w:rFonts w:ascii="Times New Roman" w:hAnsi="Times New Roman"/>
          <w:sz w:val="20"/>
        </w:rPr>
        <w:t>high speed</w:t>
      </w:r>
      <w:proofErr w:type="gramEnd"/>
      <w:r w:rsidRPr="004F2D82">
        <w:rPr>
          <w:rFonts w:ascii="Times New Roman" w:hAnsi="Times New Roman"/>
          <w:sz w:val="20"/>
        </w:rPr>
        <w:t xml:space="preserve"> rail lines and the route selection process HS2 Ltd undertook? </w:t>
      </w:r>
    </w:p>
    <w:p w14:paraId="6E990DDC" w14:textId="5AE952B6" w:rsidR="006B4924" w:rsidRPr="004F2D82" w:rsidRDefault="006B4924" w:rsidP="00A244F5">
      <w:pPr>
        <w:suppressAutoHyphens/>
        <w:spacing w:after="120" w:line="240" w:lineRule="atLeast"/>
        <w:ind w:left="1144" w:right="1134"/>
        <w:jc w:val="both"/>
        <w:rPr>
          <w:rFonts w:ascii="Times New Roman" w:hAnsi="Times New Roman"/>
          <w:sz w:val="20"/>
        </w:rPr>
      </w:pPr>
      <w:r w:rsidRPr="004F2D82">
        <w:rPr>
          <w:rFonts w:ascii="Times New Roman" w:hAnsi="Times New Roman"/>
          <w:sz w:val="20"/>
        </w:rPr>
        <w:t xml:space="preserve">5. </w:t>
      </w:r>
      <w:r w:rsidR="003848C9" w:rsidRPr="004F2D82">
        <w:rPr>
          <w:rFonts w:ascii="Times New Roman" w:eastAsia="Times New Roman" w:hAnsi="Times New Roman" w:cs="Times New Roman"/>
          <w:sz w:val="20"/>
          <w:szCs w:val="20"/>
        </w:rPr>
        <w:tab/>
      </w:r>
      <w:r w:rsidRPr="004F2D82">
        <w:rPr>
          <w:rFonts w:ascii="Times New Roman" w:hAnsi="Times New Roman"/>
          <w:sz w:val="20"/>
        </w:rPr>
        <w:t xml:space="preserve">This question is about the route for the line between London and the West Midlands: Do you agree that the Government’s proposed route, including the approach proposed for mitigating its impacts, is the best option for a new </w:t>
      </w:r>
      <w:proofErr w:type="gramStart"/>
      <w:r w:rsidRPr="004F2D82">
        <w:rPr>
          <w:rFonts w:ascii="Times New Roman" w:hAnsi="Times New Roman"/>
          <w:sz w:val="20"/>
        </w:rPr>
        <w:t>high speed</w:t>
      </w:r>
      <w:proofErr w:type="gramEnd"/>
      <w:r w:rsidRPr="004F2D82">
        <w:rPr>
          <w:rFonts w:ascii="Times New Roman" w:hAnsi="Times New Roman"/>
          <w:sz w:val="20"/>
        </w:rPr>
        <w:t xml:space="preserve"> rail line between London and the West Midlands? </w:t>
      </w:r>
    </w:p>
    <w:p w14:paraId="4F796BB1" w14:textId="4416F1E6" w:rsidR="006B4924" w:rsidRPr="004F2D82" w:rsidRDefault="006B4924" w:rsidP="00A244F5">
      <w:pPr>
        <w:suppressAutoHyphens/>
        <w:spacing w:after="120" w:line="240" w:lineRule="atLeast"/>
        <w:ind w:left="1144" w:right="1134"/>
        <w:jc w:val="both"/>
        <w:rPr>
          <w:rFonts w:ascii="Times New Roman" w:hAnsi="Times New Roman"/>
          <w:sz w:val="20"/>
        </w:rPr>
      </w:pPr>
      <w:r w:rsidRPr="004F2D82">
        <w:rPr>
          <w:rFonts w:ascii="Times New Roman" w:hAnsi="Times New Roman"/>
          <w:sz w:val="20"/>
        </w:rPr>
        <w:t xml:space="preserve">6. </w:t>
      </w:r>
      <w:r w:rsidR="003848C9" w:rsidRPr="004F2D82">
        <w:rPr>
          <w:rFonts w:ascii="Times New Roman" w:eastAsia="Times New Roman" w:hAnsi="Times New Roman" w:cs="Times New Roman"/>
          <w:sz w:val="20"/>
          <w:szCs w:val="20"/>
        </w:rPr>
        <w:tab/>
      </w:r>
      <w:r w:rsidRPr="004F2D82">
        <w:rPr>
          <w:rFonts w:ascii="Times New Roman" w:hAnsi="Times New Roman"/>
          <w:sz w:val="20"/>
        </w:rPr>
        <w:t>This question is about the Appraisal of Sustainability: Do you wish to comment on the Appraisal of Sustainability of the Government’s proposed route between London and the West Midlands that has been published to inform this consultation?</w:t>
      </w:r>
    </w:p>
    <w:p w14:paraId="4D1DD5ED" w14:textId="3F4ADFF8" w:rsidR="006B4924" w:rsidRPr="004F2D82" w:rsidRDefault="006B4924" w:rsidP="00A244F5">
      <w:pPr>
        <w:suppressAutoHyphens/>
        <w:spacing w:after="120" w:line="240" w:lineRule="atLeast"/>
        <w:ind w:left="1144" w:right="1134"/>
        <w:jc w:val="both"/>
        <w:rPr>
          <w:rFonts w:ascii="Times New Roman" w:hAnsi="Times New Roman"/>
          <w:sz w:val="20"/>
        </w:rPr>
      </w:pPr>
      <w:r w:rsidRPr="004F2D82">
        <w:rPr>
          <w:rFonts w:ascii="Times New Roman" w:hAnsi="Times New Roman"/>
          <w:sz w:val="20"/>
        </w:rPr>
        <w:t xml:space="preserve">7. </w:t>
      </w:r>
      <w:r w:rsidR="003848C9" w:rsidRPr="004F2D82">
        <w:rPr>
          <w:rFonts w:ascii="Times New Roman" w:eastAsia="Times New Roman" w:hAnsi="Times New Roman" w:cs="Times New Roman"/>
          <w:sz w:val="20"/>
          <w:szCs w:val="20"/>
        </w:rPr>
        <w:tab/>
      </w:r>
      <w:r w:rsidRPr="004F2D82">
        <w:rPr>
          <w:rFonts w:ascii="Times New Roman" w:hAnsi="Times New Roman"/>
          <w:sz w:val="20"/>
        </w:rPr>
        <w:t xml:space="preserve">This question is about blight and compensation: Do you agree with the options set out to assist those whose properties lose a significant amount of value as a result of any new </w:t>
      </w:r>
      <w:proofErr w:type="gramStart"/>
      <w:r w:rsidRPr="004F2D82">
        <w:rPr>
          <w:rFonts w:ascii="Times New Roman" w:hAnsi="Times New Roman"/>
          <w:sz w:val="20"/>
        </w:rPr>
        <w:t>high speed</w:t>
      </w:r>
      <w:proofErr w:type="gramEnd"/>
      <w:r w:rsidRPr="004F2D82">
        <w:rPr>
          <w:rFonts w:ascii="Times New Roman" w:hAnsi="Times New Roman"/>
          <w:sz w:val="20"/>
        </w:rPr>
        <w:t xml:space="preserve"> line?</w:t>
      </w:r>
    </w:p>
    <w:p w14:paraId="0940EBB0" w14:textId="38F255AA" w:rsidR="004F2C4D" w:rsidRPr="00462388" w:rsidRDefault="001B75F4"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6" w:name="_Ref530052481"/>
      <w:r w:rsidRPr="004F2D82">
        <w:rPr>
          <w:rFonts w:ascii="Times New Roman" w:hAnsi="Times New Roman"/>
          <w:sz w:val="20"/>
        </w:rPr>
        <w:lastRenderedPageBreak/>
        <w:t xml:space="preserve">Paragraphs 2.78 to 2.95 of the Consultation </w:t>
      </w:r>
      <w:r w:rsidR="00E54FCC" w:rsidRPr="004F2D82">
        <w:rPr>
          <w:rFonts w:ascii="Times New Roman" w:eastAsia="Times New Roman" w:hAnsi="Times New Roman" w:cs="Times New Roman"/>
          <w:sz w:val="20"/>
          <w:szCs w:val="20"/>
        </w:rPr>
        <w:t>Document</w:t>
      </w:r>
      <w:r w:rsidR="00E54FCC" w:rsidRPr="004F2D82">
        <w:rPr>
          <w:rFonts w:ascii="Times New Roman" w:hAnsi="Times New Roman"/>
          <w:sz w:val="20"/>
        </w:rPr>
        <w:t xml:space="preserve"> </w:t>
      </w:r>
      <w:r w:rsidRPr="004F2D82">
        <w:rPr>
          <w:rFonts w:ascii="Times New Roman" w:hAnsi="Times New Roman"/>
          <w:sz w:val="20"/>
        </w:rPr>
        <w:t xml:space="preserve">were headed “Alternatives </w:t>
      </w:r>
      <w:r w:rsidR="00844A9F" w:rsidRPr="004F2D82">
        <w:rPr>
          <w:rFonts w:ascii="Times New Roman" w:hAnsi="Times New Roman"/>
          <w:sz w:val="20"/>
        </w:rPr>
        <w:t xml:space="preserve">to High Speed </w:t>
      </w:r>
      <w:r w:rsidRPr="004F2D82">
        <w:rPr>
          <w:rFonts w:ascii="Times New Roman" w:hAnsi="Times New Roman"/>
          <w:sz w:val="20"/>
        </w:rPr>
        <w:t xml:space="preserve">Rail”. The text box on pages 79-80 of the Consultation </w:t>
      </w:r>
      <w:r w:rsidR="00E54FCC" w:rsidRPr="004F2D82">
        <w:rPr>
          <w:rFonts w:ascii="Times New Roman" w:eastAsia="Times New Roman" w:hAnsi="Times New Roman" w:cs="Times New Roman"/>
          <w:sz w:val="20"/>
          <w:szCs w:val="20"/>
        </w:rPr>
        <w:t>Document</w:t>
      </w:r>
      <w:r w:rsidR="00E54FCC" w:rsidRPr="004F2D82">
        <w:rPr>
          <w:rFonts w:ascii="Times New Roman" w:hAnsi="Times New Roman"/>
          <w:sz w:val="20"/>
        </w:rPr>
        <w:t xml:space="preserve"> </w:t>
      </w:r>
      <w:r w:rsidRPr="004F2D82">
        <w:rPr>
          <w:rFonts w:ascii="Times New Roman" w:hAnsi="Times New Roman"/>
          <w:sz w:val="20"/>
        </w:rPr>
        <w:t xml:space="preserve">referred to </w:t>
      </w:r>
      <w:r w:rsidR="00192A82" w:rsidRPr="004F2D82">
        <w:rPr>
          <w:rFonts w:ascii="Times New Roman" w:hAnsi="Times New Roman"/>
          <w:sz w:val="20"/>
        </w:rPr>
        <w:t>the</w:t>
      </w:r>
      <w:r w:rsidRPr="004F2D82">
        <w:rPr>
          <w:rFonts w:ascii="Times New Roman" w:hAnsi="Times New Roman"/>
          <w:sz w:val="20"/>
        </w:rPr>
        <w:t xml:space="preserve"> consideration </w:t>
      </w:r>
      <w:r w:rsidR="00B915F2" w:rsidRPr="004F2D82">
        <w:rPr>
          <w:rFonts w:ascii="Times New Roman" w:hAnsi="Times New Roman"/>
          <w:sz w:val="20"/>
        </w:rPr>
        <w:t xml:space="preserve">by HS2 Ltd </w:t>
      </w:r>
      <w:r w:rsidRPr="004F2D82">
        <w:rPr>
          <w:rFonts w:ascii="Times New Roman" w:hAnsi="Times New Roman"/>
          <w:sz w:val="20"/>
        </w:rPr>
        <w:t xml:space="preserve">of alternatives to its recommended line of route for </w:t>
      </w:r>
      <w:r w:rsidR="002E2406" w:rsidRPr="004F2D82">
        <w:rPr>
          <w:rFonts w:ascii="Times New Roman" w:hAnsi="Times New Roman"/>
          <w:sz w:val="20"/>
        </w:rPr>
        <w:t>phase</w:t>
      </w:r>
      <w:r w:rsidRPr="004F2D82">
        <w:rPr>
          <w:rFonts w:ascii="Times New Roman" w:hAnsi="Times New Roman"/>
          <w:sz w:val="20"/>
        </w:rPr>
        <w:t xml:space="preserve"> 1 of </w:t>
      </w:r>
      <w:r w:rsidR="002C3234" w:rsidRPr="004F2D82">
        <w:rPr>
          <w:rFonts w:ascii="Times New Roman" w:hAnsi="Times New Roman"/>
          <w:sz w:val="20"/>
        </w:rPr>
        <w:t>High Speed 2</w:t>
      </w:r>
      <w:r w:rsidRPr="004F2D82">
        <w:rPr>
          <w:rFonts w:ascii="Times New Roman" w:hAnsi="Times New Roman"/>
          <w:sz w:val="20"/>
        </w:rPr>
        <w:t>.</w:t>
      </w:r>
      <w:r w:rsidR="00F20230" w:rsidRPr="00462388">
        <w:rPr>
          <w:rStyle w:val="FootnoteReference"/>
          <w:rFonts w:eastAsia="Times New Roman"/>
          <w:szCs w:val="20"/>
        </w:rPr>
        <w:footnoteReference w:id="28"/>
      </w:r>
      <w:r w:rsidRPr="00462388">
        <w:rPr>
          <w:rFonts w:ascii="Times New Roman" w:hAnsi="Times New Roman"/>
          <w:sz w:val="20"/>
        </w:rPr>
        <w:t xml:space="preserve"> Details were given in </w:t>
      </w:r>
      <w:r w:rsidR="002E2406" w:rsidRPr="00462388">
        <w:rPr>
          <w:rFonts w:ascii="Times New Roman" w:hAnsi="Times New Roman"/>
          <w:sz w:val="20"/>
        </w:rPr>
        <w:t>annex</w:t>
      </w:r>
      <w:r w:rsidRPr="00462388">
        <w:rPr>
          <w:rFonts w:ascii="Times New Roman" w:hAnsi="Times New Roman"/>
          <w:sz w:val="20"/>
        </w:rPr>
        <w:t xml:space="preserve"> B </w:t>
      </w:r>
      <w:r w:rsidR="00D2705E" w:rsidRPr="004F2D82">
        <w:rPr>
          <w:rFonts w:ascii="Times New Roman" w:hAnsi="Times New Roman"/>
          <w:sz w:val="20"/>
        </w:rPr>
        <w:t>“Alternative Options for High Speed 2 (London to the West Midlands</w:t>
      </w:r>
      <w:r w:rsidR="00D2705E" w:rsidRPr="004F2D82">
        <w:rPr>
          <w:rFonts w:ascii="Times New Roman" w:eastAsia="Times New Roman" w:hAnsi="Times New Roman" w:cs="Times New Roman"/>
          <w:sz w:val="20"/>
          <w:szCs w:val="20"/>
        </w:rPr>
        <w:t xml:space="preserve">)” of </w:t>
      </w:r>
      <w:r w:rsidRPr="004F2D82">
        <w:rPr>
          <w:rFonts w:ascii="Times New Roman" w:eastAsia="Times New Roman" w:hAnsi="Times New Roman" w:cs="Times New Roman"/>
          <w:sz w:val="20"/>
          <w:szCs w:val="20"/>
        </w:rPr>
        <w:t xml:space="preserve">the Consultation </w:t>
      </w:r>
      <w:r w:rsidR="00E54FCC" w:rsidRPr="004F2D82">
        <w:rPr>
          <w:rFonts w:ascii="Times New Roman" w:eastAsia="Times New Roman" w:hAnsi="Times New Roman" w:cs="Times New Roman"/>
          <w:sz w:val="20"/>
          <w:szCs w:val="20"/>
        </w:rPr>
        <w:t>Document</w:t>
      </w:r>
      <w:r w:rsidRPr="004F2D82">
        <w:rPr>
          <w:rFonts w:ascii="Times New Roman" w:eastAsia="Times New Roman" w:hAnsi="Times New Roman" w:cs="Times New Roman"/>
          <w:sz w:val="20"/>
          <w:szCs w:val="20"/>
        </w:rPr>
        <w:t>.</w:t>
      </w:r>
      <w:r w:rsidR="00D2705E" w:rsidRPr="00462388">
        <w:rPr>
          <w:rStyle w:val="FootnoteReference"/>
          <w:rFonts w:eastAsia="Times New Roman"/>
          <w:szCs w:val="20"/>
        </w:rPr>
        <w:footnoteReference w:id="29"/>
      </w:r>
      <w:r w:rsidRPr="00462388">
        <w:rPr>
          <w:rFonts w:ascii="Times New Roman" w:hAnsi="Times New Roman"/>
          <w:sz w:val="20"/>
        </w:rPr>
        <w:t xml:space="preserve"> </w:t>
      </w:r>
      <w:r w:rsidR="00B915F2" w:rsidRPr="00462388">
        <w:rPr>
          <w:rFonts w:ascii="Times New Roman" w:hAnsi="Times New Roman"/>
          <w:sz w:val="20"/>
        </w:rPr>
        <w:t>A</w:t>
      </w:r>
      <w:r w:rsidR="002E2406" w:rsidRPr="00462388">
        <w:rPr>
          <w:rFonts w:ascii="Times New Roman" w:hAnsi="Times New Roman"/>
          <w:sz w:val="20"/>
        </w:rPr>
        <w:t>ppendix</w:t>
      </w:r>
      <w:r w:rsidRPr="00B04ED2">
        <w:rPr>
          <w:rFonts w:ascii="Times New Roman" w:hAnsi="Times New Roman"/>
          <w:sz w:val="20"/>
        </w:rPr>
        <w:t xml:space="preserve"> 6</w:t>
      </w:r>
      <w:r w:rsidRPr="004F2D82">
        <w:rPr>
          <w:rFonts w:ascii="Times New Roman" w:hAnsi="Times New Roman"/>
          <w:sz w:val="20"/>
        </w:rPr>
        <w:t xml:space="preserve"> to the </w:t>
      </w:r>
      <w:r w:rsidR="004F2C4D" w:rsidRPr="004F2D82">
        <w:rPr>
          <w:rFonts w:ascii="Times New Roman" w:hAnsi="Times New Roman"/>
          <w:sz w:val="20"/>
        </w:rPr>
        <w:t>Appraisal of Sustainability Report</w:t>
      </w:r>
      <w:r w:rsidRPr="004F2D82">
        <w:rPr>
          <w:rFonts w:ascii="Times New Roman" w:hAnsi="Times New Roman"/>
          <w:sz w:val="20"/>
        </w:rPr>
        <w:t xml:space="preserve"> set out an appraisal of the sustainability of the recommended </w:t>
      </w:r>
      <w:r w:rsidR="002E2406" w:rsidRPr="004F2D82">
        <w:rPr>
          <w:rFonts w:ascii="Times New Roman" w:hAnsi="Times New Roman"/>
          <w:sz w:val="20"/>
        </w:rPr>
        <w:t>phase</w:t>
      </w:r>
      <w:r w:rsidR="00086D74" w:rsidRPr="004F2D82">
        <w:rPr>
          <w:rFonts w:ascii="Times New Roman" w:hAnsi="Times New Roman"/>
          <w:sz w:val="20"/>
        </w:rPr>
        <w:t xml:space="preserve"> </w:t>
      </w:r>
      <w:r w:rsidRPr="004F2D82">
        <w:rPr>
          <w:rFonts w:ascii="Times New Roman" w:hAnsi="Times New Roman"/>
          <w:sz w:val="20"/>
        </w:rPr>
        <w:t>1 route in comparison with selected alternatives.</w:t>
      </w:r>
      <w:r w:rsidR="004B2E23" w:rsidRPr="00462388">
        <w:rPr>
          <w:rStyle w:val="FootnoteReference"/>
        </w:rPr>
        <w:footnoteReference w:id="30"/>
      </w:r>
      <w:bookmarkEnd w:id="6"/>
    </w:p>
    <w:p w14:paraId="4CD823E8" w14:textId="37E279E2" w:rsidR="00133C4B" w:rsidRPr="00462388" w:rsidRDefault="00133C4B"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The consultation process </w:t>
      </w:r>
      <w:r w:rsidR="00DF626A" w:rsidRPr="004F2D82">
        <w:rPr>
          <w:rFonts w:ascii="Times New Roman" w:hAnsi="Times New Roman"/>
          <w:sz w:val="20"/>
        </w:rPr>
        <w:t xml:space="preserve">also </w:t>
      </w:r>
      <w:r w:rsidRPr="004F2D82">
        <w:rPr>
          <w:rFonts w:ascii="Times New Roman" w:hAnsi="Times New Roman"/>
          <w:sz w:val="20"/>
        </w:rPr>
        <w:t>included 41 days of local roadshows</w:t>
      </w:r>
      <w:r w:rsidR="00EE056B" w:rsidRPr="004F2D82">
        <w:rPr>
          <w:rFonts w:ascii="Times New Roman" w:hAnsi="Times New Roman"/>
          <w:sz w:val="20"/>
        </w:rPr>
        <w:t xml:space="preserve"> at which </w:t>
      </w:r>
      <w:r w:rsidR="009F6AA5" w:rsidRPr="004F2D82">
        <w:rPr>
          <w:rFonts w:ascii="Times New Roman" w:hAnsi="Times New Roman"/>
          <w:sz w:val="20"/>
        </w:rPr>
        <w:t xml:space="preserve">Department </w:t>
      </w:r>
      <w:r w:rsidR="00543742" w:rsidRPr="004F2D82">
        <w:rPr>
          <w:rFonts w:ascii="Times New Roman" w:hAnsi="Times New Roman"/>
          <w:sz w:val="20"/>
        </w:rPr>
        <w:t xml:space="preserve">for </w:t>
      </w:r>
      <w:r w:rsidR="00EE056B" w:rsidRPr="004F2D82">
        <w:rPr>
          <w:rFonts w:ascii="Times New Roman" w:hAnsi="Times New Roman"/>
          <w:sz w:val="20"/>
        </w:rPr>
        <w:t>T</w:t>
      </w:r>
      <w:r w:rsidR="009F6AA5" w:rsidRPr="004F2D82">
        <w:rPr>
          <w:rFonts w:ascii="Times New Roman" w:hAnsi="Times New Roman"/>
          <w:sz w:val="20"/>
        </w:rPr>
        <w:t>ransport</w:t>
      </w:r>
      <w:r w:rsidR="00EE056B" w:rsidRPr="004F2D82">
        <w:rPr>
          <w:rFonts w:ascii="Times New Roman" w:hAnsi="Times New Roman"/>
          <w:sz w:val="20"/>
        </w:rPr>
        <w:t xml:space="preserve"> and </w:t>
      </w:r>
      <w:r w:rsidR="00151295" w:rsidRPr="004F2D82">
        <w:rPr>
          <w:rFonts w:ascii="Times New Roman" w:hAnsi="Times New Roman"/>
          <w:sz w:val="20"/>
        </w:rPr>
        <w:t>HS2 Ltd</w:t>
      </w:r>
      <w:r w:rsidR="00EE056B" w:rsidRPr="004F2D82">
        <w:rPr>
          <w:rFonts w:ascii="Times New Roman" w:hAnsi="Times New Roman"/>
          <w:sz w:val="20"/>
        </w:rPr>
        <w:t xml:space="preserve"> </w:t>
      </w:r>
      <w:r w:rsidR="00B503B1" w:rsidRPr="004F2D82">
        <w:rPr>
          <w:rFonts w:ascii="Times New Roman" w:hAnsi="Times New Roman"/>
          <w:sz w:val="20"/>
        </w:rPr>
        <w:t>staff w</w:t>
      </w:r>
      <w:r w:rsidR="00612896" w:rsidRPr="004F2D82">
        <w:rPr>
          <w:rFonts w:ascii="Times New Roman" w:hAnsi="Times New Roman"/>
          <w:sz w:val="20"/>
        </w:rPr>
        <w:t>ere</w:t>
      </w:r>
      <w:r w:rsidRPr="004F2D82">
        <w:rPr>
          <w:rFonts w:ascii="Times New Roman" w:hAnsi="Times New Roman"/>
          <w:sz w:val="20"/>
        </w:rPr>
        <w:t xml:space="preserve"> available to discuss the detail</w:t>
      </w:r>
      <w:r w:rsidR="00612896" w:rsidRPr="004F2D82">
        <w:rPr>
          <w:rFonts w:ascii="Times New Roman" w:hAnsi="Times New Roman"/>
          <w:sz w:val="20"/>
        </w:rPr>
        <w:t>s</w:t>
      </w:r>
      <w:r w:rsidRPr="004F2D82">
        <w:rPr>
          <w:rFonts w:ascii="Times New Roman" w:hAnsi="Times New Roman"/>
          <w:sz w:val="20"/>
        </w:rPr>
        <w:t xml:space="preserve"> of the proposals.</w:t>
      </w:r>
      <w:r w:rsidR="00663638" w:rsidRPr="004F2D82">
        <w:rPr>
          <w:rFonts w:ascii="Times New Roman" w:hAnsi="Times New Roman"/>
          <w:sz w:val="20"/>
        </w:rPr>
        <w:t xml:space="preserve"> </w:t>
      </w:r>
      <w:r w:rsidRPr="004F2D82">
        <w:rPr>
          <w:rFonts w:ascii="Times New Roman" w:hAnsi="Times New Roman"/>
          <w:sz w:val="20"/>
        </w:rPr>
        <w:t xml:space="preserve">Over 55,000 </w:t>
      </w:r>
      <w:r w:rsidR="00B915F2" w:rsidRPr="004F2D82">
        <w:rPr>
          <w:rFonts w:ascii="Times New Roman" w:hAnsi="Times New Roman"/>
          <w:sz w:val="20"/>
        </w:rPr>
        <w:t xml:space="preserve">submissions </w:t>
      </w:r>
      <w:r w:rsidRPr="004F2D82">
        <w:rPr>
          <w:rFonts w:ascii="Times New Roman" w:hAnsi="Times New Roman"/>
          <w:sz w:val="20"/>
        </w:rPr>
        <w:t>were received during the consultation.</w:t>
      </w:r>
      <w:r w:rsidRPr="00462388">
        <w:rPr>
          <w:rStyle w:val="FootnoteReference"/>
          <w:sz w:val="20"/>
        </w:rPr>
        <w:footnoteReference w:id="31"/>
      </w:r>
    </w:p>
    <w:p w14:paraId="2E62EEA1" w14:textId="0C418DE4" w:rsidR="001B75F4" w:rsidRPr="00462388" w:rsidRDefault="002D5517" w:rsidP="002A0142">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On 10 January 2012, the Secretary of State for Transport </w:t>
      </w:r>
      <w:r w:rsidR="0064794E" w:rsidRPr="004F2D82">
        <w:rPr>
          <w:rFonts w:ascii="Times New Roman" w:hAnsi="Times New Roman"/>
          <w:sz w:val="20"/>
        </w:rPr>
        <w:t xml:space="preserve">announced </w:t>
      </w:r>
      <w:r w:rsidRPr="004F2D82">
        <w:rPr>
          <w:rFonts w:ascii="Times New Roman" w:hAnsi="Times New Roman"/>
          <w:sz w:val="20"/>
        </w:rPr>
        <w:t xml:space="preserve">the outcome of the consultation </w:t>
      </w:r>
      <w:r w:rsidR="003848C9" w:rsidRPr="004F2D82">
        <w:rPr>
          <w:rFonts w:ascii="Times New Roman" w:eastAsia="Times New Roman" w:hAnsi="Times New Roman" w:cs="Times New Roman"/>
          <w:sz w:val="20"/>
          <w:szCs w:val="20"/>
        </w:rPr>
        <w:t xml:space="preserve">process </w:t>
      </w:r>
      <w:r w:rsidRPr="004F2D82">
        <w:rPr>
          <w:rFonts w:ascii="Times New Roman" w:hAnsi="Times New Roman"/>
          <w:sz w:val="20"/>
        </w:rPr>
        <w:t xml:space="preserve">and published the DNS. </w:t>
      </w:r>
      <w:r w:rsidR="00741D63" w:rsidRPr="004F2D82">
        <w:rPr>
          <w:rFonts w:ascii="Times New Roman" w:hAnsi="Times New Roman"/>
          <w:sz w:val="20"/>
        </w:rPr>
        <w:t xml:space="preserve">Under the heading </w:t>
      </w:r>
      <w:r w:rsidR="00B915F2" w:rsidRPr="004F2D82">
        <w:rPr>
          <w:rFonts w:ascii="Times New Roman" w:hAnsi="Times New Roman"/>
          <w:sz w:val="20"/>
        </w:rPr>
        <w:t>“</w:t>
      </w:r>
      <w:r w:rsidR="00741D63" w:rsidRPr="004F2D82">
        <w:rPr>
          <w:rFonts w:ascii="Times New Roman" w:hAnsi="Times New Roman"/>
          <w:sz w:val="20"/>
        </w:rPr>
        <w:t>Alternatives to high speed rail</w:t>
      </w:r>
      <w:r w:rsidR="00B915F2" w:rsidRPr="004F2D82">
        <w:rPr>
          <w:rFonts w:ascii="Times New Roman" w:hAnsi="Times New Roman"/>
          <w:sz w:val="20"/>
        </w:rPr>
        <w:t>”</w:t>
      </w:r>
      <w:r w:rsidR="00741D63" w:rsidRPr="004F2D82">
        <w:rPr>
          <w:rFonts w:ascii="Times New Roman" w:hAnsi="Times New Roman"/>
          <w:sz w:val="20"/>
        </w:rPr>
        <w:t xml:space="preserve"> at page 68 of the DNS, the Government set out its reasons for rejecting the case for alternatives to the proposed </w:t>
      </w:r>
      <w:proofErr w:type="gramStart"/>
      <w:r w:rsidR="00741D63" w:rsidRPr="004F2D82">
        <w:rPr>
          <w:rFonts w:ascii="Times New Roman" w:hAnsi="Times New Roman"/>
          <w:sz w:val="20"/>
        </w:rPr>
        <w:t>high</w:t>
      </w:r>
      <w:r w:rsidR="003848C9" w:rsidRPr="004F2D82">
        <w:rPr>
          <w:rFonts w:ascii="Times New Roman" w:hAnsi="Times New Roman"/>
          <w:sz w:val="20"/>
        </w:rPr>
        <w:t xml:space="preserve"> </w:t>
      </w:r>
      <w:r w:rsidR="00741D63" w:rsidRPr="004F2D82">
        <w:rPr>
          <w:rFonts w:ascii="Times New Roman" w:hAnsi="Times New Roman"/>
          <w:sz w:val="20"/>
        </w:rPr>
        <w:t>speed</w:t>
      </w:r>
      <w:proofErr w:type="gramEnd"/>
      <w:r w:rsidR="00741D63" w:rsidRPr="004F2D82">
        <w:rPr>
          <w:rFonts w:ascii="Times New Roman" w:hAnsi="Times New Roman"/>
          <w:sz w:val="20"/>
        </w:rPr>
        <w:t xml:space="preserve"> rail network. </w:t>
      </w:r>
      <w:r w:rsidRPr="004F2D82">
        <w:rPr>
          <w:rFonts w:ascii="Times New Roman" w:hAnsi="Times New Roman"/>
          <w:sz w:val="20"/>
        </w:rPr>
        <w:t>Alongside the DNS, the Government made available</w:t>
      </w:r>
      <w:r w:rsidR="00E752E0" w:rsidRPr="004F2D82">
        <w:rPr>
          <w:rFonts w:ascii="Times New Roman" w:hAnsi="Times New Roman"/>
          <w:sz w:val="20"/>
        </w:rPr>
        <w:t xml:space="preserve"> a range of reports and studies including a c</w:t>
      </w:r>
      <w:r w:rsidRPr="004F2D82">
        <w:rPr>
          <w:rFonts w:ascii="Times New Roman" w:hAnsi="Times New Roman"/>
          <w:sz w:val="20"/>
        </w:rPr>
        <w:t xml:space="preserve">onsultation </w:t>
      </w:r>
      <w:r w:rsidR="00E752E0" w:rsidRPr="004F2D82">
        <w:rPr>
          <w:rFonts w:ascii="Times New Roman" w:hAnsi="Times New Roman"/>
          <w:sz w:val="20"/>
        </w:rPr>
        <w:t>s</w:t>
      </w:r>
      <w:r w:rsidRPr="004F2D82">
        <w:rPr>
          <w:rFonts w:ascii="Times New Roman" w:hAnsi="Times New Roman"/>
          <w:sz w:val="20"/>
        </w:rPr>
        <w:t xml:space="preserve">ummary </w:t>
      </w:r>
      <w:r w:rsidR="00E752E0" w:rsidRPr="004F2D82">
        <w:rPr>
          <w:rFonts w:ascii="Times New Roman" w:hAnsi="Times New Roman"/>
          <w:sz w:val="20"/>
        </w:rPr>
        <w:t>r</w:t>
      </w:r>
      <w:r w:rsidRPr="004F2D82">
        <w:rPr>
          <w:rFonts w:ascii="Times New Roman" w:hAnsi="Times New Roman"/>
          <w:sz w:val="20"/>
        </w:rPr>
        <w:t>eport</w:t>
      </w:r>
      <w:r w:rsidR="00E752E0" w:rsidRPr="004F2D82">
        <w:rPr>
          <w:rFonts w:ascii="Times New Roman" w:hAnsi="Times New Roman"/>
          <w:sz w:val="20"/>
        </w:rPr>
        <w:t>.</w:t>
      </w:r>
      <w:r w:rsidR="00E752E0" w:rsidRPr="00462388">
        <w:rPr>
          <w:rStyle w:val="FootnoteReference"/>
        </w:rPr>
        <w:footnoteReference w:id="32"/>
      </w:r>
      <w:r w:rsidR="00026537" w:rsidRPr="00462388">
        <w:rPr>
          <w:rFonts w:ascii="Times New Roman" w:hAnsi="Times New Roman"/>
          <w:sz w:val="20"/>
        </w:rPr>
        <w:t xml:space="preserve"> </w:t>
      </w:r>
    </w:p>
    <w:p w14:paraId="22C6FAB5" w14:textId="7BFE3934" w:rsidR="00B67AB3" w:rsidRPr="00462388" w:rsidRDefault="00B67AB3" w:rsidP="006068D9">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From </w:t>
      </w:r>
      <w:r w:rsidR="00741D63" w:rsidRPr="004F2D82">
        <w:rPr>
          <w:rFonts w:ascii="Times New Roman" w:hAnsi="Times New Roman"/>
          <w:sz w:val="20"/>
        </w:rPr>
        <w:t xml:space="preserve">4 April </w:t>
      </w:r>
      <w:r w:rsidRPr="004F2D82">
        <w:rPr>
          <w:rFonts w:ascii="Times New Roman" w:hAnsi="Times New Roman"/>
          <w:sz w:val="20"/>
        </w:rPr>
        <w:t xml:space="preserve">to 30 May </w:t>
      </w:r>
      <w:r w:rsidR="00741D63" w:rsidRPr="004F2D82">
        <w:rPr>
          <w:rFonts w:ascii="Times New Roman" w:hAnsi="Times New Roman"/>
          <w:sz w:val="20"/>
        </w:rPr>
        <w:t>2012</w:t>
      </w:r>
      <w:r w:rsidRPr="004F2D82">
        <w:rPr>
          <w:rFonts w:ascii="Times New Roman" w:hAnsi="Times New Roman"/>
          <w:sz w:val="20"/>
        </w:rPr>
        <w:t xml:space="preserve">, a </w:t>
      </w:r>
      <w:r w:rsidR="008C23AD" w:rsidRPr="004F2D82">
        <w:rPr>
          <w:rFonts w:ascii="Times New Roman" w:hAnsi="Times New Roman"/>
          <w:sz w:val="20"/>
        </w:rPr>
        <w:t xml:space="preserve">public </w:t>
      </w:r>
      <w:r w:rsidRPr="004F2D82">
        <w:rPr>
          <w:rFonts w:ascii="Times New Roman" w:hAnsi="Times New Roman"/>
          <w:sz w:val="20"/>
        </w:rPr>
        <w:t>consultation was held on the</w:t>
      </w:r>
      <w:r w:rsidR="00741D63" w:rsidRPr="004F2D82">
        <w:rPr>
          <w:rFonts w:ascii="Times New Roman" w:hAnsi="Times New Roman"/>
          <w:sz w:val="20"/>
        </w:rPr>
        <w:t xml:space="preserve"> draft </w:t>
      </w:r>
      <w:r w:rsidR="002C3234" w:rsidRPr="004F2D82">
        <w:rPr>
          <w:rFonts w:ascii="Times New Roman" w:hAnsi="Times New Roman"/>
          <w:sz w:val="20"/>
        </w:rPr>
        <w:t>High Speed 2</w:t>
      </w:r>
      <w:r w:rsidR="00741D63" w:rsidRPr="004F2D82">
        <w:rPr>
          <w:rFonts w:ascii="Times New Roman" w:hAnsi="Times New Roman"/>
          <w:sz w:val="20"/>
        </w:rPr>
        <w:t xml:space="preserve"> London to West Midlands EIA Scope and Methodology Report.</w:t>
      </w:r>
      <w:r w:rsidR="008C23AD" w:rsidRPr="00462388">
        <w:rPr>
          <w:rStyle w:val="FootnoteReference"/>
        </w:rPr>
        <w:footnoteReference w:id="33"/>
      </w:r>
    </w:p>
    <w:p w14:paraId="564B4567" w14:textId="7386B102" w:rsidR="00290C99" w:rsidRPr="00462388" w:rsidRDefault="008C23AD" w:rsidP="006068D9">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From</w:t>
      </w:r>
      <w:r w:rsidR="00290C99" w:rsidRPr="004F2D82">
        <w:rPr>
          <w:rFonts w:ascii="Times New Roman" w:hAnsi="Times New Roman"/>
          <w:sz w:val="20"/>
        </w:rPr>
        <w:t xml:space="preserve"> 25 October 2012</w:t>
      </w:r>
      <w:r w:rsidRPr="004F2D82">
        <w:rPr>
          <w:rFonts w:ascii="Times New Roman" w:hAnsi="Times New Roman"/>
          <w:sz w:val="20"/>
        </w:rPr>
        <w:t xml:space="preserve"> to 31 January 2013</w:t>
      </w:r>
      <w:r w:rsidR="00290C99" w:rsidRPr="004F2D82">
        <w:rPr>
          <w:rFonts w:ascii="Times New Roman" w:hAnsi="Times New Roman"/>
          <w:sz w:val="20"/>
        </w:rPr>
        <w:t xml:space="preserve">, </w:t>
      </w:r>
      <w:r w:rsidRPr="004F2D82">
        <w:rPr>
          <w:rFonts w:ascii="Times New Roman" w:hAnsi="Times New Roman"/>
          <w:sz w:val="20"/>
        </w:rPr>
        <w:t>a public consultation was held</w:t>
      </w:r>
      <w:r w:rsidR="00290C99" w:rsidRPr="004F2D82">
        <w:rPr>
          <w:rFonts w:ascii="Times New Roman" w:hAnsi="Times New Roman"/>
          <w:sz w:val="20"/>
        </w:rPr>
        <w:t xml:space="preserve"> on </w:t>
      </w:r>
      <w:r w:rsidR="003848C9" w:rsidRPr="004F2D82">
        <w:rPr>
          <w:rFonts w:ascii="Times New Roman" w:eastAsia="Times New Roman" w:hAnsi="Times New Roman" w:cs="Times New Roman"/>
          <w:sz w:val="20"/>
          <w:szCs w:val="20"/>
        </w:rPr>
        <w:t xml:space="preserve">the </w:t>
      </w:r>
      <w:r w:rsidR="00290C99" w:rsidRPr="004F2D82">
        <w:rPr>
          <w:rFonts w:ascii="Times New Roman" w:hAnsi="Times New Roman"/>
          <w:sz w:val="20"/>
        </w:rPr>
        <w:t>adoption of safeguarding directions, as anticipated in the DNS, to protect the route corridor adopted in the DNS from conflicting development.</w:t>
      </w:r>
      <w:r w:rsidR="00290C99" w:rsidRPr="00462388">
        <w:rPr>
          <w:rStyle w:val="FootnoteReference"/>
          <w:sz w:val="20"/>
        </w:rPr>
        <w:footnoteReference w:id="34"/>
      </w:r>
    </w:p>
    <w:p w14:paraId="3F278002" w14:textId="066AA00F" w:rsidR="00741D63" w:rsidRPr="00462388" w:rsidRDefault="00741D63"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On 13 May 2013, the </w:t>
      </w:r>
      <w:proofErr w:type="gramStart"/>
      <w:r w:rsidRPr="004F2D82">
        <w:rPr>
          <w:rFonts w:ascii="Times New Roman" w:hAnsi="Times New Roman"/>
          <w:sz w:val="20"/>
        </w:rPr>
        <w:t>High Speed</w:t>
      </w:r>
      <w:proofErr w:type="gramEnd"/>
      <w:r w:rsidRPr="004F2D82">
        <w:rPr>
          <w:rFonts w:ascii="Times New Roman" w:hAnsi="Times New Roman"/>
          <w:sz w:val="20"/>
        </w:rPr>
        <w:t xml:space="preserve"> Rail (Preparation) Bill was introduced in the House of Commons and on 18 July 2013, </w:t>
      </w:r>
      <w:r w:rsidR="003848C9" w:rsidRPr="004F2D82">
        <w:rPr>
          <w:rFonts w:ascii="Times New Roman" w:hAnsi="Times New Roman" w:cs="Times New Roman"/>
          <w:sz w:val="20"/>
          <w:szCs w:val="20"/>
        </w:rPr>
        <w:t xml:space="preserve">the </w:t>
      </w:r>
      <w:r w:rsidR="00D2705E" w:rsidRPr="004F2D82">
        <w:rPr>
          <w:rFonts w:ascii="Times New Roman" w:hAnsi="Times New Roman" w:cs="Times New Roman"/>
          <w:sz w:val="20"/>
          <w:szCs w:val="20"/>
        </w:rPr>
        <w:t>B</w:t>
      </w:r>
      <w:r w:rsidR="003848C9" w:rsidRPr="004F2D82">
        <w:rPr>
          <w:rFonts w:ascii="Times New Roman" w:hAnsi="Times New Roman" w:cs="Times New Roman"/>
          <w:sz w:val="20"/>
          <w:szCs w:val="20"/>
        </w:rPr>
        <w:t>ill</w:t>
      </w:r>
      <w:r w:rsidR="003848C9" w:rsidRPr="004F2D82">
        <w:rPr>
          <w:rFonts w:ascii="Times New Roman" w:hAnsi="Times New Roman"/>
          <w:sz w:val="20"/>
        </w:rPr>
        <w:t xml:space="preserve"> </w:t>
      </w:r>
      <w:r w:rsidRPr="004F2D82">
        <w:rPr>
          <w:rFonts w:ascii="Times New Roman" w:hAnsi="Times New Roman"/>
          <w:sz w:val="20"/>
        </w:rPr>
        <w:t xml:space="preserve">completed the Public Bill Committee </w:t>
      </w:r>
      <w:r w:rsidR="00F21315" w:rsidRPr="004F2D82">
        <w:rPr>
          <w:rFonts w:ascii="Times New Roman" w:hAnsi="Times New Roman" w:cs="Times New Roman"/>
          <w:sz w:val="20"/>
          <w:szCs w:val="20"/>
        </w:rPr>
        <w:t>stage</w:t>
      </w:r>
      <w:r w:rsidRPr="004F2D82">
        <w:rPr>
          <w:rFonts w:ascii="Times New Roman" w:hAnsi="Times New Roman"/>
          <w:sz w:val="20"/>
        </w:rPr>
        <w:t>.</w:t>
      </w:r>
      <w:r w:rsidR="00560B61" w:rsidRPr="00462388">
        <w:rPr>
          <w:rStyle w:val="FootnoteReference"/>
        </w:rPr>
        <w:footnoteReference w:id="35"/>
      </w:r>
    </w:p>
    <w:p w14:paraId="36680D31" w14:textId="7FBE4234" w:rsidR="00717193" w:rsidRPr="00462388" w:rsidRDefault="008C23AD"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62388">
        <w:rPr>
          <w:rFonts w:ascii="Times New Roman" w:hAnsi="Times New Roman"/>
          <w:sz w:val="20"/>
        </w:rPr>
        <w:t xml:space="preserve">From </w:t>
      </w:r>
      <w:r w:rsidR="00741D63" w:rsidRPr="00B04ED2">
        <w:rPr>
          <w:rFonts w:ascii="Times New Roman" w:hAnsi="Times New Roman"/>
          <w:sz w:val="20"/>
        </w:rPr>
        <w:t>16 May</w:t>
      </w:r>
      <w:r w:rsidRPr="004F2D82">
        <w:rPr>
          <w:rFonts w:ascii="Times New Roman" w:hAnsi="Times New Roman"/>
          <w:sz w:val="20"/>
        </w:rPr>
        <w:t xml:space="preserve"> to 11 July</w:t>
      </w:r>
      <w:r w:rsidR="00741D63" w:rsidRPr="004F2D82">
        <w:rPr>
          <w:rFonts w:ascii="Times New Roman" w:hAnsi="Times New Roman"/>
          <w:sz w:val="20"/>
        </w:rPr>
        <w:t xml:space="preserve"> 2013</w:t>
      </w:r>
      <w:r w:rsidRPr="004F2D82">
        <w:rPr>
          <w:rFonts w:ascii="Times New Roman" w:hAnsi="Times New Roman"/>
          <w:sz w:val="20"/>
        </w:rPr>
        <w:t>,</w:t>
      </w:r>
      <w:r w:rsidR="00741D63" w:rsidRPr="004F2D82">
        <w:rPr>
          <w:rFonts w:ascii="Times New Roman" w:hAnsi="Times New Roman"/>
          <w:sz w:val="20"/>
        </w:rPr>
        <w:t xml:space="preserve"> </w:t>
      </w:r>
      <w:r w:rsidR="00DA6C37" w:rsidRPr="004F2D82">
        <w:rPr>
          <w:rFonts w:ascii="Times New Roman" w:eastAsia="Times New Roman" w:hAnsi="Times New Roman" w:cs="Times New Roman"/>
          <w:sz w:val="20"/>
          <w:szCs w:val="20"/>
        </w:rPr>
        <w:t xml:space="preserve">a </w:t>
      </w:r>
      <w:r w:rsidRPr="004F2D82">
        <w:rPr>
          <w:rFonts w:ascii="Times New Roman" w:hAnsi="Times New Roman"/>
          <w:sz w:val="20"/>
        </w:rPr>
        <w:t xml:space="preserve">public consultation was held on the </w:t>
      </w:r>
      <w:r w:rsidR="00741D63" w:rsidRPr="004F2D82">
        <w:rPr>
          <w:rFonts w:ascii="Times New Roman" w:hAnsi="Times New Roman"/>
          <w:sz w:val="20"/>
        </w:rPr>
        <w:t xml:space="preserve">draft Environmental Statement for </w:t>
      </w:r>
      <w:r w:rsidR="002E2406" w:rsidRPr="004F2D82">
        <w:rPr>
          <w:rFonts w:ascii="Times New Roman" w:hAnsi="Times New Roman"/>
          <w:sz w:val="20"/>
        </w:rPr>
        <w:t>phase</w:t>
      </w:r>
      <w:r w:rsidR="00741D63" w:rsidRPr="004F2D82">
        <w:rPr>
          <w:rFonts w:ascii="Times New Roman" w:hAnsi="Times New Roman"/>
          <w:sz w:val="20"/>
        </w:rPr>
        <w:t xml:space="preserve"> 1 of </w:t>
      </w:r>
      <w:r w:rsidR="002C3234" w:rsidRPr="004F2D82">
        <w:rPr>
          <w:rFonts w:ascii="Times New Roman" w:hAnsi="Times New Roman"/>
          <w:sz w:val="20"/>
        </w:rPr>
        <w:t>High Speed 2</w:t>
      </w:r>
      <w:r w:rsidR="00F21315" w:rsidRPr="004F2D82">
        <w:rPr>
          <w:rFonts w:ascii="Times New Roman" w:hAnsi="Times New Roman"/>
          <w:sz w:val="20"/>
        </w:rPr>
        <w:t>.</w:t>
      </w:r>
      <w:r w:rsidR="00F21315" w:rsidRPr="00462388">
        <w:rPr>
          <w:rStyle w:val="FootnoteReference"/>
          <w:sz w:val="20"/>
        </w:rPr>
        <w:footnoteReference w:id="36"/>
      </w:r>
      <w:r w:rsidR="00F21315" w:rsidRPr="00462388">
        <w:rPr>
          <w:rFonts w:ascii="Times New Roman" w:hAnsi="Times New Roman"/>
          <w:sz w:val="20"/>
        </w:rPr>
        <w:t xml:space="preserve"> </w:t>
      </w:r>
      <w:r w:rsidR="00717193" w:rsidRPr="00462388">
        <w:rPr>
          <w:rFonts w:ascii="Times New Roman" w:hAnsi="Times New Roman"/>
          <w:sz w:val="20"/>
        </w:rPr>
        <w:t xml:space="preserve">Some 20,944 </w:t>
      </w:r>
      <w:r w:rsidR="00B915F2" w:rsidRPr="00462388">
        <w:rPr>
          <w:rFonts w:ascii="Times New Roman" w:hAnsi="Times New Roman"/>
          <w:sz w:val="20"/>
        </w:rPr>
        <w:t xml:space="preserve">submissions </w:t>
      </w:r>
      <w:r w:rsidR="00717193" w:rsidRPr="00462388">
        <w:rPr>
          <w:rFonts w:ascii="Times New Roman" w:hAnsi="Times New Roman"/>
          <w:sz w:val="20"/>
        </w:rPr>
        <w:t xml:space="preserve">were </w:t>
      </w:r>
      <w:proofErr w:type="gramStart"/>
      <w:r w:rsidR="00717193" w:rsidRPr="00462388">
        <w:rPr>
          <w:rFonts w:ascii="Times New Roman" w:hAnsi="Times New Roman"/>
          <w:sz w:val="20"/>
        </w:rPr>
        <w:t>received</w:t>
      </w:r>
      <w:proofErr w:type="gramEnd"/>
      <w:r w:rsidR="00717193" w:rsidRPr="00462388">
        <w:rPr>
          <w:rFonts w:ascii="Times New Roman" w:hAnsi="Times New Roman"/>
          <w:sz w:val="20"/>
        </w:rPr>
        <w:t xml:space="preserve"> and a summary of </w:t>
      </w:r>
      <w:r w:rsidR="00717193" w:rsidRPr="004F2D82">
        <w:rPr>
          <w:rFonts w:ascii="Times New Roman" w:eastAsia="Times New Roman" w:hAnsi="Times New Roman" w:cs="Times New Roman"/>
          <w:sz w:val="20"/>
          <w:szCs w:val="20"/>
        </w:rPr>
        <w:t>the</w:t>
      </w:r>
      <w:r w:rsidR="00717193" w:rsidRPr="004F2D82">
        <w:rPr>
          <w:rFonts w:ascii="Times New Roman" w:hAnsi="Times New Roman"/>
          <w:sz w:val="20"/>
        </w:rPr>
        <w:t xml:space="preserve"> responses </w:t>
      </w:r>
      <w:r w:rsidR="00E3169D" w:rsidRPr="004F2D82">
        <w:rPr>
          <w:rFonts w:ascii="Times New Roman" w:eastAsia="Times New Roman" w:hAnsi="Times New Roman" w:cs="Times New Roman"/>
          <w:sz w:val="20"/>
          <w:szCs w:val="20"/>
        </w:rPr>
        <w:t xml:space="preserve">received </w:t>
      </w:r>
      <w:r w:rsidR="00B915F2" w:rsidRPr="004F2D82">
        <w:rPr>
          <w:rFonts w:ascii="Times New Roman" w:hAnsi="Times New Roman"/>
          <w:sz w:val="20"/>
        </w:rPr>
        <w:t xml:space="preserve">was </w:t>
      </w:r>
      <w:r w:rsidR="00717193" w:rsidRPr="004F2D82">
        <w:rPr>
          <w:rFonts w:ascii="Times New Roman" w:hAnsi="Times New Roman"/>
          <w:sz w:val="20"/>
        </w:rPr>
        <w:t>published in November 2013.</w:t>
      </w:r>
      <w:r w:rsidR="00717193" w:rsidRPr="00462388">
        <w:rPr>
          <w:rStyle w:val="FootnoteReference"/>
          <w:sz w:val="20"/>
        </w:rPr>
        <w:footnoteReference w:id="37"/>
      </w:r>
      <w:r w:rsidR="00717193" w:rsidRPr="00462388">
        <w:rPr>
          <w:rFonts w:ascii="Times New Roman" w:hAnsi="Times New Roman"/>
          <w:sz w:val="20"/>
        </w:rPr>
        <w:t xml:space="preserve"> </w:t>
      </w:r>
    </w:p>
    <w:p w14:paraId="134DA9DA" w14:textId="7D79857B" w:rsidR="00CE0BA2" w:rsidRPr="00462388" w:rsidRDefault="00C87638"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eastAsia="Times New Roman" w:hAnsi="Times New Roman" w:cs="Times New Roman"/>
          <w:sz w:val="20"/>
          <w:szCs w:val="20"/>
        </w:rPr>
        <w:t>On 17 July 2013, p</w:t>
      </w:r>
      <w:r w:rsidR="00CE0BA2" w:rsidRPr="004F2D82">
        <w:rPr>
          <w:rFonts w:ascii="Times New Roman" w:eastAsia="Times New Roman" w:hAnsi="Times New Roman" w:cs="Times New Roman"/>
          <w:sz w:val="20"/>
          <w:szCs w:val="20"/>
        </w:rPr>
        <w:t>ublic</w:t>
      </w:r>
      <w:r w:rsidR="00CE0BA2" w:rsidRPr="004F2D82">
        <w:rPr>
          <w:rFonts w:ascii="Times New Roman" w:hAnsi="Times New Roman"/>
          <w:sz w:val="20"/>
        </w:rPr>
        <w:t xml:space="preserve"> consultation on the detailed route for </w:t>
      </w:r>
      <w:r w:rsidR="002E2406" w:rsidRPr="004F2D82">
        <w:rPr>
          <w:rFonts w:ascii="Times New Roman" w:hAnsi="Times New Roman"/>
          <w:sz w:val="20"/>
        </w:rPr>
        <w:t>phase</w:t>
      </w:r>
      <w:r w:rsidR="00CE0BA2" w:rsidRPr="004F2D82">
        <w:rPr>
          <w:rFonts w:ascii="Times New Roman" w:hAnsi="Times New Roman"/>
          <w:sz w:val="20"/>
        </w:rPr>
        <w:t xml:space="preserve"> 2 of the</w:t>
      </w:r>
      <w:r w:rsidR="00DA6C37" w:rsidRPr="004F2D82">
        <w:rPr>
          <w:rFonts w:ascii="Times New Roman" w:hAnsi="Times New Roman"/>
          <w:sz w:val="20"/>
        </w:rPr>
        <w:t xml:space="preserve"> </w:t>
      </w:r>
      <w:r w:rsidR="00DA6C37" w:rsidRPr="004F2D82">
        <w:rPr>
          <w:rFonts w:ascii="Times New Roman" w:eastAsia="Times New Roman" w:hAnsi="Times New Roman" w:cs="Times New Roman"/>
          <w:sz w:val="20"/>
          <w:szCs w:val="20"/>
        </w:rPr>
        <w:t>“</w:t>
      </w:r>
      <w:r w:rsidR="00DA6C37" w:rsidRPr="004F2D82">
        <w:rPr>
          <w:rFonts w:ascii="Times New Roman" w:hAnsi="Times New Roman"/>
          <w:sz w:val="20"/>
        </w:rPr>
        <w:t>Y</w:t>
      </w:r>
      <w:r w:rsidR="00DA6C37" w:rsidRPr="004F2D82">
        <w:rPr>
          <w:rFonts w:ascii="Times New Roman" w:eastAsia="Times New Roman" w:hAnsi="Times New Roman" w:cs="Times New Roman"/>
          <w:sz w:val="20"/>
          <w:szCs w:val="20"/>
        </w:rPr>
        <w:t>”</w:t>
      </w:r>
      <w:r w:rsidR="00DA6C37" w:rsidRPr="004F2D82">
        <w:rPr>
          <w:rFonts w:ascii="Times New Roman" w:hAnsi="Times New Roman"/>
          <w:sz w:val="20"/>
        </w:rPr>
        <w:t xml:space="preserve"> </w:t>
      </w:r>
      <w:r w:rsidR="00CE0BA2" w:rsidRPr="004F2D82">
        <w:rPr>
          <w:rFonts w:ascii="Times New Roman" w:hAnsi="Times New Roman"/>
          <w:sz w:val="20"/>
        </w:rPr>
        <w:t xml:space="preserve">Network began </w:t>
      </w:r>
      <w:r w:rsidR="00F21315" w:rsidRPr="004F2D82">
        <w:rPr>
          <w:rFonts w:ascii="Times New Roman" w:hAnsi="Times New Roman"/>
          <w:sz w:val="20"/>
        </w:rPr>
        <w:t xml:space="preserve">following </w:t>
      </w:r>
      <w:r w:rsidR="00F21315" w:rsidRPr="004F2D82">
        <w:rPr>
          <w:rFonts w:ascii="Times New Roman" w:eastAsia="Times New Roman" w:hAnsi="Times New Roman" w:cs="Times New Roman"/>
          <w:sz w:val="20"/>
          <w:szCs w:val="20"/>
        </w:rPr>
        <w:t>the</w:t>
      </w:r>
      <w:r w:rsidR="00CE0BA2" w:rsidRPr="004F2D82">
        <w:rPr>
          <w:rFonts w:ascii="Times New Roman" w:eastAsia="Times New Roman" w:hAnsi="Times New Roman" w:cs="Times New Roman"/>
          <w:sz w:val="20"/>
          <w:szCs w:val="20"/>
        </w:rPr>
        <w:t xml:space="preserve"> </w:t>
      </w:r>
      <w:r w:rsidR="0002597C" w:rsidRPr="004F2D82">
        <w:rPr>
          <w:rFonts w:ascii="Times New Roman" w:hAnsi="Times New Roman"/>
          <w:sz w:val="20"/>
        </w:rPr>
        <w:t xml:space="preserve">preparation of a </w:t>
      </w:r>
      <w:r w:rsidR="00CE0BA2" w:rsidRPr="004F2D82">
        <w:rPr>
          <w:rFonts w:ascii="Times New Roman" w:hAnsi="Times New Roman"/>
          <w:sz w:val="20"/>
        </w:rPr>
        <w:t>Command Pape</w:t>
      </w:r>
      <w:r w:rsidR="00F21315" w:rsidRPr="004F2D82">
        <w:rPr>
          <w:rFonts w:ascii="Times New Roman" w:hAnsi="Times New Roman"/>
          <w:sz w:val="20"/>
        </w:rPr>
        <w:t>r</w:t>
      </w:r>
      <w:r w:rsidR="00F21315" w:rsidRPr="00462388">
        <w:rPr>
          <w:rFonts w:ascii="Times New Roman" w:eastAsia="Times New Roman" w:hAnsi="Times New Roman" w:cs="Times New Roman"/>
          <w:sz w:val="20"/>
          <w:szCs w:val="20"/>
        </w:rPr>
        <w:t xml:space="preserve"> regarding phase 2,</w:t>
      </w:r>
      <w:r w:rsidR="0002597C" w:rsidRPr="00462388">
        <w:rPr>
          <w:rStyle w:val="FootnoteReference"/>
          <w:rFonts w:eastAsia="Times New Roman"/>
          <w:szCs w:val="20"/>
        </w:rPr>
        <w:footnoteReference w:id="38"/>
      </w:r>
      <w:r w:rsidR="00CE0BA2" w:rsidRPr="00462388">
        <w:rPr>
          <w:rFonts w:ascii="Times New Roman" w:eastAsia="Times New Roman" w:hAnsi="Times New Roman" w:cs="Times New Roman"/>
          <w:sz w:val="20"/>
          <w:szCs w:val="20"/>
        </w:rPr>
        <w:t xml:space="preserve"> </w:t>
      </w:r>
      <w:r w:rsidR="00F21315" w:rsidRPr="00462388">
        <w:rPr>
          <w:rFonts w:ascii="Times New Roman" w:eastAsia="Times New Roman" w:hAnsi="Times New Roman" w:cs="Times New Roman"/>
          <w:sz w:val="20"/>
          <w:szCs w:val="20"/>
        </w:rPr>
        <w:t>an</w:t>
      </w:r>
      <w:r w:rsidR="00F21315" w:rsidRPr="00462388">
        <w:rPr>
          <w:rFonts w:ascii="Times New Roman" w:hAnsi="Times New Roman"/>
          <w:sz w:val="20"/>
        </w:rPr>
        <w:t xml:space="preserve"> </w:t>
      </w:r>
      <w:r w:rsidR="00CE0BA2" w:rsidRPr="00462388">
        <w:rPr>
          <w:rFonts w:ascii="Times New Roman" w:hAnsi="Times New Roman"/>
          <w:sz w:val="20"/>
        </w:rPr>
        <w:t>Appraisal of Sustainability</w:t>
      </w:r>
      <w:r w:rsidR="0002597C" w:rsidRPr="00462388">
        <w:rPr>
          <w:rStyle w:val="FootnoteReference"/>
        </w:rPr>
        <w:footnoteReference w:id="39"/>
      </w:r>
      <w:r w:rsidR="00CE0BA2" w:rsidRPr="00462388">
        <w:rPr>
          <w:rFonts w:ascii="Times New Roman" w:hAnsi="Times New Roman"/>
          <w:sz w:val="20"/>
        </w:rPr>
        <w:t xml:space="preserve"> and various reports on options, design, engineering, costs, economics, scheme refinement and consultation.</w:t>
      </w:r>
      <w:r w:rsidR="00E63002" w:rsidRPr="00462388">
        <w:rPr>
          <w:rStyle w:val="FootnoteReference"/>
        </w:rPr>
        <w:footnoteReference w:id="40"/>
      </w:r>
      <w:r w:rsidR="00CE0BA2" w:rsidRPr="00462388">
        <w:rPr>
          <w:rFonts w:ascii="Times New Roman" w:hAnsi="Times New Roman"/>
          <w:sz w:val="20"/>
        </w:rPr>
        <w:t xml:space="preserve"> </w:t>
      </w:r>
      <w:r w:rsidR="00FA3643" w:rsidRPr="00462388">
        <w:rPr>
          <w:rFonts w:ascii="Times New Roman" w:hAnsi="Times New Roman"/>
          <w:sz w:val="20"/>
        </w:rPr>
        <w:t>P</w:t>
      </w:r>
      <w:r w:rsidR="00CE0BA2" w:rsidRPr="00462388">
        <w:rPr>
          <w:rFonts w:ascii="Times New Roman" w:hAnsi="Times New Roman"/>
          <w:sz w:val="20"/>
        </w:rPr>
        <w:t xml:space="preserve">ublic consultation on </w:t>
      </w:r>
      <w:r w:rsidR="002E2406" w:rsidRPr="00462388">
        <w:rPr>
          <w:rFonts w:ascii="Times New Roman" w:hAnsi="Times New Roman"/>
          <w:sz w:val="20"/>
        </w:rPr>
        <w:t>phase</w:t>
      </w:r>
      <w:r w:rsidR="00CE0BA2" w:rsidRPr="00B04ED2">
        <w:rPr>
          <w:rFonts w:ascii="Times New Roman" w:hAnsi="Times New Roman"/>
          <w:sz w:val="20"/>
        </w:rPr>
        <w:t xml:space="preserve"> 2 </w:t>
      </w:r>
      <w:r w:rsidR="0064794E" w:rsidRPr="004F2D82">
        <w:rPr>
          <w:rFonts w:ascii="Times New Roman" w:hAnsi="Times New Roman"/>
          <w:sz w:val="20"/>
        </w:rPr>
        <w:t xml:space="preserve">took </w:t>
      </w:r>
      <w:r w:rsidR="00CE0BA2" w:rsidRPr="004F2D82">
        <w:rPr>
          <w:rFonts w:ascii="Times New Roman" w:hAnsi="Times New Roman"/>
          <w:sz w:val="20"/>
        </w:rPr>
        <w:t>the form of a consultation paper</w:t>
      </w:r>
      <w:r w:rsidR="00CC75AB" w:rsidRPr="004F2D82">
        <w:rPr>
          <w:rFonts w:ascii="Times New Roman" w:hAnsi="Times New Roman"/>
          <w:sz w:val="20"/>
        </w:rPr>
        <w:t>,</w:t>
      </w:r>
      <w:r w:rsidR="00CC75AB" w:rsidRPr="00462388">
        <w:rPr>
          <w:rStyle w:val="FootnoteReference"/>
        </w:rPr>
        <w:footnoteReference w:id="41"/>
      </w:r>
      <w:r w:rsidR="00CE0BA2" w:rsidRPr="00462388">
        <w:rPr>
          <w:rFonts w:ascii="Times New Roman" w:hAnsi="Times New Roman"/>
          <w:sz w:val="20"/>
        </w:rPr>
        <w:t xml:space="preserve"> maps and a suite of supporting documents.</w:t>
      </w:r>
      <w:r w:rsidR="00B503B1" w:rsidRPr="00462388">
        <w:rPr>
          <w:rStyle w:val="FootnoteReference"/>
          <w:sz w:val="20"/>
        </w:rPr>
        <w:footnoteReference w:id="42"/>
      </w:r>
    </w:p>
    <w:p w14:paraId="0E410F44" w14:textId="438B0177" w:rsidR="007337ED" w:rsidRPr="00462388" w:rsidRDefault="009376A6"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The </w:t>
      </w:r>
      <w:proofErr w:type="gramStart"/>
      <w:r w:rsidRPr="004F2D82">
        <w:rPr>
          <w:rFonts w:ascii="Times New Roman" w:hAnsi="Times New Roman"/>
          <w:sz w:val="20"/>
        </w:rPr>
        <w:t>High Speed</w:t>
      </w:r>
      <w:proofErr w:type="gramEnd"/>
      <w:r w:rsidRPr="004F2D82">
        <w:rPr>
          <w:rFonts w:ascii="Times New Roman" w:hAnsi="Times New Roman"/>
          <w:sz w:val="20"/>
        </w:rPr>
        <w:t xml:space="preserve"> Rail (</w:t>
      </w:r>
      <w:r w:rsidR="00F001CA" w:rsidRPr="004F2D82">
        <w:rPr>
          <w:rFonts w:ascii="Times New Roman" w:hAnsi="Times New Roman"/>
          <w:sz w:val="20"/>
        </w:rPr>
        <w:t>London – West Midlands</w:t>
      </w:r>
      <w:r w:rsidRPr="004F2D82">
        <w:rPr>
          <w:rFonts w:ascii="Times New Roman" w:hAnsi="Times New Roman"/>
          <w:sz w:val="20"/>
        </w:rPr>
        <w:t>) Bill</w:t>
      </w:r>
      <w:r w:rsidR="00245266" w:rsidRPr="004F2D82">
        <w:rPr>
          <w:rFonts w:ascii="Times New Roman" w:hAnsi="Times New Roman"/>
          <w:sz w:val="20"/>
        </w:rPr>
        <w:t xml:space="preserve"> received </w:t>
      </w:r>
      <w:r w:rsidR="00260D38" w:rsidRPr="004F2D82">
        <w:rPr>
          <w:rFonts w:ascii="Times New Roman" w:hAnsi="Times New Roman"/>
          <w:sz w:val="20"/>
        </w:rPr>
        <w:t xml:space="preserve">a </w:t>
      </w:r>
      <w:r w:rsidR="00245266" w:rsidRPr="004F2D82">
        <w:rPr>
          <w:rFonts w:ascii="Times New Roman" w:hAnsi="Times New Roman"/>
          <w:sz w:val="20"/>
        </w:rPr>
        <w:t xml:space="preserve">first reading on </w:t>
      </w:r>
      <w:r w:rsidR="00717193" w:rsidRPr="004F2D82">
        <w:rPr>
          <w:rFonts w:ascii="Times New Roman" w:hAnsi="Times New Roman"/>
          <w:sz w:val="20"/>
        </w:rPr>
        <w:t>25 November 2013</w:t>
      </w:r>
      <w:r w:rsidRPr="004F2D82">
        <w:rPr>
          <w:rFonts w:ascii="Times New Roman" w:hAnsi="Times New Roman"/>
          <w:sz w:val="20"/>
        </w:rPr>
        <w:t>.</w:t>
      </w:r>
      <w:r w:rsidR="004C455D" w:rsidRPr="00462388">
        <w:rPr>
          <w:rStyle w:val="FootnoteReference"/>
          <w:sz w:val="20"/>
        </w:rPr>
        <w:footnoteReference w:id="43"/>
      </w:r>
      <w:r w:rsidR="006F788D" w:rsidRPr="00462388">
        <w:rPr>
          <w:rFonts w:ascii="Times New Roman" w:hAnsi="Times New Roman"/>
          <w:sz w:val="20"/>
        </w:rPr>
        <w:t xml:space="preserve"> </w:t>
      </w:r>
    </w:p>
    <w:p w14:paraId="2F7D2287" w14:textId="6835DD5D" w:rsidR="009D5745" w:rsidRPr="00462388" w:rsidRDefault="008C23AD" w:rsidP="009604B4">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lastRenderedPageBreak/>
        <w:t xml:space="preserve">From 25 November 2013 to 27 February 2014, public consultation was held on the </w:t>
      </w:r>
      <w:r w:rsidR="009D5745" w:rsidRPr="004F2D82">
        <w:rPr>
          <w:rFonts w:asciiTheme="majorBidi" w:hAnsiTheme="majorBidi"/>
          <w:sz w:val="20"/>
        </w:rPr>
        <w:t xml:space="preserve">Environmental </w:t>
      </w:r>
      <w:r w:rsidR="009D5BC4" w:rsidRPr="004F2D82">
        <w:rPr>
          <w:rFonts w:asciiTheme="majorBidi" w:hAnsiTheme="majorBidi"/>
          <w:sz w:val="20"/>
        </w:rPr>
        <w:t>Statement</w:t>
      </w:r>
      <w:r w:rsidR="006F788D" w:rsidRPr="004F2D82">
        <w:rPr>
          <w:rFonts w:asciiTheme="majorBidi" w:hAnsiTheme="majorBidi"/>
          <w:sz w:val="20"/>
        </w:rPr>
        <w:t xml:space="preserve"> for </w:t>
      </w:r>
      <w:r w:rsidR="002E2406" w:rsidRPr="004F2D82">
        <w:rPr>
          <w:rFonts w:asciiTheme="majorBidi" w:hAnsiTheme="majorBidi"/>
          <w:sz w:val="20"/>
        </w:rPr>
        <w:t>phase</w:t>
      </w:r>
      <w:r w:rsidR="006F788D" w:rsidRPr="004F2D82">
        <w:rPr>
          <w:rFonts w:asciiTheme="majorBidi" w:hAnsiTheme="majorBidi"/>
          <w:sz w:val="20"/>
        </w:rPr>
        <w:t xml:space="preserve"> 1</w:t>
      </w:r>
      <w:r w:rsidR="009D5BC4" w:rsidRPr="004F2D82">
        <w:rPr>
          <w:rFonts w:asciiTheme="majorBidi" w:hAnsiTheme="majorBidi"/>
          <w:sz w:val="20"/>
        </w:rPr>
        <w:t>.</w:t>
      </w:r>
      <w:r w:rsidR="00E3169D" w:rsidRPr="00462388">
        <w:rPr>
          <w:rFonts w:asciiTheme="majorBidi" w:eastAsia="Times New Roman" w:hAnsiTheme="majorBidi" w:cstheme="majorBidi"/>
          <w:sz w:val="20"/>
          <w:szCs w:val="20"/>
        </w:rPr>
        <w:t xml:space="preserve"> 21,833 responses were received during the consultation.</w:t>
      </w:r>
      <w:r w:rsidR="00E3169D" w:rsidRPr="004F2D82">
        <w:rPr>
          <w:rStyle w:val="FootnoteReference"/>
          <w:rFonts w:asciiTheme="majorBidi" w:eastAsia="Times New Roman" w:hAnsiTheme="majorBidi" w:cstheme="majorBidi"/>
          <w:sz w:val="20"/>
          <w:szCs w:val="20"/>
        </w:rPr>
        <w:t xml:space="preserve"> </w:t>
      </w:r>
      <w:r w:rsidR="00E3169D" w:rsidRPr="004F2D82">
        <w:rPr>
          <w:rFonts w:asciiTheme="majorBidi" w:eastAsia="Times New Roman" w:hAnsiTheme="majorBidi" w:cstheme="majorBidi"/>
          <w:sz w:val="20"/>
          <w:szCs w:val="20"/>
        </w:rPr>
        <w:t>The responses were summarized by an independent assessor in a report provided to the House of Commons and published on 7 April 2014.</w:t>
      </w:r>
      <w:r w:rsidR="00E3169D" w:rsidRPr="00462388">
        <w:rPr>
          <w:rStyle w:val="FootnoteReference"/>
          <w:rFonts w:asciiTheme="majorBidi" w:eastAsia="Times New Roman" w:hAnsiTheme="majorBidi" w:cstheme="majorBidi"/>
          <w:sz w:val="20"/>
          <w:szCs w:val="20"/>
        </w:rPr>
        <w:footnoteReference w:id="44"/>
      </w:r>
    </w:p>
    <w:p w14:paraId="47C89EA9" w14:textId="46C41DE7" w:rsidR="009D5745" w:rsidRPr="00462388" w:rsidRDefault="009D5745"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eastAsia="Times New Roman" w:hAnsi="Times New Roman" w:cs="Times New Roman"/>
          <w:sz w:val="20"/>
          <w:szCs w:val="20"/>
        </w:rPr>
        <w:t xml:space="preserve">The </w:t>
      </w:r>
      <w:proofErr w:type="gramStart"/>
      <w:r w:rsidR="0065453C" w:rsidRPr="004F2D82">
        <w:rPr>
          <w:rFonts w:ascii="Times New Roman" w:eastAsia="Times New Roman" w:hAnsi="Times New Roman" w:cs="Times New Roman"/>
          <w:sz w:val="20"/>
          <w:szCs w:val="20"/>
        </w:rPr>
        <w:t>High Speed</w:t>
      </w:r>
      <w:proofErr w:type="gramEnd"/>
      <w:r w:rsidR="0065453C" w:rsidRPr="004F2D82">
        <w:rPr>
          <w:rFonts w:ascii="Times New Roman" w:eastAsia="Times New Roman" w:hAnsi="Times New Roman" w:cs="Times New Roman"/>
          <w:sz w:val="20"/>
          <w:szCs w:val="20"/>
        </w:rPr>
        <w:t xml:space="preserve"> Rail (London – West Midlands)</w:t>
      </w:r>
      <w:r w:rsidR="0065453C" w:rsidRPr="004F2D82">
        <w:rPr>
          <w:rFonts w:ascii="Times New Roman" w:hAnsi="Times New Roman"/>
          <w:sz w:val="20"/>
        </w:rPr>
        <w:t xml:space="preserve"> Bill</w:t>
      </w:r>
      <w:r w:rsidR="0065453C" w:rsidRPr="004F2D82" w:rsidDel="0065453C">
        <w:rPr>
          <w:rFonts w:ascii="Times New Roman" w:hAnsi="Times New Roman"/>
          <w:sz w:val="20"/>
        </w:rPr>
        <w:t xml:space="preserve"> </w:t>
      </w:r>
      <w:r w:rsidRPr="004F2D82">
        <w:rPr>
          <w:rFonts w:ascii="Times New Roman" w:hAnsi="Times New Roman"/>
          <w:sz w:val="20"/>
        </w:rPr>
        <w:t xml:space="preserve">received </w:t>
      </w:r>
      <w:r w:rsidR="00CF3E44" w:rsidRPr="004F2D82">
        <w:rPr>
          <w:rFonts w:ascii="Times New Roman" w:hAnsi="Times New Roman"/>
          <w:sz w:val="20"/>
        </w:rPr>
        <w:t xml:space="preserve">a </w:t>
      </w:r>
      <w:r w:rsidRPr="004F2D82">
        <w:rPr>
          <w:rFonts w:ascii="Times New Roman" w:hAnsi="Times New Roman"/>
          <w:sz w:val="20"/>
        </w:rPr>
        <w:t>second reading on 28 April 2014.</w:t>
      </w:r>
      <w:r w:rsidR="00D74183" w:rsidRPr="00462388">
        <w:rPr>
          <w:rStyle w:val="FootnoteReference"/>
        </w:rPr>
        <w:footnoteReference w:id="45"/>
      </w:r>
      <w:r w:rsidRPr="00462388">
        <w:rPr>
          <w:rFonts w:ascii="Times New Roman" w:hAnsi="Times New Roman"/>
          <w:sz w:val="20"/>
        </w:rPr>
        <w:t xml:space="preserve"> The petitioning period commenced on 29 April 2014 and closed on 23 May 2014, during which some 1</w:t>
      </w:r>
      <w:r w:rsidR="00260D38" w:rsidRPr="004F2D82">
        <w:rPr>
          <w:rFonts w:ascii="Times New Roman" w:hAnsi="Times New Roman"/>
          <w:sz w:val="20"/>
        </w:rPr>
        <w:t>,</w:t>
      </w:r>
      <w:r w:rsidRPr="004F2D82">
        <w:rPr>
          <w:rFonts w:ascii="Times New Roman" w:hAnsi="Times New Roman"/>
          <w:sz w:val="20"/>
        </w:rPr>
        <w:t>925 petitions were received, including from the communicant.</w:t>
      </w:r>
      <w:r w:rsidRPr="00462388">
        <w:rPr>
          <w:rStyle w:val="FootnoteReference"/>
          <w:sz w:val="20"/>
        </w:rPr>
        <w:footnoteReference w:id="46"/>
      </w:r>
      <w:r w:rsidRPr="00462388">
        <w:rPr>
          <w:rFonts w:ascii="Times New Roman" w:hAnsi="Times New Roman"/>
          <w:sz w:val="20"/>
        </w:rPr>
        <w:t xml:space="preserve"> </w:t>
      </w:r>
    </w:p>
    <w:p w14:paraId="6EA27147" w14:textId="4A93FAEC" w:rsidR="009D5745" w:rsidRPr="00462388" w:rsidRDefault="0065453C"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eastAsia="Times New Roman" w:hAnsi="Times New Roman" w:cs="Times New Roman"/>
          <w:sz w:val="20"/>
          <w:szCs w:val="20"/>
        </w:rPr>
        <w:t>In order to introduce changes to th</w:t>
      </w:r>
      <w:r w:rsidR="00B91F43">
        <w:rPr>
          <w:rFonts w:ascii="Times New Roman" w:eastAsia="Times New Roman" w:hAnsi="Times New Roman" w:cs="Times New Roman"/>
          <w:sz w:val="20"/>
          <w:szCs w:val="20"/>
        </w:rPr>
        <w:t>e</w:t>
      </w:r>
      <w:r w:rsidRPr="004F2D82">
        <w:rPr>
          <w:rFonts w:ascii="Times New Roman" w:eastAsia="Times New Roman" w:hAnsi="Times New Roman" w:cs="Times New Roman"/>
          <w:sz w:val="20"/>
          <w:szCs w:val="20"/>
        </w:rPr>
        <w:t xml:space="preserve"> Bill, o</w:t>
      </w:r>
      <w:r w:rsidR="009D5745" w:rsidRPr="004F2D82">
        <w:rPr>
          <w:rFonts w:ascii="Times New Roman" w:eastAsia="Times New Roman" w:hAnsi="Times New Roman" w:cs="Times New Roman"/>
          <w:sz w:val="20"/>
          <w:szCs w:val="20"/>
        </w:rPr>
        <w:t>n</w:t>
      </w:r>
      <w:r w:rsidR="009D5745" w:rsidRPr="004F2D82">
        <w:rPr>
          <w:rFonts w:ascii="Times New Roman" w:hAnsi="Times New Roman"/>
          <w:sz w:val="20"/>
        </w:rPr>
        <w:t xml:space="preserve"> 9 September 2014, the </w:t>
      </w:r>
      <w:proofErr w:type="gramStart"/>
      <w:r w:rsidR="00D75223" w:rsidRPr="004F2D82">
        <w:rPr>
          <w:rFonts w:ascii="Times New Roman" w:hAnsi="Times New Roman"/>
          <w:sz w:val="20"/>
        </w:rPr>
        <w:t>High Speed</w:t>
      </w:r>
      <w:proofErr w:type="gramEnd"/>
      <w:r w:rsidR="00D75223" w:rsidRPr="004F2D82">
        <w:rPr>
          <w:rFonts w:ascii="Times New Roman" w:hAnsi="Times New Roman"/>
          <w:sz w:val="20"/>
        </w:rPr>
        <w:t xml:space="preserve"> Rail (London – West Midlands) Bill: </w:t>
      </w:r>
      <w:r w:rsidR="009D5745" w:rsidRPr="004F2D82">
        <w:rPr>
          <w:rFonts w:ascii="Times New Roman" w:hAnsi="Times New Roman"/>
          <w:sz w:val="20"/>
        </w:rPr>
        <w:t>Additional Provision, accompanied by an Additional Provision Environmental Statement, was introduced to Parliament.</w:t>
      </w:r>
      <w:r w:rsidR="00D74183" w:rsidRPr="00462388">
        <w:rPr>
          <w:rStyle w:val="FootnoteReference"/>
        </w:rPr>
        <w:footnoteReference w:id="47"/>
      </w:r>
    </w:p>
    <w:p w14:paraId="2A7FE20E" w14:textId="1A04F5D6" w:rsidR="00CA046E" w:rsidRPr="00462388" w:rsidRDefault="00EB204E"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Between </w:t>
      </w:r>
      <w:r w:rsidR="009D5745" w:rsidRPr="004F2D82">
        <w:rPr>
          <w:rFonts w:ascii="Times New Roman" w:hAnsi="Times New Roman"/>
          <w:sz w:val="20"/>
        </w:rPr>
        <w:t xml:space="preserve">19 September </w:t>
      </w:r>
      <w:r w:rsidRPr="004F2D82">
        <w:rPr>
          <w:rFonts w:ascii="Times New Roman" w:hAnsi="Times New Roman"/>
          <w:sz w:val="20"/>
        </w:rPr>
        <w:t xml:space="preserve">and 14 November </w:t>
      </w:r>
      <w:r w:rsidR="009D5745" w:rsidRPr="004F2D82">
        <w:rPr>
          <w:rFonts w:ascii="Times New Roman" w:hAnsi="Times New Roman"/>
          <w:sz w:val="20"/>
        </w:rPr>
        <w:t xml:space="preserve">2014, public consultation </w:t>
      </w:r>
      <w:r w:rsidR="0065453C" w:rsidRPr="004F2D82">
        <w:rPr>
          <w:rFonts w:ascii="Times New Roman" w:eastAsia="Times New Roman" w:hAnsi="Times New Roman" w:cs="Times New Roman"/>
          <w:sz w:val="20"/>
          <w:szCs w:val="20"/>
        </w:rPr>
        <w:t>was held on</w:t>
      </w:r>
      <w:r w:rsidR="0065453C" w:rsidRPr="004F2D82">
        <w:rPr>
          <w:rFonts w:ascii="Times New Roman" w:hAnsi="Times New Roman"/>
          <w:sz w:val="20"/>
        </w:rPr>
        <w:t xml:space="preserve"> </w:t>
      </w:r>
      <w:r w:rsidR="009D5745" w:rsidRPr="004F2D82">
        <w:rPr>
          <w:rFonts w:ascii="Times New Roman" w:hAnsi="Times New Roman"/>
          <w:sz w:val="20"/>
        </w:rPr>
        <w:t>the Additional Provision Environmental Statement</w:t>
      </w:r>
      <w:r w:rsidR="003759FC" w:rsidRPr="004F2D82">
        <w:rPr>
          <w:rFonts w:ascii="Times New Roman" w:hAnsi="Times New Roman"/>
          <w:sz w:val="20"/>
        </w:rPr>
        <w:t>. O</w:t>
      </w:r>
      <w:r w:rsidRPr="004F2D82">
        <w:rPr>
          <w:rFonts w:ascii="Times New Roman" w:hAnsi="Times New Roman"/>
          <w:sz w:val="20"/>
        </w:rPr>
        <w:t>n 23 October 20</w:t>
      </w:r>
      <w:r w:rsidR="00740061" w:rsidRPr="004F2D82">
        <w:rPr>
          <w:rFonts w:ascii="Times New Roman" w:hAnsi="Times New Roman"/>
          <w:sz w:val="20"/>
        </w:rPr>
        <w:t>14</w:t>
      </w:r>
      <w:r w:rsidR="003759FC" w:rsidRPr="004F2D82">
        <w:rPr>
          <w:rFonts w:ascii="Times New Roman" w:hAnsi="Times New Roman"/>
          <w:sz w:val="20"/>
        </w:rPr>
        <w:t>, t</w:t>
      </w:r>
      <w:r w:rsidR="009D5745" w:rsidRPr="004F2D82">
        <w:rPr>
          <w:rFonts w:ascii="Times New Roman" w:hAnsi="Times New Roman"/>
          <w:sz w:val="20"/>
        </w:rPr>
        <w:t xml:space="preserve">he communicant attended a specific session with the Select Committee to explain why it considered the </w:t>
      </w:r>
      <w:r w:rsidR="00B915F2" w:rsidRPr="004F2D82">
        <w:rPr>
          <w:rFonts w:ascii="Times New Roman" w:hAnsi="Times New Roman"/>
          <w:sz w:val="20"/>
        </w:rPr>
        <w:t xml:space="preserve">Select </w:t>
      </w:r>
      <w:r w:rsidR="009D5745" w:rsidRPr="004F2D82">
        <w:rPr>
          <w:rFonts w:ascii="Times New Roman" w:hAnsi="Times New Roman"/>
          <w:sz w:val="20"/>
        </w:rPr>
        <w:t>Committee should undertake an evaluation of alleged deficiencies in the Environmental Statement prior to hearing other petitions.</w:t>
      </w:r>
      <w:r w:rsidR="009D5745" w:rsidRPr="00462388">
        <w:rPr>
          <w:rStyle w:val="FootnoteReference"/>
          <w:sz w:val="20"/>
        </w:rPr>
        <w:footnoteReference w:id="48"/>
      </w:r>
      <w:r w:rsidR="009D5745" w:rsidRPr="00462388">
        <w:rPr>
          <w:rFonts w:ascii="Times New Roman" w:hAnsi="Times New Roman"/>
          <w:sz w:val="20"/>
        </w:rPr>
        <w:t xml:space="preserve"> </w:t>
      </w:r>
      <w:r w:rsidR="0065304A" w:rsidRPr="00462388">
        <w:rPr>
          <w:rFonts w:ascii="Times New Roman" w:hAnsi="Times New Roman"/>
          <w:sz w:val="20"/>
        </w:rPr>
        <w:t>T</w:t>
      </w:r>
      <w:r w:rsidR="00CA046E" w:rsidRPr="00462388">
        <w:rPr>
          <w:rFonts w:ascii="Times New Roman" w:hAnsi="Times New Roman"/>
          <w:sz w:val="20"/>
        </w:rPr>
        <w:t xml:space="preserve">he Select Committee heard some 186 petitions </w:t>
      </w:r>
      <w:r w:rsidR="00B915F2" w:rsidRPr="00462388">
        <w:rPr>
          <w:rFonts w:ascii="Times New Roman" w:hAnsi="Times New Roman"/>
          <w:sz w:val="20"/>
        </w:rPr>
        <w:t xml:space="preserve">before </w:t>
      </w:r>
      <w:r w:rsidR="00CA046E" w:rsidRPr="00B04ED2">
        <w:rPr>
          <w:rFonts w:ascii="Times New Roman" w:hAnsi="Times New Roman"/>
          <w:sz w:val="20"/>
        </w:rPr>
        <w:t>the end of January 2015.</w:t>
      </w:r>
      <w:r w:rsidR="003C42AF" w:rsidRPr="00462388">
        <w:rPr>
          <w:rStyle w:val="FootnoteReference"/>
          <w:sz w:val="20"/>
        </w:rPr>
        <w:footnoteReference w:id="49"/>
      </w:r>
      <w:r w:rsidR="00D52744" w:rsidRPr="00462388">
        <w:rPr>
          <w:rFonts w:ascii="Times New Roman" w:hAnsi="Times New Roman"/>
          <w:sz w:val="20"/>
        </w:rPr>
        <w:t xml:space="preserve"> </w:t>
      </w:r>
    </w:p>
    <w:p w14:paraId="44555021" w14:textId="77777777" w:rsidR="005D1947" w:rsidRPr="009604B4" w:rsidRDefault="00EB204E" w:rsidP="006068D9">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7" w:name="_Ref500741132"/>
      <w:r w:rsidRPr="009604B4">
        <w:rPr>
          <w:rFonts w:ascii="Times New Roman" w:hAnsi="Times New Roman"/>
          <w:sz w:val="20"/>
        </w:rPr>
        <w:t xml:space="preserve">Between July 2015 and January 2016, five </w:t>
      </w:r>
      <w:r w:rsidR="008C23AD" w:rsidRPr="009604B4">
        <w:rPr>
          <w:rFonts w:ascii="Times New Roman" w:hAnsi="Times New Roman"/>
          <w:sz w:val="20"/>
        </w:rPr>
        <w:t xml:space="preserve">additional provisions </w:t>
      </w:r>
      <w:r w:rsidRPr="009604B4">
        <w:rPr>
          <w:rFonts w:ascii="Times New Roman" w:hAnsi="Times New Roman"/>
          <w:sz w:val="20"/>
        </w:rPr>
        <w:t>and supplementary environmental statements were introduced into Parliament and consulted upon.</w:t>
      </w:r>
      <w:r w:rsidR="005360F1" w:rsidRPr="009604B4">
        <w:rPr>
          <w:rStyle w:val="FootnoteReference"/>
        </w:rPr>
        <w:footnoteReference w:id="50"/>
      </w:r>
      <w:bookmarkEnd w:id="7"/>
    </w:p>
    <w:p w14:paraId="6042A3A1" w14:textId="43216C37" w:rsidR="002A0DFA" w:rsidRPr="009604B4" w:rsidRDefault="002A0DFA" w:rsidP="006068D9">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On 4 February 2016 the Select Committee hearings concluded, and on 22 February 2016 it published its Second Special Report of Session 2015-2016.</w:t>
      </w:r>
      <w:r w:rsidRPr="009604B4">
        <w:rPr>
          <w:rStyle w:val="FootnoteReference"/>
        </w:rPr>
        <w:footnoteReference w:id="51"/>
      </w:r>
    </w:p>
    <w:p w14:paraId="47C590CE" w14:textId="435AA7AF" w:rsidR="00593C06" w:rsidRPr="009604B4" w:rsidRDefault="0046607B" w:rsidP="006432DC">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Phase 1 of High Speed 2 is expected to open in 2026</w:t>
      </w:r>
      <w:r w:rsidR="00E839CC" w:rsidRPr="009604B4">
        <w:rPr>
          <w:rFonts w:ascii="Times New Roman" w:hAnsi="Times New Roman"/>
          <w:sz w:val="20"/>
        </w:rPr>
        <w:t xml:space="preserve">, running between London and the West Midlands and providing direct </w:t>
      </w:r>
      <w:proofErr w:type="gramStart"/>
      <w:r w:rsidR="00E839CC" w:rsidRPr="009604B4">
        <w:rPr>
          <w:rFonts w:ascii="Times New Roman" w:hAnsi="Times New Roman"/>
          <w:sz w:val="20"/>
        </w:rPr>
        <w:t>high speed</w:t>
      </w:r>
      <w:proofErr w:type="gramEnd"/>
      <w:r w:rsidR="00E839CC" w:rsidRPr="009604B4">
        <w:rPr>
          <w:rFonts w:ascii="Times New Roman" w:hAnsi="Times New Roman"/>
          <w:sz w:val="20"/>
        </w:rPr>
        <w:t xml:space="preserve"> services to the Channel Tunnel. Phase 2, providing high speed services beyond the West Midlands and direct </w:t>
      </w:r>
      <w:proofErr w:type="gramStart"/>
      <w:r w:rsidR="00E839CC" w:rsidRPr="009604B4">
        <w:rPr>
          <w:rFonts w:ascii="Times New Roman" w:hAnsi="Times New Roman"/>
          <w:sz w:val="20"/>
        </w:rPr>
        <w:t>high speed</w:t>
      </w:r>
      <w:proofErr w:type="gramEnd"/>
      <w:r w:rsidR="00E839CC" w:rsidRPr="009604B4">
        <w:rPr>
          <w:rFonts w:ascii="Times New Roman" w:hAnsi="Times New Roman"/>
          <w:sz w:val="20"/>
        </w:rPr>
        <w:t xml:space="preserve"> services to a new Heathrow Airport station, is expected to open 2032-2033.</w:t>
      </w:r>
      <w:r w:rsidR="00302991" w:rsidRPr="009604B4">
        <w:rPr>
          <w:rStyle w:val="FootnoteReference"/>
        </w:rPr>
        <w:t xml:space="preserve"> </w:t>
      </w:r>
      <w:r w:rsidR="00302991" w:rsidRPr="009604B4">
        <w:rPr>
          <w:rStyle w:val="FootnoteReference"/>
        </w:rPr>
        <w:footnoteReference w:id="52"/>
      </w:r>
    </w:p>
    <w:p w14:paraId="29273C3E" w14:textId="6F961F6A" w:rsidR="00D47880" w:rsidRPr="009604B4" w:rsidRDefault="00D14D7D" w:rsidP="005D584F">
      <w:pPr>
        <w:keepNext/>
        <w:keepLines/>
        <w:numPr>
          <w:ilvl w:val="0"/>
          <w:numId w:val="3"/>
        </w:numPr>
        <w:tabs>
          <w:tab w:val="right" w:pos="851"/>
          <w:tab w:val="left" w:pos="1134"/>
        </w:tabs>
        <w:suppressAutoHyphens/>
        <w:spacing w:before="360" w:after="120" w:line="270" w:lineRule="exact"/>
        <w:ind w:left="567" w:right="1134" w:firstLine="0"/>
        <w:jc w:val="both"/>
        <w:rPr>
          <w:rFonts w:ascii="Times New Roman" w:eastAsia="Times New Roman" w:hAnsi="Times New Roman" w:cs="Times New Roman"/>
          <w:b/>
          <w:sz w:val="24"/>
          <w:szCs w:val="24"/>
        </w:rPr>
      </w:pPr>
      <w:r w:rsidRPr="009604B4">
        <w:rPr>
          <w:rFonts w:ascii="Times New Roman" w:eastAsia="Times New Roman" w:hAnsi="Times New Roman" w:cs="Times New Roman"/>
          <w:b/>
          <w:sz w:val="24"/>
          <w:szCs w:val="24"/>
        </w:rPr>
        <w:t>Domestic remedies</w:t>
      </w:r>
      <w:r w:rsidR="00A01939" w:rsidRPr="009604B4">
        <w:rPr>
          <w:rFonts w:ascii="Times New Roman" w:eastAsia="Times New Roman" w:hAnsi="Times New Roman" w:cs="Times New Roman"/>
          <w:b/>
          <w:sz w:val="24"/>
          <w:szCs w:val="24"/>
        </w:rPr>
        <w:t xml:space="preserve"> and admissibility</w:t>
      </w:r>
    </w:p>
    <w:p w14:paraId="31640682" w14:textId="655A7A39" w:rsidR="00A01939" w:rsidRPr="009604B4" w:rsidRDefault="00A01939" w:rsidP="00FD13A4">
      <w:pPr>
        <w:keepNext/>
        <w:keepLines/>
        <w:tabs>
          <w:tab w:val="right" w:pos="851"/>
          <w:tab w:val="left" w:pos="1134"/>
        </w:tabs>
        <w:suppressAutoHyphens/>
        <w:spacing w:before="360" w:after="120" w:line="270" w:lineRule="exact"/>
        <w:ind w:left="567" w:right="1134"/>
        <w:jc w:val="both"/>
        <w:outlineLvl w:val="0"/>
        <w:rPr>
          <w:rFonts w:ascii="Times New Roman" w:hAnsi="Times New Roman"/>
          <w:b/>
          <w:sz w:val="20"/>
        </w:rPr>
      </w:pPr>
      <w:r w:rsidRPr="009604B4">
        <w:rPr>
          <w:rFonts w:ascii="Times New Roman" w:hAnsi="Times New Roman"/>
          <w:b/>
          <w:sz w:val="20"/>
        </w:rPr>
        <w:t>Domestic remedies</w:t>
      </w:r>
    </w:p>
    <w:p w14:paraId="0A92BF59" w14:textId="18F55BA9" w:rsidR="009B4AFD" w:rsidRPr="009604B4" w:rsidRDefault="00B915F2" w:rsidP="002E0E49">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In April 2012, t</w:t>
      </w:r>
      <w:r w:rsidR="009B4AFD" w:rsidRPr="009604B4">
        <w:rPr>
          <w:rFonts w:ascii="Times New Roman" w:hAnsi="Times New Roman"/>
          <w:sz w:val="20"/>
        </w:rPr>
        <w:t xml:space="preserve">he communicant </w:t>
      </w:r>
      <w:r w:rsidRPr="009604B4">
        <w:rPr>
          <w:rFonts w:ascii="Times New Roman" w:hAnsi="Times New Roman"/>
          <w:sz w:val="20"/>
        </w:rPr>
        <w:t xml:space="preserve">commenced judicial review proceedings to challenge </w:t>
      </w:r>
      <w:r w:rsidR="009B4AFD" w:rsidRPr="009604B4">
        <w:rPr>
          <w:rFonts w:ascii="Times New Roman" w:hAnsi="Times New Roman"/>
          <w:sz w:val="20"/>
        </w:rPr>
        <w:t xml:space="preserve">the DNS. The grounds of claim included that the DNS was a </w:t>
      </w:r>
      <w:r w:rsidR="00A21832" w:rsidRPr="009604B4">
        <w:rPr>
          <w:rFonts w:ascii="Times New Roman" w:hAnsi="Times New Roman"/>
          <w:sz w:val="20"/>
        </w:rPr>
        <w:t>“</w:t>
      </w:r>
      <w:r w:rsidR="009B4AFD" w:rsidRPr="009604B4">
        <w:rPr>
          <w:rFonts w:ascii="Times New Roman" w:hAnsi="Times New Roman"/>
          <w:sz w:val="20"/>
        </w:rPr>
        <w:t>plan or programme</w:t>
      </w:r>
      <w:r w:rsidR="00A21832" w:rsidRPr="009604B4">
        <w:rPr>
          <w:rFonts w:ascii="Times New Roman" w:hAnsi="Times New Roman"/>
          <w:sz w:val="20"/>
        </w:rPr>
        <w:t xml:space="preserve">” </w:t>
      </w:r>
      <w:r w:rsidR="009B4AFD" w:rsidRPr="009604B4">
        <w:rPr>
          <w:rFonts w:ascii="Times New Roman" w:hAnsi="Times New Roman"/>
          <w:sz w:val="20"/>
        </w:rPr>
        <w:t xml:space="preserve">which </w:t>
      </w:r>
      <w:r w:rsidR="00A21832" w:rsidRPr="009604B4">
        <w:rPr>
          <w:rFonts w:ascii="Times New Roman" w:hAnsi="Times New Roman"/>
          <w:sz w:val="20"/>
        </w:rPr>
        <w:t>“</w:t>
      </w:r>
      <w:r w:rsidR="009B4AFD" w:rsidRPr="009604B4">
        <w:rPr>
          <w:rFonts w:ascii="Times New Roman" w:hAnsi="Times New Roman"/>
          <w:sz w:val="20"/>
        </w:rPr>
        <w:t>set the framework for development consent</w:t>
      </w:r>
      <w:r w:rsidR="00A21832" w:rsidRPr="009604B4">
        <w:rPr>
          <w:rFonts w:ascii="Times New Roman" w:hAnsi="Times New Roman"/>
          <w:sz w:val="20"/>
        </w:rPr>
        <w:t>”</w:t>
      </w:r>
      <w:r w:rsidR="009B4AFD" w:rsidRPr="009604B4">
        <w:rPr>
          <w:rFonts w:ascii="Times New Roman" w:hAnsi="Times New Roman"/>
          <w:sz w:val="20"/>
        </w:rPr>
        <w:t xml:space="preserve"> and was </w:t>
      </w:r>
      <w:r w:rsidR="00A21832" w:rsidRPr="009604B4">
        <w:rPr>
          <w:rFonts w:ascii="Times New Roman" w:hAnsi="Times New Roman"/>
          <w:sz w:val="20"/>
        </w:rPr>
        <w:t>“</w:t>
      </w:r>
      <w:r w:rsidR="009B4AFD" w:rsidRPr="009604B4">
        <w:rPr>
          <w:rFonts w:ascii="Times New Roman" w:hAnsi="Times New Roman"/>
          <w:sz w:val="20"/>
        </w:rPr>
        <w:t>required by administrative provisions</w:t>
      </w:r>
      <w:r w:rsidR="00A21832" w:rsidRPr="009604B4">
        <w:rPr>
          <w:rFonts w:ascii="Times New Roman" w:hAnsi="Times New Roman"/>
          <w:sz w:val="20"/>
        </w:rPr>
        <w:t>”</w:t>
      </w:r>
      <w:r w:rsidR="009B4AFD" w:rsidRPr="009604B4">
        <w:rPr>
          <w:rFonts w:ascii="Times New Roman" w:hAnsi="Times New Roman"/>
          <w:sz w:val="20"/>
        </w:rPr>
        <w:t xml:space="preserve"> within the meaning of</w:t>
      </w:r>
      <w:r w:rsidR="00A21832" w:rsidRPr="009604B4">
        <w:rPr>
          <w:rFonts w:ascii="Times New Roman" w:hAnsi="Times New Roman"/>
          <w:sz w:val="20"/>
        </w:rPr>
        <w:t xml:space="preserve"> </w:t>
      </w:r>
      <w:r w:rsidR="00741D63" w:rsidRPr="009604B4">
        <w:rPr>
          <w:rFonts w:ascii="Times New Roman" w:hAnsi="Times New Roman"/>
          <w:sz w:val="20"/>
        </w:rPr>
        <w:t>the SEA Directive</w:t>
      </w:r>
      <w:r w:rsidR="009B4AFD" w:rsidRPr="009604B4">
        <w:rPr>
          <w:rFonts w:ascii="Times New Roman" w:hAnsi="Times New Roman"/>
          <w:sz w:val="20"/>
        </w:rPr>
        <w:t xml:space="preserve">, and that its adoption had been in breach of the obligation under </w:t>
      </w:r>
      <w:r w:rsidRPr="009604B4">
        <w:rPr>
          <w:rFonts w:ascii="Times New Roman" w:hAnsi="Times New Roman"/>
          <w:sz w:val="20"/>
        </w:rPr>
        <w:t xml:space="preserve">article </w:t>
      </w:r>
      <w:r w:rsidR="009B4AFD" w:rsidRPr="009604B4">
        <w:rPr>
          <w:rFonts w:ascii="Times New Roman" w:hAnsi="Times New Roman"/>
          <w:sz w:val="20"/>
        </w:rPr>
        <w:t xml:space="preserve">5 and </w:t>
      </w:r>
      <w:r w:rsidR="002E2406" w:rsidRPr="009604B4">
        <w:rPr>
          <w:rFonts w:ascii="Times New Roman" w:hAnsi="Times New Roman"/>
          <w:sz w:val="20"/>
        </w:rPr>
        <w:t>annex</w:t>
      </w:r>
      <w:r w:rsidR="009B4AFD" w:rsidRPr="009604B4">
        <w:rPr>
          <w:rFonts w:ascii="Times New Roman" w:hAnsi="Times New Roman"/>
          <w:sz w:val="20"/>
        </w:rPr>
        <w:t xml:space="preserve"> I of the </w:t>
      </w:r>
      <w:r w:rsidR="00741D63" w:rsidRPr="009604B4">
        <w:rPr>
          <w:rFonts w:ascii="Times New Roman" w:hAnsi="Times New Roman"/>
          <w:sz w:val="20"/>
        </w:rPr>
        <w:t>SEA Directive</w:t>
      </w:r>
      <w:r w:rsidR="009B4AFD" w:rsidRPr="009604B4">
        <w:rPr>
          <w:rFonts w:ascii="Times New Roman" w:hAnsi="Times New Roman"/>
          <w:sz w:val="20"/>
        </w:rPr>
        <w:t>.</w:t>
      </w:r>
      <w:r w:rsidR="009B4AFD" w:rsidRPr="009604B4">
        <w:rPr>
          <w:rStyle w:val="FootnoteReference"/>
          <w:sz w:val="20"/>
        </w:rPr>
        <w:footnoteReference w:id="53"/>
      </w:r>
      <w:r w:rsidR="009B4AFD" w:rsidRPr="009604B4">
        <w:rPr>
          <w:rFonts w:ascii="Times New Roman" w:hAnsi="Times New Roman"/>
          <w:sz w:val="20"/>
        </w:rPr>
        <w:t xml:space="preserve"> The High Court agreed with </w:t>
      </w:r>
      <w:r w:rsidR="00A21832" w:rsidRPr="009604B4">
        <w:rPr>
          <w:rFonts w:ascii="Times New Roman" w:hAnsi="Times New Roman"/>
          <w:sz w:val="20"/>
        </w:rPr>
        <w:t xml:space="preserve">the communicant </w:t>
      </w:r>
      <w:r w:rsidR="009B4AFD" w:rsidRPr="009604B4">
        <w:rPr>
          <w:rFonts w:ascii="Times New Roman" w:hAnsi="Times New Roman"/>
          <w:sz w:val="20"/>
        </w:rPr>
        <w:t xml:space="preserve">that the DNS had failed in significant respects to subject the reasonable alternatives to the </w:t>
      </w:r>
      <w:r w:rsidR="002C3234" w:rsidRPr="009604B4">
        <w:rPr>
          <w:rFonts w:ascii="Times New Roman" w:hAnsi="Times New Roman"/>
          <w:sz w:val="20"/>
        </w:rPr>
        <w:t>High Speed 2</w:t>
      </w:r>
      <w:r w:rsidR="009B4AFD" w:rsidRPr="009604B4">
        <w:rPr>
          <w:rFonts w:ascii="Times New Roman" w:hAnsi="Times New Roman"/>
          <w:sz w:val="20"/>
        </w:rPr>
        <w:t xml:space="preserve"> proposal to environmental assessment or public consultation</w:t>
      </w:r>
      <w:r w:rsidR="00741D63" w:rsidRPr="009604B4">
        <w:rPr>
          <w:rFonts w:ascii="Times New Roman" w:hAnsi="Times New Roman"/>
          <w:sz w:val="20"/>
        </w:rPr>
        <w:t>.</w:t>
      </w:r>
      <w:r w:rsidR="009B4AFD" w:rsidRPr="009604B4">
        <w:rPr>
          <w:rStyle w:val="FootnoteReference"/>
          <w:sz w:val="20"/>
        </w:rPr>
        <w:footnoteReference w:id="54"/>
      </w:r>
      <w:r w:rsidR="00914C3D" w:rsidRPr="009604B4">
        <w:rPr>
          <w:rFonts w:ascii="Times New Roman" w:hAnsi="Times New Roman"/>
          <w:sz w:val="20"/>
        </w:rPr>
        <w:t xml:space="preserve"> </w:t>
      </w:r>
      <w:r w:rsidR="009B4AFD" w:rsidRPr="009604B4">
        <w:rPr>
          <w:rFonts w:ascii="Times New Roman" w:hAnsi="Times New Roman"/>
          <w:sz w:val="20"/>
        </w:rPr>
        <w:t xml:space="preserve">The claim was dismissed, however, </w:t>
      </w:r>
      <w:r w:rsidR="009B4AFD" w:rsidRPr="009604B4">
        <w:rPr>
          <w:rFonts w:ascii="Times New Roman" w:hAnsi="Times New Roman"/>
          <w:sz w:val="20"/>
        </w:rPr>
        <w:lastRenderedPageBreak/>
        <w:t xml:space="preserve">because the High Court held that the DNS did not </w:t>
      </w:r>
      <w:r w:rsidR="00A21832" w:rsidRPr="009604B4">
        <w:rPr>
          <w:rFonts w:ascii="Times New Roman" w:hAnsi="Times New Roman"/>
          <w:sz w:val="20"/>
        </w:rPr>
        <w:t>“</w:t>
      </w:r>
      <w:r w:rsidR="009B4AFD" w:rsidRPr="009604B4">
        <w:rPr>
          <w:rFonts w:ascii="Times New Roman" w:hAnsi="Times New Roman"/>
          <w:sz w:val="20"/>
        </w:rPr>
        <w:t>set the framework for development consent</w:t>
      </w:r>
      <w:r w:rsidR="00A21832" w:rsidRPr="009604B4">
        <w:rPr>
          <w:rFonts w:ascii="Times New Roman" w:hAnsi="Times New Roman"/>
          <w:sz w:val="20"/>
        </w:rPr>
        <w:t>”</w:t>
      </w:r>
      <w:r w:rsidR="009B4AFD" w:rsidRPr="009604B4">
        <w:rPr>
          <w:rFonts w:ascii="Times New Roman" w:hAnsi="Times New Roman"/>
          <w:sz w:val="20"/>
        </w:rPr>
        <w:t xml:space="preserve"> nor was</w:t>
      </w:r>
      <w:r w:rsidR="00DB22D7" w:rsidRPr="009604B4">
        <w:rPr>
          <w:rFonts w:ascii="Times New Roman" w:hAnsi="Times New Roman"/>
          <w:sz w:val="20"/>
        </w:rPr>
        <w:t xml:space="preserve"> it </w:t>
      </w:r>
      <w:r w:rsidR="00A21832" w:rsidRPr="009604B4">
        <w:rPr>
          <w:rFonts w:ascii="Times New Roman" w:hAnsi="Times New Roman"/>
          <w:sz w:val="20"/>
        </w:rPr>
        <w:t>“</w:t>
      </w:r>
      <w:r w:rsidR="00DB22D7" w:rsidRPr="009604B4">
        <w:rPr>
          <w:rFonts w:ascii="Times New Roman" w:hAnsi="Times New Roman"/>
          <w:sz w:val="20"/>
        </w:rPr>
        <w:t xml:space="preserve">required by administrative </w:t>
      </w:r>
      <w:r w:rsidR="009B4AFD" w:rsidRPr="009604B4">
        <w:rPr>
          <w:rFonts w:ascii="Times New Roman" w:hAnsi="Times New Roman"/>
          <w:sz w:val="20"/>
        </w:rPr>
        <w:t>provisions</w:t>
      </w:r>
      <w:r w:rsidR="00A21832" w:rsidRPr="009604B4">
        <w:rPr>
          <w:rFonts w:ascii="Times New Roman" w:hAnsi="Times New Roman"/>
          <w:sz w:val="20"/>
        </w:rPr>
        <w:t>”</w:t>
      </w:r>
      <w:r w:rsidR="009B4AFD" w:rsidRPr="009604B4">
        <w:rPr>
          <w:rFonts w:ascii="Times New Roman" w:hAnsi="Times New Roman"/>
          <w:sz w:val="20"/>
        </w:rPr>
        <w:t xml:space="preserve"> within the meaning of the </w:t>
      </w:r>
      <w:r w:rsidR="00A21832" w:rsidRPr="009604B4">
        <w:rPr>
          <w:rFonts w:ascii="Times New Roman" w:hAnsi="Times New Roman"/>
          <w:sz w:val="20"/>
        </w:rPr>
        <w:t>D</w:t>
      </w:r>
      <w:r w:rsidR="00741D63" w:rsidRPr="009604B4">
        <w:rPr>
          <w:rFonts w:ascii="Times New Roman" w:hAnsi="Times New Roman"/>
          <w:sz w:val="20"/>
        </w:rPr>
        <w:t>irective</w:t>
      </w:r>
      <w:r w:rsidR="009B4AFD" w:rsidRPr="009604B4">
        <w:rPr>
          <w:rFonts w:ascii="Times New Roman" w:hAnsi="Times New Roman"/>
          <w:sz w:val="20"/>
        </w:rPr>
        <w:t>.</w:t>
      </w:r>
      <w:r w:rsidR="00CF70AE" w:rsidRPr="009604B4">
        <w:rPr>
          <w:rStyle w:val="FootnoteReference"/>
        </w:rPr>
        <w:footnoteReference w:id="55"/>
      </w:r>
      <w:r w:rsidR="009B4AFD" w:rsidRPr="009604B4">
        <w:rPr>
          <w:rFonts w:ascii="Times New Roman" w:hAnsi="Times New Roman"/>
          <w:sz w:val="20"/>
        </w:rPr>
        <w:t xml:space="preserve"> </w:t>
      </w:r>
      <w:r w:rsidR="00791151" w:rsidRPr="009604B4">
        <w:rPr>
          <w:rFonts w:ascii="Times New Roman" w:hAnsi="Times New Roman"/>
          <w:sz w:val="20"/>
        </w:rPr>
        <w:t>Appeals before</w:t>
      </w:r>
      <w:r w:rsidR="009B4AFD" w:rsidRPr="009604B4">
        <w:rPr>
          <w:rFonts w:ascii="Times New Roman" w:hAnsi="Times New Roman"/>
          <w:sz w:val="20"/>
        </w:rPr>
        <w:t xml:space="preserve"> the Court of Appeal </w:t>
      </w:r>
      <w:r w:rsidR="00FB34DD" w:rsidRPr="009604B4">
        <w:rPr>
          <w:rFonts w:ascii="Times New Roman" w:hAnsi="Times New Roman"/>
          <w:sz w:val="20"/>
        </w:rPr>
        <w:t xml:space="preserve"> </w:t>
      </w:r>
      <w:r w:rsidR="006F3D2A" w:rsidRPr="009604B4">
        <w:rPr>
          <w:rFonts w:ascii="Times New Roman" w:eastAsia="Times New Roman" w:hAnsi="Times New Roman" w:cs="Times New Roman"/>
          <w:sz w:val="20"/>
          <w:szCs w:val="20"/>
        </w:rPr>
        <w:t>in</w:t>
      </w:r>
      <w:r w:rsidR="009B4AFD" w:rsidRPr="009604B4">
        <w:rPr>
          <w:rFonts w:ascii="Times New Roman" w:hAnsi="Times New Roman"/>
          <w:sz w:val="20"/>
        </w:rPr>
        <w:t xml:space="preserve"> July 2013</w:t>
      </w:r>
      <w:r w:rsidR="00791151" w:rsidRPr="009604B4">
        <w:rPr>
          <w:rStyle w:val="FootnoteReference"/>
          <w:sz w:val="20"/>
        </w:rPr>
        <w:footnoteReference w:id="56"/>
      </w:r>
      <w:r w:rsidR="00791151" w:rsidRPr="009604B4">
        <w:rPr>
          <w:rFonts w:ascii="Times New Roman" w:hAnsi="Times New Roman"/>
          <w:sz w:val="20"/>
        </w:rPr>
        <w:t xml:space="preserve"> and the Supreme Court </w:t>
      </w:r>
      <w:r w:rsidR="006F3D2A" w:rsidRPr="009604B4">
        <w:rPr>
          <w:rFonts w:ascii="Times New Roman" w:eastAsia="Times New Roman" w:hAnsi="Times New Roman" w:cs="Times New Roman"/>
          <w:sz w:val="20"/>
          <w:szCs w:val="20"/>
        </w:rPr>
        <w:t>in</w:t>
      </w:r>
      <w:r w:rsidR="00791151" w:rsidRPr="009604B4">
        <w:rPr>
          <w:rFonts w:ascii="Times New Roman" w:hAnsi="Times New Roman"/>
          <w:sz w:val="20"/>
        </w:rPr>
        <w:t xml:space="preserve"> January 2014</w:t>
      </w:r>
      <w:r w:rsidR="00791151" w:rsidRPr="009604B4">
        <w:rPr>
          <w:rStyle w:val="FootnoteReference"/>
          <w:sz w:val="20"/>
        </w:rPr>
        <w:footnoteReference w:id="57"/>
      </w:r>
      <w:r w:rsidR="00791151" w:rsidRPr="009604B4">
        <w:rPr>
          <w:rFonts w:ascii="Times New Roman" w:hAnsi="Times New Roman"/>
          <w:sz w:val="20"/>
        </w:rPr>
        <w:t xml:space="preserve"> were also dismissed</w:t>
      </w:r>
      <w:r w:rsidR="009B4AFD" w:rsidRPr="009604B4">
        <w:rPr>
          <w:rFonts w:ascii="Times New Roman" w:hAnsi="Times New Roman"/>
          <w:sz w:val="20"/>
        </w:rPr>
        <w:t xml:space="preserve">, </w:t>
      </w:r>
      <w:r w:rsidRPr="009604B4">
        <w:rPr>
          <w:rFonts w:ascii="Times New Roman" w:hAnsi="Times New Roman"/>
          <w:sz w:val="20"/>
        </w:rPr>
        <w:t xml:space="preserve">both </w:t>
      </w:r>
      <w:r w:rsidR="00FB34DD" w:rsidRPr="009604B4">
        <w:rPr>
          <w:rFonts w:ascii="Times New Roman" w:hAnsi="Times New Roman"/>
          <w:sz w:val="20"/>
        </w:rPr>
        <w:t xml:space="preserve">courts </w:t>
      </w:r>
      <w:r w:rsidR="009B4AFD" w:rsidRPr="009604B4">
        <w:rPr>
          <w:rFonts w:ascii="Times New Roman" w:hAnsi="Times New Roman"/>
          <w:sz w:val="20"/>
        </w:rPr>
        <w:t xml:space="preserve">interpreting the term </w:t>
      </w:r>
      <w:r w:rsidR="00A21832" w:rsidRPr="009604B4">
        <w:rPr>
          <w:rFonts w:ascii="Times New Roman" w:hAnsi="Times New Roman"/>
          <w:sz w:val="20"/>
        </w:rPr>
        <w:t>“</w:t>
      </w:r>
      <w:r w:rsidR="009B4AFD" w:rsidRPr="009604B4">
        <w:rPr>
          <w:rFonts w:ascii="Times New Roman" w:hAnsi="Times New Roman"/>
          <w:sz w:val="20"/>
        </w:rPr>
        <w:t>set the framework for development consent</w:t>
      </w:r>
      <w:r w:rsidR="00A21832" w:rsidRPr="009604B4">
        <w:rPr>
          <w:rFonts w:ascii="Times New Roman" w:hAnsi="Times New Roman"/>
          <w:sz w:val="20"/>
        </w:rPr>
        <w:t>”</w:t>
      </w:r>
      <w:r w:rsidR="009B4AFD" w:rsidRPr="009604B4">
        <w:rPr>
          <w:rFonts w:ascii="Times New Roman" w:hAnsi="Times New Roman"/>
          <w:sz w:val="20"/>
        </w:rPr>
        <w:t xml:space="preserve"> in a way that excluded the DNS.</w:t>
      </w:r>
    </w:p>
    <w:p w14:paraId="07AAC6A9" w14:textId="07DFB460" w:rsidR="00B4788E" w:rsidRPr="009604B4" w:rsidRDefault="00B4788E" w:rsidP="00B4788E">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 xml:space="preserve">The communicant </w:t>
      </w:r>
      <w:r w:rsidR="00A86C85" w:rsidRPr="009604B4">
        <w:rPr>
          <w:rFonts w:ascii="Times New Roman" w:eastAsia="Times New Roman" w:hAnsi="Times New Roman" w:cs="Times New Roman"/>
          <w:sz w:val="20"/>
          <w:szCs w:val="20"/>
        </w:rPr>
        <w:t>asserts</w:t>
      </w:r>
      <w:r w:rsidRPr="009604B4">
        <w:rPr>
          <w:rFonts w:ascii="Times New Roman" w:hAnsi="Times New Roman"/>
          <w:sz w:val="20"/>
        </w:rPr>
        <w:t xml:space="preserve"> that non-compliance with international treaties, such as the Convention, cannot be a ground of judicial review in the courts of the Party concerned. The communicant states that therefore the only means to challenge the ineffective consultation on the DNS was to rely on the SEA Directive and to submit that it should be interpreted harmoniously with article 7 of the Convention, since direct reliance on article 7 of the Convention was legally impossible within the domestic legal system.</w:t>
      </w:r>
      <w:r w:rsidRPr="009604B4">
        <w:rPr>
          <w:rStyle w:val="FootnoteReference"/>
          <w:sz w:val="20"/>
        </w:rPr>
        <w:footnoteReference w:id="58"/>
      </w:r>
    </w:p>
    <w:p w14:paraId="191158FA" w14:textId="6C9C93BB" w:rsidR="003E1C9C" w:rsidRPr="009604B4" w:rsidRDefault="003E1C9C" w:rsidP="006068D9">
      <w:pPr>
        <w:numPr>
          <w:ilvl w:val="0"/>
          <w:numId w:val="2"/>
        </w:numPr>
        <w:tabs>
          <w:tab w:val="clear" w:pos="1144"/>
          <w:tab w:val="left" w:pos="1134"/>
        </w:tabs>
        <w:suppressAutoHyphens/>
        <w:spacing w:after="120" w:line="240" w:lineRule="atLeast"/>
        <w:ind w:left="567" w:right="1134" w:firstLine="0"/>
        <w:jc w:val="both"/>
        <w:rPr>
          <w:rFonts w:ascii="Times New Roman" w:hAnsi="Times New Roman"/>
          <w:i/>
          <w:sz w:val="20"/>
        </w:rPr>
      </w:pPr>
      <w:bookmarkStart w:id="8" w:name="_Ref528671903"/>
      <w:r w:rsidRPr="009604B4">
        <w:rPr>
          <w:rFonts w:ascii="Times New Roman" w:hAnsi="Times New Roman"/>
          <w:sz w:val="20"/>
        </w:rPr>
        <w:t xml:space="preserve">The Party concerned asserts that the communicant has failed to exhaust domestic remedies. </w:t>
      </w:r>
      <w:bookmarkStart w:id="9" w:name="_Ref495316808"/>
      <w:r w:rsidR="00F24971" w:rsidRPr="009604B4">
        <w:rPr>
          <w:rFonts w:ascii="Times New Roman" w:hAnsi="Times New Roman"/>
          <w:sz w:val="20"/>
        </w:rPr>
        <w:t>It</w:t>
      </w:r>
      <w:r w:rsidRPr="009604B4">
        <w:rPr>
          <w:rFonts w:ascii="Times New Roman" w:hAnsi="Times New Roman"/>
          <w:sz w:val="20"/>
        </w:rPr>
        <w:t xml:space="preserve"> </w:t>
      </w:r>
      <w:r w:rsidR="000A75D2" w:rsidRPr="009604B4">
        <w:rPr>
          <w:rFonts w:ascii="Times New Roman" w:hAnsi="Times New Roman"/>
          <w:sz w:val="20"/>
        </w:rPr>
        <w:t xml:space="preserve">accepts </w:t>
      </w:r>
      <w:r w:rsidRPr="009604B4">
        <w:rPr>
          <w:rFonts w:ascii="Times New Roman" w:hAnsi="Times New Roman"/>
          <w:sz w:val="20"/>
        </w:rPr>
        <w:t xml:space="preserve">that the communicant challenged the DNS by means of judicial review in the </w:t>
      </w:r>
      <w:r w:rsidR="00715C93" w:rsidRPr="009604B4">
        <w:rPr>
          <w:rFonts w:ascii="Times New Roman" w:hAnsi="Times New Roman"/>
          <w:sz w:val="20"/>
        </w:rPr>
        <w:t>c</w:t>
      </w:r>
      <w:r w:rsidRPr="009604B4">
        <w:rPr>
          <w:rFonts w:ascii="Times New Roman" w:hAnsi="Times New Roman"/>
          <w:sz w:val="20"/>
        </w:rPr>
        <w:t xml:space="preserve">ourts. However, </w:t>
      </w:r>
      <w:r w:rsidR="000B4648" w:rsidRPr="009604B4">
        <w:rPr>
          <w:rFonts w:ascii="Times New Roman" w:hAnsi="Times New Roman"/>
          <w:sz w:val="20"/>
        </w:rPr>
        <w:t xml:space="preserve">it submits that, </w:t>
      </w:r>
      <w:r w:rsidRPr="009604B4">
        <w:rPr>
          <w:rFonts w:ascii="Times New Roman" w:hAnsi="Times New Roman"/>
          <w:sz w:val="20"/>
        </w:rPr>
        <w:t>whilst the communicant relied on the Convention in support of its submission that the Party concerned was required to carry out a</w:t>
      </w:r>
      <w:r w:rsidR="000B4648" w:rsidRPr="009604B4">
        <w:rPr>
          <w:rFonts w:ascii="Times New Roman" w:hAnsi="Times New Roman"/>
          <w:sz w:val="20"/>
        </w:rPr>
        <w:t xml:space="preserve"> </w:t>
      </w:r>
      <w:r w:rsidR="00B915F2" w:rsidRPr="009604B4">
        <w:rPr>
          <w:rFonts w:ascii="Times New Roman" w:hAnsi="Times New Roman"/>
          <w:sz w:val="20"/>
        </w:rPr>
        <w:t>s</w:t>
      </w:r>
      <w:r w:rsidR="000B4648" w:rsidRPr="009604B4">
        <w:rPr>
          <w:rFonts w:ascii="Times New Roman" w:hAnsi="Times New Roman"/>
          <w:sz w:val="20"/>
        </w:rPr>
        <w:t xml:space="preserve">trategic </w:t>
      </w:r>
      <w:r w:rsidR="00B915F2" w:rsidRPr="009604B4">
        <w:rPr>
          <w:rFonts w:ascii="Times New Roman" w:hAnsi="Times New Roman"/>
          <w:sz w:val="20"/>
        </w:rPr>
        <w:t>e</w:t>
      </w:r>
      <w:r w:rsidR="000B4648" w:rsidRPr="009604B4">
        <w:rPr>
          <w:rFonts w:ascii="Times New Roman" w:hAnsi="Times New Roman"/>
          <w:sz w:val="20"/>
        </w:rPr>
        <w:t xml:space="preserve">nvironmental </w:t>
      </w:r>
      <w:r w:rsidR="00B915F2" w:rsidRPr="009604B4">
        <w:rPr>
          <w:rFonts w:ascii="Times New Roman" w:hAnsi="Times New Roman"/>
          <w:sz w:val="20"/>
        </w:rPr>
        <w:t>a</w:t>
      </w:r>
      <w:r w:rsidR="000B4648" w:rsidRPr="009604B4">
        <w:rPr>
          <w:rFonts w:ascii="Times New Roman" w:hAnsi="Times New Roman"/>
          <w:sz w:val="20"/>
        </w:rPr>
        <w:t>ssessment</w:t>
      </w:r>
      <w:r w:rsidRPr="009604B4">
        <w:rPr>
          <w:rFonts w:ascii="Times New Roman" w:hAnsi="Times New Roman"/>
          <w:sz w:val="20"/>
        </w:rPr>
        <w:t xml:space="preserve"> prior to issuing the DNS, it did not allege there was insufficient information provided to the public during </w:t>
      </w:r>
      <w:r w:rsidR="00F44CB6" w:rsidRPr="009604B4">
        <w:rPr>
          <w:rFonts w:ascii="Times New Roman" w:hAnsi="Times New Roman"/>
          <w:sz w:val="20"/>
        </w:rPr>
        <w:t xml:space="preserve">the </w:t>
      </w:r>
      <w:r w:rsidRPr="009604B4">
        <w:rPr>
          <w:rFonts w:ascii="Times New Roman" w:hAnsi="Times New Roman"/>
          <w:sz w:val="20"/>
        </w:rPr>
        <w:t xml:space="preserve">consultation </w:t>
      </w:r>
      <w:r w:rsidR="00F44CB6" w:rsidRPr="009604B4">
        <w:rPr>
          <w:rFonts w:ascii="Times New Roman" w:hAnsi="Times New Roman"/>
          <w:sz w:val="20"/>
        </w:rPr>
        <w:t xml:space="preserve">on </w:t>
      </w:r>
      <w:r w:rsidRPr="009604B4">
        <w:rPr>
          <w:rFonts w:ascii="Times New Roman" w:hAnsi="Times New Roman"/>
          <w:sz w:val="20"/>
        </w:rPr>
        <w:t xml:space="preserve">the DNS for the purposes of article 7 of the Convention. </w:t>
      </w:r>
      <w:r w:rsidR="00715C93" w:rsidRPr="009604B4">
        <w:rPr>
          <w:rFonts w:ascii="Times New Roman" w:hAnsi="Times New Roman"/>
          <w:sz w:val="20"/>
        </w:rPr>
        <w:t>The Party concerned</w:t>
      </w:r>
      <w:r w:rsidRPr="009604B4">
        <w:rPr>
          <w:rFonts w:ascii="Times New Roman" w:hAnsi="Times New Roman"/>
          <w:sz w:val="20"/>
        </w:rPr>
        <w:t xml:space="preserve"> </w:t>
      </w:r>
      <w:r w:rsidR="00715C93" w:rsidRPr="009604B4">
        <w:rPr>
          <w:rFonts w:ascii="Times New Roman" w:hAnsi="Times New Roman"/>
          <w:sz w:val="20"/>
        </w:rPr>
        <w:t xml:space="preserve">contends </w:t>
      </w:r>
      <w:r w:rsidRPr="009604B4">
        <w:rPr>
          <w:rFonts w:ascii="Times New Roman" w:hAnsi="Times New Roman"/>
          <w:sz w:val="20"/>
        </w:rPr>
        <w:t xml:space="preserve">that at no point during the proceedings before the domestic courts was it alleged that the alleged failure to provide information on reasonable strategic alternatives to </w:t>
      </w:r>
      <w:r w:rsidR="002C3234" w:rsidRPr="009604B4">
        <w:rPr>
          <w:rFonts w:ascii="Times New Roman" w:hAnsi="Times New Roman"/>
          <w:sz w:val="20"/>
        </w:rPr>
        <w:t>High Speed 2</w:t>
      </w:r>
      <w:r w:rsidRPr="009604B4">
        <w:rPr>
          <w:rFonts w:ascii="Times New Roman" w:hAnsi="Times New Roman"/>
          <w:sz w:val="20"/>
        </w:rPr>
        <w:t xml:space="preserve"> constituted a freestanding breach of the Convention.</w:t>
      </w:r>
      <w:r w:rsidRPr="009604B4">
        <w:rPr>
          <w:rStyle w:val="FootnoteReference"/>
          <w:sz w:val="20"/>
        </w:rPr>
        <w:footnoteReference w:id="59"/>
      </w:r>
      <w:bookmarkEnd w:id="8"/>
      <w:bookmarkEnd w:id="9"/>
    </w:p>
    <w:p w14:paraId="242F4638" w14:textId="1BDDCED7" w:rsidR="00F97887" w:rsidRPr="00B04ED2" w:rsidRDefault="00A63F48" w:rsidP="00D31A0C">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10" w:name="_Ref495316830"/>
      <w:r w:rsidRPr="00B04ED2">
        <w:rPr>
          <w:rFonts w:ascii="Times New Roman" w:hAnsi="Times New Roman"/>
          <w:sz w:val="20"/>
        </w:rPr>
        <w:t>T</w:t>
      </w:r>
      <w:r w:rsidR="003E1C9C" w:rsidRPr="00B04ED2">
        <w:rPr>
          <w:rFonts w:ascii="Times New Roman" w:hAnsi="Times New Roman"/>
          <w:sz w:val="20"/>
        </w:rPr>
        <w:t>he Party concerned</w:t>
      </w:r>
      <w:r w:rsidR="000B4648" w:rsidRPr="00B04ED2">
        <w:rPr>
          <w:rFonts w:ascii="Times New Roman" w:hAnsi="Times New Roman"/>
          <w:sz w:val="20"/>
        </w:rPr>
        <w:t xml:space="preserve"> further</w:t>
      </w:r>
      <w:r w:rsidR="003E1C9C" w:rsidRPr="004F2D82">
        <w:rPr>
          <w:rFonts w:ascii="Times New Roman" w:hAnsi="Times New Roman"/>
          <w:sz w:val="20"/>
        </w:rPr>
        <w:t xml:space="preserve"> </w:t>
      </w:r>
      <w:r w:rsidRPr="004F2D82">
        <w:rPr>
          <w:rFonts w:ascii="Times New Roman" w:hAnsi="Times New Roman"/>
          <w:sz w:val="20"/>
        </w:rPr>
        <w:t xml:space="preserve">disagrees with </w:t>
      </w:r>
      <w:r w:rsidR="003E1C9C" w:rsidRPr="004F2D82">
        <w:rPr>
          <w:rFonts w:ascii="Times New Roman" w:hAnsi="Times New Roman"/>
          <w:sz w:val="20"/>
        </w:rPr>
        <w:t>the communicant’s argument</w:t>
      </w:r>
      <w:r w:rsidRPr="004F2D82">
        <w:rPr>
          <w:rFonts w:ascii="Times New Roman" w:hAnsi="Times New Roman"/>
          <w:sz w:val="20"/>
        </w:rPr>
        <w:t xml:space="preserve"> that a challenge based directly on the Convention would not have been possible. The Party concerned</w:t>
      </w:r>
      <w:r w:rsidR="003E1C9C" w:rsidRPr="004F2D82">
        <w:rPr>
          <w:rFonts w:ascii="Times New Roman" w:hAnsi="Times New Roman"/>
          <w:sz w:val="20"/>
        </w:rPr>
        <w:t xml:space="preserve"> </w:t>
      </w:r>
      <w:r w:rsidRPr="004F2D82">
        <w:rPr>
          <w:rFonts w:ascii="Times New Roman" w:hAnsi="Times New Roman"/>
          <w:sz w:val="20"/>
        </w:rPr>
        <w:t xml:space="preserve">submits that </w:t>
      </w:r>
      <w:r w:rsidR="00C439E2" w:rsidRPr="004F2D82">
        <w:rPr>
          <w:rFonts w:ascii="Times New Roman" w:hAnsi="Times New Roman"/>
          <w:sz w:val="20"/>
        </w:rPr>
        <w:t xml:space="preserve">in the High Court and Court of Appeal proceedings </w:t>
      </w:r>
      <w:r w:rsidRPr="004F2D82">
        <w:rPr>
          <w:rFonts w:ascii="Times New Roman" w:hAnsi="Times New Roman"/>
          <w:sz w:val="20"/>
        </w:rPr>
        <w:t>there was</w:t>
      </w:r>
      <w:r w:rsidR="003E1C9C" w:rsidRPr="004F2D82">
        <w:rPr>
          <w:rFonts w:ascii="Times New Roman" w:hAnsi="Times New Roman"/>
          <w:sz w:val="20"/>
        </w:rPr>
        <w:t xml:space="preserve"> a freestanding challenge to the lawfulness of the consultation process which included a complaint in respect of the lack of information on, or assessment of</w:t>
      </w:r>
      <w:r w:rsidR="00715C93" w:rsidRPr="004F2D82">
        <w:rPr>
          <w:rFonts w:ascii="Times New Roman" w:hAnsi="Times New Roman"/>
          <w:sz w:val="20"/>
        </w:rPr>
        <w:t>,</w:t>
      </w:r>
      <w:r w:rsidR="003E1C9C" w:rsidRPr="004F2D82">
        <w:rPr>
          <w:rFonts w:ascii="Times New Roman" w:hAnsi="Times New Roman"/>
          <w:sz w:val="20"/>
        </w:rPr>
        <w:t xml:space="preserve"> alternatives to </w:t>
      </w:r>
      <w:r w:rsidR="002C3234" w:rsidRPr="004F2D82">
        <w:rPr>
          <w:rFonts w:ascii="Times New Roman" w:hAnsi="Times New Roman"/>
          <w:sz w:val="20"/>
        </w:rPr>
        <w:t>High Speed 2</w:t>
      </w:r>
      <w:r w:rsidR="003E1C9C" w:rsidRPr="004F2D82">
        <w:rPr>
          <w:rFonts w:ascii="Times New Roman" w:hAnsi="Times New Roman"/>
          <w:sz w:val="20"/>
        </w:rPr>
        <w:t xml:space="preserve"> and the proposed wider network and that </w:t>
      </w:r>
      <w:r w:rsidR="00513358" w:rsidRPr="004F2D82">
        <w:rPr>
          <w:rFonts w:ascii="Times New Roman" w:hAnsi="Times New Roman"/>
          <w:sz w:val="20"/>
        </w:rPr>
        <w:t>a</w:t>
      </w:r>
      <w:r w:rsidR="003E1C9C" w:rsidRPr="004F2D82">
        <w:rPr>
          <w:rFonts w:ascii="Times New Roman" w:hAnsi="Times New Roman"/>
          <w:sz w:val="20"/>
        </w:rPr>
        <w:t xml:space="preserve">rticle 7 </w:t>
      </w:r>
      <w:r w:rsidRPr="004F2D82">
        <w:rPr>
          <w:rFonts w:ascii="Times New Roman" w:hAnsi="Times New Roman"/>
          <w:sz w:val="20"/>
        </w:rPr>
        <w:t xml:space="preserve">of the Convention </w:t>
      </w:r>
      <w:r w:rsidR="003E1C9C" w:rsidRPr="004F2D82">
        <w:rPr>
          <w:rFonts w:ascii="Times New Roman" w:hAnsi="Times New Roman"/>
          <w:sz w:val="20"/>
        </w:rPr>
        <w:t>could have been raised as part and parcel of those complaints</w:t>
      </w:r>
      <w:r w:rsidR="00D14E5E" w:rsidRPr="004F2D82">
        <w:rPr>
          <w:rFonts w:ascii="Times New Roman" w:hAnsi="Times New Roman"/>
          <w:sz w:val="20"/>
        </w:rPr>
        <w:t>.</w:t>
      </w:r>
      <w:r w:rsidR="00C439E2" w:rsidRPr="00B04ED2">
        <w:rPr>
          <w:rFonts w:asciiTheme="majorBidi" w:hAnsiTheme="majorBidi"/>
          <w:sz w:val="20"/>
          <w:vertAlign w:val="superscript"/>
        </w:rPr>
        <w:footnoteReference w:id="60"/>
      </w:r>
      <w:bookmarkEnd w:id="10"/>
    </w:p>
    <w:p w14:paraId="06E33321" w14:textId="2754DE95" w:rsidR="00A01939" w:rsidRPr="004F2D82" w:rsidRDefault="00A01939" w:rsidP="00FD13A4">
      <w:pPr>
        <w:tabs>
          <w:tab w:val="left" w:pos="1134"/>
        </w:tabs>
        <w:suppressAutoHyphens/>
        <w:spacing w:after="120" w:line="240" w:lineRule="atLeast"/>
        <w:ind w:left="567" w:right="1134"/>
        <w:jc w:val="both"/>
        <w:outlineLvl w:val="0"/>
        <w:rPr>
          <w:rFonts w:ascii="Times New Roman" w:hAnsi="Times New Roman"/>
          <w:b/>
          <w:sz w:val="20"/>
        </w:rPr>
      </w:pPr>
      <w:r w:rsidRPr="004F2D82">
        <w:rPr>
          <w:rFonts w:ascii="Times New Roman" w:hAnsi="Times New Roman"/>
          <w:b/>
          <w:sz w:val="20"/>
        </w:rPr>
        <w:t>Admissibility of claims related to the SEA Directive</w:t>
      </w:r>
    </w:p>
    <w:p w14:paraId="18F1A61A" w14:textId="2EE8FA8D" w:rsidR="00A01939" w:rsidRPr="00B04ED2" w:rsidRDefault="00A01939"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The Party concerned claims that the communicant is arguing matters which would have been required to be assessed if </w:t>
      </w:r>
      <w:r w:rsidR="00BB7B59" w:rsidRPr="004F2D82">
        <w:rPr>
          <w:rFonts w:ascii="Times New Roman" w:hAnsi="Times New Roman"/>
          <w:sz w:val="20"/>
        </w:rPr>
        <w:t>a</w:t>
      </w:r>
      <w:r w:rsidRPr="004F2D82">
        <w:rPr>
          <w:rFonts w:ascii="Times New Roman" w:hAnsi="Times New Roman"/>
          <w:sz w:val="20"/>
        </w:rPr>
        <w:t>rticle 7</w:t>
      </w:r>
      <w:r w:rsidR="000B4648" w:rsidRPr="004F2D82">
        <w:rPr>
          <w:rFonts w:ascii="Times New Roman" w:hAnsi="Times New Roman"/>
          <w:sz w:val="20"/>
        </w:rPr>
        <w:t xml:space="preserve"> of the Convention required the preparation of a </w:t>
      </w:r>
      <w:r w:rsidR="0013555D" w:rsidRPr="004F2D82">
        <w:rPr>
          <w:rFonts w:ascii="Times New Roman" w:hAnsi="Times New Roman"/>
          <w:sz w:val="20"/>
        </w:rPr>
        <w:t>s</w:t>
      </w:r>
      <w:r w:rsidR="000B4648" w:rsidRPr="004F2D82">
        <w:rPr>
          <w:rFonts w:ascii="Times New Roman" w:hAnsi="Times New Roman"/>
          <w:sz w:val="20"/>
        </w:rPr>
        <w:t xml:space="preserve">trategic </w:t>
      </w:r>
      <w:r w:rsidR="0013555D" w:rsidRPr="004F2D82">
        <w:rPr>
          <w:rFonts w:ascii="Times New Roman" w:hAnsi="Times New Roman"/>
          <w:sz w:val="20"/>
        </w:rPr>
        <w:t>e</w:t>
      </w:r>
      <w:r w:rsidR="000B4648" w:rsidRPr="004F2D82">
        <w:rPr>
          <w:rFonts w:ascii="Times New Roman" w:hAnsi="Times New Roman"/>
          <w:sz w:val="20"/>
        </w:rPr>
        <w:t xml:space="preserve">nvironmental </w:t>
      </w:r>
      <w:r w:rsidR="0013555D" w:rsidRPr="004F2D82">
        <w:rPr>
          <w:rFonts w:ascii="Times New Roman" w:hAnsi="Times New Roman"/>
          <w:sz w:val="20"/>
        </w:rPr>
        <w:t>a</w:t>
      </w:r>
      <w:r w:rsidR="000B4648" w:rsidRPr="004F2D82">
        <w:rPr>
          <w:rFonts w:ascii="Times New Roman" w:hAnsi="Times New Roman"/>
          <w:sz w:val="20"/>
        </w:rPr>
        <w:t>ssessment</w:t>
      </w:r>
      <w:r w:rsidRPr="004F2D82">
        <w:rPr>
          <w:rFonts w:ascii="Times New Roman" w:hAnsi="Times New Roman"/>
          <w:sz w:val="20"/>
        </w:rPr>
        <w:t xml:space="preserve">. It submits that the </w:t>
      </w:r>
      <w:r w:rsidR="000B4648" w:rsidRPr="004F2D82">
        <w:rPr>
          <w:rFonts w:ascii="Times New Roman" w:hAnsi="Times New Roman"/>
          <w:sz w:val="20"/>
        </w:rPr>
        <w:t>lack</w:t>
      </w:r>
      <w:r w:rsidRPr="004F2D82">
        <w:rPr>
          <w:rFonts w:ascii="Times New Roman" w:hAnsi="Times New Roman"/>
          <w:sz w:val="20"/>
        </w:rPr>
        <w:t xml:space="preserve"> of </w:t>
      </w:r>
      <w:r w:rsidR="0013555D" w:rsidRPr="004F2D82">
        <w:rPr>
          <w:rFonts w:ascii="Times New Roman" w:hAnsi="Times New Roman"/>
          <w:sz w:val="20"/>
        </w:rPr>
        <w:t xml:space="preserve">a strategic environmental assessment is a matter that cannot be challenged before the </w:t>
      </w:r>
      <w:r w:rsidRPr="004F2D82">
        <w:rPr>
          <w:rFonts w:ascii="Times New Roman" w:hAnsi="Times New Roman"/>
          <w:sz w:val="20"/>
        </w:rPr>
        <w:t>Committee as this turns not on article 7 of the Convention but on the respective decision</w:t>
      </w:r>
      <w:r w:rsidR="0013555D" w:rsidRPr="004F2D82">
        <w:rPr>
          <w:rFonts w:ascii="Times New Roman" w:hAnsi="Times New Roman"/>
          <w:sz w:val="20"/>
        </w:rPr>
        <w:t>-</w:t>
      </w:r>
      <w:r w:rsidRPr="004F2D82">
        <w:rPr>
          <w:rFonts w:ascii="Times New Roman" w:hAnsi="Times New Roman"/>
          <w:sz w:val="20"/>
        </w:rPr>
        <w:t>making processes to which the SEA Directive, and the EIA Directive, were intended to apply.</w:t>
      </w:r>
      <w:r w:rsidRPr="00B04ED2">
        <w:rPr>
          <w:rStyle w:val="FootnoteReference"/>
          <w:sz w:val="20"/>
        </w:rPr>
        <w:footnoteReference w:id="61"/>
      </w:r>
      <w:r w:rsidRPr="00B04ED2">
        <w:rPr>
          <w:rFonts w:ascii="Times New Roman" w:hAnsi="Times New Roman"/>
          <w:sz w:val="20"/>
        </w:rPr>
        <w:t xml:space="preserve"> The Party concerned</w:t>
      </w:r>
      <w:r w:rsidR="0013555D" w:rsidRPr="004F2D82">
        <w:rPr>
          <w:rFonts w:ascii="Times New Roman" w:hAnsi="Times New Roman"/>
          <w:sz w:val="20"/>
        </w:rPr>
        <w:t xml:space="preserve"> </w:t>
      </w:r>
      <w:r w:rsidR="00BB7B59" w:rsidRPr="004F2D82">
        <w:rPr>
          <w:rFonts w:ascii="Times New Roman" w:hAnsi="Times New Roman"/>
          <w:sz w:val="20"/>
        </w:rPr>
        <w:t>submits</w:t>
      </w:r>
      <w:r w:rsidRPr="004F2D82">
        <w:rPr>
          <w:rFonts w:ascii="Times New Roman" w:hAnsi="Times New Roman"/>
          <w:sz w:val="20"/>
        </w:rPr>
        <w:t xml:space="preserve"> </w:t>
      </w:r>
      <w:r w:rsidR="00BB7B59" w:rsidRPr="004F2D82">
        <w:rPr>
          <w:rFonts w:ascii="Times New Roman" w:hAnsi="Times New Roman"/>
          <w:sz w:val="20"/>
        </w:rPr>
        <w:t xml:space="preserve">that </w:t>
      </w:r>
      <w:r w:rsidRPr="004F2D82">
        <w:rPr>
          <w:rFonts w:ascii="Times New Roman" w:hAnsi="Times New Roman"/>
          <w:sz w:val="20"/>
        </w:rPr>
        <w:t xml:space="preserve">article 7 of the Convention requires that there </w:t>
      </w:r>
      <w:r w:rsidR="0013555D" w:rsidRPr="004F2D82">
        <w:rPr>
          <w:rFonts w:ascii="Times New Roman" w:hAnsi="Times New Roman"/>
          <w:sz w:val="20"/>
        </w:rPr>
        <w:t>be “</w:t>
      </w:r>
      <w:r w:rsidRPr="004F2D82">
        <w:rPr>
          <w:rFonts w:ascii="Times New Roman" w:hAnsi="Times New Roman"/>
          <w:sz w:val="20"/>
        </w:rPr>
        <w:t>public participation</w:t>
      </w:r>
      <w:r w:rsidR="0013555D" w:rsidRPr="004F2D82">
        <w:rPr>
          <w:rFonts w:ascii="Times New Roman" w:hAnsi="Times New Roman"/>
          <w:sz w:val="20"/>
        </w:rPr>
        <w:t>”</w:t>
      </w:r>
      <w:r w:rsidRPr="004F2D82">
        <w:rPr>
          <w:rFonts w:ascii="Times New Roman" w:hAnsi="Times New Roman"/>
          <w:sz w:val="20"/>
        </w:rPr>
        <w:t xml:space="preserve"> in the preparation of plans and programmes, as opposed to </w:t>
      </w:r>
      <w:r w:rsidR="0013555D" w:rsidRPr="004F2D82">
        <w:rPr>
          <w:rFonts w:ascii="Times New Roman" w:hAnsi="Times New Roman"/>
          <w:sz w:val="20"/>
        </w:rPr>
        <w:t xml:space="preserve">a requirement to conduct </w:t>
      </w:r>
      <w:r w:rsidRPr="004F2D82">
        <w:rPr>
          <w:rFonts w:ascii="Times New Roman" w:hAnsi="Times New Roman"/>
          <w:sz w:val="20"/>
        </w:rPr>
        <w:t>an SEA.</w:t>
      </w:r>
      <w:r w:rsidR="005F55E6" w:rsidRPr="00B04ED2">
        <w:rPr>
          <w:rStyle w:val="FootnoteReference"/>
        </w:rPr>
        <w:footnoteReference w:id="62"/>
      </w:r>
    </w:p>
    <w:p w14:paraId="097DE880" w14:textId="3AE0BF33" w:rsidR="00A01939" w:rsidRPr="00B04ED2" w:rsidRDefault="00A01939" w:rsidP="009604B4">
      <w:pPr>
        <w:numPr>
          <w:ilvl w:val="0"/>
          <w:numId w:val="2"/>
        </w:numPr>
        <w:tabs>
          <w:tab w:val="clear" w:pos="1144"/>
          <w:tab w:val="left" w:pos="1134"/>
        </w:tabs>
        <w:suppressAutoHyphens/>
        <w:autoSpaceDE w:val="0"/>
        <w:autoSpaceDN w:val="0"/>
        <w:adjustRightInd w:val="0"/>
        <w:spacing w:after="0" w:line="240" w:lineRule="auto"/>
        <w:ind w:left="567" w:right="1134" w:firstLine="0"/>
        <w:jc w:val="both"/>
        <w:rPr>
          <w:rFonts w:ascii="Times New Roman" w:hAnsi="Times New Roman"/>
          <w:sz w:val="20"/>
        </w:rPr>
      </w:pPr>
      <w:r w:rsidRPr="004F2D82">
        <w:rPr>
          <w:rFonts w:ascii="Times New Roman" w:hAnsi="Times New Roman"/>
          <w:sz w:val="20"/>
        </w:rPr>
        <w:t xml:space="preserve">The communicant </w:t>
      </w:r>
      <w:r w:rsidR="00BB7B59" w:rsidRPr="004F2D82">
        <w:rPr>
          <w:rFonts w:ascii="Times New Roman" w:hAnsi="Times New Roman"/>
          <w:sz w:val="20"/>
        </w:rPr>
        <w:t>disagrees</w:t>
      </w:r>
      <w:r w:rsidR="00BB7B59" w:rsidRPr="004F2D82">
        <w:rPr>
          <w:rFonts w:ascii="Times New Roman" w:eastAsia="Times New Roman" w:hAnsi="Times New Roman" w:cs="Times New Roman"/>
          <w:sz w:val="20"/>
          <w:szCs w:val="20"/>
        </w:rPr>
        <w:t xml:space="preserve"> with the submission</w:t>
      </w:r>
      <w:r w:rsidR="00F76EB5" w:rsidRPr="004F2D82">
        <w:rPr>
          <w:rFonts w:ascii="Times New Roman" w:eastAsia="Times New Roman" w:hAnsi="Times New Roman" w:cs="Times New Roman"/>
          <w:sz w:val="20"/>
          <w:szCs w:val="20"/>
        </w:rPr>
        <w:t xml:space="preserve"> of the Party concerned</w:t>
      </w:r>
      <w:r w:rsidR="000B4648" w:rsidRPr="004F2D82">
        <w:rPr>
          <w:rFonts w:ascii="Times New Roman" w:eastAsia="Times New Roman" w:hAnsi="Times New Roman" w:cs="Times New Roman"/>
          <w:sz w:val="20"/>
          <w:szCs w:val="20"/>
        </w:rPr>
        <w:t>.</w:t>
      </w:r>
      <w:r w:rsidR="000B4648" w:rsidRPr="004F2D82">
        <w:rPr>
          <w:rFonts w:ascii="Times New Roman" w:hAnsi="Times New Roman"/>
          <w:sz w:val="20"/>
        </w:rPr>
        <w:t xml:space="preserve"> It st</w:t>
      </w:r>
      <w:r w:rsidRPr="004F2D82">
        <w:rPr>
          <w:rFonts w:ascii="Times New Roman" w:hAnsi="Times New Roman"/>
          <w:sz w:val="20"/>
        </w:rPr>
        <w:t>at</w:t>
      </w:r>
      <w:r w:rsidR="000B4648" w:rsidRPr="004F2D82">
        <w:rPr>
          <w:rFonts w:ascii="Times New Roman" w:hAnsi="Times New Roman"/>
          <w:sz w:val="20"/>
        </w:rPr>
        <w:t>es</w:t>
      </w:r>
      <w:r w:rsidRPr="004F2D82">
        <w:rPr>
          <w:rFonts w:ascii="Times New Roman" w:hAnsi="Times New Roman"/>
          <w:sz w:val="20"/>
        </w:rPr>
        <w:t xml:space="preserve"> that its </w:t>
      </w:r>
      <w:r w:rsidR="00F750A2" w:rsidRPr="004F2D82">
        <w:rPr>
          <w:rFonts w:ascii="Times New Roman" w:hAnsi="Times New Roman"/>
          <w:sz w:val="20"/>
        </w:rPr>
        <w:t>communication</w:t>
      </w:r>
      <w:r w:rsidRPr="004F2D82">
        <w:rPr>
          <w:rFonts w:ascii="Times New Roman" w:hAnsi="Times New Roman"/>
          <w:sz w:val="20"/>
        </w:rPr>
        <w:t xml:space="preserve"> does not concern </w:t>
      </w:r>
      <w:r w:rsidR="001E2CBC" w:rsidRPr="004F2D82">
        <w:rPr>
          <w:rFonts w:ascii="Times New Roman" w:eastAsia="Times New Roman" w:hAnsi="Times New Roman" w:cs="Times New Roman"/>
          <w:sz w:val="20"/>
          <w:szCs w:val="20"/>
        </w:rPr>
        <w:t>a failure to carry out</w:t>
      </w:r>
      <w:r w:rsidR="001E2CBC" w:rsidRPr="004F2D82">
        <w:rPr>
          <w:rFonts w:ascii="Times New Roman" w:hAnsi="Times New Roman"/>
          <w:sz w:val="20"/>
        </w:rPr>
        <w:t xml:space="preserve"> </w:t>
      </w:r>
      <w:r w:rsidR="000B4648" w:rsidRPr="004F2D82">
        <w:rPr>
          <w:rFonts w:ascii="Times New Roman" w:hAnsi="Times New Roman"/>
          <w:sz w:val="20"/>
        </w:rPr>
        <w:t xml:space="preserve">a </w:t>
      </w:r>
      <w:r w:rsidR="0013555D" w:rsidRPr="004F2D82">
        <w:rPr>
          <w:rFonts w:ascii="Times New Roman" w:hAnsi="Times New Roman"/>
          <w:sz w:val="20"/>
        </w:rPr>
        <w:t xml:space="preserve">strategic environmental assessment </w:t>
      </w:r>
      <w:r w:rsidRPr="004F2D82">
        <w:rPr>
          <w:rFonts w:ascii="Times New Roman" w:hAnsi="Times New Roman"/>
          <w:sz w:val="20"/>
        </w:rPr>
        <w:t xml:space="preserve">but </w:t>
      </w:r>
      <w:r w:rsidR="00BB7B59" w:rsidRPr="004F2D82">
        <w:rPr>
          <w:rFonts w:ascii="Times New Roman" w:hAnsi="Times New Roman"/>
          <w:sz w:val="20"/>
        </w:rPr>
        <w:t>rather</w:t>
      </w:r>
      <w:r w:rsidR="00BB7B59" w:rsidRPr="004F2D82">
        <w:rPr>
          <w:rFonts w:ascii="Times New Roman" w:eastAsia="Times New Roman" w:hAnsi="Times New Roman" w:cs="Times New Roman"/>
          <w:sz w:val="20"/>
          <w:szCs w:val="20"/>
        </w:rPr>
        <w:t xml:space="preserve"> </w:t>
      </w:r>
      <w:r w:rsidR="001E2CBC" w:rsidRPr="004F2D82">
        <w:rPr>
          <w:rFonts w:ascii="Times New Roman" w:eastAsia="Times New Roman" w:hAnsi="Times New Roman" w:cs="Times New Roman"/>
          <w:sz w:val="20"/>
          <w:szCs w:val="20"/>
        </w:rPr>
        <w:t>to comply with</w:t>
      </w:r>
      <w:r w:rsidR="001E2CBC" w:rsidRPr="004F2D82">
        <w:rPr>
          <w:rFonts w:ascii="Times New Roman" w:hAnsi="Times New Roman"/>
          <w:sz w:val="20"/>
        </w:rPr>
        <w:t xml:space="preserve"> </w:t>
      </w:r>
      <w:r w:rsidRPr="004F2D82">
        <w:rPr>
          <w:rFonts w:ascii="Times New Roman" w:hAnsi="Times New Roman"/>
          <w:sz w:val="20"/>
        </w:rPr>
        <w:t>article 7</w:t>
      </w:r>
      <w:r w:rsidR="00F750A2" w:rsidRPr="004F2D82">
        <w:rPr>
          <w:rFonts w:ascii="Times New Roman" w:hAnsi="Times New Roman"/>
          <w:sz w:val="20"/>
        </w:rPr>
        <w:t xml:space="preserve"> of the Convention</w:t>
      </w:r>
      <w:r w:rsidRPr="004F2D82">
        <w:rPr>
          <w:rFonts w:ascii="Times New Roman" w:hAnsi="Times New Roman"/>
          <w:sz w:val="20"/>
        </w:rPr>
        <w:t xml:space="preserve"> which requires that during the preparation of a plan or programme there must be public participation which is </w:t>
      </w:r>
      <w:r w:rsidR="0013555D" w:rsidRPr="004F2D82">
        <w:rPr>
          <w:rFonts w:ascii="Times New Roman" w:hAnsi="Times New Roman"/>
          <w:sz w:val="20"/>
        </w:rPr>
        <w:t>“</w:t>
      </w:r>
      <w:r w:rsidRPr="004F2D82">
        <w:rPr>
          <w:rFonts w:ascii="Times New Roman" w:hAnsi="Times New Roman"/>
          <w:sz w:val="20"/>
        </w:rPr>
        <w:t>effective</w:t>
      </w:r>
      <w:r w:rsidR="0013555D" w:rsidRPr="004F2D82">
        <w:rPr>
          <w:rFonts w:ascii="Times New Roman" w:hAnsi="Times New Roman"/>
          <w:sz w:val="20"/>
        </w:rPr>
        <w:t>”</w:t>
      </w:r>
      <w:r w:rsidRPr="004F2D82">
        <w:rPr>
          <w:rFonts w:ascii="Times New Roman" w:hAnsi="Times New Roman"/>
          <w:sz w:val="20"/>
        </w:rPr>
        <w:t xml:space="preserve"> and </w:t>
      </w:r>
      <w:r w:rsidR="0013555D" w:rsidRPr="004F2D82">
        <w:rPr>
          <w:rFonts w:ascii="Times New Roman" w:hAnsi="Times New Roman"/>
          <w:sz w:val="20"/>
        </w:rPr>
        <w:t>“</w:t>
      </w:r>
      <w:r w:rsidRPr="004F2D82">
        <w:rPr>
          <w:rFonts w:ascii="Times New Roman" w:hAnsi="Times New Roman"/>
          <w:sz w:val="20"/>
        </w:rPr>
        <w:t>within a transparent and fair framework, having provided necessary information to the public</w:t>
      </w:r>
      <w:r w:rsidR="0013555D" w:rsidRPr="004F2D82">
        <w:rPr>
          <w:rFonts w:ascii="Times New Roman" w:hAnsi="Times New Roman"/>
          <w:sz w:val="20"/>
        </w:rPr>
        <w:t>”</w:t>
      </w:r>
      <w:r w:rsidRPr="004F2D82">
        <w:rPr>
          <w:rFonts w:ascii="Times New Roman" w:hAnsi="Times New Roman"/>
          <w:sz w:val="20"/>
        </w:rPr>
        <w:t>.</w:t>
      </w:r>
      <w:r w:rsidRPr="00B04ED2">
        <w:rPr>
          <w:rStyle w:val="FootnoteReference"/>
          <w:sz w:val="20"/>
        </w:rPr>
        <w:footnoteReference w:id="63"/>
      </w:r>
      <w:r w:rsidRPr="00B04ED2">
        <w:rPr>
          <w:rFonts w:ascii="Times New Roman" w:hAnsi="Times New Roman"/>
          <w:sz w:val="20"/>
        </w:rPr>
        <w:t xml:space="preserve"> It </w:t>
      </w:r>
      <w:r w:rsidR="00BB7B59" w:rsidRPr="00B04ED2">
        <w:rPr>
          <w:rFonts w:ascii="Times New Roman" w:hAnsi="Times New Roman"/>
          <w:sz w:val="20"/>
        </w:rPr>
        <w:t>submits</w:t>
      </w:r>
      <w:r w:rsidRPr="004F2D82">
        <w:rPr>
          <w:rFonts w:ascii="Times New Roman" w:hAnsi="Times New Roman"/>
          <w:sz w:val="20"/>
        </w:rPr>
        <w:t xml:space="preserve"> that </w:t>
      </w:r>
      <w:r w:rsidR="000B4648" w:rsidRPr="004F2D82">
        <w:rPr>
          <w:rFonts w:ascii="Times New Roman" w:hAnsi="Times New Roman"/>
          <w:sz w:val="20"/>
        </w:rPr>
        <w:t xml:space="preserve">a </w:t>
      </w:r>
      <w:r w:rsidR="00B915F2" w:rsidRPr="004F2D82">
        <w:rPr>
          <w:rFonts w:ascii="Times New Roman" w:hAnsi="Times New Roman"/>
          <w:sz w:val="20"/>
        </w:rPr>
        <w:t>s</w:t>
      </w:r>
      <w:r w:rsidR="000B4648" w:rsidRPr="004F2D82">
        <w:rPr>
          <w:rFonts w:ascii="Times New Roman" w:hAnsi="Times New Roman"/>
          <w:sz w:val="20"/>
        </w:rPr>
        <w:t xml:space="preserve">trategic </w:t>
      </w:r>
      <w:r w:rsidR="00B915F2" w:rsidRPr="004F2D82">
        <w:rPr>
          <w:rFonts w:ascii="Times New Roman" w:hAnsi="Times New Roman"/>
          <w:sz w:val="20"/>
        </w:rPr>
        <w:t>e</w:t>
      </w:r>
      <w:r w:rsidR="000B4648" w:rsidRPr="004F2D82">
        <w:rPr>
          <w:rFonts w:ascii="Times New Roman" w:hAnsi="Times New Roman"/>
          <w:sz w:val="20"/>
        </w:rPr>
        <w:t xml:space="preserve">nvironmental </w:t>
      </w:r>
      <w:r w:rsidR="00B915F2" w:rsidRPr="004F2D82">
        <w:rPr>
          <w:rFonts w:ascii="Times New Roman" w:hAnsi="Times New Roman"/>
          <w:sz w:val="20"/>
        </w:rPr>
        <w:t>a</w:t>
      </w:r>
      <w:r w:rsidR="000B4648" w:rsidRPr="004F2D82">
        <w:rPr>
          <w:rFonts w:ascii="Times New Roman" w:hAnsi="Times New Roman"/>
          <w:sz w:val="20"/>
        </w:rPr>
        <w:t xml:space="preserve">ssessment </w:t>
      </w:r>
      <w:r w:rsidRPr="004F2D82">
        <w:rPr>
          <w:rFonts w:ascii="Times New Roman" w:hAnsi="Times New Roman"/>
          <w:sz w:val="20"/>
        </w:rPr>
        <w:t xml:space="preserve">would </w:t>
      </w:r>
      <w:r w:rsidRPr="004F2D82">
        <w:rPr>
          <w:rFonts w:ascii="Times New Roman" w:hAnsi="Times New Roman"/>
          <w:sz w:val="20"/>
        </w:rPr>
        <w:lastRenderedPageBreak/>
        <w:t>have been capable of securing compliance with article 7 of the Convention</w:t>
      </w:r>
      <w:r w:rsidR="003759FC" w:rsidRPr="004F2D82">
        <w:rPr>
          <w:rFonts w:ascii="Times New Roman" w:hAnsi="Times New Roman"/>
          <w:sz w:val="20"/>
        </w:rPr>
        <w:t xml:space="preserve"> but</w:t>
      </w:r>
      <w:r w:rsidRPr="004F2D82">
        <w:rPr>
          <w:rFonts w:ascii="Times New Roman" w:hAnsi="Times New Roman"/>
          <w:sz w:val="20"/>
        </w:rPr>
        <w:t xml:space="preserve"> </w:t>
      </w:r>
      <w:r w:rsidR="003759FC" w:rsidRPr="004F2D82">
        <w:rPr>
          <w:rFonts w:ascii="Times New Roman" w:hAnsi="Times New Roman"/>
          <w:sz w:val="20"/>
        </w:rPr>
        <w:t>not that</w:t>
      </w:r>
      <w:r w:rsidRPr="004F2D82">
        <w:rPr>
          <w:rFonts w:ascii="Times New Roman" w:hAnsi="Times New Roman"/>
          <w:sz w:val="20"/>
        </w:rPr>
        <w:t xml:space="preserve"> article 7 always requires SEA.</w:t>
      </w:r>
      <w:r w:rsidR="005F55E6" w:rsidRPr="00B04ED2">
        <w:rPr>
          <w:rStyle w:val="FootnoteReference"/>
        </w:rPr>
        <w:footnoteReference w:id="64"/>
      </w:r>
    </w:p>
    <w:p w14:paraId="359B0C74" w14:textId="77777777" w:rsidR="003E1C9C" w:rsidRPr="004F2D82" w:rsidRDefault="003E1C9C" w:rsidP="005D584F">
      <w:pPr>
        <w:tabs>
          <w:tab w:val="left" w:pos="1134"/>
        </w:tabs>
        <w:suppressAutoHyphens/>
        <w:spacing w:after="120" w:line="240" w:lineRule="atLeast"/>
        <w:ind w:left="567" w:right="1134"/>
        <w:jc w:val="both"/>
        <w:rPr>
          <w:rFonts w:ascii="Times New Roman" w:hAnsi="Times New Roman"/>
          <w:sz w:val="20"/>
        </w:rPr>
      </w:pPr>
    </w:p>
    <w:p w14:paraId="36CC8DEE" w14:textId="77777777" w:rsidR="00D14D7D" w:rsidRPr="004F2D82" w:rsidRDefault="00D14D7D" w:rsidP="003759FC">
      <w:pPr>
        <w:pStyle w:val="ListParagraph"/>
        <w:numPr>
          <w:ilvl w:val="0"/>
          <w:numId w:val="3"/>
        </w:numPr>
        <w:tabs>
          <w:tab w:val="clear" w:pos="1200"/>
          <w:tab w:val="left" w:pos="567"/>
        </w:tabs>
        <w:suppressAutoHyphens/>
        <w:spacing w:before="120" w:after="0" w:line="240" w:lineRule="atLeast"/>
        <w:ind w:left="284" w:right="1134" w:firstLine="0"/>
        <w:jc w:val="both"/>
        <w:rPr>
          <w:rFonts w:ascii="Times New Roman" w:hAnsi="Times New Roman"/>
          <w:b/>
          <w:sz w:val="24"/>
        </w:rPr>
      </w:pPr>
      <w:r w:rsidRPr="004F2D82">
        <w:rPr>
          <w:rFonts w:ascii="Times New Roman" w:hAnsi="Times New Roman"/>
          <w:b/>
          <w:sz w:val="24"/>
        </w:rPr>
        <w:t>Substantive issues</w:t>
      </w:r>
    </w:p>
    <w:p w14:paraId="30E4B076" w14:textId="77777777" w:rsidR="002C1C9E" w:rsidRPr="004F2D82" w:rsidRDefault="002C1C9E" w:rsidP="005D584F">
      <w:pPr>
        <w:tabs>
          <w:tab w:val="left" w:pos="1134"/>
        </w:tabs>
        <w:suppressAutoHyphens/>
        <w:spacing w:after="120" w:line="240" w:lineRule="atLeast"/>
        <w:ind w:left="567" w:right="1134"/>
        <w:jc w:val="both"/>
        <w:rPr>
          <w:rFonts w:ascii="Times New Roman" w:hAnsi="Times New Roman"/>
          <w:b/>
          <w:i/>
          <w:sz w:val="20"/>
        </w:rPr>
      </w:pPr>
    </w:p>
    <w:p w14:paraId="3B5D5630" w14:textId="66589475" w:rsidR="0016588B" w:rsidRPr="004F2D82" w:rsidRDefault="002B2BA7" w:rsidP="00FD13A4">
      <w:pPr>
        <w:tabs>
          <w:tab w:val="left" w:pos="1134"/>
        </w:tabs>
        <w:suppressAutoHyphens/>
        <w:spacing w:after="120" w:line="240" w:lineRule="atLeast"/>
        <w:ind w:left="567" w:right="1134"/>
        <w:jc w:val="both"/>
        <w:outlineLvl w:val="0"/>
        <w:rPr>
          <w:rFonts w:ascii="Times New Roman" w:hAnsi="Times New Roman"/>
          <w:b/>
          <w:sz w:val="20"/>
        </w:rPr>
      </w:pPr>
      <w:r w:rsidRPr="004F2D82">
        <w:rPr>
          <w:rFonts w:ascii="Times New Roman" w:hAnsi="Times New Roman"/>
          <w:b/>
          <w:sz w:val="20"/>
        </w:rPr>
        <w:t>Applicability of a</w:t>
      </w:r>
      <w:r w:rsidR="0016588B" w:rsidRPr="004F2D82">
        <w:rPr>
          <w:rFonts w:ascii="Times New Roman" w:hAnsi="Times New Roman"/>
          <w:b/>
          <w:sz w:val="20"/>
        </w:rPr>
        <w:t>rticle 7</w:t>
      </w:r>
    </w:p>
    <w:p w14:paraId="37844674" w14:textId="038FC2FD" w:rsidR="002B2BA7" w:rsidRPr="004F2D82" w:rsidRDefault="00780734" w:rsidP="005D584F">
      <w:pPr>
        <w:numPr>
          <w:ilvl w:val="0"/>
          <w:numId w:val="2"/>
        </w:numPr>
        <w:tabs>
          <w:tab w:val="clear" w:pos="1144"/>
          <w:tab w:val="left" w:pos="1134"/>
        </w:tabs>
        <w:suppressAutoHyphens/>
        <w:autoSpaceDE w:val="0"/>
        <w:autoSpaceDN w:val="0"/>
        <w:adjustRightInd w:val="0"/>
        <w:spacing w:after="0" w:line="240" w:lineRule="auto"/>
        <w:ind w:left="567" w:right="1134" w:firstLine="0"/>
        <w:jc w:val="both"/>
        <w:rPr>
          <w:rFonts w:ascii="Times New Roman" w:hAnsi="Times New Roman"/>
          <w:sz w:val="20"/>
        </w:rPr>
      </w:pPr>
      <w:r w:rsidRPr="004F2D82">
        <w:rPr>
          <w:rFonts w:ascii="Times New Roman" w:hAnsi="Times New Roman"/>
          <w:sz w:val="20"/>
        </w:rPr>
        <w:t xml:space="preserve">The communicant </w:t>
      </w:r>
      <w:r w:rsidR="00322E48" w:rsidRPr="004F2D82">
        <w:rPr>
          <w:rFonts w:ascii="Times New Roman" w:hAnsi="Times New Roman"/>
          <w:sz w:val="20"/>
        </w:rPr>
        <w:t>submit</w:t>
      </w:r>
      <w:r w:rsidR="00543742" w:rsidRPr="004F2D82">
        <w:rPr>
          <w:rFonts w:ascii="Times New Roman" w:hAnsi="Times New Roman"/>
          <w:sz w:val="20"/>
        </w:rPr>
        <w:t>s</w:t>
      </w:r>
      <w:r w:rsidR="00322E48" w:rsidRPr="004F2D82">
        <w:rPr>
          <w:rFonts w:ascii="Times New Roman" w:hAnsi="Times New Roman"/>
          <w:sz w:val="20"/>
        </w:rPr>
        <w:t xml:space="preserve"> that the DNS is a plan or programme relating to the environment within the scope of article 7 of the Convention.</w:t>
      </w:r>
      <w:r w:rsidR="00322E48" w:rsidRPr="004F2D82">
        <w:rPr>
          <w:rStyle w:val="FootnoteReference"/>
          <w:sz w:val="20"/>
        </w:rPr>
        <w:footnoteReference w:id="65"/>
      </w:r>
      <w:r w:rsidR="00322E48" w:rsidRPr="004F2D82">
        <w:rPr>
          <w:rFonts w:ascii="Times New Roman" w:hAnsi="Times New Roman"/>
          <w:sz w:val="20"/>
        </w:rPr>
        <w:t xml:space="preserve"> The communicant</w:t>
      </w:r>
      <w:r w:rsidR="00B04ED2" w:rsidRPr="004F2D82">
        <w:rPr>
          <w:rFonts w:ascii="Times New Roman" w:hAnsi="Times New Roman"/>
          <w:sz w:val="20"/>
        </w:rPr>
        <w:t xml:space="preserve"> </w:t>
      </w:r>
      <w:r w:rsidR="005F55E6" w:rsidRPr="004F2D82">
        <w:rPr>
          <w:rFonts w:ascii="Times New Roman" w:hAnsi="Times New Roman"/>
          <w:sz w:val="20"/>
        </w:rPr>
        <w:t>allege</w:t>
      </w:r>
      <w:r w:rsidR="003306F6" w:rsidRPr="004F2D82">
        <w:rPr>
          <w:rFonts w:ascii="Times New Roman" w:hAnsi="Times New Roman"/>
          <w:sz w:val="20"/>
        </w:rPr>
        <w:t>s</w:t>
      </w:r>
      <w:r w:rsidR="005F55E6" w:rsidRPr="004F2D82">
        <w:rPr>
          <w:rFonts w:ascii="Times New Roman" w:hAnsi="Times New Roman"/>
          <w:sz w:val="20"/>
        </w:rPr>
        <w:t xml:space="preserve"> </w:t>
      </w:r>
      <w:r w:rsidR="00322E48" w:rsidRPr="004F2D82">
        <w:rPr>
          <w:rFonts w:ascii="Times New Roman" w:hAnsi="Times New Roman"/>
          <w:sz w:val="20"/>
        </w:rPr>
        <w:t xml:space="preserve">that the DNS </w:t>
      </w:r>
      <w:r w:rsidR="00E44B2E" w:rsidRPr="004F2D82">
        <w:rPr>
          <w:rFonts w:ascii="Times New Roman" w:hAnsi="Times New Roman"/>
          <w:sz w:val="20"/>
        </w:rPr>
        <w:t xml:space="preserve">establishes </w:t>
      </w:r>
      <w:r w:rsidR="00322E48" w:rsidRPr="004F2D82">
        <w:rPr>
          <w:rFonts w:ascii="Times New Roman" w:hAnsi="Times New Roman"/>
          <w:sz w:val="20"/>
        </w:rPr>
        <w:t>a set of coordinated and timed objectives for the implementation of the high speed rail strategy</w:t>
      </w:r>
      <w:r w:rsidR="005F55E6" w:rsidRPr="004F2D82">
        <w:rPr>
          <w:rFonts w:ascii="Times New Roman" w:hAnsi="Times New Roman"/>
          <w:sz w:val="20"/>
        </w:rPr>
        <w:t xml:space="preserve"> which</w:t>
      </w:r>
      <w:r w:rsidR="00322E48" w:rsidRPr="004F2D82">
        <w:rPr>
          <w:rFonts w:ascii="Times New Roman" w:hAnsi="Times New Roman"/>
          <w:sz w:val="20"/>
        </w:rPr>
        <w:t xml:space="preserve"> guided the </w:t>
      </w:r>
      <w:r w:rsidR="003306F6" w:rsidRPr="004F2D82">
        <w:rPr>
          <w:rFonts w:ascii="Times New Roman" w:hAnsi="Times New Roman"/>
          <w:sz w:val="20"/>
        </w:rPr>
        <w:t xml:space="preserve">Government’s </w:t>
      </w:r>
      <w:r w:rsidR="00322E48" w:rsidRPr="004F2D82">
        <w:rPr>
          <w:rFonts w:ascii="Times New Roman" w:hAnsi="Times New Roman"/>
          <w:sz w:val="20"/>
        </w:rPr>
        <w:t xml:space="preserve">further development of the </w:t>
      </w:r>
      <w:r w:rsidR="002C3234" w:rsidRPr="004F2D82">
        <w:rPr>
          <w:rFonts w:ascii="Times New Roman" w:hAnsi="Times New Roman"/>
          <w:sz w:val="20"/>
        </w:rPr>
        <w:t>High Speed 2</w:t>
      </w:r>
      <w:r w:rsidR="00322E48" w:rsidRPr="004F2D82">
        <w:rPr>
          <w:rFonts w:ascii="Times New Roman" w:hAnsi="Times New Roman"/>
          <w:sz w:val="20"/>
        </w:rPr>
        <w:t xml:space="preserve"> project and of the proposals to be included in the Hybrid Bill for which development consent is to be sought, including the environmental impact assessment of the Hybrid Bill proposals.</w:t>
      </w:r>
      <w:r w:rsidR="00835CE1" w:rsidRPr="004F2D82">
        <w:rPr>
          <w:rStyle w:val="FootnoteReference"/>
          <w:sz w:val="20"/>
        </w:rPr>
        <w:footnoteReference w:id="66"/>
      </w:r>
    </w:p>
    <w:p w14:paraId="69705FC0" w14:textId="77777777" w:rsidR="002B2BA7" w:rsidRPr="004F2D82" w:rsidRDefault="002B2BA7" w:rsidP="005D584F">
      <w:pPr>
        <w:tabs>
          <w:tab w:val="left" w:pos="1134"/>
        </w:tabs>
        <w:suppressAutoHyphens/>
        <w:autoSpaceDE w:val="0"/>
        <w:autoSpaceDN w:val="0"/>
        <w:adjustRightInd w:val="0"/>
        <w:spacing w:after="0" w:line="240" w:lineRule="auto"/>
        <w:ind w:left="567" w:right="1134"/>
        <w:jc w:val="both"/>
        <w:rPr>
          <w:rFonts w:ascii="Times New Roman" w:hAnsi="Times New Roman"/>
          <w:sz w:val="20"/>
        </w:rPr>
      </w:pPr>
    </w:p>
    <w:p w14:paraId="6729319C" w14:textId="674062D9" w:rsidR="00835CE1" w:rsidRPr="004F2D82" w:rsidRDefault="00835CE1" w:rsidP="005D584F">
      <w:pPr>
        <w:numPr>
          <w:ilvl w:val="0"/>
          <w:numId w:val="2"/>
        </w:numPr>
        <w:tabs>
          <w:tab w:val="clear" w:pos="1144"/>
          <w:tab w:val="left" w:pos="1134"/>
        </w:tabs>
        <w:suppressAutoHyphens/>
        <w:autoSpaceDE w:val="0"/>
        <w:autoSpaceDN w:val="0"/>
        <w:adjustRightInd w:val="0"/>
        <w:spacing w:after="0" w:line="240" w:lineRule="auto"/>
        <w:ind w:left="567" w:right="1134" w:firstLine="0"/>
        <w:jc w:val="both"/>
        <w:rPr>
          <w:rFonts w:ascii="Times New Roman" w:hAnsi="Times New Roman"/>
          <w:sz w:val="20"/>
        </w:rPr>
      </w:pPr>
      <w:r w:rsidRPr="004F2D82">
        <w:rPr>
          <w:rFonts w:ascii="Times New Roman" w:hAnsi="Times New Roman"/>
          <w:sz w:val="20"/>
        </w:rPr>
        <w:t xml:space="preserve">The Party concerned accepts that article 7 </w:t>
      </w:r>
      <w:r w:rsidR="003306F6" w:rsidRPr="004F2D82">
        <w:rPr>
          <w:rFonts w:ascii="Times New Roman" w:hAnsi="Times New Roman"/>
          <w:sz w:val="20"/>
        </w:rPr>
        <w:t xml:space="preserve">applies </w:t>
      </w:r>
      <w:r w:rsidRPr="004F2D82">
        <w:rPr>
          <w:rFonts w:ascii="Times New Roman" w:hAnsi="Times New Roman"/>
          <w:sz w:val="20"/>
        </w:rPr>
        <w:t>to the DNS.</w:t>
      </w:r>
      <w:r w:rsidRPr="004F2D82">
        <w:rPr>
          <w:rStyle w:val="FootnoteReference"/>
          <w:sz w:val="20"/>
        </w:rPr>
        <w:footnoteReference w:id="67"/>
      </w:r>
    </w:p>
    <w:p w14:paraId="13FED556" w14:textId="77777777" w:rsidR="000C0D80" w:rsidRPr="004F2D82" w:rsidRDefault="000C0D80" w:rsidP="005D584F">
      <w:pPr>
        <w:tabs>
          <w:tab w:val="left" w:pos="1134"/>
        </w:tabs>
        <w:suppressAutoHyphens/>
        <w:autoSpaceDE w:val="0"/>
        <w:autoSpaceDN w:val="0"/>
        <w:adjustRightInd w:val="0"/>
        <w:spacing w:after="0" w:line="240" w:lineRule="auto"/>
        <w:ind w:left="567" w:right="1134"/>
        <w:jc w:val="both"/>
        <w:rPr>
          <w:rFonts w:ascii="Times New Roman" w:hAnsi="Times New Roman"/>
          <w:sz w:val="20"/>
        </w:rPr>
      </w:pPr>
    </w:p>
    <w:p w14:paraId="324AFB04" w14:textId="583CF019" w:rsidR="000C0D80" w:rsidRPr="004F2D82" w:rsidRDefault="00462388" w:rsidP="00FD13A4">
      <w:pPr>
        <w:tabs>
          <w:tab w:val="left" w:pos="1134"/>
        </w:tabs>
        <w:suppressAutoHyphens/>
        <w:autoSpaceDE w:val="0"/>
        <w:autoSpaceDN w:val="0"/>
        <w:adjustRightInd w:val="0"/>
        <w:spacing w:after="0" w:line="240" w:lineRule="auto"/>
        <w:ind w:left="567" w:right="1134"/>
        <w:jc w:val="both"/>
        <w:outlineLvl w:val="0"/>
        <w:rPr>
          <w:rFonts w:ascii="Times New Roman" w:eastAsia="Times New Roman" w:hAnsi="Times New Roman" w:cs="Times New Roman"/>
          <w:b/>
          <w:iCs/>
          <w:sz w:val="20"/>
          <w:szCs w:val="20"/>
        </w:rPr>
      </w:pPr>
      <w:r w:rsidRPr="004F2D82">
        <w:rPr>
          <w:rFonts w:ascii="Times New Roman" w:hAnsi="Times New Roman"/>
          <w:b/>
          <w:sz w:val="20"/>
        </w:rPr>
        <w:t>Alleged breaches of a</w:t>
      </w:r>
      <w:r w:rsidR="00566E37" w:rsidRPr="004F2D82">
        <w:rPr>
          <w:rFonts w:ascii="Times New Roman" w:hAnsi="Times New Roman"/>
          <w:b/>
          <w:sz w:val="20"/>
        </w:rPr>
        <w:t>rticle 7</w:t>
      </w:r>
    </w:p>
    <w:p w14:paraId="0FD8A3A8" w14:textId="77777777" w:rsidR="000C0D80" w:rsidRPr="004F2D82" w:rsidRDefault="000C0D80" w:rsidP="005D584F">
      <w:pPr>
        <w:tabs>
          <w:tab w:val="left" w:pos="1134"/>
        </w:tabs>
        <w:suppressAutoHyphens/>
        <w:autoSpaceDE w:val="0"/>
        <w:autoSpaceDN w:val="0"/>
        <w:adjustRightInd w:val="0"/>
        <w:spacing w:after="0" w:line="240" w:lineRule="auto"/>
        <w:ind w:left="567" w:right="1134"/>
        <w:jc w:val="both"/>
        <w:rPr>
          <w:rFonts w:ascii="Times New Roman" w:eastAsia="Times New Roman" w:hAnsi="Times New Roman" w:cs="Times New Roman"/>
          <w:sz w:val="20"/>
          <w:szCs w:val="20"/>
        </w:rPr>
      </w:pPr>
    </w:p>
    <w:p w14:paraId="2C557FBD" w14:textId="40A99F67" w:rsidR="001E369E" w:rsidRPr="004F2D82" w:rsidRDefault="001E369E" w:rsidP="00FD13A4">
      <w:pPr>
        <w:tabs>
          <w:tab w:val="left" w:pos="1134"/>
        </w:tabs>
        <w:suppressAutoHyphens/>
        <w:autoSpaceDE w:val="0"/>
        <w:autoSpaceDN w:val="0"/>
        <w:adjustRightInd w:val="0"/>
        <w:spacing w:after="0" w:line="240" w:lineRule="auto"/>
        <w:ind w:left="567" w:right="1134"/>
        <w:jc w:val="both"/>
        <w:outlineLvl w:val="0"/>
        <w:rPr>
          <w:rFonts w:ascii="Times New Roman" w:hAnsi="Times New Roman"/>
          <w:i/>
          <w:sz w:val="20"/>
        </w:rPr>
      </w:pPr>
      <w:r w:rsidRPr="004F2D82">
        <w:rPr>
          <w:rFonts w:ascii="Times New Roman" w:hAnsi="Times New Roman"/>
          <w:i/>
          <w:sz w:val="20"/>
        </w:rPr>
        <w:t>General allegations</w:t>
      </w:r>
    </w:p>
    <w:p w14:paraId="21B8099D" w14:textId="77777777" w:rsidR="001E369E" w:rsidRPr="004F2D82" w:rsidRDefault="001E369E" w:rsidP="005D584F">
      <w:pPr>
        <w:tabs>
          <w:tab w:val="left" w:pos="1134"/>
        </w:tabs>
        <w:suppressAutoHyphens/>
        <w:autoSpaceDE w:val="0"/>
        <w:autoSpaceDN w:val="0"/>
        <w:adjustRightInd w:val="0"/>
        <w:spacing w:after="0" w:line="240" w:lineRule="auto"/>
        <w:ind w:left="567" w:right="1134"/>
        <w:jc w:val="both"/>
        <w:rPr>
          <w:rFonts w:ascii="Times New Roman" w:hAnsi="Times New Roman"/>
          <w:sz w:val="20"/>
        </w:rPr>
      </w:pPr>
    </w:p>
    <w:p w14:paraId="38B288A6" w14:textId="6661ACCA" w:rsidR="005F55E6" w:rsidRPr="004F2D82" w:rsidRDefault="005F55E6" w:rsidP="006068D9">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The communicant argue</w:t>
      </w:r>
      <w:r w:rsidR="00543742" w:rsidRPr="004F2D82">
        <w:rPr>
          <w:rFonts w:ascii="Times New Roman" w:hAnsi="Times New Roman"/>
          <w:sz w:val="20"/>
        </w:rPr>
        <w:t>s</w:t>
      </w:r>
      <w:r w:rsidRPr="004F2D82">
        <w:rPr>
          <w:rFonts w:ascii="Times New Roman" w:hAnsi="Times New Roman"/>
          <w:sz w:val="20"/>
        </w:rPr>
        <w:t xml:space="preserve"> that the Party concerned failed to comply with article 7 of the Convention </w:t>
      </w:r>
      <w:r w:rsidR="003306F6" w:rsidRPr="004F2D82">
        <w:rPr>
          <w:rFonts w:ascii="Times New Roman" w:hAnsi="Times New Roman"/>
          <w:sz w:val="20"/>
        </w:rPr>
        <w:t>by</w:t>
      </w:r>
      <w:r w:rsidRPr="004F2D82">
        <w:rPr>
          <w:rFonts w:ascii="Times New Roman" w:hAnsi="Times New Roman"/>
          <w:sz w:val="20"/>
        </w:rPr>
        <w:t xml:space="preserve"> not conducting public participation “within a transparent and fair framework, having provided the necessary information to the public” and </w:t>
      </w:r>
      <w:r w:rsidR="003306F6" w:rsidRPr="004F2D82">
        <w:rPr>
          <w:rFonts w:ascii="Times New Roman" w:hAnsi="Times New Roman"/>
          <w:sz w:val="20"/>
        </w:rPr>
        <w:t xml:space="preserve">which </w:t>
      </w:r>
      <w:r w:rsidRPr="004F2D82">
        <w:rPr>
          <w:rFonts w:ascii="Times New Roman" w:hAnsi="Times New Roman"/>
          <w:sz w:val="20"/>
        </w:rPr>
        <w:t>compl</w:t>
      </w:r>
      <w:r w:rsidR="003306F6" w:rsidRPr="004F2D82">
        <w:rPr>
          <w:rFonts w:ascii="Times New Roman" w:hAnsi="Times New Roman"/>
          <w:sz w:val="20"/>
        </w:rPr>
        <w:t>ie</w:t>
      </w:r>
      <w:r w:rsidR="00BB2DEA" w:rsidRPr="004F2D82">
        <w:rPr>
          <w:rFonts w:ascii="Times New Roman" w:hAnsi="Times New Roman"/>
          <w:sz w:val="20"/>
        </w:rPr>
        <w:t>d</w:t>
      </w:r>
      <w:r w:rsidR="003306F6" w:rsidRPr="004F2D82">
        <w:rPr>
          <w:rFonts w:ascii="Times New Roman" w:hAnsi="Times New Roman"/>
          <w:sz w:val="20"/>
        </w:rPr>
        <w:t xml:space="preserve"> </w:t>
      </w:r>
      <w:r w:rsidRPr="004F2D82">
        <w:rPr>
          <w:rFonts w:ascii="Times New Roman" w:hAnsi="Times New Roman"/>
          <w:sz w:val="20"/>
        </w:rPr>
        <w:t>with the requirements of article 6</w:t>
      </w:r>
      <w:r w:rsidR="00EE4D3E" w:rsidRPr="004F2D82">
        <w:rPr>
          <w:rFonts w:ascii="Times New Roman" w:hAnsi="Times New Roman"/>
          <w:sz w:val="20"/>
        </w:rPr>
        <w:t>(</w:t>
      </w:r>
      <w:r w:rsidRPr="004F2D82">
        <w:rPr>
          <w:rFonts w:ascii="Times New Roman" w:hAnsi="Times New Roman"/>
          <w:sz w:val="20"/>
        </w:rPr>
        <w:t>3</w:t>
      </w:r>
      <w:r w:rsidR="00EE4D3E" w:rsidRPr="004F2D82">
        <w:rPr>
          <w:rFonts w:ascii="Times New Roman" w:hAnsi="Times New Roman"/>
          <w:sz w:val="20"/>
        </w:rPr>
        <w:t>)</w:t>
      </w:r>
      <w:r w:rsidR="00462388" w:rsidRPr="004F2D82">
        <w:rPr>
          <w:rFonts w:ascii="Times New Roman" w:hAnsi="Times New Roman"/>
          <w:sz w:val="20"/>
        </w:rPr>
        <w:t xml:space="preserve"> and </w:t>
      </w:r>
      <w:r w:rsidR="00EE4D3E" w:rsidRPr="004F2D82">
        <w:rPr>
          <w:rFonts w:ascii="Times New Roman" w:hAnsi="Times New Roman"/>
          <w:sz w:val="20"/>
        </w:rPr>
        <w:t>(</w:t>
      </w:r>
      <w:r w:rsidRPr="004F2D82">
        <w:rPr>
          <w:rFonts w:ascii="Times New Roman" w:hAnsi="Times New Roman"/>
          <w:sz w:val="20"/>
        </w:rPr>
        <w:t>4</w:t>
      </w:r>
      <w:r w:rsidR="00EE4D3E" w:rsidRPr="004F2D82">
        <w:rPr>
          <w:rFonts w:ascii="Times New Roman" w:hAnsi="Times New Roman"/>
          <w:sz w:val="20"/>
        </w:rPr>
        <w:t>)</w:t>
      </w:r>
      <w:r w:rsidRPr="004F2D82">
        <w:rPr>
          <w:rFonts w:ascii="Times New Roman" w:hAnsi="Times New Roman"/>
          <w:sz w:val="20"/>
        </w:rPr>
        <w:t xml:space="preserve"> of the Convention.</w:t>
      </w:r>
      <w:r w:rsidRPr="004F2D82">
        <w:rPr>
          <w:rStyle w:val="FootnoteReference"/>
          <w:sz w:val="20"/>
        </w:rPr>
        <w:footnoteReference w:id="68"/>
      </w:r>
      <w:r w:rsidRPr="004F2D82">
        <w:rPr>
          <w:rFonts w:ascii="Times New Roman" w:hAnsi="Times New Roman"/>
          <w:sz w:val="20"/>
        </w:rPr>
        <w:t xml:space="preserve"> The communicant </w:t>
      </w:r>
      <w:r w:rsidR="00BB2DEA" w:rsidRPr="004F2D82">
        <w:rPr>
          <w:rFonts w:ascii="Times New Roman" w:hAnsi="Times New Roman"/>
          <w:sz w:val="20"/>
        </w:rPr>
        <w:t>point</w:t>
      </w:r>
      <w:r w:rsidR="00543742" w:rsidRPr="004F2D82">
        <w:rPr>
          <w:rFonts w:ascii="Times New Roman" w:hAnsi="Times New Roman"/>
          <w:sz w:val="20"/>
        </w:rPr>
        <w:t>s</w:t>
      </w:r>
      <w:r w:rsidR="00BB2DEA" w:rsidRPr="004F2D82">
        <w:rPr>
          <w:rFonts w:ascii="Times New Roman" w:hAnsi="Times New Roman"/>
          <w:sz w:val="20"/>
        </w:rPr>
        <w:t xml:space="preserve"> out</w:t>
      </w:r>
      <w:r w:rsidRPr="004F2D82">
        <w:rPr>
          <w:rFonts w:ascii="Times New Roman" w:hAnsi="Times New Roman"/>
          <w:sz w:val="20"/>
        </w:rPr>
        <w:t xml:space="preserve"> that </w:t>
      </w:r>
      <w:r w:rsidR="00091845" w:rsidRPr="004F2D82">
        <w:rPr>
          <w:rFonts w:ascii="Times New Roman" w:hAnsi="Times New Roman"/>
          <w:sz w:val="20"/>
        </w:rPr>
        <w:t>the focus of the present</w:t>
      </w:r>
      <w:r w:rsidR="000D554A" w:rsidRPr="004F2D82">
        <w:rPr>
          <w:rFonts w:ascii="Times New Roman" w:hAnsi="Times New Roman"/>
          <w:sz w:val="20"/>
        </w:rPr>
        <w:t xml:space="preserve"> communic</w:t>
      </w:r>
      <w:r w:rsidR="00091845" w:rsidRPr="004F2D82">
        <w:rPr>
          <w:rFonts w:ascii="Times New Roman" w:hAnsi="Times New Roman"/>
          <w:sz w:val="20"/>
        </w:rPr>
        <w:t xml:space="preserve">ation is solely on whether the preparation of </w:t>
      </w:r>
      <w:r w:rsidR="00BB2DEA" w:rsidRPr="004F2D82">
        <w:rPr>
          <w:rFonts w:ascii="Times New Roman" w:hAnsi="Times New Roman"/>
          <w:sz w:val="20"/>
        </w:rPr>
        <w:t>a plan</w:t>
      </w:r>
      <w:r w:rsidR="00E44B2E" w:rsidRPr="004F2D82">
        <w:rPr>
          <w:rFonts w:ascii="Times New Roman" w:hAnsi="Times New Roman"/>
          <w:sz w:val="20"/>
        </w:rPr>
        <w:t>, the DNS,</w:t>
      </w:r>
      <w:r w:rsidR="00BB2DEA" w:rsidRPr="004F2D82">
        <w:rPr>
          <w:rFonts w:ascii="Times New Roman" w:hAnsi="Times New Roman"/>
          <w:sz w:val="20"/>
        </w:rPr>
        <w:t xml:space="preserve"> complied </w:t>
      </w:r>
      <w:r w:rsidR="00091845" w:rsidRPr="004F2D82">
        <w:rPr>
          <w:rFonts w:ascii="Times New Roman" w:hAnsi="Times New Roman"/>
          <w:sz w:val="20"/>
        </w:rPr>
        <w:t>with article 7</w:t>
      </w:r>
      <w:r w:rsidR="00E44B2E" w:rsidRPr="004F2D82">
        <w:rPr>
          <w:rFonts w:ascii="Times New Roman" w:hAnsi="Times New Roman"/>
          <w:sz w:val="20"/>
        </w:rPr>
        <w:t>. It submits</w:t>
      </w:r>
      <w:r w:rsidR="00091845" w:rsidRPr="004F2D82">
        <w:rPr>
          <w:rFonts w:ascii="Times New Roman" w:hAnsi="Times New Roman"/>
          <w:sz w:val="20"/>
        </w:rPr>
        <w:t xml:space="preserve"> the requirements of </w:t>
      </w:r>
      <w:r w:rsidR="00BB2DEA" w:rsidRPr="004F2D82">
        <w:rPr>
          <w:rFonts w:ascii="Times New Roman" w:hAnsi="Times New Roman"/>
          <w:sz w:val="20"/>
        </w:rPr>
        <w:t>this</w:t>
      </w:r>
      <w:r w:rsidR="00091845" w:rsidRPr="004F2D82">
        <w:rPr>
          <w:rFonts w:ascii="Times New Roman" w:hAnsi="Times New Roman"/>
          <w:sz w:val="20"/>
        </w:rPr>
        <w:t xml:space="preserve"> article </w:t>
      </w:r>
      <w:r w:rsidR="00BB2DEA" w:rsidRPr="004F2D82">
        <w:rPr>
          <w:rFonts w:ascii="Times New Roman" w:hAnsi="Times New Roman"/>
          <w:sz w:val="20"/>
        </w:rPr>
        <w:t xml:space="preserve">must </w:t>
      </w:r>
      <w:proofErr w:type="gramStart"/>
      <w:r w:rsidR="00BB2DEA" w:rsidRPr="004F2D82">
        <w:rPr>
          <w:rFonts w:ascii="Times New Roman" w:hAnsi="Times New Roman"/>
          <w:sz w:val="20"/>
        </w:rPr>
        <w:t>be seen as</w:t>
      </w:r>
      <w:proofErr w:type="gramEnd"/>
      <w:r w:rsidR="00BB2DEA" w:rsidRPr="004F2D82">
        <w:rPr>
          <w:rFonts w:ascii="Times New Roman" w:hAnsi="Times New Roman"/>
          <w:sz w:val="20"/>
        </w:rPr>
        <w:t xml:space="preserve"> </w:t>
      </w:r>
      <w:r w:rsidR="00091845" w:rsidRPr="004F2D82">
        <w:rPr>
          <w:rFonts w:ascii="Times New Roman" w:hAnsi="Times New Roman"/>
          <w:sz w:val="20"/>
        </w:rPr>
        <w:t xml:space="preserve">separate and free-standing from the requirements </w:t>
      </w:r>
      <w:r w:rsidR="003F2AA2" w:rsidRPr="004F2D82">
        <w:rPr>
          <w:rFonts w:ascii="Times New Roman" w:hAnsi="Times New Roman"/>
          <w:sz w:val="20"/>
        </w:rPr>
        <w:t>of</w:t>
      </w:r>
      <w:r w:rsidR="00091845" w:rsidRPr="004F2D82">
        <w:rPr>
          <w:rFonts w:ascii="Times New Roman" w:hAnsi="Times New Roman"/>
          <w:sz w:val="20"/>
        </w:rPr>
        <w:t xml:space="preserve"> article 6 applicable to </w:t>
      </w:r>
      <w:r w:rsidR="00BB2DEA" w:rsidRPr="004F2D82">
        <w:rPr>
          <w:rFonts w:ascii="Times New Roman" w:hAnsi="Times New Roman"/>
          <w:sz w:val="20"/>
        </w:rPr>
        <w:t xml:space="preserve">the </w:t>
      </w:r>
      <w:r w:rsidR="00091845" w:rsidRPr="004F2D82">
        <w:rPr>
          <w:rFonts w:ascii="Times New Roman" w:hAnsi="Times New Roman"/>
          <w:sz w:val="20"/>
        </w:rPr>
        <w:t xml:space="preserve">subsequent </w:t>
      </w:r>
      <w:r w:rsidR="003F2AA2" w:rsidRPr="004F2D82">
        <w:rPr>
          <w:rFonts w:ascii="Times New Roman" w:hAnsi="Times New Roman"/>
          <w:sz w:val="20"/>
        </w:rPr>
        <w:t>decision</w:t>
      </w:r>
      <w:r w:rsidR="00CD4FF3" w:rsidRPr="004F2D82">
        <w:rPr>
          <w:rFonts w:ascii="Times New Roman" w:hAnsi="Times New Roman"/>
          <w:sz w:val="20"/>
        </w:rPr>
        <w:t>s</w:t>
      </w:r>
      <w:r w:rsidR="00BB2DEA" w:rsidRPr="004F2D82">
        <w:rPr>
          <w:rFonts w:ascii="Times New Roman" w:hAnsi="Times New Roman"/>
          <w:sz w:val="20"/>
        </w:rPr>
        <w:t xml:space="preserve"> on whether to permit the project to which the plans relates</w:t>
      </w:r>
      <w:r w:rsidR="00091845" w:rsidRPr="004F2D82">
        <w:rPr>
          <w:rFonts w:ascii="Times New Roman" w:hAnsi="Times New Roman"/>
          <w:sz w:val="20"/>
        </w:rPr>
        <w:t>.</w:t>
      </w:r>
      <w:r w:rsidRPr="004F2D82">
        <w:rPr>
          <w:rStyle w:val="FootnoteReference"/>
          <w:sz w:val="20"/>
        </w:rPr>
        <w:footnoteReference w:id="69"/>
      </w:r>
    </w:p>
    <w:p w14:paraId="24C63C86" w14:textId="4C2EB5D2" w:rsidR="000C6AFE" w:rsidRPr="004F2D82" w:rsidRDefault="005F55E6" w:rsidP="006068D9">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The Party </w:t>
      </w:r>
      <w:r w:rsidR="000C6AFE" w:rsidRPr="004F2D82">
        <w:rPr>
          <w:rFonts w:ascii="Times New Roman" w:hAnsi="Times New Roman"/>
          <w:sz w:val="20"/>
        </w:rPr>
        <w:t xml:space="preserve">concerned </w:t>
      </w:r>
      <w:r w:rsidR="003B0597" w:rsidRPr="004F2D82">
        <w:rPr>
          <w:rFonts w:ascii="Times New Roman" w:hAnsi="Times New Roman"/>
          <w:sz w:val="20"/>
        </w:rPr>
        <w:t>submits there is no</w:t>
      </w:r>
      <w:r w:rsidR="000C6AFE" w:rsidRPr="004F2D82">
        <w:rPr>
          <w:rFonts w:ascii="Times New Roman" w:hAnsi="Times New Roman"/>
          <w:sz w:val="20"/>
        </w:rPr>
        <w:t xml:space="preserve"> merit in the complaint that it has failed to comply with its obligations under article 7 of the Convention.</w:t>
      </w:r>
      <w:r w:rsidR="000C6AFE" w:rsidRPr="004F2D82">
        <w:rPr>
          <w:rStyle w:val="FootnoteReference"/>
          <w:sz w:val="20"/>
        </w:rPr>
        <w:footnoteReference w:id="70"/>
      </w:r>
      <w:r w:rsidR="000C6AFE" w:rsidRPr="004F2D82">
        <w:rPr>
          <w:rFonts w:ascii="Times New Roman" w:hAnsi="Times New Roman"/>
          <w:sz w:val="20"/>
        </w:rPr>
        <w:t xml:space="preserve"> </w:t>
      </w:r>
      <w:r w:rsidR="005C5F5E" w:rsidRPr="004F2D82">
        <w:rPr>
          <w:rFonts w:ascii="Times New Roman" w:hAnsi="Times New Roman"/>
          <w:sz w:val="20"/>
        </w:rPr>
        <w:t xml:space="preserve">It submits </w:t>
      </w:r>
      <w:r w:rsidR="001E369E" w:rsidRPr="004F2D82">
        <w:rPr>
          <w:rFonts w:ascii="Times New Roman" w:hAnsi="Times New Roman"/>
          <w:sz w:val="20"/>
        </w:rPr>
        <w:t>that</w:t>
      </w:r>
      <w:r w:rsidR="000C6AFE" w:rsidRPr="004F2D82">
        <w:rPr>
          <w:rFonts w:ascii="Times New Roman" w:hAnsi="Times New Roman"/>
          <w:sz w:val="20"/>
        </w:rPr>
        <w:t xml:space="preserve"> the DNS was preceded by full and wide</w:t>
      </w:r>
      <w:r w:rsidR="00CA3953" w:rsidRPr="004F2D82">
        <w:rPr>
          <w:rFonts w:ascii="Times New Roman" w:hAnsi="Times New Roman"/>
          <w:sz w:val="20"/>
        </w:rPr>
        <w:t>-</w:t>
      </w:r>
      <w:r w:rsidR="000C6AFE" w:rsidRPr="004F2D82">
        <w:rPr>
          <w:rFonts w:ascii="Times New Roman" w:hAnsi="Times New Roman"/>
          <w:sz w:val="20"/>
        </w:rPr>
        <w:t>ranging consultation</w:t>
      </w:r>
      <w:r w:rsidR="001433E2" w:rsidRPr="004F2D82">
        <w:rPr>
          <w:rFonts w:ascii="Times New Roman" w:hAnsi="Times New Roman"/>
          <w:sz w:val="20"/>
        </w:rPr>
        <w:t xml:space="preserve"> and that it has sought to maximise public information throughout the decision-making process which remains ongoing</w:t>
      </w:r>
      <w:r w:rsidR="000C6AFE" w:rsidRPr="004F2D82">
        <w:rPr>
          <w:rFonts w:ascii="Times New Roman" w:hAnsi="Times New Roman"/>
          <w:sz w:val="20"/>
        </w:rPr>
        <w:t xml:space="preserve">. In support of its argument, the Party concerned </w:t>
      </w:r>
      <w:r w:rsidR="005C5F5E" w:rsidRPr="004F2D82">
        <w:rPr>
          <w:rFonts w:ascii="Times New Roman" w:hAnsi="Times New Roman"/>
          <w:sz w:val="20"/>
        </w:rPr>
        <w:t>cites</w:t>
      </w:r>
      <w:r w:rsidR="002E0E49" w:rsidRPr="004F2D82">
        <w:rPr>
          <w:rFonts w:ascii="Times New Roman" w:hAnsi="Times New Roman"/>
          <w:sz w:val="20"/>
        </w:rPr>
        <w:t xml:space="preserve"> </w:t>
      </w:r>
      <w:r w:rsidR="005C5F5E" w:rsidRPr="004F2D82">
        <w:rPr>
          <w:rFonts w:ascii="Times New Roman" w:hAnsi="Times New Roman"/>
          <w:sz w:val="20"/>
        </w:rPr>
        <w:t xml:space="preserve">excerpts of </w:t>
      </w:r>
      <w:r w:rsidR="000C6AFE" w:rsidRPr="004F2D82">
        <w:rPr>
          <w:rFonts w:ascii="Times New Roman" w:hAnsi="Times New Roman"/>
          <w:sz w:val="20"/>
        </w:rPr>
        <w:t xml:space="preserve">the judgment of the </w:t>
      </w:r>
      <w:r w:rsidR="00B91F43">
        <w:rPr>
          <w:rFonts w:ascii="Times New Roman" w:hAnsi="Times New Roman"/>
          <w:sz w:val="20"/>
        </w:rPr>
        <w:t xml:space="preserve">High </w:t>
      </w:r>
      <w:r w:rsidR="000C6AFE" w:rsidRPr="004F2D82">
        <w:rPr>
          <w:rFonts w:ascii="Times New Roman" w:hAnsi="Times New Roman"/>
          <w:sz w:val="20"/>
        </w:rPr>
        <w:t xml:space="preserve">Court and the majority </w:t>
      </w:r>
      <w:r w:rsidR="005C5F5E" w:rsidRPr="004F2D82">
        <w:rPr>
          <w:rFonts w:ascii="Times New Roman" w:hAnsi="Times New Roman"/>
          <w:sz w:val="20"/>
        </w:rPr>
        <w:t xml:space="preserve">judgment of </w:t>
      </w:r>
      <w:r w:rsidR="000C6AFE" w:rsidRPr="004F2D82">
        <w:rPr>
          <w:rFonts w:ascii="Times New Roman" w:hAnsi="Times New Roman"/>
          <w:sz w:val="20"/>
        </w:rPr>
        <w:t>the Court of Appeal.</w:t>
      </w:r>
      <w:r w:rsidR="001433E2" w:rsidRPr="004F2D82">
        <w:rPr>
          <w:rStyle w:val="FootnoteReference"/>
        </w:rPr>
        <w:footnoteReference w:id="71"/>
      </w:r>
    </w:p>
    <w:p w14:paraId="35B8F5E0" w14:textId="092DEF1E" w:rsidR="00C53868" w:rsidRPr="004F2D82" w:rsidRDefault="00DD16AD" w:rsidP="006068D9">
      <w:pPr>
        <w:tabs>
          <w:tab w:val="left" w:pos="1134"/>
        </w:tabs>
        <w:suppressAutoHyphens/>
        <w:spacing w:after="120" w:line="240" w:lineRule="atLeast"/>
        <w:ind w:left="567" w:right="1134"/>
        <w:jc w:val="both"/>
        <w:rPr>
          <w:rFonts w:ascii="Times New Roman" w:hAnsi="Times New Roman"/>
          <w:i/>
          <w:sz w:val="20"/>
        </w:rPr>
      </w:pPr>
      <w:r w:rsidRPr="004F2D82">
        <w:rPr>
          <w:rFonts w:ascii="Times New Roman" w:hAnsi="Times New Roman"/>
          <w:i/>
          <w:sz w:val="20"/>
        </w:rPr>
        <w:t xml:space="preserve">Public participation </w:t>
      </w:r>
      <w:r w:rsidR="00DF677E" w:rsidRPr="004F2D82">
        <w:rPr>
          <w:rFonts w:ascii="Times New Roman" w:hAnsi="Times New Roman"/>
          <w:i/>
          <w:sz w:val="20"/>
        </w:rPr>
        <w:t>“</w:t>
      </w:r>
      <w:r w:rsidRPr="004F2D82">
        <w:rPr>
          <w:rFonts w:ascii="Times New Roman" w:hAnsi="Times New Roman"/>
          <w:i/>
          <w:sz w:val="20"/>
        </w:rPr>
        <w:t>at an early stage when all options are open</w:t>
      </w:r>
      <w:r w:rsidR="00DF677E" w:rsidRPr="004F2D82">
        <w:rPr>
          <w:rFonts w:ascii="Times New Roman" w:hAnsi="Times New Roman"/>
          <w:i/>
          <w:sz w:val="20"/>
        </w:rPr>
        <w:t>”</w:t>
      </w:r>
    </w:p>
    <w:p w14:paraId="37B81453" w14:textId="37021D78" w:rsidR="00C53868" w:rsidRPr="004F2D82" w:rsidRDefault="00881015"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11" w:name="_Ref495327519"/>
      <w:r w:rsidRPr="004F2D82">
        <w:rPr>
          <w:rFonts w:ascii="Times New Roman" w:hAnsi="Times New Roman"/>
          <w:sz w:val="20"/>
        </w:rPr>
        <w:t>The communicant allege</w:t>
      </w:r>
      <w:r w:rsidR="00543742" w:rsidRPr="004F2D82">
        <w:rPr>
          <w:rFonts w:ascii="Times New Roman" w:hAnsi="Times New Roman"/>
          <w:sz w:val="20"/>
        </w:rPr>
        <w:t>s</w:t>
      </w:r>
      <w:r w:rsidRPr="004F2D82">
        <w:rPr>
          <w:rFonts w:ascii="Times New Roman" w:hAnsi="Times New Roman"/>
          <w:sz w:val="20"/>
        </w:rPr>
        <w:t xml:space="preserve"> that</w:t>
      </w:r>
      <w:r w:rsidR="00C53868" w:rsidRPr="004F2D82">
        <w:rPr>
          <w:rFonts w:ascii="Times New Roman" w:hAnsi="Times New Roman"/>
          <w:sz w:val="20"/>
        </w:rPr>
        <w:t xml:space="preserve"> public participation </w:t>
      </w:r>
      <w:r w:rsidR="00CD4FF3" w:rsidRPr="004F2D82">
        <w:rPr>
          <w:rFonts w:ascii="Times New Roman" w:hAnsi="Times New Roman"/>
          <w:sz w:val="20"/>
        </w:rPr>
        <w:t>was not</w:t>
      </w:r>
      <w:r w:rsidR="00C53868" w:rsidRPr="004F2D82">
        <w:rPr>
          <w:rFonts w:ascii="Times New Roman" w:hAnsi="Times New Roman"/>
          <w:sz w:val="20"/>
        </w:rPr>
        <w:t xml:space="preserve"> ensured at an “early” stage “when all options are open” as required by </w:t>
      </w:r>
      <w:r w:rsidR="00DD16AD" w:rsidRPr="004F2D82">
        <w:rPr>
          <w:rFonts w:ascii="Times New Roman" w:hAnsi="Times New Roman"/>
          <w:sz w:val="20"/>
        </w:rPr>
        <w:t xml:space="preserve">article 7 in conjunction with </w:t>
      </w:r>
      <w:r w:rsidR="00C53868" w:rsidRPr="004F2D82">
        <w:rPr>
          <w:rFonts w:ascii="Times New Roman" w:hAnsi="Times New Roman"/>
          <w:sz w:val="20"/>
        </w:rPr>
        <w:t>article 6</w:t>
      </w:r>
      <w:r w:rsidR="000F1F50" w:rsidRPr="004F2D82">
        <w:rPr>
          <w:rFonts w:ascii="Times New Roman" w:hAnsi="Times New Roman"/>
          <w:sz w:val="20"/>
        </w:rPr>
        <w:t>(</w:t>
      </w:r>
      <w:r w:rsidR="00C53868" w:rsidRPr="004F2D82">
        <w:rPr>
          <w:rFonts w:ascii="Times New Roman" w:hAnsi="Times New Roman"/>
          <w:sz w:val="20"/>
        </w:rPr>
        <w:t>4</w:t>
      </w:r>
      <w:r w:rsidR="000F1F50" w:rsidRPr="004F2D82">
        <w:rPr>
          <w:rFonts w:ascii="Times New Roman" w:hAnsi="Times New Roman"/>
          <w:sz w:val="20"/>
        </w:rPr>
        <w:t>)</w:t>
      </w:r>
      <w:r w:rsidR="00C53868" w:rsidRPr="004F2D82">
        <w:rPr>
          <w:rFonts w:ascii="Times New Roman" w:hAnsi="Times New Roman"/>
          <w:sz w:val="20"/>
        </w:rPr>
        <w:t xml:space="preserve"> of the Convention.</w:t>
      </w:r>
      <w:r w:rsidR="005D584F" w:rsidRPr="004F2D82">
        <w:rPr>
          <w:rStyle w:val="FootnoteReference"/>
        </w:rPr>
        <w:footnoteReference w:id="72"/>
      </w:r>
      <w:r w:rsidR="00C53868" w:rsidRPr="004F2D82">
        <w:t xml:space="preserve"> </w:t>
      </w:r>
      <w:r w:rsidR="00C53868" w:rsidRPr="004F2D82">
        <w:rPr>
          <w:rFonts w:ascii="Times New Roman" w:hAnsi="Times New Roman"/>
          <w:sz w:val="20"/>
        </w:rPr>
        <w:t>The</w:t>
      </w:r>
      <w:r w:rsidR="00883C1E" w:rsidRPr="004F2D82">
        <w:rPr>
          <w:rFonts w:ascii="Times New Roman" w:hAnsi="Times New Roman"/>
          <w:sz w:val="20"/>
        </w:rPr>
        <w:t xml:space="preserve"> communicant submit</w:t>
      </w:r>
      <w:r w:rsidR="00543742" w:rsidRPr="004F2D82">
        <w:rPr>
          <w:rFonts w:ascii="Times New Roman" w:hAnsi="Times New Roman"/>
          <w:sz w:val="20"/>
        </w:rPr>
        <w:t>s</w:t>
      </w:r>
      <w:r w:rsidR="00883C1E" w:rsidRPr="004F2D82">
        <w:rPr>
          <w:rFonts w:ascii="Times New Roman" w:hAnsi="Times New Roman"/>
          <w:sz w:val="20"/>
        </w:rPr>
        <w:t xml:space="preserve"> that the</w:t>
      </w:r>
      <w:r w:rsidR="00C53868" w:rsidRPr="004F2D82">
        <w:rPr>
          <w:rFonts w:ascii="Times New Roman" w:hAnsi="Times New Roman"/>
          <w:sz w:val="20"/>
        </w:rPr>
        <w:t xml:space="preserve"> decision to rule out the </w:t>
      </w:r>
      <w:r w:rsidR="007B1C65" w:rsidRPr="004F2D82">
        <w:rPr>
          <w:rFonts w:ascii="Times New Roman" w:hAnsi="Times New Roman"/>
          <w:sz w:val="20"/>
        </w:rPr>
        <w:t xml:space="preserve">“inverted A”, </w:t>
      </w:r>
      <w:r w:rsidR="005C5F5E" w:rsidRPr="004F2D82">
        <w:rPr>
          <w:rFonts w:ascii="Times New Roman" w:hAnsi="Times New Roman"/>
          <w:sz w:val="20"/>
        </w:rPr>
        <w:t>“</w:t>
      </w:r>
      <w:r w:rsidR="00C53868" w:rsidRPr="004F2D82">
        <w:rPr>
          <w:rFonts w:ascii="Times New Roman" w:hAnsi="Times New Roman"/>
          <w:sz w:val="20"/>
        </w:rPr>
        <w:t>reverse E</w:t>
      </w:r>
      <w:r w:rsidR="005C5F5E" w:rsidRPr="004F2D82">
        <w:rPr>
          <w:rFonts w:ascii="Times New Roman" w:hAnsi="Times New Roman"/>
          <w:sz w:val="20"/>
        </w:rPr>
        <w:t>”</w:t>
      </w:r>
      <w:r w:rsidR="00C53868" w:rsidRPr="004F2D82">
        <w:rPr>
          <w:rFonts w:ascii="Times New Roman" w:hAnsi="Times New Roman"/>
          <w:sz w:val="20"/>
        </w:rPr>
        <w:t xml:space="preserve"> and </w:t>
      </w:r>
      <w:r w:rsidR="005C5F5E" w:rsidRPr="004F2D82">
        <w:rPr>
          <w:rFonts w:ascii="Times New Roman" w:hAnsi="Times New Roman"/>
          <w:sz w:val="20"/>
        </w:rPr>
        <w:t>“</w:t>
      </w:r>
      <w:r w:rsidR="00C53868" w:rsidRPr="004F2D82">
        <w:rPr>
          <w:rFonts w:ascii="Times New Roman" w:hAnsi="Times New Roman"/>
          <w:sz w:val="20"/>
        </w:rPr>
        <w:t>S</w:t>
      </w:r>
      <w:r w:rsidR="005C5F5E" w:rsidRPr="004F2D82">
        <w:rPr>
          <w:rFonts w:ascii="Times New Roman" w:hAnsi="Times New Roman"/>
          <w:sz w:val="20"/>
        </w:rPr>
        <w:t>”</w:t>
      </w:r>
      <w:r w:rsidR="00C53868" w:rsidRPr="004F2D82">
        <w:rPr>
          <w:rFonts w:ascii="Times New Roman" w:hAnsi="Times New Roman"/>
          <w:sz w:val="20"/>
        </w:rPr>
        <w:t xml:space="preserve"> </w:t>
      </w:r>
      <w:r w:rsidR="005C5F5E" w:rsidRPr="004F2D82">
        <w:rPr>
          <w:rFonts w:ascii="Times New Roman" w:hAnsi="Times New Roman"/>
          <w:sz w:val="20"/>
        </w:rPr>
        <w:t xml:space="preserve">route options </w:t>
      </w:r>
      <w:r w:rsidR="002B7034" w:rsidRPr="004F2D82">
        <w:rPr>
          <w:rFonts w:ascii="Times New Roman" w:hAnsi="Times New Roman"/>
          <w:sz w:val="20"/>
        </w:rPr>
        <w:t>was</w:t>
      </w:r>
      <w:r w:rsidR="005C5F5E" w:rsidRPr="004F2D82">
        <w:rPr>
          <w:rFonts w:ascii="Times New Roman" w:hAnsi="Times New Roman"/>
          <w:sz w:val="20"/>
        </w:rPr>
        <w:t xml:space="preserve"> </w:t>
      </w:r>
      <w:r w:rsidR="00C53868" w:rsidRPr="004F2D82">
        <w:rPr>
          <w:rFonts w:ascii="Times New Roman" w:hAnsi="Times New Roman"/>
          <w:sz w:val="20"/>
        </w:rPr>
        <w:t>taken without public participation</w:t>
      </w:r>
      <w:r w:rsidR="00883C1E" w:rsidRPr="004F2D82">
        <w:rPr>
          <w:rFonts w:ascii="Times New Roman" w:hAnsi="Times New Roman"/>
          <w:sz w:val="20"/>
        </w:rPr>
        <w:t xml:space="preserve"> and cites in support the </w:t>
      </w:r>
      <w:r w:rsidR="00C53868" w:rsidRPr="004F2D82">
        <w:rPr>
          <w:rFonts w:ascii="Times New Roman" w:hAnsi="Times New Roman"/>
          <w:sz w:val="20"/>
        </w:rPr>
        <w:t xml:space="preserve">March 2010 </w:t>
      </w:r>
      <w:r w:rsidR="000A217E" w:rsidRPr="004F2D82">
        <w:rPr>
          <w:rFonts w:ascii="Times New Roman" w:hAnsi="Times New Roman"/>
          <w:sz w:val="20"/>
        </w:rPr>
        <w:t xml:space="preserve">Command Paper which justifies the government’s proposal of the </w:t>
      </w:r>
      <w:r w:rsidR="000A217E" w:rsidRPr="004F2D82">
        <w:rPr>
          <w:rFonts w:ascii="Times New Roman" w:hAnsi="Times New Roman"/>
          <w:sz w:val="20"/>
        </w:rPr>
        <w:lastRenderedPageBreak/>
        <w:t>“Y” network</w:t>
      </w:r>
      <w:r w:rsidR="00E179E4" w:rsidRPr="004F2D82">
        <w:rPr>
          <w:rFonts w:ascii="Times New Roman" w:hAnsi="Times New Roman"/>
          <w:sz w:val="20"/>
        </w:rPr>
        <w:t>.</w:t>
      </w:r>
      <w:r w:rsidR="000A217E" w:rsidRPr="004F2D82">
        <w:rPr>
          <w:rStyle w:val="FootnoteReference"/>
        </w:rPr>
        <w:footnoteReference w:id="73"/>
      </w:r>
      <w:r w:rsidR="00C53868" w:rsidRPr="004F2D82">
        <w:rPr>
          <w:rFonts w:ascii="Times New Roman" w:hAnsi="Times New Roman"/>
          <w:sz w:val="20"/>
        </w:rPr>
        <w:t xml:space="preserve"> </w:t>
      </w:r>
      <w:r w:rsidR="00771858" w:rsidRPr="004F2D82">
        <w:rPr>
          <w:rFonts w:ascii="Times New Roman" w:hAnsi="Times New Roman"/>
          <w:sz w:val="20"/>
        </w:rPr>
        <w:t>The communicant submit</w:t>
      </w:r>
      <w:r w:rsidR="00543742" w:rsidRPr="004F2D82">
        <w:rPr>
          <w:rFonts w:ascii="Times New Roman" w:hAnsi="Times New Roman"/>
          <w:sz w:val="20"/>
        </w:rPr>
        <w:t>s</w:t>
      </w:r>
      <w:r w:rsidR="00771858" w:rsidRPr="004F2D82">
        <w:rPr>
          <w:rFonts w:ascii="Times New Roman" w:hAnsi="Times New Roman"/>
          <w:sz w:val="20"/>
        </w:rPr>
        <w:t xml:space="preserve"> that the </w:t>
      </w:r>
      <w:r w:rsidR="00C53868" w:rsidRPr="004F2D82">
        <w:rPr>
          <w:rFonts w:ascii="Times New Roman" w:hAnsi="Times New Roman"/>
          <w:sz w:val="20"/>
        </w:rPr>
        <w:t>February 2011 Consultation Paper</w:t>
      </w:r>
      <w:r w:rsidR="00E1084D" w:rsidRPr="004F2D82">
        <w:rPr>
          <w:rFonts w:ascii="Times New Roman" w:hAnsi="Times New Roman"/>
          <w:sz w:val="20"/>
        </w:rPr>
        <w:t xml:space="preserve"> </w:t>
      </w:r>
      <w:r w:rsidR="00CD4FF3" w:rsidRPr="004F2D82">
        <w:rPr>
          <w:rFonts w:ascii="Times New Roman" w:hAnsi="Times New Roman"/>
          <w:sz w:val="20"/>
        </w:rPr>
        <w:t xml:space="preserve">also </w:t>
      </w:r>
      <w:r w:rsidR="00771858" w:rsidRPr="004F2D82">
        <w:rPr>
          <w:rFonts w:ascii="Times New Roman" w:hAnsi="Times New Roman"/>
          <w:sz w:val="20"/>
        </w:rPr>
        <w:t xml:space="preserve">described these options as already </w:t>
      </w:r>
      <w:r w:rsidR="002B7034" w:rsidRPr="004F2D82">
        <w:rPr>
          <w:rFonts w:ascii="Times New Roman" w:hAnsi="Times New Roman"/>
          <w:sz w:val="20"/>
        </w:rPr>
        <w:t xml:space="preserve">being </w:t>
      </w:r>
      <w:r w:rsidR="00771858" w:rsidRPr="004F2D82">
        <w:rPr>
          <w:rFonts w:ascii="Times New Roman" w:hAnsi="Times New Roman"/>
          <w:sz w:val="20"/>
        </w:rPr>
        <w:t>ruled out</w:t>
      </w:r>
      <w:r w:rsidR="005C5F5E" w:rsidRPr="004F2D82">
        <w:rPr>
          <w:rFonts w:ascii="Times New Roman" w:hAnsi="Times New Roman"/>
          <w:sz w:val="20"/>
        </w:rPr>
        <w:t>.</w:t>
      </w:r>
      <w:r w:rsidR="00E1084D" w:rsidRPr="004F2D82">
        <w:rPr>
          <w:rStyle w:val="FootnoteReference"/>
        </w:rPr>
        <w:footnoteReference w:id="74"/>
      </w:r>
      <w:r w:rsidR="00E1084D" w:rsidRPr="004F2D82">
        <w:rPr>
          <w:rFonts w:ascii="Times New Roman" w:hAnsi="Times New Roman"/>
          <w:sz w:val="20"/>
        </w:rPr>
        <w:t xml:space="preserve"> </w:t>
      </w:r>
      <w:r w:rsidR="005C5F5E" w:rsidRPr="004F2D82">
        <w:rPr>
          <w:rFonts w:ascii="Times New Roman" w:hAnsi="Times New Roman"/>
          <w:sz w:val="20"/>
        </w:rPr>
        <w:t xml:space="preserve">It </w:t>
      </w:r>
      <w:r w:rsidR="00771858" w:rsidRPr="004F2D82">
        <w:rPr>
          <w:rFonts w:ascii="Times New Roman" w:hAnsi="Times New Roman"/>
          <w:sz w:val="20"/>
        </w:rPr>
        <w:t>emphasizes</w:t>
      </w:r>
      <w:r w:rsidR="00C53868" w:rsidRPr="004F2D82">
        <w:rPr>
          <w:rFonts w:ascii="Times New Roman" w:hAnsi="Times New Roman"/>
          <w:sz w:val="20"/>
        </w:rPr>
        <w:t xml:space="preserve"> that the questions which were subject to public consultation</w:t>
      </w:r>
      <w:r w:rsidR="000A217E" w:rsidRPr="004F2D82">
        <w:rPr>
          <w:rStyle w:val="FootnoteReference"/>
        </w:rPr>
        <w:footnoteReference w:id="75"/>
      </w:r>
      <w:r w:rsidR="00C53868" w:rsidRPr="004F2D82">
        <w:rPr>
          <w:rFonts w:ascii="Times New Roman" w:hAnsi="Times New Roman"/>
          <w:sz w:val="20"/>
        </w:rPr>
        <w:t xml:space="preserve"> were premised on a Y</w:t>
      </w:r>
      <w:r w:rsidR="00883C1E" w:rsidRPr="004F2D82">
        <w:rPr>
          <w:rFonts w:ascii="Times New Roman" w:hAnsi="Times New Roman"/>
          <w:sz w:val="20"/>
        </w:rPr>
        <w:t>-</w:t>
      </w:r>
      <w:r w:rsidR="00C53868" w:rsidRPr="004F2D82">
        <w:rPr>
          <w:rFonts w:ascii="Times New Roman" w:hAnsi="Times New Roman"/>
          <w:sz w:val="20"/>
        </w:rPr>
        <w:t xml:space="preserve">shaped configuration for </w:t>
      </w:r>
      <w:r w:rsidR="002C3234" w:rsidRPr="004F2D82">
        <w:rPr>
          <w:rFonts w:ascii="Times New Roman" w:hAnsi="Times New Roman"/>
          <w:sz w:val="20"/>
        </w:rPr>
        <w:t>High Speed 2</w:t>
      </w:r>
      <w:r w:rsidR="00C53868" w:rsidRPr="004F2D82">
        <w:rPr>
          <w:rFonts w:ascii="Times New Roman" w:hAnsi="Times New Roman"/>
          <w:sz w:val="20"/>
        </w:rPr>
        <w:t xml:space="preserve"> and did not </w:t>
      </w:r>
      <w:r w:rsidR="005C5F5E" w:rsidRPr="004F2D82">
        <w:rPr>
          <w:rFonts w:ascii="Times New Roman" w:hAnsi="Times New Roman"/>
          <w:sz w:val="20"/>
        </w:rPr>
        <w:t>invite</w:t>
      </w:r>
      <w:r w:rsidR="00C53868" w:rsidRPr="004F2D82">
        <w:rPr>
          <w:rFonts w:ascii="Times New Roman" w:hAnsi="Times New Roman"/>
          <w:sz w:val="20"/>
        </w:rPr>
        <w:t xml:space="preserve"> public participation on other configurations.</w:t>
      </w:r>
      <w:r w:rsidR="005D584F" w:rsidRPr="004F2D82">
        <w:rPr>
          <w:rStyle w:val="FootnoteReference"/>
        </w:rPr>
        <w:footnoteReference w:id="76"/>
      </w:r>
      <w:bookmarkEnd w:id="11"/>
    </w:p>
    <w:p w14:paraId="371A48FB" w14:textId="1F4ECDC0" w:rsidR="00DC2980" w:rsidRPr="004F2D82" w:rsidRDefault="005D584F"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12" w:name="_Ref495327520"/>
      <w:r w:rsidRPr="004F2D82">
        <w:rPr>
          <w:rFonts w:ascii="Times New Roman" w:hAnsi="Times New Roman"/>
          <w:sz w:val="20"/>
        </w:rPr>
        <w:t>The communicant further submit</w:t>
      </w:r>
      <w:r w:rsidR="00543742" w:rsidRPr="004F2D82">
        <w:rPr>
          <w:rFonts w:ascii="Times New Roman" w:hAnsi="Times New Roman"/>
          <w:sz w:val="20"/>
        </w:rPr>
        <w:t>s</w:t>
      </w:r>
      <w:r w:rsidRPr="004F2D82">
        <w:rPr>
          <w:rFonts w:ascii="Times New Roman" w:hAnsi="Times New Roman"/>
          <w:sz w:val="20"/>
        </w:rPr>
        <w:t xml:space="preserve"> that</w:t>
      </w:r>
      <w:r w:rsidR="007923DD" w:rsidRPr="004F2D82">
        <w:rPr>
          <w:rFonts w:ascii="Times New Roman" w:hAnsi="Times New Roman"/>
          <w:sz w:val="20"/>
        </w:rPr>
        <w:t xml:space="preserve"> no “reasonable reader” of the consultation material referred to by the Party concerned</w:t>
      </w:r>
      <w:r w:rsidR="004378D0" w:rsidRPr="004F2D82">
        <w:rPr>
          <w:rFonts w:ascii="Times New Roman" w:hAnsi="Times New Roman"/>
          <w:sz w:val="20"/>
        </w:rPr>
        <w:t xml:space="preserve">, specifically </w:t>
      </w:r>
      <w:r w:rsidR="007923DD" w:rsidRPr="004F2D82">
        <w:rPr>
          <w:rFonts w:ascii="Times New Roman" w:hAnsi="Times New Roman"/>
          <w:sz w:val="20"/>
        </w:rPr>
        <w:t>paras. 5.1.3-5</w:t>
      </w:r>
      <w:r w:rsidR="004378D0" w:rsidRPr="004F2D82">
        <w:rPr>
          <w:rFonts w:ascii="Times New Roman" w:hAnsi="Times New Roman"/>
          <w:sz w:val="20"/>
        </w:rPr>
        <w:t xml:space="preserve"> of the Appraisal of Sustainability</w:t>
      </w:r>
      <w:r w:rsidR="004378D0" w:rsidRPr="004F2D82">
        <w:rPr>
          <w:rStyle w:val="FootnoteReference"/>
        </w:rPr>
        <w:footnoteReference w:id="77"/>
      </w:r>
      <w:r w:rsidR="004378D0" w:rsidRPr="004F2D82">
        <w:rPr>
          <w:rFonts w:ascii="Times New Roman" w:hAnsi="Times New Roman"/>
          <w:sz w:val="20"/>
        </w:rPr>
        <w:t xml:space="preserve"> </w:t>
      </w:r>
      <w:r w:rsidR="007923DD" w:rsidRPr="004F2D82">
        <w:rPr>
          <w:rFonts w:ascii="Times New Roman" w:hAnsi="Times New Roman"/>
          <w:sz w:val="20"/>
        </w:rPr>
        <w:t xml:space="preserve"> </w:t>
      </w:r>
      <w:r w:rsidR="005C5F5E" w:rsidRPr="004F2D82">
        <w:rPr>
          <w:rFonts w:ascii="Times New Roman" w:hAnsi="Times New Roman"/>
          <w:sz w:val="20"/>
        </w:rPr>
        <w:t>or</w:t>
      </w:r>
      <w:r w:rsidR="007923DD" w:rsidRPr="004F2D82">
        <w:rPr>
          <w:rFonts w:ascii="Times New Roman" w:hAnsi="Times New Roman"/>
          <w:sz w:val="20"/>
        </w:rPr>
        <w:t xml:space="preserve"> the consultation questions</w:t>
      </w:r>
      <w:r w:rsidR="002B7034" w:rsidRPr="004F2D82">
        <w:rPr>
          <w:rFonts w:ascii="Times New Roman" w:hAnsi="Times New Roman"/>
          <w:sz w:val="20"/>
        </w:rPr>
        <w:t>,</w:t>
      </w:r>
      <w:r w:rsidR="007923DD" w:rsidRPr="004F2D82">
        <w:rPr>
          <w:rFonts w:ascii="Times New Roman" w:hAnsi="Times New Roman"/>
          <w:sz w:val="20"/>
        </w:rPr>
        <w:t xml:space="preserve"> would have considered that the </w:t>
      </w:r>
      <w:r w:rsidR="00976F2D" w:rsidRPr="004F2D82">
        <w:rPr>
          <w:rFonts w:ascii="Times New Roman" w:hAnsi="Times New Roman"/>
          <w:sz w:val="20"/>
        </w:rPr>
        <w:t>“</w:t>
      </w:r>
      <w:r w:rsidR="007923DD" w:rsidRPr="004F2D82">
        <w:rPr>
          <w:rFonts w:ascii="Times New Roman" w:hAnsi="Times New Roman"/>
          <w:sz w:val="20"/>
        </w:rPr>
        <w:t>reverse E</w:t>
      </w:r>
      <w:r w:rsidR="00976F2D" w:rsidRPr="004F2D82">
        <w:rPr>
          <w:rFonts w:ascii="Times New Roman" w:hAnsi="Times New Roman"/>
          <w:sz w:val="20"/>
        </w:rPr>
        <w:t>”</w:t>
      </w:r>
      <w:r w:rsidR="007923DD" w:rsidRPr="004F2D82">
        <w:rPr>
          <w:rFonts w:ascii="Times New Roman" w:hAnsi="Times New Roman"/>
          <w:sz w:val="20"/>
        </w:rPr>
        <w:t xml:space="preserve"> and </w:t>
      </w:r>
      <w:r w:rsidR="00976F2D" w:rsidRPr="004F2D82">
        <w:rPr>
          <w:rFonts w:ascii="Times New Roman" w:hAnsi="Times New Roman"/>
          <w:sz w:val="20"/>
        </w:rPr>
        <w:t>“</w:t>
      </w:r>
      <w:r w:rsidR="007923DD" w:rsidRPr="004F2D82">
        <w:rPr>
          <w:rFonts w:ascii="Times New Roman" w:hAnsi="Times New Roman"/>
          <w:sz w:val="20"/>
        </w:rPr>
        <w:t>S</w:t>
      </w:r>
      <w:r w:rsidR="00976F2D" w:rsidRPr="004F2D82">
        <w:rPr>
          <w:rFonts w:ascii="Times New Roman" w:hAnsi="Times New Roman"/>
          <w:sz w:val="20"/>
        </w:rPr>
        <w:t>”</w:t>
      </w:r>
      <w:r w:rsidR="007923DD" w:rsidRPr="004F2D82">
        <w:rPr>
          <w:rFonts w:ascii="Times New Roman" w:hAnsi="Times New Roman"/>
          <w:sz w:val="20"/>
        </w:rPr>
        <w:t xml:space="preserve"> options were </w:t>
      </w:r>
      <w:r w:rsidR="009A77A4" w:rsidRPr="004F2D82">
        <w:rPr>
          <w:rFonts w:ascii="Times New Roman" w:hAnsi="Times New Roman"/>
          <w:sz w:val="20"/>
        </w:rPr>
        <w:t xml:space="preserve">still </w:t>
      </w:r>
      <w:r w:rsidR="009A77A4" w:rsidRPr="004F2D82">
        <w:rPr>
          <w:rFonts w:ascii="Times New Roman" w:eastAsia="Times New Roman" w:hAnsi="Times New Roman" w:cs="Times New Roman"/>
          <w:sz w:val="20"/>
          <w:szCs w:val="20"/>
        </w:rPr>
        <w:t>open</w:t>
      </w:r>
      <w:r w:rsidR="007923DD" w:rsidRPr="004F2D82">
        <w:rPr>
          <w:rFonts w:ascii="Times New Roman" w:eastAsia="Times New Roman" w:hAnsi="Times New Roman" w:cs="Times New Roman"/>
          <w:sz w:val="20"/>
          <w:szCs w:val="20"/>
        </w:rPr>
        <w:t>.</w:t>
      </w:r>
      <w:r w:rsidR="00CD4FF3" w:rsidRPr="004F2D82">
        <w:rPr>
          <w:rFonts w:ascii="Times New Roman" w:hAnsi="Times New Roman"/>
          <w:sz w:val="20"/>
        </w:rPr>
        <w:t xml:space="preserve"> It states that</w:t>
      </w:r>
      <w:r w:rsidR="00881015" w:rsidRPr="004F2D82">
        <w:rPr>
          <w:rFonts w:ascii="Times New Roman" w:hAnsi="Times New Roman"/>
          <w:sz w:val="20"/>
        </w:rPr>
        <w:t>, contrary to the Party</w:t>
      </w:r>
      <w:r w:rsidR="002B7034" w:rsidRPr="004F2D82">
        <w:rPr>
          <w:rFonts w:ascii="Times New Roman" w:hAnsi="Times New Roman"/>
          <w:sz w:val="20"/>
        </w:rPr>
        <w:t xml:space="preserve"> </w:t>
      </w:r>
      <w:proofErr w:type="spellStart"/>
      <w:r w:rsidR="002B7034" w:rsidRPr="004F2D82">
        <w:rPr>
          <w:rFonts w:ascii="Times New Roman" w:hAnsi="Times New Roman"/>
          <w:sz w:val="20"/>
        </w:rPr>
        <w:t>concerned</w:t>
      </w:r>
      <w:r w:rsidR="00881015" w:rsidRPr="004F2D82">
        <w:rPr>
          <w:rFonts w:ascii="Times New Roman" w:hAnsi="Times New Roman"/>
          <w:sz w:val="20"/>
        </w:rPr>
        <w:t>’s</w:t>
      </w:r>
      <w:proofErr w:type="spellEnd"/>
      <w:r w:rsidR="00881015" w:rsidRPr="004F2D82">
        <w:rPr>
          <w:rFonts w:ascii="Times New Roman" w:hAnsi="Times New Roman"/>
          <w:sz w:val="20"/>
        </w:rPr>
        <w:t xml:space="preserve"> submissions,</w:t>
      </w:r>
      <w:r w:rsidR="00CD4FF3" w:rsidRPr="004F2D82">
        <w:rPr>
          <w:rFonts w:ascii="Times New Roman" w:hAnsi="Times New Roman"/>
          <w:sz w:val="20"/>
        </w:rPr>
        <w:t xml:space="preserve"> the consultation was on the questions posed </w:t>
      </w:r>
      <w:r w:rsidR="00881015" w:rsidRPr="004F2D82">
        <w:rPr>
          <w:rFonts w:ascii="Times New Roman" w:hAnsi="Times New Roman"/>
          <w:sz w:val="20"/>
        </w:rPr>
        <w:t xml:space="preserve">– no more, no less. The common law duties to </w:t>
      </w:r>
      <w:proofErr w:type="gramStart"/>
      <w:r w:rsidR="00881015" w:rsidRPr="004F2D82">
        <w:rPr>
          <w:rFonts w:ascii="Times New Roman" w:hAnsi="Times New Roman"/>
          <w:sz w:val="20"/>
        </w:rPr>
        <w:t>take into account</w:t>
      </w:r>
      <w:proofErr w:type="gramEnd"/>
      <w:r w:rsidR="00881015" w:rsidRPr="004F2D82">
        <w:rPr>
          <w:rFonts w:ascii="Times New Roman" w:hAnsi="Times New Roman"/>
          <w:sz w:val="20"/>
        </w:rPr>
        <w:t xml:space="preserve"> consultation responses were not engaged in relation to matters about which the public were not asked. </w:t>
      </w:r>
      <w:r w:rsidR="007923DD" w:rsidRPr="004F2D82">
        <w:rPr>
          <w:rFonts w:ascii="Times New Roman" w:hAnsi="Times New Roman"/>
          <w:sz w:val="20"/>
        </w:rPr>
        <w:t xml:space="preserve">It states that </w:t>
      </w:r>
      <w:r w:rsidRPr="004F2D82">
        <w:rPr>
          <w:rFonts w:ascii="Times New Roman" w:hAnsi="Times New Roman"/>
          <w:sz w:val="20"/>
        </w:rPr>
        <w:t>th</w:t>
      </w:r>
      <w:r w:rsidR="007923DD" w:rsidRPr="004F2D82">
        <w:rPr>
          <w:rFonts w:ascii="Times New Roman" w:hAnsi="Times New Roman"/>
          <w:sz w:val="20"/>
        </w:rPr>
        <w:t>is is not contradicted by th</w:t>
      </w:r>
      <w:r w:rsidRPr="004F2D82">
        <w:rPr>
          <w:rFonts w:ascii="Times New Roman" w:hAnsi="Times New Roman"/>
          <w:sz w:val="20"/>
        </w:rPr>
        <w:t xml:space="preserve">e fact that some </w:t>
      </w:r>
      <w:r w:rsidR="007923DD" w:rsidRPr="004F2D82">
        <w:rPr>
          <w:rFonts w:ascii="Times New Roman" w:hAnsi="Times New Roman"/>
          <w:sz w:val="20"/>
        </w:rPr>
        <w:t>of the more bold, sophisticated and uncooperative consultees ignored the limitations set by the consultation question and comment</w:t>
      </w:r>
      <w:r w:rsidR="005C5F5E" w:rsidRPr="004F2D82">
        <w:rPr>
          <w:rFonts w:ascii="Times New Roman" w:hAnsi="Times New Roman"/>
          <w:sz w:val="20"/>
        </w:rPr>
        <w:t>ed</w:t>
      </w:r>
      <w:r w:rsidR="007923DD" w:rsidRPr="004F2D82">
        <w:rPr>
          <w:rFonts w:ascii="Times New Roman" w:hAnsi="Times New Roman"/>
          <w:sz w:val="20"/>
        </w:rPr>
        <w:t xml:space="preserve"> on other matters.</w:t>
      </w:r>
      <w:r w:rsidR="007923DD" w:rsidRPr="004F2D82">
        <w:rPr>
          <w:rStyle w:val="FootnoteReference"/>
        </w:rPr>
        <w:footnoteReference w:id="78"/>
      </w:r>
      <w:bookmarkEnd w:id="12"/>
      <w:r w:rsidRPr="004F2D82">
        <w:rPr>
          <w:rFonts w:ascii="Times New Roman" w:hAnsi="Times New Roman"/>
          <w:sz w:val="20"/>
        </w:rPr>
        <w:t xml:space="preserve"> </w:t>
      </w:r>
    </w:p>
    <w:p w14:paraId="6753A696" w14:textId="0D09F521" w:rsidR="005D584F" w:rsidRPr="004F2D82" w:rsidRDefault="005D584F"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The communicant </w:t>
      </w:r>
      <w:r w:rsidR="005C5F5E" w:rsidRPr="004F2D82">
        <w:rPr>
          <w:rFonts w:ascii="Times New Roman" w:hAnsi="Times New Roman"/>
          <w:sz w:val="20"/>
        </w:rPr>
        <w:t>claim</w:t>
      </w:r>
      <w:r w:rsidR="00543742" w:rsidRPr="004F2D82">
        <w:rPr>
          <w:rFonts w:ascii="Times New Roman" w:hAnsi="Times New Roman"/>
          <w:sz w:val="20"/>
        </w:rPr>
        <w:t>s</w:t>
      </w:r>
      <w:r w:rsidRPr="004F2D82">
        <w:rPr>
          <w:rFonts w:ascii="Times New Roman" w:hAnsi="Times New Roman"/>
          <w:sz w:val="20"/>
        </w:rPr>
        <w:t xml:space="preserve"> that the </w:t>
      </w:r>
      <w:r w:rsidR="007F2E2C" w:rsidRPr="004F2D82">
        <w:rPr>
          <w:rFonts w:ascii="Times New Roman" w:hAnsi="Times New Roman"/>
          <w:sz w:val="20"/>
        </w:rPr>
        <w:t>e</w:t>
      </w:r>
      <w:r w:rsidR="004378D0" w:rsidRPr="004F2D82">
        <w:rPr>
          <w:rFonts w:ascii="Times New Roman" w:hAnsi="Times New Roman"/>
          <w:sz w:val="20"/>
        </w:rPr>
        <w:t xml:space="preserve">nvironmental </w:t>
      </w:r>
      <w:r w:rsidR="007F2E2C" w:rsidRPr="004F2D82">
        <w:rPr>
          <w:rFonts w:ascii="Times New Roman" w:hAnsi="Times New Roman"/>
          <w:sz w:val="20"/>
        </w:rPr>
        <w:t>s</w:t>
      </w:r>
      <w:r w:rsidR="004378D0" w:rsidRPr="004F2D82">
        <w:rPr>
          <w:rFonts w:ascii="Times New Roman" w:hAnsi="Times New Roman"/>
          <w:sz w:val="20"/>
        </w:rPr>
        <w:t>tatement described</w:t>
      </w:r>
      <w:r w:rsidR="00DC2980" w:rsidRPr="004F2D82">
        <w:rPr>
          <w:rFonts w:ascii="Times New Roman" w:hAnsi="Times New Roman"/>
          <w:sz w:val="20"/>
        </w:rPr>
        <w:t xml:space="preserve"> the consideration of alternatives as historic fact</w:t>
      </w:r>
      <w:r w:rsidR="00EE78F7" w:rsidRPr="004F2D82">
        <w:rPr>
          <w:rFonts w:ascii="Times New Roman" w:eastAsia="Times New Roman" w:hAnsi="Times New Roman" w:cs="Times New Roman"/>
          <w:sz w:val="20"/>
          <w:szCs w:val="20"/>
        </w:rPr>
        <w:t>. It submits</w:t>
      </w:r>
      <w:r w:rsidR="00DC2980" w:rsidRPr="004F2D82">
        <w:rPr>
          <w:rFonts w:ascii="Times New Roman" w:hAnsi="Times New Roman"/>
          <w:sz w:val="20"/>
        </w:rPr>
        <w:t xml:space="preserve"> that </w:t>
      </w:r>
      <w:r w:rsidRPr="004F2D82">
        <w:rPr>
          <w:rFonts w:ascii="Times New Roman" w:hAnsi="Times New Roman"/>
          <w:sz w:val="20"/>
        </w:rPr>
        <w:t xml:space="preserve">consideration by Parliament </w:t>
      </w:r>
      <w:r w:rsidR="00EE78F7" w:rsidRPr="004F2D82">
        <w:rPr>
          <w:rFonts w:ascii="Times New Roman" w:eastAsia="Times New Roman" w:hAnsi="Times New Roman" w:cs="Times New Roman"/>
          <w:sz w:val="20"/>
          <w:szCs w:val="20"/>
        </w:rPr>
        <w:t>can</w:t>
      </w:r>
      <w:r w:rsidR="00DC2980" w:rsidRPr="004F2D82">
        <w:rPr>
          <w:rFonts w:ascii="Times New Roman" w:eastAsia="Times New Roman" w:hAnsi="Times New Roman" w:cs="Times New Roman"/>
          <w:sz w:val="20"/>
          <w:szCs w:val="20"/>
        </w:rPr>
        <w:t>not</w:t>
      </w:r>
      <w:r w:rsidR="00DC2980" w:rsidRPr="004F2D82">
        <w:rPr>
          <w:rFonts w:ascii="Times New Roman" w:hAnsi="Times New Roman"/>
          <w:sz w:val="20"/>
        </w:rPr>
        <w:t xml:space="preserve"> be considered as public participation, still less at an early and effective stage.</w:t>
      </w:r>
      <w:r w:rsidR="00DC2980" w:rsidRPr="004F2D82">
        <w:rPr>
          <w:rStyle w:val="FootnoteReference"/>
        </w:rPr>
        <w:footnoteReference w:id="79"/>
      </w:r>
    </w:p>
    <w:p w14:paraId="55B73935" w14:textId="49387797" w:rsidR="00673843" w:rsidRPr="004F2D82" w:rsidRDefault="00C53868"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The Party concerned submits that </w:t>
      </w:r>
      <w:r w:rsidR="00DC2980" w:rsidRPr="004F2D82">
        <w:rPr>
          <w:rFonts w:ascii="Times New Roman" w:hAnsi="Times New Roman"/>
          <w:sz w:val="20"/>
        </w:rPr>
        <w:t>no major options regarding the High Speed 2 were considered by the decision-makers before the 2011 public participation phase and no issues were foreclosed from public comment during the DNS consultations.</w:t>
      </w:r>
      <w:r w:rsidR="00DC2980" w:rsidRPr="004F2D82">
        <w:rPr>
          <w:rStyle w:val="FootnoteReference"/>
        </w:rPr>
        <w:footnoteReference w:id="80"/>
      </w:r>
      <w:r w:rsidRPr="004F2D82">
        <w:rPr>
          <w:rFonts w:ascii="Times New Roman" w:hAnsi="Times New Roman"/>
          <w:sz w:val="20"/>
        </w:rPr>
        <w:t xml:space="preserve"> </w:t>
      </w:r>
      <w:r w:rsidR="00DC2980" w:rsidRPr="004F2D82">
        <w:rPr>
          <w:rFonts w:ascii="Times New Roman" w:hAnsi="Times New Roman"/>
          <w:sz w:val="20"/>
        </w:rPr>
        <w:t xml:space="preserve">It submits that </w:t>
      </w:r>
      <w:r w:rsidR="002E0E49" w:rsidRPr="004F2D82">
        <w:rPr>
          <w:rFonts w:ascii="Times New Roman" w:hAnsi="Times New Roman"/>
          <w:sz w:val="20"/>
        </w:rPr>
        <w:t xml:space="preserve">many </w:t>
      </w:r>
      <w:r w:rsidR="00DC2980" w:rsidRPr="004F2D82">
        <w:rPr>
          <w:rFonts w:ascii="Times New Roman" w:hAnsi="Times New Roman"/>
          <w:sz w:val="20"/>
        </w:rPr>
        <w:t xml:space="preserve">consultation responses proposed </w:t>
      </w:r>
      <w:proofErr w:type="gramStart"/>
      <w:r w:rsidR="00DC2980" w:rsidRPr="004F2D82">
        <w:rPr>
          <w:rFonts w:ascii="Times New Roman" w:hAnsi="Times New Roman"/>
          <w:sz w:val="20"/>
        </w:rPr>
        <w:t>various different</w:t>
      </w:r>
      <w:proofErr w:type="gramEnd"/>
      <w:r w:rsidR="00DC2980" w:rsidRPr="004F2D82">
        <w:rPr>
          <w:rFonts w:ascii="Times New Roman" w:hAnsi="Times New Roman"/>
          <w:sz w:val="20"/>
        </w:rPr>
        <w:t xml:space="preserve"> line configurations and that these were fully considered.</w:t>
      </w:r>
      <w:r w:rsidR="002E0E49" w:rsidRPr="004F2D82">
        <w:rPr>
          <w:rStyle w:val="FootnoteReference"/>
        </w:rPr>
        <w:footnoteReference w:id="81"/>
      </w:r>
      <w:r w:rsidR="00DC2980" w:rsidRPr="004F2D82">
        <w:rPr>
          <w:rFonts w:ascii="Times New Roman" w:hAnsi="Times New Roman"/>
          <w:sz w:val="20"/>
        </w:rPr>
        <w:t xml:space="preserve"> </w:t>
      </w:r>
    </w:p>
    <w:p w14:paraId="649CE042" w14:textId="1DA208E3" w:rsidR="00C53868" w:rsidRPr="004F2D82" w:rsidRDefault="00673843"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The Party concerned submits that with the adoption of the DNS </w:t>
      </w:r>
      <w:r w:rsidR="00B15873" w:rsidRPr="004F2D82">
        <w:rPr>
          <w:rFonts w:ascii="Times New Roman" w:hAnsi="Times New Roman"/>
          <w:sz w:val="20"/>
        </w:rPr>
        <w:t xml:space="preserve">in </w:t>
      </w:r>
      <w:r w:rsidR="00873F2C" w:rsidRPr="004F2D82">
        <w:rPr>
          <w:rFonts w:ascii="Times New Roman" w:eastAsia="Times New Roman" w:hAnsi="Times New Roman" w:cs="Times New Roman"/>
          <w:sz w:val="20"/>
          <w:szCs w:val="20"/>
        </w:rPr>
        <w:t xml:space="preserve">January </w:t>
      </w:r>
      <w:r w:rsidR="00B15873" w:rsidRPr="004F2D82">
        <w:rPr>
          <w:rFonts w:ascii="Times New Roman" w:hAnsi="Times New Roman"/>
          <w:sz w:val="20"/>
        </w:rPr>
        <w:t>2012 the Government</w:t>
      </w:r>
      <w:r w:rsidRPr="004F2D82">
        <w:rPr>
          <w:rFonts w:ascii="Times New Roman" w:hAnsi="Times New Roman"/>
          <w:sz w:val="20"/>
        </w:rPr>
        <w:t xml:space="preserve"> had ruled out the other options as a matter of policy but that they remained open for consideration by Parliament as part of the proposed </w:t>
      </w:r>
      <w:r w:rsidR="002B7034" w:rsidRPr="004F2D82">
        <w:rPr>
          <w:rFonts w:ascii="Times New Roman" w:hAnsi="Times New Roman"/>
          <w:sz w:val="20"/>
        </w:rPr>
        <w:t>H</w:t>
      </w:r>
      <w:r w:rsidRPr="004F2D82">
        <w:rPr>
          <w:rFonts w:ascii="Times New Roman" w:hAnsi="Times New Roman"/>
          <w:sz w:val="20"/>
        </w:rPr>
        <w:t xml:space="preserve">ybrid </w:t>
      </w:r>
      <w:r w:rsidR="002B7034" w:rsidRPr="004F2D82">
        <w:rPr>
          <w:rFonts w:ascii="Times New Roman" w:hAnsi="Times New Roman"/>
          <w:sz w:val="20"/>
        </w:rPr>
        <w:t>B</w:t>
      </w:r>
      <w:r w:rsidRPr="004F2D82">
        <w:rPr>
          <w:rFonts w:ascii="Times New Roman" w:hAnsi="Times New Roman"/>
          <w:sz w:val="20"/>
        </w:rPr>
        <w:t>ill.</w:t>
      </w:r>
      <w:r w:rsidRPr="004F2D82">
        <w:rPr>
          <w:rStyle w:val="FootnoteReference"/>
          <w:sz w:val="20"/>
        </w:rPr>
        <w:footnoteReference w:id="82"/>
      </w:r>
      <w:r w:rsidRPr="004F2D82">
        <w:rPr>
          <w:rFonts w:ascii="Times New Roman" w:hAnsi="Times New Roman"/>
          <w:sz w:val="20"/>
        </w:rPr>
        <w:t xml:space="preserve"> It also states</w:t>
      </w:r>
      <w:r w:rsidR="00C53868" w:rsidRPr="004F2D82">
        <w:rPr>
          <w:rFonts w:ascii="Times New Roman" w:hAnsi="Times New Roman"/>
          <w:sz w:val="20"/>
        </w:rPr>
        <w:t xml:space="preserve"> that the </w:t>
      </w:r>
      <w:r w:rsidR="00E41D4C" w:rsidRPr="004F2D82">
        <w:rPr>
          <w:rFonts w:ascii="Times New Roman" w:hAnsi="Times New Roman"/>
          <w:sz w:val="20"/>
        </w:rPr>
        <w:t xml:space="preserve">environmental statement included all major options and environmental studies considered by the Government, with strategic or major options being contained in </w:t>
      </w:r>
      <w:r w:rsidR="00B15873" w:rsidRPr="004F2D82">
        <w:rPr>
          <w:rFonts w:ascii="Times New Roman" w:hAnsi="Times New Roman"/>
          <w:sz w:val="20"/>
        </w:rPr>
        <w:t xml:space="preserve"> </w:t>
      </w:r>
      <w:r w:rsidR="00E41D4C" w:rsidRPr="004F2D82">
        <w:rPr>
          <w:rFonts w:ascii="Times New Roman" w:hAnsi="Times New Roman"/>
          <w:sz w:val="20"/>
        </w:rPr>
        <w:t>“The Alternatives Report” while more localise</w:t>
      </w:r>
      <w:r w:rsidR="007F2E2C" w:rsidRPr="004F2D82">
        <w:rPr>
          <w:rFonts w:ascii="Times New Roman" w:hAnsi="Times New Roman"/>
          <w:sz w:val="20"/>
        </w:rPr>
        <w:t>d</w:t>
      </w:r>
      <w:r w:rsidR="00E41D4C" w:rsidRPr="004F2D82">
        <w:rPr>
          <w:rFonts w:ascii="Times New Roman" w:hAnsi="Times New Roman"/>
          <w:sz w:val="20"/>
        </w:rPr>
        <w:t xml:space="preserve"> alternatives were included in the </w:t>
      </w:r>
      <w:r w:rsidR="00D621B9" w:rsidRPr="004F2D82">
        <w:rPr>
          <w:rFonts w:ascii="Times New Roman" w:hAnsi="Times New Roman"/>
          <w:sz w:val="20"/>
        </w:rPr>
        <w:t xml:space="preserve"> </w:t>
      </w:r>
      <w:r w:rsidR="00E41D4C" w:rsidRPr="004F2D82">
        <w:rPr>
          <w:rFonts w:ascii="Times New Roman" w:hAnsi="Times New Roman"/>
          <w:sz w:val="20"/>
        </w:rPr>
        <w:t>“Community Forum Area Reports</w:t>
      </w:r>
      <w:r w:rsidR="00E41D4C" w:rsidRPr="004F2D82">
        <w:rPr>
          <w:rFonts w:ascii="Times New Roman" w:eastAsia="Times New Roman" w:hAnsi="Times New Roman" w:cs="Times New Roman"/>
          <w:sz w:val="20"/>
          <w:szCs w:val="20"/>
        </w:rPr>
        <w:t>”</w:t>
      </w:r>
      <w:r w:rsidR="00873F2C" w:rsidRPr="004F2D82">
        <w:rPr>
          <w:rFonts w:ascii="Times New Roman" w:eastAsia="Times New Roman" w:hAnsi="Times New Roman" w:cs="Times New Roman"/>
          <w:sz w:val="20"/>
          <w:szCs w:val="20"/>
        </w:rPr>
        <w:t>, both published in November 2013</w:t>
      </w:r>
      <w:r w:rsidR="00E41D4C" w:rsidRPr="004F2D82">
        <w:rPr>
          <w:rFonts w:ascii="Times New Roman" w:eastAsia="Times New Roman" w:hAnsi="Times New Roman" w:cs="Times New Roman"/>
          <w:sz w:val="20"/>
          <w:szCs w:val="20"/>
        </w:rPr>
        <w:t>.</w:t>
      </w:r>
      <w:r w:rsidR="00E41D4C" w:rsidRPr="004F2D82">
        <w:rPr>
          <w:rStyle w:val="FootnoteReference"/>
        </w:rPr>
        <w:footnoteReference w:id="83"/>
      </w:r>
    </w:p>
    <w:p w14:paraId="465501C4" w14:textId="4A2AD15A" w:rsidR="001E369E" w:rsidRPr="004F2D82" w:rsidRDefault="007938C4" w:rsidP="005D584F">
      <w:pPr>
        <w:tabs>
          <w:tab w:val="left" w:pos="1134"/>
        </w:tabs>
        <w:suppressAutoHyphens/>
        <w:spacing w:after="120" w:line="240" w:lineRule="atLeast"/>
        <w:ind w:left="567" w:right="1134"/>
        <w:jc w:val="both"/>
        <w:rPr>
          <w:rFonts w:ascii="Times New Roman" w:eastAsia="Times New Roman" w:hAnsi="Times New Roman" w:cs="Times New Roman"/>
          <w:i/>
          <w:sz w:val="20"/>
          <w:szCs w:val="20"/>
        </w:rPr>
      </w:pPr>
      <w:r w:rsidRPr="004F2D82">
        <w:rPr>
          <w:rFonts w:ascii="Times New Roman" w:eastAsia="Times New Roman" w:hAnsi="Times New Roman" w:cs="Times New Roman"/>
          <w:i/>
          <w:sz w:val="20"/>
          <w:szCs w:val="20"/>
        </w:rPr>
        <w:t xml:space="preserve">Within a transparent and fair framework, having provided the </w:t>
      </w:r>
      <w:r w:rsidR="00C53868" w:rsidRPr="004F2D82">
        <w:rPr>
          <w:rFonts w:ascii="Times New Roman" w:eastAsia="Times New Roman" w:hAnsi="Times New Roman" w:cs="Times New Roman"/>
          <w:i/>
          <w:sz w:val="20"/>
          <w:szCs w:val="20"/>
        </w:rPr>
        <w:t xml:space="preserve">necessary </w:t>
      </w:r>
      <w:r w:rsidR="001E369E" w:rsidRPr="004F2D82">
        <w:rPr>
          <w:rFonts w:ascii="Times New Roman" w:eastAsia="Times New Roman" w:hAnsi="Times New Roman" w:cs="Times New Roman"/>
          <w:i/>
          <w:sz w:val="20"/>
          <w:szCs w:val="20"/>
        </w:rPr>
        <w:t>information</w:t>
      </w:r>
      <w:r w:rsidR="00DF677E" w:rsidRPr="004F2D82">
        <w:rPr>
          <w:rFonts w:ascii="Times New Roman" w:eastAsia="Times New Roman" w:hAnsi="Times New Roman" w:cs="Times New Roman"/>
          <w:i/>
          <w:sz w:val="20"/>
          <w:szCs w:val="20"/>
        </w:rPr>
        <w:t xml:space="preserve"> to the public</w:t>
      </w:r>
    </w:p>
    <w:p w14:paraId="7F11E76A" w14:textId="6C3BBBBD" w:rsidR="00134957" w:rsidRPr="004F2D82" w:rsidRDefault="00134957"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The communicant submits that what constitutes the “necessary information” </w:t>
      </w:r>
      <w:r w:rsidR="00881015" w:rsidRPr="004F2D82">
        <w:rPr>
          <w:rFonts w:ascii="Times New Roman" w:hAnsi="Times New Roman"/>
          <w:sz w:val="20"/>
        </w:rPr>
        <w:t>to</w:t>
      </w:r>
      <w:r w:rsidRPr="004F2D82">
        <w:rPr>
          <w:rFonts w:ascii="Times New Roman" w:hAnsi="Times New Roman"/>
          <w:sz w:val="20"/>
        </w:rPr>
        <w:t xml:space="preserve"> be provided to the public in any given case ought to be judged by (i) the overall aim of securing a “transparent and fair framework” for early and effective participation in the choice between “all the options” and (ii) the context in which </w:t>
      </w:r>
      <w:r w:rsidR="00881015" w:rsidRPr="004F2D82">
        <w:rPr>
          <w:rFonts w:ascii="Times New Roman" w:hAnsi="Times New Roman"/>
          <w:sz w:val="20"/>
        </w:rPr>
        <w:t>a</w:t>
      </w:r>
      <w:r w:rsidRPr="004F2D82">
        <w:rPr>
          <w:rFonts w:ascii="Times New Roman" w:hAnsi="Times New Roman"/>
          <w:sz w:val="20"/>
        </w:rPr>
        <w:t>rticle 7 sits, namely the pillar of the Convention dealing with public participation in environmental decision-making.</w:t>
      </w:r>
      <w:r w:rsidRPr="004F2D82">
        <w:rPr>
          <w:rStyle w:val="FootnoteReference"/>
          <w:sz w:val="20"/>
        </w:rPr>
        <w:footnoteReference w:id="84"/>
      </w:r>
      <w:r w:rsidRPr="004F2D82">
        <w:rPr>
          <w:rFonts w:ascii="Times New Roman" w:hAnsi="Times New Roman"/>
          <w:sz w:val="20"/>
        </w:rPr>
        <w:t xml:space="preserve"> It </w:t>
      </w:r>
      <w:r w:rsidRPr="004F2D82">
        <w:rPr>
          <w:rFonts w:ascii="Times New Roman" w:hAnsi="Times New Roman"/>
          <w:sz w:val="20"/>
        </w:rPr>
        <w:lastRenderedPageBreak/>
        <w:t xml:space="preserve">submits that it follows from this that the “necessary information”, if the consultation is to be </w:t>
      </w:r>
      <w:r w:rsidR="00881015" w:rsidRPr="004F2D82">
        <w:rPr>
          <w:rFonts w:ascii="Times New Roman" w:hAnsi="Times New Roman"/>
          <w:sz w:val="20"/>
        </w:rPr>
        <w:t>“</w:t>
      </w:r>
      <w:r w:rsidRPr="004F2D82">
        <w:rPr>
          <w:rFonts w:ascii="Times New Roman" w:hAnsi="Times New Roman"/>
          <w:sz w:val="20"/>
        </w:rPr>
        <w:t>effective</w:t>
      </w:r>
      <w:r w:rsidR="00881015" w:rsidRPr="004F2D82">
        <w:rPr>
          <w:rFonts w:ascii="Times New Roman" w:hAnsi="Times New Roman"/>
          <w:sz w:val="20"/>
        </w:rPr>
        <w:t>”</w:t>
      </w:r>
      <w:r w:rsidRPr="004F2D82">
        <w:rPr>
          <w:rFonts w:ascii="Times New Roman" w:hAnsi="Times New Roman"/>
          <w:sz w:val="20"/>
        </w:rPr>
        <w:t>, must cover: (1) all the options: not just the authority’s preferred option; (2)</w:t>
      </w:r>
      <w:r w:rsidR="00966711" w:rsidRPr="004F2D82">
        <w:rPr>
          <w:rFonts w:ascii="Times New Roman" w:hAnsi="Times New Roman"/>
          <w:sz w:val="20"/>
        </w:rPr>
        <w:t xml:space="preserve"> </w:t>
      </w:r>
      <w:r w:rsidRPr="004F2D82">
        <w:rPr>
          <w:rFonts w:ascii="Times New Roman" w:hAnsi="Times New Roman"/>
          <w:sz w:val="20"/>
        </w:rPr>
        <w:t>with sufficient information</w:t>
      </w:r>
      <w:r w:rsidR="00966711" w:rsidRPr="004F2D82">
        <w:rPr>
          <w:rFonts w:ascii="Times New Roman" w:hAnsi="Times New Roman"/>
          <w:sz w:val="20"/>
        </w:rPr>
        <w:t xml:space="preserve"> </w:t>
      </w:r>
      <w:r w:rsidRPr="004F2D82">
        <w:rPr>
          <w:rFonts w:ascii="Times New Roman" w:hAnsi="Times New Roman"/>
          <w:sz w:val="20"/>
        </w:rPr>
        <w:t xml:space="preserve">to provide the public with a </w:t>
      </w:r>
      <w:r w:rsidR="00881015" w:rsidRPr="004F2D82">
        <w:rPr>
          <w:rFonts w:ascii="Times New Roman" w:hAnsi="Times New Roman"/>
          <w:sz w:val="20"/>
        </w:rPr>
        <w:t>“</w:t>
      </w:r>
      <w:r w:rsidRPr="004F2D82">
        <w:rPr>
          <w:rFonts w:ascii="Times New Roman" w:hAnsi="Times New Roman"/>
          <w:sz w:val="20"/>
        </w:rPr>
        <w:t xml:space="preserve">transparent” opportunity to comment on the relative merits of the options; which necessitates (3) an equivalent level of information about “all the options” so that the process is “fair” and not biased in favour of or against particular options; and (4) </w:t>
      </w:r>
      <w:r w:rsidR="00966711" w:rsidRPr="004F2D82">
        <w:rPr>
          <w:rFonts w:ascii="Times New Roman" w:hAnsi="Times New Roman"/>
          <w:sz w:val="20"/>
        </w:rPr>
        <w:t xml:space="preserve">an equivalent level of information </w:t>
      </w:r>
      <w:r w:rsidRPr="004F2D82">
        <w:rPr>
          <w:rFonts w:ascii="Times New Roman" w:hAnsi="Times New Roman"/>
          <w:sz w:val="20"/>
        </w:rPr>
        <w:t>as to their environmental effects.</w:t>
      </w:r>
      <w:r w:rsidRPr="004F2D82">
        <w:rPr>
          <w:rStyle w:val="FootnoteReference"/>
          <w:sz w:val="20"/>
        </w:rPr>
        <w:footnoteReference w:id="85"/>
      </w:r>
      <w:r w:rsidRPr="004F2D82">
        <w:rPr>
          <w:rFonts w:ascii="Times New Roman" w:hAnsi="Times New Roman"/>
          <w:sz w:val="20"/>
        </w:rPr>
        <w:t xml:space="preserve"> The communicant submit</w:t>
      </w:r>
      <w:r w:rsidR="00543742" w:rsidRPr="004F2D82">
        <w:rPr>
          <w:rFonts w:ascii="Times New Roman" w:hAnsi="Times New Roman"/>
          <w:sz w:val="20"/>
        </w:rPr>
        <w:t>s</w:t>
      </w:r>
      <w:r w:rsidRPr="004F2D82">
        <w:rPr>
          <w:rFonts w:ascii="Times New Roman" w:hAnsi="Times New Roman"/>
          <w:sz w:val="20"/>
        </w:rPr>
        <w:t xml:space="preserve"> that the requirements of </w:t>
      </w:r>
      <w:r w:rsidR="00966711" w:rsidRPr="004F2D82">
        <w:rPr>
          <w:rFonts w:ascii="Times New Roman" w:hAnsi="Times New Roman"/>
          <w:sz w:val="20"/>
        </w:rPr>
        <w:t>a</w:t>
      </w:r>
      <w:r w:rsidRPr="004F2D82">
        <w:rPr>
          <w:rFonts w:ascii="Times New Roman" w:hAnsi="Times New Roman"/>
          <w:sz w:val="20"/>
        </w:rPr>
        <w:t>rticle 7 are therefore not met where: (1) some or all of the options considered by th</w:t>
      </w:r>
      <w:r w:rsidR="002B7034" w:rsidRPr="004F2D82">
        <w:rPr>
          <w:rFonts w:ascii="Times New Roman" w:hAnsi="Times New Roman"/>
          <w:sz w:val="20"/>
        </w:rPr>
        <w:t>e</w:t>
      </w:r>
      <w:r w:rsidRPr="004F2D82">
        <w:rPr>
          <w:rFonts w:ascii="Times New Roman" w:hAnsi="Times New Roman"/>
          <w:sz w:val="20"/>
        </w:rPr>
        <w:t xml:space="preserve"> authority responsible for the plan or programme are ruled out without prior, appropriately informed, public participation; or (2) no information is given about particular options or their environmental effects; or (3) the level of information provided about some options is considerably more detailed than the level of information provided about other options.</w:t>
      </w:r>
      <w:r w:rsidRPr="004F2D82">
        <w:rPr>
          <w:rStyle w:val="FootnoteReference"/>
          <w:sz w:val="20"/>
        </w:rPr>
        <w:footnoteReference w:id="86"/>
      </w:r>
    </w:p>
    <w:p w14:paraId="3A3A24F5" w14:textId="63ED687F" w:rsidR="0075706E" w:rsidRPr="004F2D82" w:rsidRDefault="00F034F7" w:rsidP="00A244F5">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The communicant concede</w:t>
      </w:r>
      <w:r w:rsidR="00543742" w:rsidRPr="004F2D82">
        <w:rPr>
          <w:rFonts w:ascii="Times New Roman" w:hAnsi="Times New Roman"/>
          <w:sz w:val="20"/>
        </w:rPr>
        <w:t>s</w:t>
      </w:r>
      <w:r w:rsidRPr="004F2D82">
        <w:rPr>
          <w:rFonts w:ascii="Times New Roman" w:hAnsi="Times New Roman"/>
          <w:sz w:val="20"/>
        </w:rPr>
        <w:t xml:space="preserve"> that article 7 does not expressly incorporate </w:t>
      </w:r>
      <w:r w:rsidR="002B37FE" w:rsidRPr="004F2D82">
        <w:rPr>
          <w:rFonts w:ascii="Times New Roman" w:hAnsi="Times New Roman"/>
          <w:sz w:val="20"/>
        </w:rPr>
        <w:t xml:space="preserve">the standards in </w:t>
      </w:r>
      <w:r w:rsidRPr="004F2D82">
        <w:rPr>
          <w:rFonts w:ascii="Times New Roman" w:hAnsi="Times New Roman"/>
          <w:sz w:val="20"/>
        </w:rPr>
        <w:t>article 6</w:t>
      </w:r>
      <w:r w:rsidR="006A672F" w:rsidRPr="004F2D82">
        <w:rPr>
          <w:rFonts w:ascii="Times New Roman" w:hAnsi="Times New Roman"/>
          <w:sz w:val="20"/>
        </w:rPr>
        <w:t>(</w:t>
      </w:r>
      <w:r w:rsidRPr="004F2D82">
        <w:rPr>
          <w:rFonts w:ascii="Times New Roman" w:hAnsi="Times New Roman"/>
          <w:sz w:val="20"/>
        </w:rPr>
        <w:t>6</w:t>
      </w:r>
      <w:r w:rsidR="006A672F" w:rsidRPr="004F2D82">
        <w:rPr>
          <w:rFonts w:ascii="Times New Roman" w:hAnsi="Times New Roman"/>
          <w:sz w:val="20"/>
        </w:rPr>
        <w:t>)</w:t>
      </w:r>
      <w:r w:rsidRPr="004F2D82">
        <w:rPr>
          <w:rFonts w:ascii="Times New Roman" w:hAnsi="Times New Roman"/>
          <w:sz w:val="20"/>
        </w:rPr>
        <w:t xml:space="preserve"> of the Conventio</w:t>
      </w:r>
      <w:r w:rsidR="002B37FE" w:rsidRPr="004F2D82">
        <w:rPr>
          <w:rFonts w:ascii="Times New Roman" w:hAnsi="Times New Roman"/>
          <w:sz w:val="20"/>
        </w:rPr>
        <w:t>n.</w:t>
      </w:r>
      <w:r w:rsidRPr="004F2D82">
        <w:rPr>
          <w:rStyle w:val="FootnoteReference"/>
          <w:sz w:val="20"/>
        </w:rPr>
        <w:footnoteReference w:id="87"/>
      </w:r>
      <w:r w:rsidRPr="004F2D82">
        <w:rPr>
          <w:rFonts w:ascii="Times New Roman" w:hAnsi="Times New Roman"/>
          <w:sz w:val="20"/>
        </w:rPr>
        <w:t xml:space="preserve"> It submits, however,</w:t>
      </w:r>
      <w:r w:rsidRPr="004F2D82">
        <w:rPr>
          <w:rFonts w:ascii="Times New Roman" w:hAnsi="Times New Roman" w:cs="Times New Roman"/>
          <w:sz w:val="20"/>
          <w:szCs w:val="20"/>
        </w:rPr>
        <w:t xml:space="preserve"> </w:t>
      </w:r>
      <w:r w:rsidR="0034701F" w:rsidRPr="004F2D82">
        <w:rPr>
          <w:rFonts w:ascii="Times New Roman" w:hAnsi="Times New Roman" w:cs="Times New Roman"/>
          <w:sz w:val="20"/>
          <w:szCs w:val="20"/>
        </w:rPr>
        <w:t>that</w:t>
      </w:r>
      <w:r w:rsidR="0034701F" w:rsidRPr="004F2D82">
        <w:rPr>
          <w:rFonts w:ascii="Times New Roman" w:hAnsi="Times New Roman"/>
          <w:sz w:val="20"/>
        </w:rPr>
        <w:t xml:space="preserve"> </w:t>
      </w:r>
      <w:r w:rsidRPr="004F2D82">
        <w:rPr>
          <w:rFonts w:ascii="Times New Roman" w:hAnsi="Times New Roman"/>
          <w:sz w:val="20"/>
        </w:rPr>
        <w:t xml:space="preserve">what constitutes the “necessary information” under article 7, </w:t>
      </w:r>
      <w:r w:rsidR="00966711" w:rsidRPr="004F2D82">
        <w:rPr>
          <w:rFonts w:ascii="Times New Roman" w:hAnsi="Times New Roman"/>
          <w:sz w:val="20"/>
        </w:rPr>
        <w:t xml:space="preserve">must </w:t>
      </w:r>
      <w:r w:rsidRPr="004F2D82">
        <w:rPr>
          <w:rFonts w:ascii="Times New Roman" w:hAnsi="Times New Roman"/>
          <w:sz w:val="20"/>
        </w:rPr>
        <w:t xml:space="preserve">not only </w:t>
      </w:r>
      <w:r w:rsidR="00966711" w:rsidRPr="004F2D82">
        <w:rPr>
          <w:rFonts w:ascii="Times New Roman" w:hAnsi="Times New Roman"/>
          <w:sz w:val="20"/>
        </w:rPr>
        <w:t xml:space="preserve">be </w:t>
      </w:r>
      <w:r w:rsidRPr="004F2D82">
        <w:rPr>
          <w:rFonts w:ascii="Times New Roman" w:hAnsi="Times New Roman"/>
          <w:sz w:val="20"/>
        </w:rPr>
        <w:t xml:space="preserve">consistent with the wording and purpose of </w:t>
      </w:r>
      <w:r w:rsidR="00966711" w:rsidRPr="004F2D82">
        <w:rPr>
          <w:rFonts w:ascii="Times New Roman" w:hAnsi="Times New Roman"/>
          <w:sz w:val="20"/>
        </w:rPr>
        <w:t>a</w:t>
      </w:r>
      <w:r w:rsidRPr="004F2D82">
        <w:rPr>
          <w:rFonts w:ascii="Times New Roman" w:hAnsi="Times New Roman"/>
          <w:sz w:val="20"/>
        </w:rPr>
        <w:t>rticle 7 but also consistent with other international standards for public participation concerning plans and programmes.</w:t>
      </w:r>
      <w:r w:rsidRPr="004F2D82">
        <w:rPr>
          <w:rStyle w:val="FootnoteReference"/>
          <w:sz w:val="20"/>
        </w:rPr>
        <w:t xml:space="preserve"> </w:t>
      </w:r>
      <w:r w:rsidRPr="004F2D82">
        <w:rPr>
          <w:rFonts w:ascii="Times New Roman" w:hAnsi="Times New Roman"/>
          <w:sz w:val="20"/>
        </w:rPr>
        <w:t xml:space="preserve">In this regard, it refers to </w:t>
      </w:r>
      <w:r w:rsidR="0034701F" w:rsidRPr="004F2D82">
        <w:rPr>
          <w:rFonts w:ascii="Times New Roman" w:hAnsi="Times New Roman" w:cs="Times New Roman"/>
          <w:sz w:val="20"/>
          <w:szCs w:val="20"/>
        </w:rPr>
        <w:t xml:space="preserve">the </w:t>
      </w:r>
      <w:r w:rsidRPr="004F2D82">
        <w:rPr>
          <w:rFonts w:ascii="Times New Roman" w:hAnsi="Times New Roman"/>
          <w:sz w:val="20"/>
        </w:rPr>
        <w:t xml:space="preserve">SEA Directive and the Protocol on Strategic Environmental Assessment to the Convention on Environmental Impact Assessment </w:t>
      </w:r>
      <w:r w:rsidR="0034701F" w:rsidRPr="004F2D82">
        <w:rPr>
          <w:rFonts w:ascii="Times New Roman" w:hAnsi="Times New Roman" w:cs="Times New Roman"/>
          <w:sz w:val="20"/>
          <w:szCs w:val="20"/>
        </w:rPr>
        <w:t>i</w:t>
      </w:r>
      <w:r w:rsidRPr="004F2D82">
        <w:rPr>
          <w:rFonts w:ascii="Times New Roman" w:hAnsi="Times New Roman" w:cs="Times New Roman"/>
          <w:sz w:val="20"/>
          <w:szCs w:val="20"/>
        </w:rPr>
        <w:t>n</w:t>
      </w:r>
      <w:r w:rsidRPr="004F2D82">
        <w:rPr>
          <w:rFonts w:ascii="Times New Roman" w:hAnsi="Times New Roman"/>
          <w:sz w:val="20"/>
        </w:rPr>
        <w:t xml:space="preserve"> a Transboundary Context (“the </w:t>
      </w:r>
      <w:r w:rsidR="00966711" w:rsidRPr="004F2D82">
        <w:rPr>
          <w:rFonts w:ascii="Times New Roman" w:hAnsi="Times New Roman"/>
          <w:sz w:val="20"/>
        </w:rPr>
        <w:t>SEA</w:t>
      </w:r>
      <w:r w:rsidRPr="004F2D82">
        <w:rPr>
          <w:rFonts w:ascii="Times New Roman" w:hAnsi="Times New Roman"/>
          <w:sz w:val="20"/>
        </w:rPr>
        <w:t xml:space="preserve"> Protocol”) which it contends are both instruments aimed at securing effective public participation in the preparation of certain plans and programmes. It asserts that their contents are therefore indicative of developing international norms of what measures are</w:t>
      </w:r>
      <w:r w:rsidR="00966711" w:rsidRPr="004F2D82">
        <w:rPr>
          <w:rFonts w:ascii="Times New Roman" w:hAnsi="Times New Roman"/>
          <w:sz w:val="20"/>
        </w:rPr>
        <w:t xml:space="preserve"> </w:t>
      </w:r>
      <w:r w:rsidRPr="004F2D82">
        <w:rPr>
          <w:rFonts w:ascii="Times New Roman" w:hAnsi="Times New Roman"/>
          <w:sz w:val="20"/>
        </w:rPr>
        <w:t xml:space="preserve">appropriate to achieve that objective. It notes that article 5 of the SEA Directive and article 7 of the </w:t>
      </w:r>
      <w:r w:rsidR="00202475" w:rsidRPr="004F2D82">
        <w:rPr>
          <w:rFonts w:ascii="Times New Roman" w:hAnsi="Times New Roman" w:cs="Times New Roman"/>
          <w:sz w:val="20"/>
          <w:szCs w:val="20"/>
        </w:rPr>
        <w:t>SEA</w:t>
      </w:r>
      <w:r w:rsidR="00202475" w:rsidRPr="004F2D82">
        <w:rPr>
          <w:rFonts w:ascii="Times New Roman" w:hAnsi="Times New Roman"/>
          <w:sz w:val="20"/>
        </w:rPr>
        <w:t xml:space="preserve"> </w:t>
      </w:r>
      <w:r w:rsidRPr="004F2D82">
        <w:rPr>
          <w:rFonts w:ascii="Times New Roman" w:hAnsi="Times New Roman"/>
          <w:sz w:val="20"/>
        </w:rPr>
        <w:t>Protocol both require that the environmental assessment of plans and programmes to which those instruments apply must involve the publication of</w:t>
      </w:r>
      <w:r w:rsidR="00BB6081" w:rsidRPr="004F2D82">
        <w:rPr>
          <w:rFonts w:ascii="Times New Roman" w:hAnsi="Times New Roman"/>
          <w:sz w:val="20"/>
        </w:rPr>
        <w:t xml:space="preserve">, </w:t>
      </w:r>
      <w:r w:rsidRPr="004F2D82">
        <w:rPr>
          <w:rFonts w:ascii="Times New Roman" w:hAnsi="Times New Roman"/>
          <w:sz w:val="20"/>
        </w:rPr>
        <w:t>and subsequent consultation on</w:t>
      </w:r>
      <w:r w:rsidR="00BB6081" w:rsidRPr="004F2D82">
        <w:rPr>
          <w:rFonts w:ascii="Times New Roman" w:hAnsi="Times New Roman"/>
          <w:sz w:val="20"/>
        </w:rPr>
        <w:t>,</w:t>
      </w:r>
      <w:r w:rsidRPr="004F2D82">
        <w:rPr>
          <w:rFonts w:ascii="Times New Roman" w:hAnsi="Times New Roman"/>
          <w:sz w:val="20"/>
        </w:rPr>
        <w:t xml:space="preserve"> an environmental report which must identify, describe and evaluate the likely significant effects both of the responsible authority’s preferred options and of the “reasonable alternatives” to those options.</w:t>
      </w:r>
      <w:r w:rsidRPr="004F2D82">
        <w:rPr>
          <w:rStyle w:val="FootnoteReference"/>
          <w:sz w:val="20"/>
        </w:rPr>
        <w:footnoteReference w:id="88"/>
      </w:r>
      <w:r w:rsidRPr="004F2D82">
        <w:rPr>
          <w:rFonts w:ascii="Times New Roman" w:hAnsi="Times New Roman"/>
          <w:sz w:val="20"/>
        </w:rPr>
        <w:t xml:space="preserve"> </w:t>
      </w:r>
      <w:r w:rsidR="00673D80" w:rsidRPr="004F2D82">
        <w:rPr>
          <w:rFonts w:ascii="Times New Roman" w:hAnsi="Times New Roman"/>
          <w:sz w:val="20"/>
        </w:rPr>
        <w:t xml:space="preserve">The communicant submits that </w:t>
      </w:r>
      <w:r w:rsidR="00966711" w:rsidRPr="004F2D82">
        <w:rPr>
          <w:rFonts w:ascii="Times New Roman" w:hAnsi="Times New Roman"/>
          <w:sz w:val="20"/>
        </w:rPr>
        <w:t>t</w:t>
      </w:r>
      <w:r w:rsidR="00673D80" w:rsidRPr="004F2D82">
        <w:rPr>
          <w:rFonts w:ascii="Times New Roman" w:hAnsi="Times New Roman"/>
          <w:sz w:val="20"/>
        </w:rPr>
        <w:t xml:space="preserve">here is no justification for concluding that the level of environmental information required by </w:t>
      </w:r>
      <w:r w:rsidR="00966711" w:rsidRPr="004F2D82">
        <w:rPr>
          <w:rFonts w:ascii="Times New Roman" w:hAnsi="Times New Roman"/>
          <w:sz w:val="20"/>
        </w:rPr>
        <w:t>a</w:t>
      </w:r>
      <w:r w:rsidR="00673D80" w:rsidRPr="004F2D82">
        <w:rPr>
          <w:rFonts w:ascii="Times New Roman" w:hAnsi="Times New Roman"/>
          <w:sz w:val="20"/>
        </w:rPr>
        <w:t xml:space="preserve">rticle 7 of the Convention is lower than that of the internationally recognised standards set out in the SEA Directive and </w:t>
      </w:r>
      <w:r w:rsidR="00966711" w:rsidRPr="004F2D82">
        <w:rPr>
          <w:rFonts w:ascii="Times New Roman" w:hAnsi="Times New Roman"/>
          <w:sz w:val="20"/>
        </w:rPr>
        <w:t xml:space="preserve">the SEA </w:t>
      </w:r>
      <w:r w:rsidR="00673D80" w:rsidRPr="004F2D82">
        <w:rPr>
          <w:rFonts w:ascii="Times New Roman" w:hAnsi="Times New Roman"/>
          <w:sz w:val="20"/>
        </w:rPr>
        <w:t>Protocol.</w:t>
      </w:r>
      <w:r w:rsidR="00673D80" w:rsidRPr="004F2D82">
        <w:rPr>
          <w:rStyle w:val="FootnoteReference"/>
          <w:sz w:val="20"/>
        </w:rPr>
        <w:footnoteReference w:id="89"/>
      </w:r>
    </w:p>
    <w:p w14:paraId="45BD0FFE" w14:textId="48AFBD18" w:rsidR="00D3504E" w:rsidRPr="004F2D82" w:rsidRDefault="00D3504E" w:rsidP="00D3504E">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The communicant submit</w:t>
      </w:r>
      <w:r w:rsidR="00471F89" w:rsidRPr="004F2D82">
        <w:rPr>
          <w:rFonts w:ascii="Times New Roman" w:hAnsi="Times New Roman"/>
          <w:sz w:val="20"/>
        </w:rPr>
        <w:t>s</w:t>
      </w:r>
      <w:r w:rsidRPr="004F2D82">
        <w:rPr>
          <w:rFonts w:ascii="Times New Roman" w:hAnsi="Times New Roman"/>
          <w:sz w:val="20"/>
        </w:rPr>
        <w:t xml:space="preserve"> </w:t>
      </w:r>
      <w:r w:rsidR="00966711" w:rsidRPr="004F2D82">
        <w:rPr>
          <w:rFonts w:ascii="Times New Roman" w:hAnsi="Times New Roman"/>
          <w:sz w:val="20"/>
        </w:rPr>
        <w:t xml:space="preserve">further </w:t>
      </w:r>
      <w:r w:rsidRPr="004F2D82">
        <w:rPr>
          <w:rFonts w:ascii="Times New Roman" w:hAnsi="Times New Roman"/>
          <w:sz w:val="20"/>
        </w:rPr>
        <w:t xml:space="preserve">that, even if the Compliance Committee does not agree that the analysis outlined above sets out what article 7 requires in all cases, at the very least that analysis is applicable to the present context, namely a plan/programme for a national infrastructure development on a once-in-a-generation scale, with acknowledged very wide-ranging and significant environmental impacts, and in relation to which the body given responsibility for determining whether to grant development consent is </w:t>
      </w:r>
      <w:r w:rsidR="00202475" w:rsidRPr="004F2D82">
        <w:rPr>
          <w:rFonts w:ascii="Times New Roman" w:hAnsi="Times New Roman" w:cs="Times New Roman"/>
          <w:sz w:val="20"/>
          <w:szCs w:val="20"/>
        </w:rPr>
        <w:t>the</w:t>
      </w:r>
      <w:r w:rsidR="00202475" w:rsidRPr="004F2D82">
        <w:rPr>
          <w:rFonts w:ascii="Times New Roman" w:hAnsi="Times New Roman"/>
          <w:sz w:val="20"/>
        </w:rPr>
        <w:t xml:space="preserve"> </w:t>
      </w:r>
      <w:r w:rsidRPr="004F2D82">
        <w:rPr>
          <w:rFonts w:ascii="Times New Roman" w:hAnsi="Times New Roman"/>
          <w:sz w:val="20"/>
        </w:rPr>
        <w:t>national legislature. The communicant submit</w:t>
      </w:r>
      <w:r w:rsidR="00471F89" w:rsidRPr="004F2D82">
        <w:rPr>
          <w:rFonts w:ascii="Times New Roman" w:hAnsi="Times New Roman"/>
          <w:sz w:val="20"/>
        </w:rPr>
        <w:t>s</w:t>
      </w:r>
      <w:r w:rsidRPr="004F2D82">
        <w:rPr>
          <w:rFonts w:ascii="Times New Roman" w:hAnsi="Times New Roman"/>
          <w:sz w:val="20"/>
        </w:rPr>
        <w:t xml:space="preserve"> that this affects the level of environmental information necessary to provide effective public participation as required under </w:t>
      </w:r>
      <w:r w:rsidR="00EF63C9" w:rsidRPr="004F2D82">
        <w:rPr>
          <w:rFonts w:ascii="Times New Roman" w:hAnsi="Times New Roman"/>
          <w:sz w:val="20"/>
        </w:rPr>
        <w:t>a</w:t>
      </w:r>
      <w:r w:rsidRPr="004F2D82">
        <w:rPr>
          <w:rFonts w:ascii="Times New Roman" w:hAnsi="Times New Roman"/>
          <w:sz w:val="20"/>
        </w:rPr>
        <w:t>rticle 7 of the Convention.</w:t>
      </w:r>
      <w:r w:rsidRPr="004F2D82">
        <w:rPr>
          <w:rStyle w:val="FootnoteReference"/>
          <w:sz w:val="20"/>
        </w:rPr>
        <w:footnoteReference w:id="90"/>
      </w:r>
    </w:p>
    <w:p w14:paraId="2212A502" w14:textId="5FA1C937" w:rsidR="000C6AFE" w:rsidRPr="004F2D82" w:rsidRDefault="000C6AFE"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The communicant raise</w:t>
      </w:r>
      <w:r w:rsidR="00471F89" w:rsidRPr="004F2D82">
        <w:rPr>
          <w:rFonts w:ascii="Times New Roman" w:hAnsi="Times New Roman"/>
          <w:sz w:val="20"/>
        </w:rPr>
        <w:t>s</w:t>
      </w:r>
      <w:r w:rsidRPr="004F2D82">
        <w:rPr>
          <w:rFonts w:ascii="Times New Roman" w:hAnsi="Times New Roman"/>
          <w:sz w:val="20"/>
        </w:rPr>
        <w:t xml:space="preserve"> four specific issues in relation to which it </w:t>
      </w:r>
      <w:r w:rsidR="00DF677E" w:rsidRPr="004F2D82">
        <w:rPr>
          <w:rFonts w:ascii="Times New Roman" w:hAnsi="Times New Roman"/>
          <w:sz w:val="20"/>
        </w:rPr>
        <w:t>contends that</w:t>
      </w:r>
      <w:r w:rsidRPr="004F2D82">
        <w:rPr>
          <w:rFonts w:ascii="Times New Roman" w:hAnsi="Times New Roman"/>
          <w:sz w:val="20"/>
        </w:rPr>
        <w:t xml:space="preserve"> the Party concerned failed to provide </w:t>
      </w:r>
      <w:r w:rsidR="00202475" w:rsidRPr="004F2D82">
        <w:rPr>
          <w:rFonts w:ascii="Times New Roman" w:eastAsia="Times New Roman" w:hAnsi="Times New Roman" w:cs="Times New Roman"/>
          <w:sz w:val="20"/>
          <w:szCs w:val="20"/>
        </w:rPr>
        <w:t xml:space="preserve">the necessary </w:t>
      </w:r>
      <w:r w:rsidRPr="004F2D82">
        <w:rPr>
          <w:rFonts w:ascii="Times New Roman" w:hAnsi="Times New Roman"/>
          <w:sz w:val="20"/>
        </w:rPr>
        <w:t xml:space="preserve">information </w:t>
      </w:r>
      <w:proofErr w:type="gramStart"/>
      <w:r w:rsidRPr="004F2D82">
        <w:rPr>
          <w:rFonts w:ascii="Times New Roman" w:hAnsi="Times New Roman"/>
          <w:sz w:val="20"/>
        </w:rPr>
        <w:t>in order for</w:t>
      </w:r>
      <w:proofErr w:type="gramEnd"/>
      <w:r w:rsidRPr="004F2D82">
        <w:rPr>
          <w:rFonts w:ascii="Times New Roman" w:hAnsi="Times New Roman"/>
          <w:sz w:val="20"/>
        </w:rPr>
        <w:t xml:space="preserve"> the members of the public to understand the relative impacts of the </w:t>
      </w:r>
      <w:r w:rsidR="002C3234" w:rsidRPr="004F2D82">
        <w:rPr>
          <w:rFonts w:ascii="Times New Roman" w:hAnsi="Times New Roman"/>
          <w:sz w:val="20"/>
        </w:rPr>
        <w:t>High Speed 2</w:t>
      </w:r>
      <w:r w:rsidRPr="004F2D82">
        <w:rPr>
          <w:rFonts w:ascii="Times New Roman" w:hAnsi="Times New Roman"/>
          <w:sz w:val="20"/>
        </w:rPr>
        <w:t xml:space="preserve"> proposals against alternative options. These are discussed under separate headings </w:t>
      </w:r>
      <w:r w:rsidR="00202475" w:rsidRPr="004F2D82">
        <w:rPr>
          <w:rFonts w:ascii="Times New Roman" w:eastAsia="Times New Roman" w:hAnsi="Times New Roman" w:cs="Times New Roman"/>
          <w:sz w:val="20"/>
          <w:szCs w:val="20"/>
        </w:rPr>
        <w:t xml:space="preserve">in paragraphs </w:t>
      </w:r>
      <w:r w:rsidR="00202475" w:rsidRPr="004F2D82">
        <w:rPr>
          <w:rFonts w:ascii="Times New Roman" w:eastAsia="Times New Roman" w:hAnsi="Times New Roman" w:cs="Times New Roman"/>
          <w:sz w:val="20"/>
          <w:szCs w:val="20"/>
        </w:rPr>
        <w:fldChar w:fldCharType="begin"/>
      </w:r>
      <w:r w:rsidR="00202475" w:rsidRPr="004F2D82">
        <w:rPr>
          <w:rFonts w:ascii="Times New Roman" w:eastAsia="Times New Roman" w:hAnsi="Times New Roman" w:cs="Times New Roman"/>
          <w:sz w:val="20"/>
          <w:szCs w:val="20"/>
        </w:rPr>
        <w:instrText xml:space="preserve"> REF _Ref494299772 \r \h </w:instrText>
      </w:r>
      <w:r w:rsidR="009604B4" w:rsidRPr="004F2D82">
        <w:rPr>
          <w:rFonts w:ascii="Times New Roman" w:eastAsia="Times New Roman" w:hAnsi="Times New Roman" w:cs="Times New Roman"/>
          <w:sz w:val="20"/>
          <w:szCs w:val="20"/>
        </w:rPr>
        <w:instrText xml:space="preserve"> \* MERGEFORMAT </w:instrText>
      </w:r>
      <w:r w:rsidR="00202475" w:rsidRPr="004F2D82">
        <w:rPr>
          <w:rFonts w:ascii="Times New Roman" w:eastAsia="Times New Roman" w:hAnsi="Times New Roman" w:cs="Times New Roman"/>
          <w:sz w:val="20"/>
          <w:szCs w:val="20"/>
        </w:rPr>
      </w:r>
      <w:r w:rsidR="00202475"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68</w:t>
      </w:r>
      <w:r w:rsidR="00202475" w:rsidRPr="004F2D82">
        <w:rPr>
          <w:rFonts w:ascii="Times New Roman" w:eastAsia="Times New Roman" w:hAnsi="Times New Roman" w:cs="Times New Roman"/>
          <w:sz w:val="20"/>
          <w:szCs w:val="20"/>
        </w:rPr>
        <w:fldChar w:fldCharType="end"/>
      </w:r>
      <w:r w:rsidR="00202475" w:rsidRPr="004F2D82">
        <w:rPr>
          <w:rFonts w:ascii="Times New Roman" w:eastAsia="Times New Roman" w:hAnsi="Times New Roman" w:cs="Times New Roman"/>
          <w:sz w:val="20"/>
          <w:szCs w:val="20"/>
        </w:rPr>
        <w:t>-</w:t>
      </w:r>
      <w:r w:rsidR="00202475" w:rsidRPr="004F2D82">
        <w:rPr>
          <w:rFonts w:ascii="Times New Roman" w:eastAsia="Times New Roman" w:hAnsi="Times New Roman" w:cs="Times New Roman"/>
          <w:sz w:val="20"/>
          <w:szCs w:val="20"/>
        </w:rPr>
        <w:fldChar w:fldCharType="begin"/>
      </w:r>
      <w:r w:rsidR="00202475" w:rsidRPr="004F2D82">
        <w:rPr>
          <w:rFonts w:ascii="Times New Roman" w:eastAsia="Times New Roman" w:hAnsi="Times New Roman" w:cs="Times New Roman"/>
          <w:sz w:val="20"/>
          <w:szCs w:val="20"/>
        </w:rPr>
        <w:instrText xml:space="preserve"> REF _Ref528682823 \r \h </w:instrText>
      </w:r>
      <w:r w:rsidR="009604B4" w:rsidRPr="004F2D82">
        <w:rPr>
          <w:rFonts w:ascii="Times New Roman" w:eastAsia="Times New Roman" w:hAnsi="Times New Roman" w:cs="Times New Roman"/>
          <w:sz w:val="20"/>
          <w:szCs w:val="20"/>
        </w:rPr>
        <w:instrText xml:space="preserve"> \* MERGEFORMAT </w:instrText>
      </w:r>
      <w:r w:rsidR="00202475" w:rsidRPr="004F2D82">
        <w:rPr>
          <w:rFonts w:ascii="Times New Roman" w:eastAsia="Times New Roman" w:hAnsi="Times New Roman" w:cs="Times New Roman"/>
          <w:sz w:val="20"/>
          <w:szCs w:val="20"/>
        </w:rPr>
      </w:r>
      <w:r w:rsidR="00202475"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75</w:t>
      </w:r>
      <w:r w:rsidR="00202475" w:rsidRPr="004F2D82">
        <w:rPr>
          <w:rFonts w:ascii="Times New Roman" w:eastAsia="Times New Roman" w:hAnsi="Times New Roman" w:cs="Times New Roman"/>
          <w:sz w:val="20"/>
          <w:szCs w:val="20"/>
        </w:rPr>
        <w:fldChar w:fldCharType="end"/>
      </w:r>
      <w:r w:rsidR="00202475" w:rsidRPr="004F2D82">
        <w:rPr>
          <w:rFonts w:ascii="Times New Roman" w:eastAsia="Times New Roman" w:hAnsi="Times New Roman" w:cs="Times New Roman"/>
          <w:sz w:val="20"/>
          <w:szCs w:val="20"/>
        </w:rPr>
        <w:t xml:space="preserve"> </w:t>
      </w:r>
      <w:r w:rsidRPr="004F2D82">
        <w:rPr>
          <w:rFonts w:ascii="Times New Roman" w:eastAsia="Times New Roman" w:hAnsi="Times New Roman" w:cs="Times New Roman"/>
          <w:sz w:val="20"/>
          <w:szCs w:val="20"/>
        </w:rPr>
        <w:t>below.</w:t>
      </w:r>
    </w:p>
    <w:p w14:paraId="442A2D77" w14:textId="7CB82776" w:rsidR="005D584F" w:rsidRPr="004F2D82" w:rsidRDefault="005D584F"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 xml:space="preserve">The communicant alleges that all material referred to by the Party concerned in its </w:t>
      </w:r>
      <w:r w:rsidR="00202475" w:rsidRPr="004F2D82">
        <w:rPr>
          <w:rFonts w:ascii="Times New Roman" w:eastAsia="Times New Roman" w:hAnsi="Times New Roman" w:cs="Times New Roman"/>
          <w:sz w:val="20"/>
          <w:szCs w:val="20"/>
        </w:rPr>
        <w:t>submissions</w:t>
      </w:r>
      <w:r w:rsidR="00202475" w:rsidRPr="004F2D82">
        <w:rPr>
          <w:rFonts w:ascii="Times New Roman" w:hAnsi="Times New Roman"/>
          <w:sz w:val="20"/>
        </w:rPr>
        <w:t xml:space="preserve"> to </w:t>
      </w:r>
      <w:r w:rsidR="00202475" w:rsidRPr="004F2D82">
        <w:rPr>
          <w:rFonts w:ascii="Times New Roman" w:eastAsia="Times New Roman" w:hAnsi="Times New Roman" w:cs="Times New Roman"/>
          <w:sz w:val="20"/>
          <w:szCs w:val="20"/>
        </w:rPr>
        <w:t xml:space="preserve">the Committee regarding </w:t>
      </w:r>
      <w:r w:rsidR="003759FC" w:rsidRPr="004F2D82">
        <w:rPr>
          <w:rFonts w:ascii="Times New Roman" w:hAnsi="Times New Roman"/>
          <w:sz w:val="20"/>
        </w:rPr>
        <w:t xml:space="preserve">these four issues </w:t>
      </w:r>
      <w:r w:rsidR="002E2406" w:rsidRPr="004F2D82">
        <w:rPr>
          <w:rFonts w:ascii="Times New Roman" w:hAnsi="Times New Roman"/>
          <w:sz w:val="20"/>
        </w:rPr>
        <w:t>constitutes</w:t>
      </w:r>
      <w:r w:rsidRPr="004F2D82">
        <w:rPr>
          <w:rFonts w:ascii="Times New Roman" w:hAnsi="Times New Roman"/>
          <w:sz w:val="20"/>
        </w:rPr>
        <w:t xml:space="preserve"> </w:t>
      </w:r>
      <w:r w:rsidR="007F2E2C" w:rsidRPr="004F2D82">
        <w:rPr>
          <w:rFonts w:ascii="Times New Roman" w:hAnsi="Times New Roman"/>
          <w:sz w:val="20"/>
        </w:rPr>
        <w:t>either</w:t>
      </w:r>
      <w:r w:rsidR="006A7136" w:rsidRPr="004F2D82">
        <w:rPr>
          <w:rFonts w:ascii="Times New Roman" w:eastAsia="Times New Roman" w:hAnsi="Times New Roman" w:cs="Times New Roman"/>
          <w:sz w:val="20"/>
          <w:szCs w:val="20"/>
        </w:rPr>
        <w:t>:</w:t>
      </w:r>
      <w:r w:rsidR="007F2E2C" w:rsidRPr="004F2D82">
        <w:rPr>
          <w:rFonts w:ascii="Times New Roman" w:hAnsi="Times New Roman"/>
          <w:sz w:val="20"/>
        </w:rPr>
        <w:t xml:space="preserve"> </w:t>
      </w:r>
      <w:r w:rsidRPr="004F2D82">
        <w:rPr>
          <w:rFonts w:ascii="Times New Roman" w:hAnsi="Times New Roman"/>
          <w:sz w:val="20"/>
        </w:rPr>
        <w:t xml:space="preserve">(a) material that had been made available to the courts and with regard to which the court </w:t>
      </w:r>
      <w:r w:rsidR="00EF63C9" w:rsidRPr="004F2D82">
        <w:rPr>
          <w:rFonts w:ascii="Times New Roman" w:hAnsi="Times New Roman"/>
          <w:sz w:val="20"/>
        </w:rPr>
        <w:t xml:space="preserve">had </w:t>
      </w:r>
      <w:r w:rsidRPr="004F2D82">
        <w:rPr>
          <w:rFonts w:ascii="Times New Roman" w:hAnsi="Times New Roman"/>
          <w:sz w:val="20"/>
        </w:rPr>
        <w:t xml:space="preserve">found </w:t>
      </w:r>
      <w:r w:rsidRPr="004F2D82">
        <w:rPr>
          <w:rFonts w:ascii="Times New Roman" w:hAnsi="Times New Roman"/>
          <w:sz w:val="20"/>
        </w:rPr>
        <w:lastRenderedPageBreak/>
        <w:t>that the DNS failed to subject reasonable alternatives to the environmental assessment and public consultation; (b) material which pre-dated the February 2011</w:t>
      </w:r>
      <w:r w:rsidR="002E2406" w:rsidRPr="004F2D82">
        <w:rPr>
          <w:rFonts w:ascii="Times New Roman" w:hAnsi="Times New Roman"/>
          <w:sz w:val="20"/>
        </w:rPr>
        <w:t xml:space="preserve"> consultation</w:t>
      </w:r>
      <w:r w:rsidRPr="004F2D82">
        <w:rPr>
          <w:rFonts w:ascii="Times New Roman" w:hAnsi="Times New Roman"/>
          <w:sz w:val="20"/>
        </w:rPr>
        <w:t>, formed no part of the preparation of the DNS, and therefore demonstrates that important alternative options had already been considered and sifted out prior to the consultation</w:t>
      </w:r>
      <w:r w:rsidR="007F2E2C" w:rsidRPr="004F2D82">
        <w:rPr>
          <w:rFonts w:ascii="Times New Roman" w:hAnsi="Times New Roman"/>
          <w:sz w:val="20"/>
        </w:rPr>
        <w:t>;</w:t>
      </w:r>
      <w:r w:rsidRPr="004F2D82">
        <w:rPr>
          <w:rFonts w:ascii="Times New Roman" w:hAnsi="Times New Roman"/>
          <w:sz w:val="20"/>
        </w:rPr>
        <w:t xml:space="preserve"> or (c) </w:t>
      </w:r>
      <w:r w:rsidR="007F2E2C" w:rsidRPr="004F2D82">
        <w:rPr>
          <w:rFonts w:ascii="Times New Roman" w:hAnsi="Times New Roman"/>
          <w:sz w:val="20"/>
        </w:rPr>
        <w:t xml:space="preserve">material which </w:t>
      </w:r>
      <w:r w:rsidRPr="004F2D82">
        <w:rPr>
          <w:rFonts w:ascii="Times New Roman" w:hAnsi="Times New Roman"/>
          <w:sz w:val="20"/>
        </w:rPr>
        <w:t>post-dated the adoption of the DNS on 12 January 2012 and would therefore be irrelevant to compliance with article 7.</w:t>
      </w:r>
      <w:r w:rsidRPr="004F2D82">
        <w:rPr>
          <w:rFonts w:ascii="Times New Roman" w:hAnsi="Times New Roman"/>
          <w:sz w:val="20"/>
          <w:vertAlign w:val="superscript"/>
        </w:rPr>
        <w:footnoteReference w:id="91"/>
      </w:r>
    </w:p>
    <w:p w14:paraId="73F1B966" w14:textId="3FCECA1C" w:rsidR="00876525" w:rsidRPr="004F2D82" w:rsidRDefault="00876525" w:rsidP="00876525">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4F2D82">
        <w:rPr>
          <w:rFonts w:ascii="Times New Roman" w:hAnsi="Times New Roman"/>
          <w:sz w:val="20"/>
        </w:rPr>
        <w:t>The Party concerned points out that article 6</w:t>
      </w:r>
      <w:r w:rsidR="001D5934" w:rsidRPr="004F2D82">
        <w:rPr>
          <w:rFonts w:ascii="Times New Roman" w:hAnsi="Times New Roman"/>
          <w:sz w:val="20"/>
        </w:rPr>
        <w:t>(</w:t>
      </w:r>
      <w:r w:rsidRPr="004F2D82">
        <w:rPr>
          <w:rFonts w:ascii="Times New Roman" w:hAnsi="Times New Roman"/>
          <w:sz w:val="20"/>
        </w:rPr>
        <w:t>6</w:t>
      </w:r>
      <w:r w:rsidR="001D5934" w:rsidRPr="004F2D82">
        <w:rPr>
          <w:rFonts w:ascii="Times New Roman" w:hAnsi="Times New Roman"/>
          <w:sz w:val="20"/>
        </w:rPr>
        <w:t>)</w:t>
      </w:r>
      <w:r w:rsidRPr="004F2D82">
        <w:rPr>
          <w:rFonts w:ascii="Times New Roman" w:hAnsi="Times New Roman"/>
          <w:sz w:val="20"/>
        </w:rPr>
        <w:t xml:space="preserve"> of the Convention does not apply to public participation procedures covered by article 7 of the Convention and that therefore there is no requirement to publish “an outline of the main alternatives studied by the applicant”.</w:t>
      </w:r>
      <w:r w:rsidRPr="004F2D82">
        <w:rPr>
          <w:rStyle w:val="FootnoteReference"/>
          <w:sz w:val="20"/>
        </w:rPr>
        <w:footnoteReference w:id="92"/>
      </w:r>
      <w:r w:rsidRPr="004F2D82">
        <w:rPr>
          <w:rFonts w:ascii="Times New Roman" w:hAnsi="Times New Roman"/>
          <w:sz w:val="20"/>
        </w:rPr>
        <w:t xml:space="preserve"> The Party concerned asserts that the Convention does not require that specific alternatives be studied or that information on alternatives be created but only that </w:t>
      </w:r>
      <w:r w:rsidR="00665910" w:rsidRPr="004F2D82">
        <w:rPr>
          <w:rFonts w:ascii="Times New Roman" w:eastAsia="Times New Roman" w:hAnsi="Times New Roman" w:cs="Times New Roman"/>
          <w:sz w:val="20"/>
          <w:szCs w:val="20"/>
        </w:rPr>
        <w:t xml:space="preserve">the </w:t>
      </w:r>
      <w:r w:rsidRPr="004F2D82">
        <w:rPr>
          <w:rFonts w:ascii="Times New Roman" w:hAnsi="Times New Roman"/>
          <w:sz w:val="20"/>
        </w:rPr>
        <w:t>available information is made available to the public.</w:t>
      </w:r>
      <w:r w:rsidRPr="004F2D82">
        <w:rPr>
          <w:rStyle w:val="FootnoteReference"/>
          <w:sz w:val="20"/>
        </w:rPr>
        <w:footnoteReference w:id="93"/>
      </w:r>
    </w:p>
    <w:p w14:paraId="1A82FD57" w14:textId="6FFCC404" w:rsidR="002912B1" w:rsidRPr="004F2D82" w:rsidRDefault="000C6AFE" w:rsidP="000F4DAD">
      <w:pPr>
        <w:tabs>
          <w:tab w:val="left" w:pos="1134"/>
        </w:tabs>
        <w:suppressAutoHyphens/>
        <w:spacing w:before="240" w:after="120" w:line="240" w:lineRule="atLeast"/>
        <w:ind w:left="567" w:right="1134"/>
        <w:jc w:val="both"/>
        <w:rPr>
          <w:rFonts w:ascii="Times New Roman" w:eastAsia="Times New Roman" w:hAnsi="Times New Roman" w:cs="Times New Roman"/>
          <w:sz w:val="20"/>
          <w:szCs w:val="20"/>
          <w:u w:val="single"/>
        </w:rPr>
      </w:pPr>
      <w:r w:rsidRPr="004F2D82">
        <w:rPr>
          <w:rFonts w:ascii="Times New Roman" w:eastAsia="Times New Roman" w:hAnsi="Times New Roman" w:cs="Times New Roman"/>
          <w:sz w:val="20"/>
          <w:szCs w:val="20"/>
          <w:u w:val="single"/>
        </w:rPr>
        <w:t xml:space="preserve">The environmental effects of the </w:t>
      </w:r>
      <w:r w:rsidR="007F2E2C" w:rsidRPr="004F2D82">
        <w:rPr>
          <w:rFonts w:ascii="Times New Roman" w:eastAsia="Times New Roman" w:hAnsi="Times New Roman" w:cs="Times New Roman"/>
          <w:sz w:val="20"/>
          <w:szCs w:val="20"/>
          <w:u w:val="single"/>
        </w:rPr>
        <w:t>“</w:t>
      </w:r>
      <w:r w:rsidRPr="004F2D82">
        <w:rPr>
          <w:rFonts w:ascii="Times New Roman" w:eastAsia="Times New Roman" w:hAnsi="Times New Roman" w:cs="Times New Roman"/>
          <w:sz w:val="20"/>
          <w:szCs w:val="20"/>
          <w:u w:val="single"/>
        </w:rPr>
        <w:t>Y</w:t>
      </w:r>
      <w:r w:rsidR="007F2E2C" w:rsidRPr="004F2D82">
        <w:rPr>
          <w:rFonts w:ascii="Times New Roman" w:eastAsia="Times New Roman" w:hAnsi="Times New Roman" w:cs="Times New Roman"/>
          <w:sz w:val="20"/>
          <w:szCs w:val="20"/>
          <w:u w:val="single"/>
        </w:rPr>
        <w:t>”</w:t>
      </w:r>
      <w:r w:rsidRPr="004F2D82">
        <w:rPr>
          <w:rFonts w:ascii="Times New Roman" w:eastAsia="Times New Roman" w:hAnsi="Times New Roman" w:cs="Times New Roman"/>
          <w:sz w:val="20"/>
          <w:szCs w:val="20"/>
          <w:u w:val="single"/>
        </w:rPr>
        <w:t xml:space="preserve"> network</w:t>
      </w:r>
      <w:r w:rsidR="00B931BA" w:rsidRPr="004F2D82">
        <w:rPr>
          <w:rFonts w:ascii="Times New Roman" w:eastAsia="Times New Roman" w:hAnsi="Times New Roman" w:cs="Times New Roman"/>
          <w:sz w:val="20"/>
          <w:szCs w:val="20"/>
          <w:u w:val="single"/>
        </w:rPr>
        <w:t xml:space="preserve"> </w:t>
      </w:r>
      <w:r w:rsidR="007F2E2C" w:rsidRPr="004F2D82">
        <w:rPr>
          <w:rFonts w:ascii="Times New Roman" w:eastAsia="Times New Roman" w:hAnsi="Times New Roman" w:cs="Times New Roman"/>
          <w:sz w:val="20"/>
          <w:szCs w:val="20"/>
          <w:u w:val="single"/>
        </w:rPr>
        <w:t>as a whole</w:t>
      </w:r>
      <w:r w:rsidR="002912B1" w:rsidRPr="004F2D82">
        <w:rPr>
          <w:rFonts w:ascii="Times New Roman" w:eastAsia="Times New Roman" w:hAnsi="Times New Roman" w:cs="Times New Roman"/>
          <w:sz w:val="20"/>
          <w:szCs w:val="20"/>
          <w:u w:val="single"/>
        </w:rPr>
        <w:t xml:space="preserve"> </w:t>
      </w:r>
    </w:p>
    <w:p w14:paraId="7D2DDEF4" w14:textId="7B4567E9" w:rsidR="000C6AFE" w:rsidRPr="009604B4" w:rsidRDefault="000C6AFE"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13" w:name="_Ref494299772"/>
      <w:r w:rsidRPr="009604B4">
        <w:rPr>
          <w:rFonts w:ascii="Times New Roman" w:hAnsi="Times New Roman"/>
          <w:sz w:val="20"/>
        </w:rPr>
        <w:t>The communicant claim</w:t>
      </w:r>
      <w:r w:rsidR="00471F89">
        <w:rPr>
          <w:rFonts w:ascii="Times New Roman" w:hAnsi="Times New Roman"/>
          <w:sz w:val="20"/>
        </w:rPr>
        <w:t>s</w:t>
      </w:r>
      <w:r w:rsidRPr="009604B4">
        <w:rPr>
          <w:rFonts w:ascii="Times New Roman" w:hAnsi="Times New Roman"/>
          <w:sz w:val="20"/>
        </w:rPr>
        <w:t xml:space="preserve"> that the environmental information provided to members of the public related solely to </w:t>
      </w:r>
      <w:r w:rsidR="002E2406" w:rsidRPr="009604B4">
        <w:rPr>
          <w:rFonts w:ascii="Times New Roman" w:hAnsi="Times New Roman"/>
          <w:sz w:val="20"/>
        </w:rPr>
        <w:t>phase</w:t>
      </w:r>
      <w:r w:rsidRPr="009604B4">
        <w:rPr>
          <w:rFonts w:ascii="Times New Roman" w:hAnsi="Times New Roman"/>
          <w:sz w:val="20"/>
        </w:rPr>
        <w:t xml:space="preserve"> 1 of the project</w:t>
      </w:r>
      <w:r w:rsidR="004353CD" w:rsidRPr="009604B4">
        <w:rPr>
          <w:rFonts w:ascii="Times New Roman" w:eastAsia="Times New Roman" w:hAnsi="Times New Roman" w:cs="Times New Roman"/>
          <w:sz w:val="20"/>
          <w:szCs w:val="20"/>
        </w:rPr>
        <w:t xml:space="preserve"> and</w:t>
      </w:r>
      <w:r w:rsidR="00513358" w:rsidRPr="009604B4">
        <w:rPr>
          <w:rFonts w:ascii="Times New Roman" w:hAnsi="Times New Roman"/>
          <w:sz w:val="20"/>
        </w:rPr>
        <w:t xml:space="preserve"> </w:t>
      </w:r>
      <w:r w:rsidRPr="009604B4">
        <w:rPr>
          <w:rFonts w:ascii="Times New Roman" w:hAnsi="Times New Roman"/>
          <w:sz w:val="20"/>
        </w:rPr>
        <w:t xml:space="preserve">that members of the public were given no information about the environmental impacts of </w:t>
      </w:r>
      <w:r w:rsidR="002E2406" w:rsidRPr="009604B4">
        <w:rPr>
          <w:rFonts w:ascii="Times New Roman" w:hAnsi="Times New Roman"/>
          <w:sz w:val="20"/>
        </w:rPr>
        <w:t>phase</w:t>
      </w:r>
      <w:r w:rsidRPr="009604B4">
        <w:rPr>
          <w:rFonts w:ascii="Times New Roman" w:hAnsi="Times New Roman"/>
          <w:sz w:val="20"/>
        </w:rPr>
        <w:t xml:space="preserve"> 2. </w:t>
      </w:r>
      <w:r w:rsidR="00513358" w:rsidRPr="009604B4">
        <w:rPr>
          <w:rFonts w:ascii="Times New Roman" w:hAnsi="Times New Roman"/>
          <w:sz w:val="20"/>
        </w:rPr>
        <w:t>It argues that t</w:t>
      </w:r>
      <w:r w:rsidRPr="009604B4">
        <w:rPr>
          <w:rFonts w:ascii="Times New Roman" w:hAnsi="Times New Roman"/>
          <w:sz w:val="20"/>
        </w:rPr>
        <w:t>he exclusion of the environmental effects of phase 2</w:t>
      </w:r>
      <w:r w:rsidR="00513358" w:rsidRPr="009604B4">
        <w:rPr>
          <w:rFonts w:ascii="Times New Roman" w:hAnsi="Times New Roman"/>
          <w:sz w:val="20"/>
        </w:rPr>
        <w:t xml:space="preserve"> </w:t>
      </w:r>
      <w:r w:rsidRPr="009604B4">
        <w:rPr>
          <w:rFonts w:ascii="Times New Roman" w:hAnsi="Times New Roman"/>
          <w:sz w:val="20"/>
        </w:rPr>
        <w:t xml:space="preserve">contrasts with the reliance that the </w:t>
      </w:r>
      <w:r w:rsidR="001E369E" w:rsidRPr="009604B4">
        <w:rPr>
          <w:rFonts w:ascii="Times New Roman" w:hAnsi="Times New Roman"/>
          <w:sz w:val="20"/>
        </w:rPr>
        <w:t>P</w:t>
      </w:r>
      <w:r w:rsidRPr="009604B4">
        <w:rPr>
          <w:rFonts w:ascii="Times New Roman" w:hAnsi="Times New Roman"/>
          <w:sz w:val="20"/>
        </w:rPr>
        <w:t xml:space="preserve">arty concerned placed </w:t>
      </w:r>
      <w:r w:rsidR="004353CD" w:rsidRPr="009604B4">
        <w:rPr>
          <w:rFonts w:ascii="Times New Roman" w:eastAsia="Times New Roman" w:hAnsi="Times New Roman" w:cs="Times New Roman"/>
          <w:sz w:val="20"/>
          <w:szCs w:val="20"/>
        </w:rPr>
        <w:t xml:space="preserve">in the consultation documentation and the DNS </w:t>
      </w:r>
      <w:r w:rsidRPr="009604B4">
        <w:rPr>
          <w:rFonts w:ascii="Times New Roman" w:hAnsi="Times New Roman"/>
          <w:sz w:val="20"/>
        </w:rPr>
        <w:t xml:space="preserve">on the alleged economic benefits of the entire </w:t>
      </w:r>
      <w:r w:rsidR="00EF63C9" w:rsidRPr="009604B4">
        <w:rPr>
          <w:rFonts w:ascii="Times New Roman" w:hAnsi="Times New Roman"/>
          <w:sz w:val="20"/>
        </w:rPr>
        <w:t>“</w:t>
      </w:r>
      <w:r w:rsidRPr="009604B4">
        <w:rPr>
          <w:rFonts w:ascii="Times New Roman" w:hAnsi="Times New Roman"/>
          <w:sz w:val="20"/>
        </w:rPr>
        <w:t>Y</w:t>
      </w:r>
      <w:r w:rsidR="00EF63C9" w:rsidRPr="009604B4">
        <w:rPr>
          <w:rFonts w:ascii="Times New Roman" w:hAnsi="Times New Roman"/>
          <w:sz w:val="20"/>
        </w:rPr>
        <w:t>”</w:t>
      </w:r>
      <w:r w:rsidRPr="009604B4">
        <w:rPr>
          <w:rFonts w:ascii="Times New Roman" w:hAnsi="Times New Roman"/>
          <w:sz w:val="20"/>
        </w:rPr>
        <w:t xml:space="preserve"> network. </w:t>
      </w:r>
      <w:r w:rsidR="002E2406" w:rsidRPr="009604B4">
        <w:rPr>
          <w:rFonts w:ascii="Times New Roman" w:hAnsi="Times New Roman"/>
          <w:sz w:val="20"/>
        </w:rPr>
        <w:t>According to the communicant, t</w:t>
      </w:r>
      <w:r w:rsidRPr="009604B4">
        <w:rPr>
          <w:rFonts w:ascii="Times New Roman" w:hAnsi="Times New Roman"/>
          <w:sz w:val="20"/>
        </w:rPr>
        <w:t>he result has been</w:t>
      </w:r>
      <w:r w:rsidR="00513358" w:rsidRPr="009604B4">
        <w:rPr>
          <w:rFonts w:ascii="Times New Roman" w:hAnsi="Times New Roman"/>
          <w:sz w:val="20"/>
        </w:rPr>
        <w:t xml:space="preserve"> that</w:t>
      </w:r>
      <w:r w:rsidRPr="009604B4">
        <w:rPr>
          <w:rFonts w:ascii="Times New Roman" w:hAnsi="Times New Roman"/>
          <w:sz w:val="20"/>
        </w:rPr>
        <w:t xml:space="preserve"> the purported economic advantages of the whole network </w:t>
      </w:r>
      <w:r w:rsidR="004353CD" w:rsidRPr="009604B4">
        <w:rPr>
          <w:rFonts w:ascii="Times New Roman" w:eastAsia="Times New Roman" w:hAnsi="Times New Roman" w:cs="Times New Roman"/>
          <w:sz w:val="20"/>
          <w:szCs w:val="20"/>
        </w:rPr>
        <w:t>have</w:t>
      </w:r>
      <w:r w:rsidR="004353CD" w:rsidRPr="009604B4">
        <w:rPr>
          <w:rFonts w:ascii="Times New Roman" w:hAnsi="Times New Roman"/>
          <w:sz w:val="20"/>
        </w:rPr>
        <w:t xml:space="preserve"> </w:t>
      </w:r>
      <w:r w:rsidR="00513358" w:rsidRPr="009604B4">
        <w:rPr>
          <w:rFonts w:ascii="Times New Roman" w:hAnsi="Times New Roman"/>
          <w:sz w:val="20"/>
        </w:rPr>
        <w:t xml:space="preserve">been </w:t>
      </w:r>
      <w:r w:rsidRPr="009604B4">
        <w:rPr>
          <w:rFonts w:ascii="Times New Roman" w:hAnsi="Times New Roman"/>
          <w:sz w:val="20"/>
        </w:rPr>
        <w:t xml:space="preserve">weighed against the environmental disadvantages of </w:t>
      </w:r>
      <w:r w:rsidR="002E2406" w:rsidRPr="009604B4">
        <w:rPr>
          <w:rFonts w:ascii="Times New Roman" w:hAnsi="Times New Roman"/>
          <w:sz w:val="20"/>
        </w:rPr>
        <w:t>phase</w:t>
      </w:r>
      <w:r w:rsidRPr="009604B4">
        <w:rPr>
          <w:rFonts w:ascii="Times New Roman" w:hAnsi="Times New Roman"/>
          <w:sz w:val="20"/>
        </w:rPr>
        <w:t xml:space="preserve"> 1 only.</w:t>
      </w:r>
      <w:r w:rsidRPr="009604B4">
        <w:rPr>
          <w:rStyle w:val="FootnoteReference"/>
          <w:sz w:val="20"/>
        </w:rPr>
        <w:footnoteReference w:id="94"/>
      </w:r>
      <w:bookmarkEnd w:id="13"/>
      <w:r w:rsidR="004353CD" w:rsidRPr="009604B4">
        <w:rPr>
          <w:rFonts w:ascii="Times New Roman" w:eastAsia="Times New Roman" w:hAnsi="Times New Roman" w:cs="Times New Roman"/>
          <w:sz w:val="20"/>
          <w:szCs w:val="20"/>
        </w:rPr>
        <w:t xml:space="preserve"> </w:t>
      </w:r>
      <w:r w:rsidRPr="009604B4">
        <w:rPr>
          <w:rFonts w:ascii="Times New Roman" w:hAnsi="Times New Roman"/>
          <w:sz w:val="20"/>
        </w:rPr>
        <w:t xml:space="preserve"> </w:t>
      </w:r>
    </w:p>
    <w:p w14:paraId="63CF3DBC" w14:textId="2F94839C" w:rsidR="000C6AFE" w:rsidRPr="009604B4" w:rsidRDefault="000C6AFE" w:rsidP="00EE6602">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14" w:name="_Ref495326104"/>
      <w:r w:rsidRPr="009604B4">
        <w:rPr>
          <w:rFonts w:ascii="Times New Roman" w:hAnsi="Times New Roman"/>
          <w:sz w:val="20"/>
        </w:rPr>
        <w:t>The Party concerned, relying on</w:t>
      </w:r>
      <w:r w:rsidR="00AF4D7C" w:rsidRPr="009604B4">
        <w:rPr>
          <w:rFonts w:ascii="Times New Roman" w:hAnsi="Times New Roman"/>
          <w:sz w:val="20"/>
        </w:rPr>
        <w:t xml:space="preserve"> </w:t>
      </w:r>
      <w:r w:rsidRPr="009604B4">
        <w:rPr>
          <w:rFonts w:ascii="Times New Roman" w:hAnsi="Times New Roman"/>
          <w:sz w:val="20"/>
        </w:rPr>
        <w:t xml:space="preserve">testimony produced before the </w:t>
      </w:r>
      <w:r w:rsidR="00513358" w:rsidRPr="009604B4">
        <w:rPr>
          <w:rFonts w:ascii="Times New Roman" w:hAnsi="Times New Roman"/>
          <w:sz w:val="20"/>
        </w:rPr>
        <w:t>c</w:t>
      </w:r>
      <w:r w:rsidRPr="009604B4">
        <w:rPr>
          <w:rFonts w:ascii="Times New Roman" w:hAnsi="Times New Roman"/>
          <w:sz w:val="20"/>
        </w:rPr>
        <w:t>ourts, argues that its intention was to consult on three separate issues: (</w:t>
      </w:r>
      <w:r w:rsidR="007F2E2C" w:rsidRPr="009604B4">
        <w:rPr>
          <w:rFonts w:ascii="Times New Roman" w:hAnsi="Times New Roman"/>
          <w:sz w:val="20"/>
        </w:rPr>
        <w:t>a</w:t>
      </w:r>
      <w:r w:rsidRPr="009604B4">
        <w:rPr>
          <w:rFonts w:ascii="Times New Roman" w:hAnsi="Times New Roman"/>
          <w:sz w:val="20"/>
        </w:rPr>
        <w:t xml:space="preserve">) the strategic case for high-speed rail in the </w:t>
      </w:r>
      <w:r w:rsidR="00EF63C9" w:rsidRPr="009604B4">
        <w:rPr>
          <w:rFonts w:ascii="Times New Roman" w:hAnsi="Times New Roman"/>
          <w:sz w:val="20"/>
        </w:rPr>
        <w:t>United Kingdom</w:t>
      </w:r>
      <w:r w:rsidR="00513358" w:rsidRPr="009604B4">
        <w:rPr>
          <w:rFonts w:ascii="Times New Roman" w:hAnsi="Times New Roman"/>
          <w:sz w:val="20"/>
        </w:rPr>
        <w:t>;</w:t>
      </w:r>
      <w:r w:rsidRPr="009604B4">
        <w:rPr>
          <w:rFonts w:ascii="Times New Roman" w:hAnsi="Times New Roman"/>
          <w:sz w:val="20"/>
        </w:rPr>
        <w:t xml:space="preserve"> (</w:t>
      </w:r>
      <w:r w:rsidR="007F2E2C" w:rsidRPr="009604B4">
        <w:rPr>
          <w:rFonts w:ascii="Times New Roman" w:hAnsi="Times New Roman"/>
          <w:sz w:val="20"/>
        </w:rPr>
        <w:t>b</w:t>
      </w:r>
      <w:r w:rsidRPr="009604B4">
        <w:rPr>
          <w:rFonts w:ascii="Times New Roman" w:hAnsi="Times New Roman"/>
          <w:sz w:val="20"/>
        </w:rPr>
        <w:t>) the overall strategy for a Y-shaped high speed network</w:t>
      </w:r>
      <w:r w:rsidR="00513358" w:rsidRPr="009604B4">
        <w:rPr>
          <w:rFonts w:ascii="Times New Roman" w:hAnsi="Times New Roman"/>
          <w:sz w:val="20"/>
        </w:rPr>
        <w:t>;</w:t>
      </w:r>
      <w:r w:rsidRPr="009604B4">
        <w:rPr>
          <w:rFonts w:ascii="Times New Roman" w:hAnsi="Times New Roman"/>
          <w:sz w:val="20"/>
        </w:rPr>
        <w:t xml:space="preserve"> and (</w:t>
      </w:r>
      <w:r w:rsidR="007F2E2C" w:rsidRPr="009604B4">
        <w:rPr>
          <w:rFonts w:ascii="Times New Roman" w:hAnsi="Times New Roman"/>
          <w:sz w:val="20"/>
        </w:rPr>
        <w:t>c</w:t>
      </w:r>
      <w:r w:rsidRPr="009604B4">
        <w:rPr>
          <w:rFonts w:ascii="Times New Roman" w:hAnsi="Times New Roman"/>
          <w:sz w:val="20"/>
        </w:rPr>
        <w:t>) the detailed route of any specific line forming part of that network.</w:t>
      </w:r>
      <w:r w:rsidR="005224CA" w:rsidRPr="009604B4">
        <w:rPr>
          <w:rStyle w:val="FootnoteReference"/>
          <w:sz w:val="20"/>
        </w:rPr>
        <w:t xml:space="preserve"> </w:t>
      </w:r>
      <w:r w:rsidR="005224CA" w:rsidRPr="009604B4">
        <w:rPr>
          <w:rStyle w:val="FootnoteReference"/>
          <w:sz w:val="20"/>
        </w:rPr>
        <w:footnoteReference w:id="95"/>
      </w:r>
      <w:r w:rsidRPr="009604B4">
        <w:rPr>
          <w:rFonts w:ascii="Times New Roman" w:hAnsi="Times New Roman"/>
          <w:sz w:val="20"/>
        </w:rPr>
        <w:t xml:space="preserve"> It </w:t>
      </w:r>
      <w:r w:rsidR="00513358" w:rsidRPr="009604B4">
        <w:rPr>
          <w:rFonts w:ascii="Times New Roman" w:hAnsi="Times New Roman"/>
          <w:sz w:val="20"/>
        </w:rPr>
        <w:t xml:space="preserve">submits that it </w:t>
      </w:r>
      <w:r w:rsidRPr="009604B4">
        <w:rPr>
          <w:rFonts w:ascii="Times New Roman" w:hAnsi="Times New Roman"/>
          <w:sz w:val="20"/>
        </w:rPr>
        <w:t xml:space="preserve">would have been open </w:t>
      </w:r>
      <w:r w:rsidR="00513358" w:rsidRPr="009604B4">
        <w:rPr>
          <w:rFonts w:ascii="Times New Roman" w:hAnsi="Times New Roman"/>
          <w:sz w:val="20"/>
        </w:rPr>
        <w:t xml:space="preserve">for the authorities </w:t>
      </w:r>
      <w:r w:rsidRPr="009604B4">
        <w:rPr>
          <w:rFonts w:ascii="Times New Roman" w:hAnsi="Times New Roman"/>
          <w:sz w:val="20"/>
        </w:rPr>
        <w:t>to consult on (</w:t>
      </w:r>
      <w:r w:rsidR="007F2E2C" w:rsidRPr="009604B4">
        <w:rPr>
          <w:rFonts w:ascii="Times New Roman" w:hAnsi="Times New Roman"/>
          <w:sz w:val="20"/>
        </w:rPr>
        <w:t>a</w:t>
      </w:r>
      <w:r w:rsidRPr="009604B4">
        <w:rPr>
          <w:rFonts w:ascii="Times New Roman" w:hAnsi="Times New Roman"/>
          <w:sz w:val="20"/>
        </w:rPr>
        <w:t>) and (</w:t>
      </w:r>
      <w:r w:rsidR="007F2E2C" w:rsidRPr="009604B4">
        <w:rPr>
          <w:rFonts w:ascii="Times New Roman" w:hAnsi="Times New Roman"/>
          <w:sz w:val="20"/>
        </w:rPr>
        <w:t>b</w:t>
      </w:r>
      <w:r w:rsidRPr="009604B4">
        <w:rPr>
          <w:rFonts w:ascii="Times New Roman" w:hAnsi="Times New Roman"/>
          <w:sz w:val="20"/>
        </w:rPr>
        <w:t xml:space="preserve">) in isolation, before moving on to consider specific routes, but the view was taken that to do so would have been likely to slow the process significantly, delaying the achievement of the benefits the project was intended to provide. The Party concerned submits that the information provided was appropriate to the high level strategic policy on which it was consulting and the proposed route for </w:t>
      </w:r>
      <w:r w:rsidR="002E2406" w:rsidRPr="009604B4">
        <w:rPr>
          <w:rFonts w:ascii="Times New Roman" w:hAnsi="Times New Roman"/>
          <w:sz w:val="20"/>
        </w:rPr>
        <w:t>phase</w:t>
      </w:r>
      <w:r w:rsidRPr="009604B4">
        <w:rPr>
          <w:rFonts w:ascii="Times New Roman" w:hAnsi="Times New Roman"/>
          <w:sz w:val="20"/>
        </w:rPr>
        <w:t xml:space="preserve"> 1. It further notes that the</w:t>
      </w:r>
      <w:r w:rsidR="007F2E2C" w:rsidRPr="009604B4">
        <w:rPr>
          <w:rFonts w:ascii="Times New Roman" w:hAnsi="Times New Roman"/>
          <w:sz w:val="20"/>
        </w:rPr>
        <w:t xml:space="preserve"> </w:t>
      </w:r>
      <w:r w:rsidR="007F2E2C" w:rsidRPr="004F2D82">
        <w:rPr>
          <w:rFonts w:ascii="Times New Roman" w:hAnsi="Times New Roman"/>
          <w:sz w:val="20"/>
        </w:rPr>
        <w:t>e</w:t>
      </w:r>
      <w:r w:rsidRPr="004F2D82">
        <w:rPr>
          <w:rFonts w:ascii="Times New Roman" w:hAnsi="Times New Roman"/>
          <w:sz w:val="20"/>
        </w:rPr>
        <w:t xml:space="preserve">nvironmental </w:t>
      </w:r>
      <w:r w:rsidR="007F2E2C" w:rsidRPr="004F2D82">
        <w:rPr>
          <w:rFonts w:ascii="Times New Roman" w:hAnsi="Times New Roman"/>
          <w:sz w:val="20"/>
        </w:rPr>
        <w:t>s</w:t>
      </w:r>
      <w:r w:rsidRPr="004F2D82">
        <w:rPr>
          <w:rFonts w:ascii="Times New Roman" w:hAnsi="Times New Roman"/>
          <w:sz w:val="20"/>
        </w:rPr>
        <w:t xml:space="preserve">tatement lodged with the </w:t>
      </w:r>
      <w:r w:rsidR="00B61043" w:rsidRPr="004F2D82">
        <w:rPr>
          <w:rFonts w:ascii="Times New Roman" w:hAnsi="Times New Roman"/>
          <w:sz w:val="20"/>
        </w:rPr>
        <w:t>High Speed Rail (London – West Midlands) B</w:t>
      </w:r>
      <w:r w:rsidRPr="004F2D82">
        <w:rPr>
          <w:rFonts w:ascii="Times New Roman" w:hAnsi="Times New Roman"/>
          <w:sz w:val="20"/>
        </w:rPr>
        <w:t>ill</w:t>
      </w:r>
      <w:r w:rsidR="00736769" w:rsidRPr="004F2D82">
        <w:rPr>
          <w:rFonts w:ascii="Times New Roman" w:hAnsi="Times New Roman"/>
          <w:sz w:val="20"/>
        </w:rPr>
        <w:t xml:space="preserve"> </w:t>
      </w:r>
      <w:r w:rsidRPr="004F2D82">
        <w:rPr>
          <w:rFonts w:ascii="Times New Roman" w:hAnsi="Times New Roman"/>
          <w:sz w:val="20"/>
        </w:rPr>
        <w:t xml:space="preserve">in November 2013 included an assessment of cumulative effects (including anticipated cumulative effects of </w:t>
      </w:r>
      <w:r w:rsidR="002E2406" w:rsidRPr="004F2D82">
        <w:rPr>
          <w:rFonts w:ascii="Times New Roman" w:hAnsi="Times New Roman"/>
          <w:sz w:val="20"/>
        </w:rPr>
        <w:t>phase</w:t>
      </w:r>
      <w:r w:rsidRPr="004F2D82">
        <w:rPr>
          <w:rFonts w:ascii="Times New Roman" w:hAnsi="Times New Roman"/>
          <w:sz w:val="20"/>
        </w:rPr>
        <w:t xml:space="preserve"> 2 where </w:t>
      </w:r>
      <w:r w:rsidR="006B3476" w:rsidRPr="004F2D82">
        <w:rPr>
          <w:rFonts w:ascii="Times New Roman" w:hAnsi="Times New Roman"/>
          <w:sz w:val="20"/>
        </w:rPr>
        <w:t>these could be assessed</w:t>
      </w:r>
      <w:r w:rsidRPr="004F2D82">
        <w:rPr>
          <w:rFonts w:ascii="Times New Roman" w:hAnsi="Times New Roman"/>
          <w:sz w:val="20"/>
        </w:rPr>
        <w:t>)</w:t>
      </w:r>
      <w:r w:rsidRPr="004F2D82">
        <w:rPr>
          <w:rStyle w:val="FootnoteReference"/>
          <w:sz w:val="20"/>
        </w:rPr>
        <w:footnoteReference w:id="96"/>
      </w:r>
      <w:r w:rsidRPr="004F2D82">
        <w:rPr>
          <w:rFonts w:ascii="Times New Roman" w:hAnsi="Times New Roman"/>
          <w:sz w:val="20"/>
        </w:rPr>
        <w:t xml:space="preserve"> and assessment of strategic and route-wide alternatives</w:t>
      </w:r>
      <w:r w:rsidR="002E2406" w:rsidRPr="004F2D82">
        <w:rPr>
          <w:rFonts w:ascii="Times New Roman" w:hAnsi="Times New Roman"/>
          <w:sz w:val="20"/>
        </w:rPr>
        <w:t>.</w:t>
      </w:r>
      <w:r w:rsidR="005224CA" w:rsidRPr="004F2D82">
        <w:rPr>
          <w:rStyle w:val="FootnoteReference"/>
        </w:rPr>
        <w:footnoteReference w:id="97"/>
      </w:r>
      <w:r w:rsidRPr="004F2D82">
        <w:rPr>
          <w:rFonts w:ascii="Times New Roman" w:hAnsi="Times New Roman"/>
          <w:sz w:val="20"/>
        </w:rPr>
        <w:t xml:space="preserve"> </w:t>
      </w:r>
      <w:r w:rsidR="002E2406" w:rsidRPr="004F2D82">
        <w:rPr>
          <w:rFonts w:ascii="Times New Roman" w:hAnsi="Times New Roman"/>
          <w:sz w:val="20"/>
        </w:rPr>
        <w:t>It further states that</w:t>
      </w:r>
      <w:r w:rsidRPr="004F2D82">
        <w:rPr>
          <w:rFonts w:ascii="Times New Roman" w:hAnsi="Times New Roman"/>
          <w:sz w:val="20"/>
        </w:rPr>
        <w:t xml:space="preserve"> the public consultation</w:t>
      </w:r>
      <w:r w:rsidRPr="009604B4">
        <w:rPr>
          <w:rFonts w:ascii="Times New Roman" w:hAnsi="Times New Roman"/>
          <w:sz w:val="20"/>
        </w:rPr>
        <w:t xml:space="preserve"> on </w:t>
      </w:r>
      <w:r w:rsidR="002E2406" w:rsidRPr="009604B4">
        <w:rPr>
          <w:rFonts w:ascii="Times New Roman" w:hAnsi="Times New Roman"/>
          <w:sz w:val="20"/>
        </w:rPr>
        <w:t>phase</w:t>
      </w:r>
      <w:r w:rsidRPr="009604B4">
        <w:rPr>
          <w:rFonts w:ascii="Times New Roman" w:hAnsi="Times New Roman"/>
          <w:sz w:val="20"/>
        </w:rPr>
        <w:t xml:space="preserve"> 2 (which took place between July 2013 and January 2014) was accompanied by an appraisal of sustainability which expressly considered scheme</w:t>
      </w:r>
      <w:r w:rsidR="004551B9" w:rsidRPr="009604B4">
        <w:rPr>
          <w:rFonts w:ascii="Times New Roman" w:eastAsia="Times New Roman" w:hAnsi="Times New Roman" w:cs="Times New Roman"/>
          <w:sz w:val="20"/>
          <w:szCs w:val="20"/>
        </w:rPr>
        <w:t>-</w:t>
      </w:r>
      <w:r w:rsidRPr="009604B4">
        <w:rPr>
          <w:rFonts w:ascii="Times New Roman" w:hAnsi="Times New Roman"/>
          <w:sz w:val="20"/>
        </w:rPr>
        <w:t xml:space="preserve">wide issues and </w:t>
      </w:r>
      <w:r w:rsidR="00F374D0" w:rsidRPr="009604B4">
        <w:rPr>
          <w:rFonts w:ascii="Times New Roman" w:hAnsi="Times New Roman"/>
          <w:sz w:val="20"/>
        </w:rPr>
        <w:t xml:space="preserve">the </w:t>
      </w:r>
      <w:r w:rsidRPr="009604B4">
        <w:rPr>
          <w:rFonts w:ascii="Times New Roman" w:hAnsi="Times New Roman"/>
          <w:sz w:val="20"/>
        </w:rPr>
        <w:t xml:space="preserve">combined impact of </w:t>
      </w:r>
      <w:r w:rsidR="002E2406" w:rsidRPr="009604B4">
        <w:rPr>
          <w:rFonts w:ascii="Times New Roman" w:hAnsi="Times New Roman"/>
          <w:sz w:val="20"/>
        </w:rPr>
        <w:t>phase</w:t>
      </w:r>
      <w:r w:rsidRPr="009604B4">
        <w:rPr>
          <w:rFonts w:ascii="Times New Roman" w:hAnsi="Times New Roman"/>
          <w:sz w:val="20"/>
        </w:rPr>
        <w:t>s 1 and 2</w:t>
      </w:r>
      <w:r w:rsidR="004378D0" w:rsidRPr="009604B4">
        <w:rPr>
          <w:rFonts w:ascii="Times New Roman" w:hAnsi="Times New Roman"/>
          <w:sz w:val="20"/>
        </w:rPr>
        <w:t>.</w:t>
      </w:r>
      <w:bookmarkStart w:id="15" w:name="_Ref529977487"/>
      <w:r w:rsidR="005224CA" w:rsidRPr="009604B4">
        <w:rPr>
          <w:rStyle w:val="FootnoteReference"/>
        </w:rPr>
        <w:footnoteReference w:id="98"/>
      </w:r>
      <w:bookmarkEnd w:id="14"/>
      <w:bookmarkEnd w:id="15"/>
      <w:r w:rsidRPr="009604B4">
        <w:rPr>
          <w:rFonts w:ascii="Times New Roman" w:hAnsi="Times New Roman"/>
          <w:sz w:val="20"/>
        </w:rPr>
        <w:t xml:space="preserve"> </w:t>
      </w:r>
    </w:p>
    <w:p w14:paraId="29F171E5" w14:textId="5D2443DC" w:rsidR="00A32B7B" w:rsidRDefault="00A32B7B" w:rsidP="000F4DAD">
      <w:pPr>
        <w:tabs>
          <w:tab w:val="left" w:pos="1134"/>
        </w:tabs>
        <w:suppressAutoHyphens/>
        <w:spacing w:before="240" w:after="120" w:line="240" w:lineRule="atLeast"/>
        <w:ind w:left="567" w:right="1134"/>
        <w:jc w:val="both"/>
        <w:rPr>
          <w:rFonts w:ascii="Times New Roman" w:hAnsi="Times New Roman"/>
          <w:sz w:val="20"/>
          <w:u w:val="single"/>
        </w:rPr>
      </w:pPr>
    </w:p>
    <w:p w14:paraId="534C253D" w14:textId="77777777" w:rsidR="0015690C" w:rsidRDefault="0015690C" w:rsidP="000F4DAD">
      <w:pPr>
        <w:tabs>
          <w:tab w:val="left" w:pos="1134"/>
        </w:tabs>
        <w:suppressAutoHyphens/>
        <w:spacing w:before="240" w:after="120" w:line="240" w:lineRule="atLeast"/>
        <w:ind w:left="567" w:right="1134"/>
        <w:jc w:val="both"/>
        <w:rPr>
          <w:rFonts w:ascii="Times New Roman" w:hAnsi="Times New Roman"/>
          <w:sz w:val="20"/>
          <w:u w:val="single"/>
        </w:rPr>
      </w:pPr>
    </w:p>
    <w:p w14:paraId="20804252" w14:textId="2BF3257A" w:rsidR="000C6AFE" w:rsidRPr="004F2D82" w:rsidRDefault="007F2E2C" w:rsidP="000F4DAD">
      <w:pPr>
        <w:tabs>
          <w:tab w:val="left" w:pos="1134"/>
        </w:tabs>
        <w:suppressAutoHyphens/>
        <w:spacing w:before="240" w:after="120" w:line="240" w:lineRule="atLeast"/>
        <w:ind w:left="567" w:right="1134"/>
        <w:jc w:val="both"/>
        <w:rPr>
          <w:rFonts w:ascii="Times New Roman" w:hAnsi="Times New Roman"/>
          <w:sz w:val="20"/>
          <w:u w:val="single"/>
        </w:rPr>
      </w:pPr>
      <w:r w:rsidRPr="004F2D82">
        <w:rPr>
          <w:rFonts w:ascii="Times New Roman" w:hAnsi="Times New Roman"/>
          <w:sz w:val="20"/>
          <w:u w:val="single"/>
        </w:rPr>
        <w:lastRenderedPageBreak/>
        <w:t xml:space="preserve">The relative </w:t>
      </w:r>
      <w:r w:rsidR="000C6AFE" w:rsidRPr="004F2D82">
        <w:rPr>
          <w:rFonts w:ascii="Times New Roman" w:hAnsi="Times New Roman"/>
          <w:sz w:val="20"/>
          <w:u w:val="single"/>
        </w:rPr>
        <w:t>environmental effects</w:t>
      </w:r>
      <w:r w:rsidR="004353CD" w:rsidRPr="004F2D82">
        <w:rPr>
          <w:rFonts w:ascii="Times New Roman" w:hAnsi="Times New Roman"/>
          <w:sz w:val="20"/>
          <w:u w:val="single"/>
        </w:rPr>
        <w:t xml:space="preserve"> </w:t>
      </w:r>
      <w:r w:rsidR="000C6AFE" w:rsidRPr="004F2D82">
        <w:rPr>
          <w:rFonts w:ascii="Times New Roman" w:hAnsi="Times New Roman"/>
          <w:sz w:val="20"/>
          <w:u w:val="single"/>
        </w:rPr>
        <w:t xml:space="preserve">of strategic alternatives to </w:t>
      </w:r>
      <w:r w:rsidR="00FB28F5" w:rsidRPr="004F2D82">
        <w:rPr>
          <w:rFonts w:ascii="Times New Roman" w:hAnsi="Times New Roman"/>
          <w:sz w:val="20"/>
          <w:u w:val="single"/>
        </w:rPr>
        <w:t>h</w:t>
      </w:r>
      <w:r w:rsidR="000C6AFE" w:rsidRPr="004F2D82">
        <w:rPr>
          <w:rFonts w:ascii="Times New Roman" w:hAnsi="Times New Roman"/>
          <w:sz w:val="20"/>
          <w:u w:val="single"/>
        </w:rPr>
        <w:t xml:space="preserve">igh </w:t>
      </w:r>
      <w:r w:rsidR="00FB28F5" w:rsidRPr="004F2D82">
        <w:rPr>
          <w:rFonts w:ascii="Times New Roman" w:hAnsi="Times New Roman"/>
          <w:sz w:val="20"/>
          <w:u w:val="single"/>
        </w:rPr>
        <w:t>s</w:t>
      </w:r>
      <w:r w:rsidR="000C6AFE" w:rsidRPr="004F2D82">
        <w:rPr>
          <w:rFonts w:ascii="Times New Roman" w:hAnsi="Times New Roman"/>
          <w:sz w:val="20"/>
          <w:u w:val="single"/>
        </w:rPr>
        <w:t xml:space="preserve">peed </w:t>
      </w:r>
      <w:r w:rsidR="00FB28F5" w:rsidRPr="004F2D82">
        <w:rPr>
          <w:rFonts w:ascii="Times New Roman" w:hAnsi="Times New Roman"/>
          <w:sz w:val="20"/>
          <w:u w:val="single"/>
        </w:rPr>
        <w:t>r</w:t>
      </w:r>
      <w:r w:rsidR="000C6AFE" w:rsidRPr="004F2D82">
        <w:rPr>
          <w:rFonts w:ascii="Times New Roman" w:hAnsi="Times New Roman"/>
          <w:sz w:val="20"/>
          <w:u w:val="single"/>
        </w:rPr>
        <w:t>ail</w:t>
      </w:r>
    </w:p>
    <w:p w14:paraId="4DA84489" w14:textId="729A3873" w:rsidR="009247ED" w:rsidRPr="009604B4" w:rsidRDefault="000C6AFE"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16" w:name="_Ref528682096"/>
      <w:bookmarkStart w:id="17" w:name="_Ref494356776"/>
      <w:r w:rsidRPr="009604B4">
        <w:rPr>
          <w:rFonts w:ascii="Times New Roman" w:hAnsi="Times New Roman"/>
          <w:sz w:val="20"/>
        </w:rPr>
        <w:t>The communicant submit</w:t>
      </w:r>
      <w:r w:rsidR="00471F89">
        <w:rPr>
          <w:rFonts w:ascii="Times New Roman" w:hAnsi="Times New Roman"/>
          <w:sz w:val="20"/>
        </w:rPr>
        <w:t>s</w:t>
      </w:r>
      <w:r w:rsidRPr="009604B4">
        <w:rPr>
          <w:rFonts w:ascii="Times New Roman" w:hAnsi="Times New Roman"/>
          <w:sz w:val="20"/>
        </w:rPr>
        <w:t xml:space="preserve"> that the </w:t>
      </w:r>
      <w:r w:rsidR="00513358" w:rsidRPr="009604B4">
        <w:rPr>
          <w:rFonts w:ascii="Times New Roman" w:hAnsi="Times New Roman"/>
          <w:sz w:val="20"/>
        </w:rPr>
        <w:t>P</w:t>
      </w:r>
      <w:r w:rsidRPr="009604B4">
        <w:rPr>
          <w:rFonts w:ascii="Times New Roman" w:hAnsi="Times New Roman"/>
          <w:sz w:val="20"/>
        </w:rPr>
        <w:t xml:space="preserve">arty concerned failed to provide </w:t>
      </w:r>
      <w:r w:rsidR="00513358" w:rsidRPr="009604B4">
        <w:rPr>
          <w:rFonts w:ascii="Times New Roman" w:hAnsi="Times New Roman"/>
          <w:sz w:val="20"/>
        </w:rPr>
        <w:t xml:space="preserve">information on the </w:t>
      </w:r>
      <w:r w:rsidRPr="009604B4">
        <w:rPr>
          <w:rFonts w:ascii="Times New Roman" w:hAnsi="Times New Roman"/>
          <w:sz w:val="20"/>
        </w:rPr>
        <w:t xml:space="preserve">relative environmental effects of strategic alternatives to </w:t>
      </w:r>
      <w:r w:rsidR="002C3234" w:rsidRPr="009604B4">
        <w:rPr>
          <w:rFonts w:ascii="Times New Roman" w:hAnsi="Times New Roman"/>
          <w:sz w:val="20"/>
        </w:rPr>
        <w:t>High Speed 2</w:t>
      </w:r>
      <w:r w:rsidR="007E3B06" w:rsidRPr="009604B4">
        <w:rPr>
          <w:rFonts w:ascii="Times New Roman" w:hAnsi="Times New Roman"/>
          <w:sz w:val="20"/>
        </w:rPr>
        <w:t xml:space="preserve">, such as improvements to existing </w:t>
      </w:r>
      <w:r w:rsidR="00337C4E" w:rsidRPr="009604B4">
        <w:rPr>
          <w:rFonts w:ascii="Times New Roman" w:hAnsi="Times New Roman"/>
          <w:sz w:val="20"/>
        </w:rPr>
        <w:t>rail</w:t>
      </w:r>
      <w:r w:rsidR="007E3B06" w:rsidRPr="009604B4">
        <w:rPr>
          <w:rFonts w:ascii="Times New Roman" w:hAnsi="Times New Roman"/>
          <w:sz w:val="20"/>
        </w:rPr>
        <w:t xml:space="preserve"> networks</w:t>
      </w:r>
      <w:r w:rsidR="00337C4E" w:rsidRPr="009604B4">
        <w:rPr>
          <w:rFonts w:ascii="Times New Roman" w:hAnsi="Times New Roman"/>
          <w:sz w:val="20"/>
        </w:rPr>
        <w:t xml:space="preserve"> </w:t>
      </w:r>
      <w:r w:rsidR="00661223" w:rsidRPr="009604B4">
        <w:rPr>
          <w:rFonts w:ascii="Times New Roman" w:hAnsi="Times New Roman"/>
          <w:sz w:val="20"/>
        </w:rPr>
        <w:t xml:space="preserve">and a lower but still </w:t>
      </w:r>
      <w:proofErr w:type="gramStart"/>
      <w:r w:rsidR="00661223" w:rsidRPr="009604B4">
        <w:rPr>
          <w:rFonts w:ascii="Times New Roman" w:hAnsi="Times New Roman"/>
          <w:sz w:val="20"/>
        </w:rPr>
        <w:t>high speed</w:t>
      </w:r>
      <w:proofErr w:type="gramEnd"/>
      <w:r w:rsidR="00661223" w:rsidRPr="009604B4">
        <w:rPr>
          <w:rFonts w:ascii="Times New Roman" w:hAnsi="Times New Roman"/>
          <w:sz w:val="20"/>
        </w:rPr>
        <w:t xml:space="preserve"> rail network.</w:t>
      </w:r>
      <w:r w:rsidR="007E3B06" w:rsidRPr="009604B4">
        <w:rPr>
          <w:rStyle w:val="FootnoteReference"/>
        </w:rPr>
        <w:footnoteReference w:id="99"/>
      </w:r>
      <w:bookmarkEnd w:id="16"/>
      <w:r w:rsidRPr="009604B4">
        <w:rPr>
          <w:rFonts w:ascii="Times New Roman" w:hAnsi="Times New Roman"/>
          <w:sz w:val="20"/>
        </w:rPr>
        <w:t xml:space="preserve"> </w:t>
      </w:r>
      <w:bookmarkEnd w:id="17"/>
    </w:p>
    <w:p w14:paraId="1F8DC932" w14:textId="64AB0EC1" w:rsidR="00F750A2" w:rsidRPr="009604B4" w:rsidRDefault="000C6AFE"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18" w:name="_Ref495326951"/>
      <w:r w:rsidRPr="009604B4">
        <w:rPr>
          <w:rFonts w:ascii="Times New Roman" w:hAnsi="Times New Roman"/>
          <w:sz w:val="20"/>
        </w:rPr>
        <w:t xml:space="preserve">The Party </w:t>
      </w:r>
      <w:r w:rsidR="005224CA" w:rsidRPr="009604B4">
        <w:rPr>
          <w:rFonts w:ascii="Times New Roman" w:hAnsi="Times New Roman"/>
          <w:sz w:val="20"/>
        </w:rPr>
        <w:t xml:space="preserve">concerned </w:t>
      </w:r>
      <w:r w:rsidRPr="009604B4">
        <w:rPr>
          <w:rFonts w:ascii="Times New Roman" w:hAnsi="Times New Roman"/>
          <w:sz w:val="20"/>
        </w:rPr>
        <w:t xml:space="preserve">contends that the work commissioned by the Department </w:t>
      </w:r>
      <w:r w:rsidRPr="004F2D82">
        <w:rPr>
          <w:rFonts w:ascii="Times New Roman" w:hAnsi="Times New Roman"/>
          <w:sz w:val="20"/>
        </w:rPr>
        <w:t>for</w:t>
      </w:r>
      <w:r w:rsidRPr="009604B4">
        <w:rPr>
          <w:rFonts w:ascii="Times New Roman" w:hAnsi="Times New Roman"/>
          <w:sz w:val="20"/>
        </w:rPr>
        <w:t xml:space="preserve"> Transport prior to </w:t>
      </w:r>
      <w:r w:rsidR="00FB28F5" w:rsidRPr="009604B4">
        <w:rPr>
          <w:rFonts w:ascii="Times New Roman" w:hAnsi="Times New Roman"/>
          <w:sz w:val="20"/>
        </w:rPr>
        <w:t xml:space="preserve">the </w:t>
      </w:r>
      <w:r w:rsidR="00107DD8" w:rsidRPr="009604B4">
        <w:rPr>
          <w:rFonts w:ascii="Times New Roman" w:hAnsi="Times New Roman"/>
          <w:sz w:val="20"/>
        </w:rPr>
        <w:t xml:space="preserve">start of the </w:t>
      </w:r>
      <w:r w:rsidRPr="009604B4">
        <w:rPr>
          <w:rFonts w:ascii="Times New Roman" w:hAnsi="Times New Roman"/>
          <w:sz w:val="20"/>
        </w:rPr>
        <w:t>consultation in February 2011 included a number of reports on strategic alternatives to high speed rail.</w:t>
      </w:r>
      <w:r w:rsidR="005224CA" w:rsidRPr="009604B4">
        <w:rPr>
          <w:rStyle w:val="FootnoteReference"/>
        </w:rPr>
        <w:footnoteReference w:id="100"/>
      </w:r>
      <w:r w:rsidRPr="009604B4">
        <w:rPr>
          <w:rFonts w:ascii="Times New Roman" w:hAnsi="Times New Roman"/>
          <w:sz w:val="20"/>
        </w:rPr>
        <w:t xml:space="preserve"> </w:t>
      </w:r>
      <w:r w:rsidR="00661223" w:rsidRPr="009604B4">
        <w:rPr>
          <w:rFonts w:ascii="Times New Roman" w:hAnsi="Times New Roman"/>
          <w:sz w:val="20"/>
        </w:rPr>
        <w:t xml:space="preserve">It submits that these </w:t>
      </w:r>
      <w:r w:rsidRPr="009604B4">
        <w:rPr>
          <w:rFonts w:ascii="Times New Roman" w:hAnsi="Times New Roman"/>
          <w:sz w:val="20"/>
        </w:rPr>
        <w:t>included</w:t>
      </w:r>
      <w:r w:rsidR="00513358" w:rsidRPr="009604B4">
        <w:rPr>
          <w:rFonts w:ascii="Times New Roman" w:hAnsi="Times New Roman"/>
          <w:sz w:val="20"/>
        </w:rPr>
        <w:t>,</w:t>
      </w:r>
      <w:r w:rsidRPr="009604B4">
        <w:rPr>
          <w:rFonts w:ascii="Times New Roman" w:hAnsi="Times New Roman"/>
          <w:sz w:val="20"/>
        </w:rPr>
        <w:t xml:space="preserve"> but were not limited to</w:t>
      </w:r>
      <w:r w:rsidR="00513358" w:rsidRPr="009604B4">
        <w:rPr>
          <w:rFonts w:ascii="Times New Roman" w:hAnsi="Times New Roman"/>
          <w:sz w:val="20"/>
        </w:rPr>
        <w:t>,</w:t>
      </w:r>
      <w:r w:rsidRPr="009604B4">
        <w:rPr>
          <w:rFonts w:ascii="Times New Roman" w:hAnsi="Times New Roman"/>
          <w:sz w:val="20"/>
        </w:rPr>
        <w:t xml:space="preserve"> the </w:t>
      </w:r>
      <w:r w:rsidRPr="009604B4">
        <w:rPr>
          <w:rFonts w:ascii="Times New Roman" w:eastAsia="Times New Roman" w:hAnsi="Times New Roman" w:cs="Times New Roman"/>
          <w:sz w:val="20"/>
          <w:szCs w:val="20"/>
        </w:rPr>
        <w:t xml:space="preserve">reports </w:t>
      </w:r>
      <w:r w:rsidR="004353CD" w:rsidRPr="009604B4">
        <w:rPr>
          <w:rFonts w:ascii="Times New Roman" w:eastAsia="Times New Roman" w:hAnsi="Times New Roman" w:cs="Times New Roman"/>
          <w:sz w:val="20"/>
          <w:szCs w:val="20"/>
        </w:rPr>
        <w:t xml:space="preserve">by WS </w:t>
      </w:r>
      <w:r w:rsidR="004353CD" w:rsidRPr="009604B4">
        <w:rPr>
          <w:rFonts w:ascii="Times New Roman" w:hAnsi="Times New Roman"/>
          <w:sz w:val="20"/>
        </w:rPr>
        <w:t xml:space="preserve">Atkins </w:t>
      </w:r>
      <w:r w:rsidR="004353CD" w:rsidRPr="009604B4">
        <w:rPr>
          <w:rFonts w:ascii="Times New Roman" w:eastAsia="Times New Roman" w:hAnsi="Times New Roman" w:cs="Times New Roman"/>
          <w:sz w:val="20"/>
          <w:szCs w:val="20"/>
        </w:rPr>
        <w:t>plc</w:t>
      </w:r>
      <w:r w:rsidR="004353CD" w:rsidRPr="009604B4">
        <w:rPr>
          <w:rFonts w:ascii="Times New Roman" w:hAnsi="Times New Roman"/>
          <w:sz w:val="20"/>
        </w:rPr>
        <w:t xml:space="preserve"> </w:t>
      </w:r>
      <w:r w:rsidRPr="009604B4">
        <w:rPr>
          <w:rFonts w:ascii="Times New Roman" w:hAnsi="Times New Roman"/>
          <w:sz w:val="20"/>
        </w:rPr>
        <w:t>which were published alongside the Consultation Document and which were required to consider inter alia the environmental effects of those alternatives.</w:t>
      </w:r>
      <w:r w:rsidR="005224CA" w:rsidRPr="009604B4">
        <w:rPr>
          <w:rStyle w:val="FootnoteReference"/>
        </w:rPr>
        <w:footnoteReference w:id="101"/>
      </w:r>
      <w:r w:rsidRPr="009604B4">
        <w:rPr>
          <w:rFonts w:ascii="Times New Roman" w:hAnsi="Times New Roman"/>
          <w:sz w:val="20"/>
        </w:rPr>
        <w:t xml:space="preserve"> </w:t>
      </w:r>
      <w:r w:rsidR="00FB28F5" w:rsidRPr="009604B4">
        <w:rPr>
          <w:rFonts w:ascii="Times New Roman" w:hAnsi="Times New Roman"/>
          <w:sz w:val="20"/>
        </w:rPr>
        <w:t>The Party concerned contends that, a</w:t>
      </w:r>
      <w:r w:rsidRPr="009604B4">
        <w:rPr>
          <w:rFonts w:ascii="Times New Roman" w:hAnsi="Times New Roman"/>
          <w:sz w:val="20"/>
        </w:rPr>
        <w:t xml:space="preserve">longside the DNS, </w:t>
      </w:r>
      <w:r w:rsidR="00FB28F5" w:rsidRPr="009604B4">
        <w:rPr>
          <w:rFonts w:ascii="Times New Roman" w:hAnsi="Times New Roman"/>
          <w:sz w:val="20"/>
        </w:rPr>
        <w:t xml:space="preserve">it </w:t>
      </w:r>
      <w:r w:rsidRPr="009604B4">
        <w:rPr>
          <w:rFonts w:ascii="Times New Roman" w:hAnsi="Times New Roman"/>
          <w:sz w:val="20"/>
        </w:rPr>
        <w:t xml:space="preserve">published updated reviews of alternatives and strategic alternatives and of its strategy for </w:t>
      </w:r>
      <w:r w:rsidR="002C3234" w:rsidRPr="009604B4">
        <w:rPr>
          <w:rFonts w:ascii="Times New Roman" w:hAnsi="Times New Roman"/>
          <w:sz w:val="20"/>
        </w:rPr>
        <w:t>High Speed 2</w:t>
      </w:r>
      <w:r w:rsidRPr="009604B4">
        <w:rPr>
          <w:rFonts w:ascii="Times New Roman" w:hAnsi="Times New Roman"/>
          <w:sz w:val="20"/>
        </w:rPr>
        <w:t>.</w:t>
      </w:r>
      <w:r w:rsidR="005224CA" w:rsidRPr="009604B4">
        <w:rPr>
          <w:rStyle w:val="FootnoteReference"/>
        </w:rPr>
        <w:footnoteReference w:id="102"/>
      </w:r>
      <w:r w:rsidRPr="009604B4">
        <w:rPr>
          <w:rFonts w:ascii="Times New Roman" w:hAnsi="Times New Roman"/>
          <w:sz w:val="20"/>
        </w:rPr>
        <w:t xml:space="preserve"> In addition, </w:t>
      </w:r>
      <w:r w:rsidR="007E3CEB" w:rsidRPr="009604B4">
        <w:rPr>
          <w:rFonts w:ascii="Times New Roman" w:hAnsi="Times New Roman"/>
          <w:sz w:val="20"/>
        </w:rPr>
        <w:t>it refers to</w:t>
      </w:r>
      <w:r w:rsidRPr="009604B4">
        <w:rPr>
          <w:rFonts w:ascii="Times New Roman" w:hAnsi="Times New Roman"/>
          <w:sz w:val="20"/>
        </w:rPr>
        <w:t xml:space="preserve"> a specific </w:t>
      </w:r>
      <w:r w:rsidR="00FB28F5" w:rsidRPr="009604B4">
        <w:rPr>
          <w:rFonts w:ascii="Times New Roman" w:hAnsi="Times New Roman"/>
          <w:sz w:val="20"/>
        </w:rPr>
        <w:t>a</w:t>
      </w:r>
      <w:r w:rsidRPr="009604B4">
        <w:rPr>
          <w:rFonts w:ascii="Times New Roman" w:hAnsi="Times New Roman"/>
          <w:sz w:val="20"/>
        </w:rPr>
        <w:t xml:space="preserve">lternatives </w:t>
      </w:r>
      <w:r w:rsidR="00FB28F5" w:rsidRPr="009604B4">
        <w:rPr>
          <w:rFonts w:ascii="Times New Roman" w:hAnsi="Times New Roman"/>
          <w:sz w:val="20"/>
        </w:rPr>
        <w:t>r</w:t>
      </w:r>
      <w:r w:rsidRPr="009604B4">
        <w:rPr>
          <w:rFonts w:ascii="Times New Roman" w:hAnsi="Times New Roman"/>
          <w:sz w:val="20"/>
        </w:rPr>
        <w:t xml:space="preserve">eport published as part of the </w:t>
      </w:r>
      <w:r w:rsidR="00FB28F5" w:rsidRPr="009604B4">
        <w:rPr>
          <w:rFonts w:ascii="Times New Roman" w:hAnsi="Times New Roman"/>
          <w:sz w:val="20"/>
        </w:rPr>
        <w:t>e</w:t>
      </w:r>
      <w:r w:rsidRPr="009604B4">
        <w:rPr>
          <w:rFonts w:ascii="Times New Roman" w:hAnsi="Times New Roman"/>
          <w:sz w:val="20"/>
        </w:rPr>
        <w:t xml:space="preserve">nvironmental </w:t>
      </w:r>
      <w:r w:rsidR="00FB28F5" w:rsidRPr="009604B4">
        <w:rPr>
          <w:rFonts w:ascii="Times New Roman" w:hAnsi="Times New Roman"/>
          <w:sz w:val="20"/>
        </w:rPr>
        <w:t>s</w:t>
      </w:r>
      <w:r w:rsidRPr="009604B4">
        <w:rPr>
          <w:rFonts w:ascii="Times New Roman" w:hAnsi="Times New Roman"/>
          <w:sz w:val="20"/>
        </w:rPr>
        <w:t>tatement which include</w:t>
      </w:r>
      <w:r w:rsidR="00CA4A7F" w:rsidRPr="009604B4">
        <w:rPr>
          <w:rFonts w:ascii="Times New Roman" w:hAnsi="Times New Roman"/>
          <w:sz w:val="20"/>
        </w:rPr>
        <w:t>d</w:t>
      </w:r>
      <w:r w:rsidRPr="009604B4">
        <w:rPr>
          <w:rFonts w:ascii="Times New Roman" w:hAnsi="Times New Roman"/>
          <w:sz w:val="20"/>
        </w:rPr>
        <w:t xml:space="preserve"> consideration of strategic alternatives to high speed rail, including alternative modes (road or domestic aviation), slower line speeds, and upgrades to existing lines.</w:t>
      </w:r>
      <w:r w:rsidRPr="009604B4">
        <w:rPr>
          <w:rStyle w:val="FootnoteReference"/>
          <w:sz w:val="20"/>
        </w:rPr>
        <w:footnoteReference w:id="103"/>
      </w:r>
      <w:bookmarkEnd w:id="18"/>
    </w:p>
    <w:p w14:paraId="1AAC1D9C" w14:textId="485302D6" w:rsidR="000C6AFE" w:rsidRPr="004F2D82" w:rsidRDefault="00FB28F5" w:rsidP="000F4DAD">
      <w:pPr>
        <w:tabs>
          <w:tab w:val="left" w:pos="1134"/>
        </w:tabs>
        <w:suppressAutoHyphens/>
        <w:spacing w:before="240" w:after="120" w:line="240" w:lineRule="atLeast"/>
        <w:ind w:left="567" w:right="1134"/>
        <w:jc w:val="both"/>
        <w:rPr>
          <w:rFonts w:ascii="Times New Roman" w:hAnsi="Times New Roman"/>
          <w:sz w:val="20"/>
          <w:u w:val="single"/>
        </w:rPr>
      </w:pPr>
      <w:r w:rsidRPr="004F2D82">
        <w:rPr>
          <w:rFonts w:ascii="Times New Roman" w:hAnsi="Times New Roman"/>
          <w:sz w:val="20"/>
          <w:u w:val="single"/>
        </w:rPr>
        <w:t xml:space="preserve">The relative </w:t>
      </w:r>
      <w:r w:rsidR="000C6AFE" w:rsidRPr="004F2D82">
        <w:rPr>
          <w:rFonts w:ascii="Times New Roman" w:hAnsi="Times New Roman"/>
          <w:sz w:val="20"/>
          <w:u w:val="single"/>
        </w:rPr>
        <w:t xml:space="preserve">environmental effects of alternative configurations for </w:t>
      </w:r>
      <w:r w:rsidRPr="004F2D82">
        <w:rPr>
          <w:rFonts w:ascii="Times New Roman" w:hAnsi="Times New Roman"/>
          <w:sz w:val="20"/>
          <w:u w:val="single"/>
        </w:rPr>
        <w:t xml:space="preserve">the </w:t>
      </w:r>
      <w:proofErr w:type="gramStart"/>
      <w:r w:rsidR="000C6AFE" w:rsidRPr="004F2D82">
        <w:rPr>
          <w:rFonts w:ascii="Times New Roman" w:hAnsi="Times New Roman"/>
          <w:sz w:val="20"/>
          <w:u w:val="single"/>
        </w:rPr>
        <w:t>high speed</w:t>
      </w:r>
      <w:proofErr w:type="gramEnd"/>
      <w:r w:rsidR="000C6AFE" w:rsidRPr="004F2D82">
        <w:rPr>
          <w:rFonts w:ascii="Times New Roman" w:hAnsi="Times New Roman"/>
          <w:sz w:val="20"/>
          <w:u w:val="single"/>
        </w:rPr>
        <w:t xml:space="preserve"> rail network</w:t>
      </w:r>
    </w:p>
    <w:p w14:paraId="33935B39" w14:textId="457BB22B" w:rsidR="008770B2" w:rsidRPr="009604B4" w:rsidRDefault="000C6AFE" w:rsidP="00FD13A4">
      <w:pPr>
        <w:numPr>
          <w:ilvl w:val="0"/>
          <w:numId w:val="2"/>
        </w:numPr>
        <w:tabs>
          <w:tab w:val="clear" w:pos="1144"/>
          <w:tab w:val="num" w:pos="568"/>
        </w:tabs>
        <w:suppressAutoHyphens/>
        <w:spacing w:after="120" w:line="240" w:lineRule="atLeast"/>
        <w:ind w:left="567" w:right="1134" w:firstLine="0"/>
        <w:jc w:val="both"/>
        <w:rPr>
          <w:rFonts w:ascii="Times New Roman" w:hAnsi="Times New Roman"/>
          <w:sz w:val="20"/>
        </w:rPr>
      </w:pPr>
      <w:bookmarkStart w:id="19" w:name="_Ref494356787"/>
      <w:r w:rsidRPr="009604B4">
        <w:rPr>
          <w:rFonts w:ascii="Times New Roman" w:hAnsi="Times New Roman"/>
          <w:sz w:val="20"/>
        </w:rPr>
        <w:t xml:space="preserve">The communicant </w:t>
      </w:r>
      <w:r w:rsidR="007E3CEB" w:rsidRPr="009604B4">
        <w:rPr>
          <w:rFonts w:ascii="Times New Roman" w:hAnsi="Times New Roman"/>
          <w:sz w:val="20"/>
        </w:rPr>
        <w:t>allege</w:t>
      </w:r>
      <w:r w:rsidR="00471F89">
        <w:rPr>
          <w:rFonts w:ascii="Times New Roman" w:hAnsi="Times New Roman"/>
          <w:sz w:val="20"/>
        </w:rPr>
        <w:t>s</w:t>
      </w:r>
      <w:r w:rsidR="007E3CEB" w:rsidRPr="009604B4">
        <w:rPr>
          <w:rFonts w:ascii="Times New Roman" w:hAnsi="Times New Roman"/>
          <w:sz w:val="20"/>
        </w:rPr>
        <w:t xml:space="preserve"> </w:t>
      </w:r>
      <w:r w:rsidRPr="009604B4">
        <w:rPr>
          <w:rFonts w:ascii="Times New Roman" w:hAnsi="Times New Roman"/>
          <w:sz w:val="20"/>
        </w:rPr>
        <w:t xml:space="preserve">that three alternative configurations, </w:t>
      </w:r>
      <w:r w:rsidR="006733CD" w:rsidRPr="009604B4">
        <w:rPr>
          <w:rFonts w:ascii="Times New Roman" w:hAnsi="Times New Roman"/>
          <w:sz w:val="20"/>
        </w:rPr>
        <w:t>known as the “inverted A”, “reverse E” and “S” networks</w:t>
      </w:r>
      <w:r w:rsidR="007E3CEB" w:rsidRPr="009604B4">
        <w:rPr>
          <w:rFonts w:ascii="Times New Roman" w:hAnsi="Times New Roman"/>
          <w:sz w:val="20"/>
        </w:rPr>
        <w:t xml:space="preserve"> were</w:t>
      </w:r>
      <w:r w:rsidR="006733CD" w:rsidRPr="009604B4">
        <w:rPr>
          <w:rFonts w:ascii="Times New Roman" w:hAnsi="Times New Roman"/>
          <w:sz w:val="20"/>
        </w:rPr>
        <w:t xml:space="preserve"> considered and rejected </w:t>
      </w:r>
      <w:r w:rsidR="004C5F95" w:rsidRPr="009604B4">
        <w:rPr>
          <w:rFonts w:ascii="Times New Roman" w:hAnsi="Times New Roman"/>
          <w:sz w:val="20"/>
        </w:rPr>
        <w:t xml:space="preserve">prior to the public consultation, which was premised on </w:t>
      </w:r>
      <w:r w:rsidR="006733CD" w:rsidRPr="009604B4">
        <w:rPr>
          <w:rFonts w:ascii="Times New Roman" w:hAnsi="Times New Roman"/>
          <w:sz w:val="20"/>
        </w:rPr>
        <w:t>the “Y” network</w:t>
      </w:r>
      <w:r w:rsidR="006733CD" w:rsidRPr="009604B4">
        <w:rPr>
          <w:rFonts w:ascii="Times New Roman" w:eastAsia="Times New Roman" w:hAnsi="Times New Roman" w:cs="Times New Roman"/>
          <w:sz w:val="20"/>
          <w:szCs w:val="20"/>
        </w:rPr>
        <w:t xml:space="preserve"> </w:t>
      </w:r>
      <w:r w:rsidR="00AA01B2" w:rsidRPr="009604B4">
        <w:rPr>
          <w:rFonts w:ascii="Times New Roman" w:eastAsia="Times New Roman" w:hAnsi="Times New Roman" w:cs="Times New Roman"/>
          <w:sz w:val="20"/>
          <w:szCs w:val="20"/>
        </w:rPr>
        <w:t>ultimately selected</w:t>
      </w:r>
      <w:r w:rsidR="006733CD" w:rsidRPr="009604B4">
        <w:rPr>
          <w:rFonts w:ascii="Times New Roman" w:hAnsi="Times New Roman"/>
          <w:sz w:val="20"/>
        </w:rPr>
        <w:t>.</w:t>
      </w:r>
      <w:r w:rsidR="004C5F95" w:rsidRPr="009604B4">
        <w:rPr>
          <w:rStyle w:val="FootnoteReference"/>
        </w:rPr>
        <w:footnoteReference w:id="104"/>
      </w:r>
      <w:r w:rsidR="00CF0B3A" w:rsidRPr="009604B4">
        <w:rPr>
          <w:rFonts w:ascii="Times New Roman" w:hAnsi="Times New Roman"/>
          <w:sz w:val="20"/>
        </w:rPr>
        <w:t xml:space="preserve"> It submits that an alignment involving a throug</w:t>
      </w:r>
      <w:r w:rsidR="00377517" w:rsidRPr="009604B4">
        <w:rPr>
          <w:rFonts w:ascii="Times New Roman" w:hAnsi="Times New Roman"/>
          <w:sz w:val="20"/>
        </w:rPr>
        <w:t>h route via London Heathrow air</w:t>
      </w:r>
      <w:r w:rsidR="00CF0B3A" w:rsidRPr="009604B4">
        <w:rPr>
          <w:rFonts w:ascii="Times New Roman" w:hAnsi="Times New Roman"/>
          <w:sz w:val="20"/>
        </w:rPr>
        <w:t>port had also been ruled out.</w:t>
      </w:r>
      <w:r w:rsidR="00CF0B3A" w:rsidRPr="009604B4">
        <w:rPr>
          <w:rStyle w:val="FootnoteReference"/>
        </w:rPr>
        <w:footnoteReference w:id="105"/>
      </w:r>
      <w:r w:rsidR="006733CD" w:rsidRPr="009604B4">
        <w:rPr>
          <w:rFonts w:ascii="Times New Roman" w:hAnsi="Times New Roman"/>
          <w:sz w:val="20"/>
        </w:rPr>
        <w:t xml:space="preserve"> </w:t>
      </w:r>
      <w:r w:rsidR="007E3CEB" w:rsidRPr="009604B4">
        <w:rPr>
          <w:rFonts w:ascii="Times New Roman" w:hAnsi="Times New Roman"/>
          <w:sz w:val="20"/>
        </w:rPr>
        <w:t xml:space="preserve">The communicant </w:t>
      </w:r>
      <w:r w:rsidR="00190BA5" w:rsidRPr="009604B4">
        <w:rPr>
          <w:rFonts w:ascii="Times New Roman" w:eastAsia="Times New Roman" w:hAnsi="Times New Roman" w:cs="Times New Roman"/>
          <w:sz w:val="20"/>
          <w:szCs w:val="20"/>
        </w:rPr>
        <w:t>claim</w:t>
      </w:r>
      <w:r w:rsidR="00471F89">
        <w:rPr>
          <w:rFonts w:ascii="Times New Roman" w:eastAsia="Times New Roman" w:hAnsi="Times New Roman" w:cs="Times New Roman"/>
          <w:sz w:val="20"/>
          <w:szCs w:val="20"/>
        </w:rPr>
        <w:t>s</w:t>
      </w:r>
      <w:r w:rsidR="00190BA5" w:rsidRPr="009604B4">
        <w:rPr>
          <w:rFonts w:ascii="Times New Roman" w:eastAsia="Times New Roman" w:hAnsi="Times New Roman" w:cs="Times New Roman"/>
          <w:sz w:val="20"/>
          <w:szCs w:val="20"/>
        </w:rPr>
        <w:t xml:space="preserve"> that the environmental information contained in the Appraisal of Sustainability was directed solely at the environmental impacts of the proposed route for Phase 1 from London to the West Midlands, despite the DNS being a plan/programme for the </w:t>
      </w:r>
      <w:r w:rsidR="00AA01B2" w:rsidRPr="009604B4">
        <w:rPr>
          <w:rFonts w:ascii="Times New Roman" w:eastAsia="Times New Roman" w:hAnsi="Times New Roman" w:cs="Times New Roman"/>
          <w:sz w:val="20"/>
          <w:szCs w:val="20"/>
        </w:rPr>
        <w:t xml:space="preserve">entire </w:t>
      </w:r>
      <w:r w:rsidR="00190BA5" w:rsidRPr="009604B4">
        <w:rPr>
          <w:rFonts w:ascii="Times New Roman" w:eastAsia="Times New Roman" w:hAnsi="Times New Roman" w:cs="Times New Roman"/>
          <w:sz w:val="20"/>
          <w:szCs w:val="20"/>
        </w:rPr>
        <w:t xml:space="preserve">“Y” network. It </w:t>
      </w:r>
      <w:r w:rsidR="007E3CEB" w:rsidRPr="009604B4">
        <w:rPr>
          <w:rFonts w:ascii="Times New Roman" w:hAnsi="Times New Roman"/>
          <w:sz w:val="20"/>
        </w:rPr>
        <w:t>submits</w:t>
      </w:r>
      <w:r w:rsidRPr="009604B4">
        <w:rPr>
          <w:rFonts w:ascii="Times New Roman" w:hAnsi="Times New Roman"/>
          <w:sz w:val="20"/>
        </w:rPr>
        <w:t xml:space="preserve"> th</w:t>
      </w:r>
      <w:r w:rsidR="00107DD8" w:rsidRPr="009604B4">
        <w:rPr>
          <w:rFonts w:ascii="Times New Roman" w:hAnsi="Times New Roman"/>
          <w:sz w:val="20"/>
        </w:rPr>
        <w:t>at</w:t>
      </w:r>
      <w:r w:rsidR="00200EBB" w:rsidRPr="009604B4">
        <w:rPr>
          <w:rFonts w:ascii="Times New Roman" w:hAnsi="Times New Roman"/>
          <w:sz w:val="20"/>
        </w:rPr>
        <w:t xml:space="preserve"> no information was provided to the public on the </w:t>
      </w:r>
      <w:r w:rsidR="00200EBB" w:rsidRPr="004F2D82">
        <w:rPr>
          <w:rFonts w:ascii="Times New Roman" w:hAnsi="Times New Roman"/>
          <w:sz w:val="20"/>
        </w:rPr>
        <w:t>environmental effects of the</w:t>
      </w:r>
      <w:r w:rsidR="00200EBB" w:rsidRPr="004F2D82">
        <w:rPr>
          <w:rFonts w:ascii="Times New Roman" w:eastAsia="Times New Roman" w:hAnsi="Times New Roman" w:cs="Times New Roman"/>
          <w:sz w:val="20"/>
          <w:szCs w:val="20"/>
        </w:rPr>
        <w:t xml:space="preserve"> </w:t>
      </w:r>
      <w:r w:rsidR="00AA01B2" w:rsidRPr="004F2D82">
        <w:rPr>
          <w:rFonts w:ascii="Times New Roman" w:eastAsia="Times New Roman" w:hAnsi="Times New Roman" w:cs="Times New Roman"/>
          <w:sz w:val="20"/>
          <w:szCs w:val="20"/>
        </w:rPr>
        <w:t>complete</w:t>
      </w:r>
      <w:r w:rsidR="00AA01B2" w:rsidRPr="004F2D82">
        <w:rPr>
          <w:rFonts w:ascii="Times New Roman" w:hAnsi="Times New Roman"/>
          <w:sz w:val="20"/>
        </w:rPr>
        <w:t xml:space="preserve"> </w:t>
      </w:r>
      <w:r w:rsidR="00200EBB" w:rsidRPr="004F2D82">
        <w:rPr>
          <w:rFonts w:ascii="Times New Roman" w:hAnsi="Times New Roman"/>
          <w:sz w:val="20"/>
        </w:rPr>
        <w:t>“Y” network, either at all or in comparison with the effects of the “reverse E” and “S” shapes or the route via London Heathrow</w:t>
      </w:r>
      <w:r w:rsidR="00CA138A" w:rsidRPr="004F2D82">
        <w:rPr>
          <w:rFonts w:ascii="Times New Roman" w:hAnsi="Times New Roman"/>
          <w:sz w:val="20"/>
        </w:rPr>
        <w:t xml:space="preserve"> before the Secretary of State</w:t>
      </w:r>
      <w:r w:rsidR="004510B9" w:rsidRPr="004F2D82">
        <w:rPr>
          <w:rFonts w:ascii="Times New Roman" w:hAnsi="Times New Roman"/>
          <w:sz w:val="20"/>
        </w:rPr>
        <w:t xml:space="preserve"> for </w:t>
      </w:r>
      <w:r w:rsidR="00B91F43" w:rsidRPr="004F2D82">
        <w:rPr>
          <w:rFonts w:ascii="Times New Roman" w:hAnsi="Times New Roman"/>
          <w:sz w:val="20"/>
        </w:rPr>
        <w:t>Transport</w:t>
      </w:r>
      <w:r w:rsidR="004510B9" w:rsidRPr="004F2D82">
        <w:rPr>
          <w:rFonts w:ascii="Times New Roman" w:hAnsi="Times New Roman"/>
          <w:sz w:val="20"/>
        </w:rPr>
        <w:t xml:space="preserve"> </w:t>
      </w:r>
      <w:r w:rsidR="00A1608A" w:rsidRPr="004F2D82">
        <w:rPr>
          <w:rFonts w:ascii="Times New Roman" w:hAnsi="Times New Roman"/>
          <w:sz w:val="20"/>
        </w:rPr>
        <w:t xml:space="preserve">chose </w:t>
      </w:r>
      <w:r w:rsidR="004510B9" w:rsidRPr="004F2D82">
        <w:rPr>
          <w:rFonts w:ascii="Times New Roman" w:hAnsi="Times New Roman"/>
          <w:sz w:val="20"/>
        </w:rPr>
        <w:t xml:space="preserve">the </w:t>
      </w:r>
      <w:r w:rsidR="00A1608A" w:rsidRPr="004F2D82">
        <w:rPr>
          <w:rFonts w:ascii="Times New Roman" w:hAnsi="Times New Roman"/>
          <w:sz w:val="20"/>
        </w:rPr>
        <w:t xml:space="preserve">preferred outcome, and therefore the public could not consult on </w:t>
      </w:r>
      <w:r w:rsidR="00190BA5" w:rsidRPr="004F2D82">
        <w:rPr>
          <w:rFonts w:ascii="Times New Roman" w:hAnsi="Times New Roman"/>
          <w:sz w:val="20"/>
        </w:rPr>
        <w:t xml:space="preserve">these issues </w:t>
      </w:r>
      <w:r w:rsidR="00A1608A" w:rsidRPr="004F2D82">
        <w:rPr>
          <w:rFonts w:ascii="Times New Roman" w:hAnsi="Times New Roman"/>
          <w:sz w:val="20"/>
        </w:rPr>
        <w:t>and have its comments</w:t>
      </w:r>
      <w:r w:rsidR="00A1608A" w:rsidRPr="009604B4">
        <w:rPr>
          <w:rFonts w:ascii="Times New Roman" w:hAnsi="Times New Roman"/>
          <w:sz w:val="20"/>
        </w:rPr>
        <w:t xml:space="preserve"> taken into consideration by the Secretary of State</w:t>
      </w:r>
      <w:r w:rsidRPr="009604B4">
        <w:rPr>
          <w:rFonts w:ascii="Times New Roman" w:eastAsia="Times New Roman" w:hAnsi="Times New Roman" w:cs="Times New Roman"/>
          <w:sz w:val="20"/>
          <w:szCs w:val="20"/>
        </w:rPr>
        <w:t>.</w:t>
      </w:r>
      <w:r w:rsidRPr="009604B4">
        <w:rPr>
          <w:rStyle w:val="FootnoteReference"/>
          <w:sz w:val="20"/>
        </w:rPr>
        <w:footnoteReference w:id="106"/>
      </w:r>
      <w:r w:rsidRPr="009604B4">
        <w:rPr>
          <w:rFonts w:ascii="Times New Roman" w:hAnsi="Times New Roman"/>
          <w:sz w:val="20"/>
        </w:rPr>
        <w:t xml:space="preserve"> </w:t>
      </w:r>
      <w:r w:rsidR="007E3CEB" w:rsidRPr="009604B4">
        <w:rPr>
          <w:rFonts w:ascii="Times New Roman" w:hAnsi="Times New Roman"/>
          <w:sz w:val="20"/>
        </w:rPr>
        <w:t>The communicant allege</w:t>
      </w:r>
      <w:r w:rsidR="00471F89">
        <w:rPr>
          <w:rFonts w:ascii="Times New Roman" w:hAnsi="Times New Roman"/>
          <w:sz w:val="20"/>
        </w:rPr>
        <w:t>s</w:t>
      </w:r>
      <w:r w:rsidR="007E3CEB" w:rsidRPr="009604B4">
        <w:rPr>
          <w:rFonts w:ascii="Times New Roman" w:hAnsi="Times New Roman"/>
          <w:sz w:val="20"/>
        </w:rPr>
        <w:t xml:space="preserve"> that the</w:t>
      </w:r>
      <w:r w:rsidR="00CF0B3A" w:rsidRPr="009604B4">
        <w:rPr>
          <w:rFonts w:ascii="Times New Roman" w:hAnsi="Times New Roman"/>
          <w:sz w:val="20"/>
        </w:rPr>
        <w:t>se</w:t>
      </w:r>
      <w:r w:rsidR="007E3CEB" w:rsidRPr="009604B4">
        <w:rPr>
          <w:rFonts w:ascii="Times New Roman" w:hAnsi="Times New Roman"/>
          <w:sz w:val="20"/>
        </w:rPr>
        <w:t xml:space="preserve"> other options were rejected without public consultation and</w:t>
      </w:r>
      <w:r w:rsidR="00CA4A7F" w:rsidRPr="009604B4">
        <w:rPr>
          <w:rFonts w:ascii="Times New Roman" w:hAnsi="Times New Roman"/>
          <w:sz w:val="20"/>
        </w:rPr>
        <w:t>, in support of its allegation,</w:t>
      </w:r>
      <w:r w:rsidR="007E3CEB" w:rsidRPr="009604B4">
        <w:rPr>
          <w:rFonts w:ascii="Times New Roman" w:hAnsi="Times New Roman"/>
          <w:sz w:val="20"/>
        </w:rPr>
        <w:t xml:space="preserve"> </w:t>
      </w:r>
      <w:r w:rsidR="00FB28F5" w:rsidRPr="009604B4">
        <w:rPr>
          <w:rFonts w:ascii="Times New Roman" w:hAnsi="Times New Roman"/>
          <w:sz w:val="20"/>
        </w:rPr>
        <w:t xml:space="preserve">it </w:t>
      </w:r>
      <w:r w:rsidR="007E3CEB" w:rsidRPr="009604B4">
        <w:rPr>
          <w:rFonts w:ascii="Times New Roman" w:hAnsi="Times New Roman"/>
          <w:sz w:val="20"/>
        </w:rPr>
        <w:t xml:space="preserve">points to the statement of the High Court that </w:t>
      </w:r>
      <w:r w:rsidR="00CA4A7F" w:rsidRPr="009604B4">
        <w:rPr>
          <w:rFonts w:ascii="Times New Roman" w:hAnsi="Times New Roman"/>
          <w:sz w:val="20"/>
        </w:rPr>
        <w:t>“</w:t>
      </w:r>
      <w:r w:rsidR="007E3CEB" w:rsidRPr="009604B4">
        <w:rPr>
          <w:rFonts w:ascii="Times New Roman" w:hAnsi="Times New Roman"/>
          <w:sz w:val="20"/>
        </w:rPr>
        <w:t>alternatives to the</w:t>
      </w:r>
      <w:r w:rsidR="00DA6C37" w:rsidRPr="009604B4">
        <w:rPr>
          <w:rFonts w:ascii="Times New Roman" w:hAnsi="Times New Roman"/>
          <w:sz w:val="20"/>
        </w:rPr>
        <w:t xml:space="preserve"> </w:t>
      </w:r>
      <w:r w:rsidR="00DA6C37" w:rsidRPr="009604B4">
        <w:rPr>
          <w:rFonts w:ascii="Times New Roman" w:eastAsia="Times New Roman" w:hAnsi="Times New Roman" w:cs="Times New Roman"/>
          <w:sz w:val="20"/>
          <w:szCs w:val="20"/>
        </w:rPr>
        <w:t>“</w:t>
      </w:r>
      <w:r w:rsidR="00DA6C37" w:rsidRPr="009604B4">
        <w:rPr>
          <w:rFonts w:ascii="Times New Roman" w:hAnsi="Times New Roman"/>
          <w:sz w:val="20"/>
        </w:rPr>
        <w:t>Y</w:t>
      </w:r>
      <w:r w:rsidR="00DA6C37" w:rsidRPr="009604B4">
        <w:rPr>
          <w:rFonts w:ascii="Times New Roman" w:eastAsia="Times New Roman" w:hAnsi="Times New Roman" w:cs="Times New Roman"/>
          <w:sz w:val="20"/>
          <w:szCs w:val="20"/>
        </w:rPr>
        <w:t>”</w:t>
      </w:r>
      <w:r w:rsidR="00DA6C37" w:rsidRPr="009604B4">
        <w:rPr>
          <w:rFonts w:ascii="Times New Roman" w:hAnsi="Times New Roman"/>
          <w:sz w:val="20"/>
        </w:rPr>
        <w:t xml:space="preserve"> </w:t>
      </w:r>
      <w:r w:rsidR="007E3CEB" w:rsidRPr="009604B4">
        <w:rPr>
          <w:rFonts w:ascii="Times New Roman" w:hAnsi="Times New Roman"/>
          <w:sz w:val="20"/>
        </w:rPr>
        <w:t>shape, that is the inverted A, the reverse E and S shapes have only been considered and rejected on their economic and business cases</w:t>
      </w:r>
      <w:r w:rsidR="00CA4A7F" w:rsidRPr="009604B4">
        <w:rPr>
          <w:rFonts w:ascii="Times New Roman" w:hAnsi="Times New Roman"/>
          <w:sz w:val="20"/>
        </w:rPr>
        <w:t>”</w:t>
      </w:r>
      <w:r w:rsidR="007E3CEB" w:rsidRPr="009604B4">
        <w:rPr>
          <w:rFonts w:ascii="Times New Roman" w:hAnsi="Times New Roman"/>
          <w:sz w:val="20"/>
        </w:rPr>
        <w:t>.</w:t>
      </w:r>
      <w:r w:rsidR="007E3CEB" w:rsidRPr="009604B4">
        <w:rPr>
          <w:rStyle w:val="FootnoteReference"/>
          <w:sz w:val="20"/>
        </w:rPr>
        <w:footnoteReference w:id="107"/>
      </w:r>
      <w:bookmarkEnd w:id="19"/>
    </w:p>
    <w:p w14:paraId="58EEABF6" w14:textId="145C7F32" w:rsidR="001F3466" w:rsidRPr="009604B4" w:rsidRDefault="000C6AFE"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20" w:name="_Ref495326952"/>
      <w:r w:rsidRPr="009604B4">
        <w:rPr>
          <w:rFonts w:ascii="Times New Roman" w:hAnsi="Times New Roman"/>
          <w:sz w:val="20"/>
        </w:rPr>
        <w:t xml:space="preserve">The Party concerned </w:t>
      </w:r>
      <w:r w:rsidR="007E3CEB" w:rsidRPr="009604B4">
        <w:rPr>
          <w:rFonts w:ascii="Times New Roman" w:hAnsi="Times New Roman"/>
          <w:sz w:val="20"/>
        </w:rPr>
        <w:t xml:space="preserve">disagrees with </w:t>
      </w:r>
      <w:r w:rsidRPr="009604B4">
        <w:rPr>
          <w:rFonts w:ascii="Times New Roman" w:hAnsi="Times New Roman"/>
          <w:sz w:val="20"/>
        </w:rPr>
        <w:t>th</w:t>
      </w:r>
      <w:r w:rsidRPr="004F2D82">
        <w:rPr>
          <w:rFonts w:ascii="Times New Roman" w:hAnsi="Times New Roman"/>
          <w:sz w:val="20"/>
        </w:rPr>
        <w:t xml:space="preserve">e </w:t>
      </w:r>
      <w:r w:rsidR="006733CD" w:rsidRPr="004F2D82">
        <w:rPr>
          <w:rFonts w:ascii="Times New Roman" w:hAnsi="Times New Roman"/>
          <w:sz w:val="20"/>
        </w:rPr>
        <w:t>communicant’s</w:t>
      </w:r>
      <w:r w:rsidR="00437D5F" w:rsidRPr="004F2D82">
        <w:rPr>
          <w:rFonts w:ascii="Times New Roman" w:hAnsi="Times New Roman"/>
          <w:sz w:val="20"/>
        </w:rPr>
        <w:t xml:space="preserve"> </w:t>
      </w:r>
      <w:r w:rsidR="006733CD" w:rsidRPr="009604B4">
        <w:rPr>
          <w:rFonts w:ascii="Times New Roman" w:hAnsi="Times New Roman"/>
          <w:sz w:val="20"/>
        </w:rPr>
        <w:t>allegation</w:t>
      </w:r>
      <w:r w:rsidRPr="009604B4">
        <w:rPr>
          <w:rFonts w:ascii="Times New Roman" w:hAnsi="Times New Roman"/>
          <w:sz w:val="20"/>
        </w:rPr>
        <w:t xml:space="preserve">. </w:t>
      </w:r>
      <w:r w:rsidR="007E3CEB" w:rsidRPr="009604B4">
        <w:rPr>
          <w:rFonts w:ascii="Times New Roman" w:hAnsi="Times New Roman"/>
          <w:sz w:val="20"/>
        </w:rPr>
        <w:t>It submits that, a</w:t>
      </w:r>
      <w:r w:rsidR="00C06950" w:rsidRPr="009604B4">
        <w:rPr>
          <w:rFonts w:ascii="Times New Roman" w:hAnsi="Times New Roman"/>
          <w:sz w:val="20"/>
        </w:rPr>
        <w:t xml:space="preserve">s part of the work undertaken in 2009, </w:t>
      </w:r>
      <w:r w:rsidR="00151295" w:rsidRPr="009604B4">
        <w:rPr>
          <w:rFonts w:ascii="Times New Roman" w:hAnsi="Times New Roman"/>
          <w:sz w:val="20"/>
        </w:rPr>
        <w:t>HS2 Ltd</w:t>
      </w:r>
      <w:r w:rsidR="00C06950" w:rsidRPr="009604B4">
        <w:rPr>
          <w:rFonts w:ascii="Times New Roman" w:hAnsi="Times New Roman"/>
          <w:sz w:val="20"/>
        </w:rPr>
        <w:t xml:space="preserve"> considered a number of alternative route options, including alternatives to the “Y” network, and its conclusions were reported to the Secretary of State in its 2009 report “High Speed Rail: London to the West Midlands and </w:t>
      </w:r>
      <w:r w:rsidR="00C06950" w:rsidRPr="009604B4">
        <w:rPr>
          <w:rFonts w:ascii="Times New Roman" w:hAnsi="Times New Roman"/>
          <w:sz w:val="20"/>
        </w:rPr>
        <w:lastRenderedPageBreak/>
        <w:t>beyond”.</w:t>
      </w:r>
      <w:r w:rsidR="00C06950" w:rsidRPr="009604B4">
        <w:rPr>
          <w:rStyle w:val="FootnoteReference"/>
          <w:sz w:val="20"/>
        </w:rPr>
        <w:footnoteReference w:id="108"/>
      </w:r>
      <w:r w:rsidR="007E3CEB" w:rsidRPr="009604B4">
        <w:rPr>
          <w:rFonts w:ascii="Times New Roman" w:hAnsi="Times New Roman"/>
          <w:sz w:val="20"/>
        </w:rPr>
        <w:t xml:space="preserve"> </w:t>
      </w:r>
      <w:r w:rsidR="00897159" w:rsidRPr="009604B4">
        <w:rPr>
          <w:rFonts w:ascii="Times New Roman" w:hAnsi="Times New Roman"/>
          <w:sz w:val="20"/>
        </w:rPr>
        <w:t xml:space="preserve">It submits that this </w:t>
      </w:r>
      <w:r w:rsidR="00C06950" w:rsidRPr="009604B4">
        <w:rPr>
          <w:rFonts w:ascii="Times New Roman" w:hAnsi="Times New Roman"/>
          <w:sz w:val="20"/>
        </w:rPr>
        <w:t xml:space="preserve">work included consideration of the environmental impacts of </w:t>
      </w:r>
      <w:r w:rsidR="00CA4A7F" w:rsidRPr="009604B4">
        <w:rPr>
          <w:rFonts w:ascii="Times New Roman" w:hAnsi="Times New Roman"/>
          <w:sz w:val="20"/>
        </w:rPr>
        <w:t xml:space="preserve">those </w:t>
      </w:r>
      <w:r w:rsidR="00C06950" w:rsidRPr="009604B4">
        <w:rPr>
          <w:rFonts w:ascii="Times New Roman" w:hAnsi="Times New Roman"/>
          <w:sz w:val="20"/>
        </w:rPr>
        <w:t>options</w:t>
      </w:r>
      <w:r w:rsidR="00897159" w:rsidRPr="009604B4">
        <w:rPr>
          <w:rFonts w:ascii="Times New Roman" w:hAnsi="Times New Roman"/>
          <w:sz w:val="20"/>
        </w:rPr>
        <w:t xml:space="preserve"> in the Appraisal of Sustainability</w:t>
      </w:r>
      <w:r w:rsidR="00C06950" w:rsidRPr="009604B4">
        <w:rPr>
          <w:rFonts w:ascii="Times New Roman" w:hAnsi="Times New Roman"/>
          <w:sz w:val="20"/>
        </w:rPr>
        <w:t>.</w:t>
      </w:r>
      <w:r w:rsidR="00C06950" w:rsidRPr="009604B4">
        <w:rPr>
          <w:rStyle w:val="FootnoteReference"/>
          <w:sz w:val="20"/>
        </w:rPr>
        <w:footnoteReference w:id="109"/>
      </w:r>
      <w:r w:rsidR="00C06950" w:rsidRPr="009604B4">
        <w:rPr>
          <w:rFonts w:ascii="Times New Roman" w:hAnsi="Times New Roman"/>
          <w:sz w:val="20"/>
        </w:rPr>
        <w:t xml:space="preserve"> I</w:t>
      </w:r>
      <w:r w:rsidR="00897159" w:rsidRPr="009604B4">
        <w:rPr>
          <w:rFonts w:ascii="Times New Roman" w:hAnsi="Times New Roman"/>
          <w:sz w:val="20"/>
        </w:rPr>
        <w:t>t states that i</w:t>
      </w:r>
      <w:r w:rsidR="00C06950" w:rsidRPr="009604B4">
        <w:rPr>
          <w:rFonts w:ascii="Times New Roman" w:hAnsi="Times New Roman"/>
          <w:sz w:val="20"/>
        </w:rPr>
        <w:t>n October 2010, there was a further high level assessment of wider network options considering the “</w:t>
      </w:r>
      <w:r w:rsidR="00FB28F5" w:rsidRPr="009604B4">
        <w:rPr>
          <w:rFonts w:ascii="Times New Roman" w:hAnsi="Times New Roman"/>
          <w:sz w:val="20"/>
        </w:rPr>
        <w:t>r</w:t>
      </w:r>
      <w:r w:rsidR="00C06950" w:rsidRPr="009604B4">
        <w:rPr>
          <w:rFonts w:ascii="Times New Roman" w:hAnsi="Times New Roman"/>
          <w:sz w:val="20"/>
        </w:rPr>
        <w:t>everse S” as against the “Y” network, which again included a consideration of the likely environmental challenge</w:t>
      </w:r>
      <w:r w:rsidR="00D41F0E" w:rsidRPr="009604B4">
        <w:rPr>
          <w:rFonts w:ascii="Times New Roman" w:hAnsi="Times New Roman"/>
          <w:sz w:val="20"/>
        </w:rPr>
        <w:t>s</w:t>
      </w:r>
      <w:r w:rsidR="00D0415F" w:rsidRPr="009604B4">
        <w:rPr>
          <w:rFonts w:ascii="Times New Roman" w:hAnsi="Times New Roman"/>
          <w:sz w:val="20"/>
        </w:rPr>
        <w:t>.</w:t>
      </w:r>
      <w:r w:rsidR="00C06950" w:rsidRPr="009604B4">
        <w:rPr>
          <w:rStyle w:val="FootnoteReference"/>
          <w:sz w:val="20"/>
        </w:rPr>
        <w:footnoteReference w:id="110"/>
      </w:r>
      <w:r w:rsidR="00C06950" w:rsidRPr="009604B4">
        <w:rPr>
          <w:rFonts w:ascii="Times New Roman" w:hAnsi="Times New Roman"/>
          <w:sz w:val="20"/>
        </w:rPr>
        <w:t xml:space="preserve"> The</w:t>
      </w:r>
      <w:r w:rsidR="007E3CEB" w:rsidRPr="009604B4">
        <w:rPr>
          <w:rFonts w:ascii="Times New Roman" w:hAnsi="Times New Roman"/>
          <w:sz w:val="20"/>
        </w:rPr>
        <w:t xml:space="preserve"> Party concerned further submits that the</w:t>
      </w:r>
      <w:r w:rsidR="00471D7D" w:rsidRPr="009604B4">
        <w:rPr>
          <w:rFonts w:ascii="Times New Roman" w:hAnsi="Times New Roman"/>
          <w:sz w:val="20"/>
        </w:rPr>
        <w:t xml:space="preserve"> </w:t>
      </w:r>
      <w:r w:rsidR="00B71D52" w:rsidRPr="009604B4">
        <w:rPr>
          <w:rFonts w:ascii="Times New Roman" w:hAnsi="Times New Roman"/>
          <w:sz w:val="20"/>
        </w:rPr>
        <w:t xml:space="preserve">overarching </w:t>
      </w:r>
      <w:r w:rsidR="00222CF7" w:rsidRPr="009604B4">
        <w:rPr>
          <w:rFonts w:ascii="Times New Roman" w:eastAsia="Times New Roman" w:hAnsi="Times New Roman" w:cs="Times New Roman"/>
          <w:sz w:val="20"/>
          <w:szCs w:val="20"/>
        </w:rPr>
        <w:t>Consultation Document</w:t>
      </w:r>
      <w:r w:rsidR="00222CF7" w:rsidRPr="009604B4">
        <w:rPr>
          <w:rFonts w:ascii="Times New Roman" w:hAnsi="Times New Roman"/>
          <w:sz w:val="20"/>
        </w:rPr>
        <w:t xml:space="preserve"> </w:t>
      </w:r>
      <w:r w:rsidR="00B71D52" w:rsidRPr="009604B4">
        <w:rPr>
          <w:rFonts w:ascii="Times New Roman" w:hAnsi="Times New Roman"/>
          <w:sz w:val="20"/>
        </w:rPr>
        <w:t>itself,</w:t>
      </w:r>
      <w:r w:rsidR="00B71D52" w:rsidRPr="009604B4">
        <w:rPr>
          <w:rStyle w:val="FootnoteReference"/>
        </w:rPr>
        <w:footnoteReference w:id="111"/>
      </w:r>
      <w:r w:rsidR="00C06950" w:rsidRPr="009604B4">
        <w:rPr>
          <w:rFonts w:ascii="Times New Roman" w:hAnsi="Times New Roman"/>
          <w:sz w:val="20"/>
        </w:rPr>
        <w:t xml:space="preserve"> </w:t>
      </w:r>
      <w:r w:rsidR="00190BA5" w:rsidRPr="009604B4">
        <w:rPr>
          <w:rFonts w:ascii="Times New Roman" w:eastAsia="Times New Roman" w:hAnsi="Times New Roman" w:cs="Times New Roman"/>
          <w:sz w:val="20"/>
          <w:szCs w:val="20"/>
        </w:rPr>
        <w:t xml:space="preserve">as well as the </w:t>
      </w:r>
      <w:r w:rsidR="00C06950" w:rsidRPr="009604B4">
        <w:rPr>
          <w:rFonts w:ascii="Times New Roman" w:hAnsi="Times New Roman"/>
          <w:sz w:val="20"/>
        </w:rPr>
        <w:t>Appraisal of Sustainability</w:t>
      </w:r>
      <w:r w:rsidR="00B71D52" w:rsidRPr="009604B4">
        <w:rPr>
          <w:rStyle w:val="FootnoteReference"/>
        </w:rPr>
        <w:footnoteReference w:id="112"/>
      </w:r>
      <w:r w:rsidR="00C06950" w:rsidRPr="009604B4">
        <w:rPr>
          <w:rFonts w:ascii="Times New Roman" w:hAnsi="Times New Roman"/>
          <w:sz w:val="20"/>
        </w:rPr>
        <w:t xml:space="preserve"> </w:t>
      </w:r>
      <w:r w:rsidR="00B71D52" w:rsidRPr="009604B4">
        <w:rPr>
          <w:rFonts w:ascii="Times New Roman" w:hAnsi="Times New Roman"/>
          <w:sz w:val="20"/>
        </w:rPr>
        <w:t>and the “High Speed Rail Strategic Alternatives Study”</w:t>
      </w:r>
      <w:r w:rsidR="00B71D52" w:rsidRPr="009604B4">
        <w:rPr>
          <w:rStyle w:val="FootnoteReference"/>
        </w:rPr>
        <w:footnoteReference w:id="113"/>
      </w:r>
      <w:r w:rsidR="00B71D52" w:rsidRPr="009604B4">
        <w:rPr>
          <w:rFonts w:ascii="Times New Roman" w:eastAsia="Times New Roman" w:hAnsi="Times New Roman" w:cs="Times New Roman"/>
          <w:sz w:val="20"/>
          <w:szCs w:val="20"/>
        </w:rPr>
        <w:t xml:space="preserve"> </w:t>
      </w:r>
      <w:r w:rsidR="00D863AB" w:rsidRPr="009604B4">
        <w:rPr>
          <w:rFonts w:ascii="Times New Roman" w:eastAsia="Times New Roman" w:hAnsi="Times New Roman" w:cs="Times New Roman"/>
          <w:sz w:val="20"/>
          <w:szCs w:val="20"/>
        </w:rPr>
        <w:t>each</w:t>
      </w:r>
      <w:r w:rsidR="00D863AB" w:rsidRPr="009604B4">
        <w:rPr>
          <w:rFonts w:ascii="Times New Roman" w:hAnsi="Times New Roman"/>
          <w:sz w:val="20"/>
        </w:rPr>
        <w:t xml:space="preserve"> </w:t>
      </w:r>
      <w:r w:rsidR="00C06950" w:rsidRPr="009604B4">
        <w:rPr>
          <w:rFonts w:ascii="Times New Roman" w:hAnsi="Times New Roman"/>
          <w:sz w:val="20"/>
        </w:rPr>
        <w:t xml:space="preserve">included alternative scheme options. </w:t>
      </w:r>
      <w:r w:rsidR="007E3CEB" w:rsidRPr="009604B4">
        <w:rPr>
          <w:rFonts w:ascii="Times New Roman" w:hAnsi="Times New Roman"/>
          <w:sz w:val="20"/>
        </w:rPr>
        <w:t>It alleges that t</w:t>
      </w:r>
      <w:r w:rsidR="00C06950" w:rsidRPr="009604B4">
        <w:rPr>
          <w:rFonts w:ascii="Times New Roman" w:hAnsi="Times New Roman"/>
          <w:sz w:val="20"/>
        </w:rPr>
        <w:t xml:space="preserve">he process for developing the options is explained further in the Environmental Statement Alternatives Study, and in </w:t>
      </w:r>
      <w:r w:rsidR="00AA01B2" w:rsidRPr="009604B4">
        <w:rPr>
          <w:rFonts w:ascii="Times New Roman" w:eastAsia="Times New Roman" w:hAnsi="Times New Roman" w:cs="Times New Roman"/>
          <w:sz w:val="20"/>
          <w:szCs w:val="20"/>
        </w:rPr>
        <w:t xml:space="preserve">the </w:t>
      </w:r>
      <w:r w:rsidR="00C06950" w:rsidRPr="009604B4">
        <w:rPr>
          <w:rFonts w:ascii="Times New Roman" w:hAnsi="Times New Roman"/>
          <w:sz w:val="20"/>
        </w:rPr>
        <w:t>Information Paper A1: “Development of the Proposed Scheme”.</w:t>
      </w:r>
      <w:r w:rsidR="00C06950" w:rsidRPr="009604B4">
        <w:rPr>
          <w:rStyle w:val="FootnoteReference"/>
          <w:sz w:val="20"/>
        </w:rPr>
        <w:footnoteReference w:id="114"/>
      </w:r>
      <w:bookmarkEnd w:id="20"/>
      <w:r w:rsidR="001F3466" w:rsidRPr="009604B4">
        <w:rPr>
          <w:rFonts w:ascii="Times New Roman" w:hAnsi="Times New Roman"/>
          <w:sz w:val="20"/>
        </w:rPr>
        <w:t xml:space="preserve"> </w:t>
      </w:r>
    </w:p>
    <w:p w14:paraId="77DF8A67" w14:textId="370F576A" w:rsidR="000C6AFE" w:rsidRPr="004F2D82" w:rsidRDefault="00FB28F5" w:rsidP="000F4DAD">
      <w:pPr>
        <w:tabs>
          <w:tab w:val="left" w:pos="1134"/>
        </w:tabs>
        <w:suppressAutoHyphens/>
        <w:spacing w:before="240" w:after="120" w:line="240" w:lineRule="atLeast"/>
        <w:ind w:left="567" w:right="1134"/>
        <w:jc w:val="both"/>
        <w:rPr>
          <w:rFonts w:ascii="Times New Roman" w:hAnsi="Times New Roman"/>
          <w:sz w:val="20"/>
          <w:u w:val="single"/>
        </w:rPr>
      </w:pPr>
      <w:r w:rsidRPr="004F2D82">
        <w:rPr>
          <w:rFonts w:ascii="Times New Roman" w:hAnsi="Times New Roman"/>
          <w:sz w:val="20"/>
          <w:u w:val="single"/>
        </w:rPr>
        <w:t>The r</w:t>
      </w:r>
      <w:r w:rsidR="000C6AFE" w:rsidRPr="004F2D82">
        <w:rPr>
          <w:rFonts w:ascii="Times New Roman" w:hAnsi="Times New Roman"/>
          <w:sz w:val="20"/>
          <w:u w:val="single"/>
        </w:rPr>
        <w:t xml:space="preserve">elative environmental effects of an alternative </w:t>
      </w:r>
      <w:r w:rsidRPr="004F2D82">
        <w:rPr>
          <w:rFonts w:ascii="Times New Roman" w:hAnsi="Times New Roman"/>
          <w:sz w:val="20"/>
          <w:u w:val="single"/>
        </w:rPr>
        <w:t>r</w:t>
      </w:r>
      <w:r w:rsidR="000C6AFE" w:rsidRPr="004F2D82">
        <w:rPr>
          <w:rFonts w:ascii="Times New Roman" w:hAnsi="Times New Roman"/>
          <w:sz w:val="20"/>
          <w:u w:val="single"/>
        </w:rPr>
        <w:t xml:space="preserve">oute corridor for the proposed </w:t>
      </w:r>
      <w:r w:rsidR="003848C9" w:rsidRPr="004F2D82">
        <w:rPr>
          <w:rFonts w:ascii="Times New Roman" w:eastAsia="Times New Roman" w:hAnsi="Times New Roman" w:cs="Times New Roman"/>
          <w:sz w:val="20"/>
          <w:szCs w:val="20"/>
          <w:u w:val="single"/>
        </w:rPr>
        <w:t>“Y”</w:t>
      </w:r>
      <w:r w:rsidR="000C6AFE" w:rsidRPr="004F2D82">
        <w:rPr>
          <w:rFonts w:ascii="Times New Roman" w:hAnsi="Times New Roman"/>
          <w:sz w:val="20"/>
          <w:u w:val="single"/>
        </w:rPr>
        <w:t xml:space="preserve"> network</w:t>
      </w:r>
    </w:p>
    <w:p w14:paraId="7F6A8972" w14:textId="4CA27ADB" w:rsidR="00C06950" w:rsidRPr="009604B4" w:rsidRDefault="000C6AFE"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bookmarkStart w:id="21" w:name="_Ref494356799"/>
      <w:bookmarkStart w:id="22" w:name="_Ref495325071"/>
      <w:r w:rsidRPr="009604B4">
        <w:rPr>
          <w:rFonts w:ascii="Times New Roman" w:hAnsi="Times New Roman"/>
          <w:sz w:val="20"/>
        </w:rPr>
        <w:t>The communicant allege</w:t>
      </w:r>
      <w:r w:rsidR="00471F89">
        <w:rPr>
          <w:rFonts w:ascii="Times New Roman" w:hAnsi="Times New Roman"/>
          <w:sz w:val="20"/>
        </w:rPr>
        <w:t>s</w:t>
      </w:r>
      <w:r w:rsidRPr="009604B4">
        <w:rPr>
          <w:rFonts w:ascii="Times New Roman" w:hAnsi="Times New Roman"/>
          <w:sz w:val="20"/>
        </w:rPr>
        <w:t xml:space="preserve"> that the public was only provided </w:t>
      </w:r>
      <w:r w:rsidR="00FB28F5" w:rsidRPr="009604B4">
        <w:rPr>
          <w:rFonts w:ascii="Times New Roman" w:hAnsi="Times New Roman"/>
          <w:sz w:val="20"/>
        </w:rPr>
        <w:t xml:space="preserve">with </w:t>
      </w:r>
      <w:r w:rsidRPr="009604B4">
        <w:rPr>
          <w:rFonts w:ascii="Times New Roman" w:hAnsi="Times New Roman"/>
          <w:sz w:val="20"/>
        </w:rPr>
        <w:t xml:space="preserve">information about alternatives within the proposed route corridor for phase 1 and </w:t>
      </w:r>
      <w:r w:rsidR="006733CD" w:rsidRPr="009604B4">
        <w:rPr>
          <w:rFonts w:ascii="Times New Roman" w:hAnsi="Times New Roman"/>
          <w:sz w:val="20"/>
        </w:rPr>
        <w:t>had no opportunity for consultation</w:t>
      </w:r>
      <w:r w:rsidRPr="009604B4">
        <w:rPr>
          <w:rFonts w:ascii="Times New Roman" w:hAnsi="Times New Roman"/>
          <w:sz w:val="20"/>
        </w:rPr>
        <w:t xml:space="preserve"> upon other route corridors, such as the route between London and Birmingham alongside the existing infrastructure corridor containing the M40 motorway.</w:t>
      </w:r>
      <w:bookmarkEnd w:id="21"/>
      <w:r w:rsidR="00FE0804" w:rsidRPr="009604B4">
        <w:rPr>
          <w:rStyle w:val="FootnoteReference"/>
        </w:rPr>
        <w:footnoteReference w:id="115"/>
      </w:r>
      <w:bookmarkEnd w:id="22"/>
      <w:r w:rsidR="00FE0804" w:rsidRPr="009604B4">
        <w:rPr>
          <w:rFonts w:ascii="Times New Roman" w:hAnsi="Times New Roman"/>
          <w:sz w:val="20"/>
        </w:rPr>
        <w:t xml:space="preserve"> </w:t>
      </w:r>
    </w:p>
    <w:p w14:paraId="156CCBA7" w14:textId="27325BFE" w:rsidR="00FF7256" w:rsidRPr="009604B4" w:rsidRDefault="000C6AFE" w:rsidP="006432DC">
      <w:pPr>
        <w:numPr>
          <w:ilvl w:val="0"/>
          <w:numId w:val="2"/>
        </w:numPr>
        <w:tabs>
          <w:tab w:val="clear" w:pos="1144"/>
          <w:tab w:val="left" w:pos="1134"/>
        </w:tabs>
        <w:suppressAutoHyphens/>
        <w:spacing w:after="120" w:line="240" w:lineRule="atLeast"/>
        <w:ind w:left="567" w:right="1134" w:firstLine="0"/>
        <w:jc w:val="both"/>
        <w:rPr>
          <w:rFonts w:ascii="Times New Roman" w:eastAsia="Times New Roman" w:hAnsi="Times New Roman" w:cs="Times New Roman"/>
          <w:sz w:val="20"/>
          <w:szCs w:val="20"/>
        </w:rPr>
      </w:pPr>
      <w:bookmarkStart w:id="23" w:name="_Ref495326954"/>
      <w:r w:rsidRPr="009604B4">
        <w:rPr>
          <w:rFonts w:ascii="Times New Roman" w:hAnsi="Times New Roman"/>
          <w:sz w:val="20"/>
        </w:rPr>
        <w:t xml:space="preserve">The Party concerned submits that significant work was undertaken </w:t>
      </w:r>
      <w:r w:rsidRPr="004F2D82">
        <w:rPr>
          <w:rFonts w:ascii="Times New Roman" w:hAnsi="Times New Roman"/>
          <w:sz w:val="20"/>
        </w:rPr>
        <w:t>to look at the</w:t>
      </w:r>
      <w:r w:rsidRPr="009604B4">
        <w:rPr>
          <w:rFonts w:ascii="Times New Roman" w:hAnsi="Times New Roman"/>
          <w:sz w:val="20"/>
        </w:rPr>
        <w:t xml:space="preserve"> various options relating to the route corridor, both prior to </w:t>
      </w:r>
      <w:r w:rsidR="00FB28F5" w:rsidRPr="009604B4">
        <w:rPr>
          <w:rFonts w:ascii="Times New Roman" w:hAnsi="Times New Roman"/>
          <w:sz w:val="20"/>
        </w:rPr>
        <w:t xml:space="preserve">and after </w:t>
      </w:r>
      <w:r w:rsidRPr="009604B4">
        <w:rPr>
          <w:rFonts w:ascii="Times New Roman" w:hAnsi="Times New Roman"/>
          <w:sz w:val="20"/>
        </w:rPr>
        <w:t>the 2011 consultation, and subsequently in respect of phase 2, which was subject to public consultation between July 2013 and January 2014.</w:t>
      </w:r>
      <w:r w:rsidR="005224CA" w:rsidRPr="009604B4">
        <w:rPr>
          <w:rStyle w:val="FootnoteReference"/>
        </w:rPr>
        <w:footnoteReference w:id="116"/>
      </w:r>
      <w:r w:rsidRPr="009604B4">
        <w:rPr>
          <w:rFonts w:ascii="Times New Roman" w:hAnsi="Times New Roman"/>
          <w:sz w:val="20"/>
        </w:rPr>
        <w:t xml:space="preserve"> </w:t>
      </w:r>
      <w:r w:rsidR="000C25EB" w:rsidRPr="009604B4">
        <w:rPr>
          <w:rFonts w:ascii="Times New Roman" w:hAnsi="Times New Roman"/>
          <w:sz w:val="20"/>
        </w:rPr>
        <w:t>It states that t</w:t>
      </w:r>
      <w:r w:rsidR="00C06950" w:rsidRPr="009604B4">
        <w:rPr>
          <w:rFonts w:ascii="Times New Roman" w:hAnsi="Times New Roman"/>
          <w:sz w:val="20"/>
        </w:rPr>
        <w:t xml:space="preserve">he 2009 </w:t>
      </w:r>
      <w:r w:rsidR="00151295" w:rsidRPr="009604B4">
        <w:rPr>
          <w:rFonts w:ascii="Times New Roman" w:hAnsi="Times New Roman"/>
          <w:sz w:val="20"/>
        </w:rPr>
        <w:t>HS2 Ltd</w:t>
      </w:r>
      <w:r w:rsidR="00C06950" w:rsidRPr="009604B4">
        <w:rPr>
          <w:rFonts w:ascii="Times New Roman" w:hAnsi="Times New Roman"/>
          <w:sz w:val="20"/>
        </w:rPr>
        <w:t xml:space="preserve"> report set out </w:t>
      </w:r>
      <w:r w:rsidR="00CA4A7F" w:rsidRPr="009604B4">
        <w:rPr>
          <w:rFonts w:ascii="Times New Roman" w:hAnsi="Times New Roman"/>
          <w:sz w:val="20"/>
        </w:rPr>
        <w:t xml:space="preserve">the </w:t>
      </w:r>
      <w:r w:rsidR="00C06950" w:rsidRPr="009604B4">
        <w:rPr>
          <w:rFonts w:ascii="Times New Roman" w:hAnsi="Times New Roman"/>
          <w:sz w:val="20"/>
        </w:rPr>
        <w:t xml:space="preserve">alternatives considered and </w:t>
      </w:r>
      <w:r w:rsidR="00FB28F5" w:rsidRPr="009604B4">
        <w:rPr>
          <w:rFonts w:ascii="Times New Roman" w:hAnsi="Times New Roman"/>
          <w:sz w:val="20"/>
        </w:rPr>
        <w:t xml:space="preserve">that </w:t>
      </w:r>
      <w:r w:rsidR="00C06950" w:rsidRPr="009604B4">
        <w:rPr>
          <w:rFonts w:ascii="Times New Roman" w:hAnsi="Times New Roman"/>
          <w:sz w:val="20"/>
        </w:rPr>
        <w:t xml:space="preserve">these were also summarised in </w:t>
      </w:r>
      <w:r w:rsidR="002E2406" w:rsidRPr="009604B4">
        <w:rPr>
          <w:rFonts w:ascii="Times New Roman" w:hAnsi="Times New Roman"/>
          <w:sz w:val="20"/>
        </w:rPr>
        <w:t>a</w:t>
      </w:r>
      <w:r w:rsidR="00C06950" w:rsidRPr="009604B4">
        <w:rPr>
          <w:rFonts w:ascii="Times New Roman" w:hAnsi="Times New Roman"/>
          <w:sz w:val="20"/>
        </w:rPr>
        <w:t xml:space="preserve">ppendix 6 of the Appraisal of Sustainability and </w:t>
      </w:r>
      <w:r w:rsidR="002E2406" w:rsidRPr="009604B4">
        <w:rPr>
          <w:rFonts w:ascii="Times New Roman" w:hAnsi="Times New Roman"/>
          <w:sz w:val="20"/>
        </w:rPr>
        <w:t>a</w:t>
      </w:r>
      <w:r w:rsidR="00C06950" w:rsidRPr="009604B4">
        <w:rPr>
          <w:rFonts w:ascii="Times New Roman" w:hAnsi="Times New Roman"/>
          <w:sz w:val="20"/>
        </w:rPr>
        <w:t>nnex B of the Consultation Document published in February 2011. It also form</w:t>
      </w:r>
      <w:r w:rsidR="00CA4A7F" w:rsidRPr="009604B4">
        <w:rPr>
          <w:rFonts w:ascii="Times New Roman" w:hAnsi="Times New Roman"/>
          <w:sz w:val="20"/>
        </w:rPr>
        <w:t>ed</w:t>
      </w:r>
      <w:r w:rsidR="00C06950" w:rsidRPr="009604B4">
        <w:rPr>
          <w:rFonts w:ascii="Times New Roman" w:hAnsi="Times New Roman"/>
          <w:sz w:val="20"/>
        </w:rPr>
        <w:t xml:space="preserve"> part of the </w:t>
      </w:r>
      <w:r w:rsidR="002E2406" w:rsidRPr="009604B4">
        <w:rPr>
          <w:rFonts w:ascii="Times New Roman" w:hAnsi="Times New Roman"/>
          <w:sz w:val="20"/>
        </w:rPr>
        <w:t>phase</w:t>
      </w:r>
      <w:r w:rsidR="00C06950" w:rsidRPr="009604B4">
        <w:rPr>
          <w:rFonts w:ascii="Times New Roman" w:hAnsi="Times New Roman"/>
          <w:sz w:val="20"/>
        </w:rPr>
        <w:t xml:space="preserve"> 1 Environmental Statement Alternatives Study.</w:t>
      </w:r>
      <w:r w:rsidR="00C06950" w:rsidRPr="009604B4">
        <w:rPr>
          <w:rStyle w:val="FootnoteReference"/>
          <w:sz w:val="20"/>
        </w:rPr>
        <w:footnoteReference w:id="117"/>
      </w:r>
      <w:r w:rsidR="00CA4A7F" w:rsidRPr="009604B4">
        <w:rPr>
          <w:rFonts w:ascii="Times New Roman" w:hAnsi="Times New Roman"/>
          <w:sz w:val="20"/>
        </w:rPr>
        <w:t xml:space="preserve"> </w:t>
      </w:r>
      <w:r w:rsidR="000C25EB" w:rsidRPr="009604B4">
        <w:rPr>
          <w:rFonts w:ascii="Times New Roman" w:hAnsi="Times New Roman"/>
          <w:sz w:val="20"/>
        </w:rPr>
        <w:t>The Party concerned alleges that a</w:t>
      </w:r>
      <w:r w:rsidR="00CA4A7F" w:rsidRPr="009604B4">
        <w:rPr>
          <w:rFonts w:ascii="Times New Roman" w:hAnsi="Times New Roman"/>
          <w:sz w:val="20"/>
        </w:rPr>
        <w:t>n a</w:t>
      </w:r>
      <w:r w:rsidR="00C06950" w:rsidRPr="009604B4">
        <w:rPr>
          <w:rFonts w:ascii="Times New Roman" w:hAnsi="Times New Roman"/>
          <w:sz w:val="20"/>
        </w:rPr>
        <w:t xml:space="preserve">ssessment of alternative route corridors </w:t>
      </w:r>
      <w:r w:rsidR="00CA4A7F" w:rsidRPr="009604B4">
        <w:rPr>
          <w:rFonts w:ascii="Times New Roman" w:hAnsi="Times New Roman"/>
          <w:sz w:val="20"/>
        </w:rPr>
        <w:t xml:space="preserve">was </w:t>
      </w:r>
      <w:r w:rsidR="00C06950" w:rsidRPr="009604B4">
        <w:rPr>
          <w:rFonts w:ascii="Times New Roman" w:hAnsi="Times New Roman"/>
          <w:sz w:val="20"/>
        </w:rPr>
        <w:t xml:space="preserve">also </w:t>
      </w:r>
      <w:r w:rsidR="00CA4A7F" w:rsidRPr="009604B4">
        <w:rPr>
          <w:rFonts w:ascii="Times New Roman" w:hAnsi="Times New Roman"/>
          <w:sz w:val="20"/>
        </w:rPr>
        <w:t>included</w:t>
      </w:r>
      <w:r w:rsidR="00C06950" w:rsidRPr="009604B4">
        <w:rPr>
          <w:rFonts w:ascii="Times New Roman" w:hAnsi="Times New Roman"/>
          <w:sz w:val="20"/>
        </w:rPr>
        <w:t xml:space="preserve"> in </w:t>
      </w:r>
      <w:r w:rsidR="002E2406" w:rsidRPr="009604B4">
        <w:rPr>
          <w:rFonts w:ascii="Times New Roman" w:hAnsi="Times New Roman"/>
          <w:sz w:val="20"/>
        </w:rPr>
        <w:t>a</w:t>
      </w:r>
      <w:r w:rsidR="00C06950" w:rsidRPr="009604B4">
        <w:rPr>
          <w:rFonts w:ascii="Times New Roman" w:hAnsi="Times New Roman"/>
          <w:sz w:val="20"/>
        </w:rPr>
        <w:t xml:space="preserve">nnex B to the </w:t>
      </w:r>
      <w:r w:rsidR="002E2406" w:rsidRPr="009604B4">
        <w:rPr>
          <w:rFonts w:ascii="Times New Roman" w:hAnsi="Times New Roman"/>
          <w:sz w:val="20"/>
        </w:rPr>
        <w:t>phase</w:t>
      </w:r>
      <w:r w:rsidR="00C06950" w:rsidRPr="009604B4">
        <w:rPr>
          <w:rFonts w:ascii="Times New Roman" w:hAnsi="Times New Roman"/>
          <w:sz w:val="20"/>
        </w:rPr>
        <w:t xml:space="preserve"> 2 Consultation Document, </w:t>
      </w:r>
      <w:r w:rsidR="00CA4A7F" w:rsidRPr="009604B4">
        <w:rPr>
          <w:rFonts w:ascii="Times New Roman" w:hAnsi="Times New Roman"/>
          <w:sz w:val="20"/>
        </w:rPr>
        <w:t xml:space="preserve">as well as </w:t>
      </w:r>
      <w:r w:rsidR="00C06950" w:rsidRPr="009604B4">
        <w:rPr>
          <w:rFonts w:ascii="Times New Roman" w:hAnsi="Times New Roman"/>
          <w:sz w:val="20"/>
        </w:rPr>
        <w:t>in the Sustainability Statement.</w:t>
      </w:r>
      <w:r w:rsidR="00C06950" w:rsidRPr="009604B4">
        <w:rPr>
          <w:rStyle w:val="FootnoteReference"/>
          <w:sz w:val="20"/>
        </w:rPr>
        <w:footnoteReference w:id="118"/>
      </w:r>
      <w:bookmarkStart w:id="24" w:name="_Ref528682823"/>
      <w:bookmarkEnd w:id="23"/>
    </w:p>
    <w:bookmarkEnd w:id="24"/>
    <w:p w14:paraId="2CF6E121" w14:textId="6AA9D1B4" w:rsidR="00AB4541" w:rsidRPr="009604B4" w:rsidRDefault="00AB4541" w:rsidP="005D584F">
      <w:pPr>
        <w:keepNext/>
        <w:keepLines/>
        <w:tabs>
          <w:tab w:val="right" w:pos="851"/>
          <w:tab w:val="left" w:pos="1134"/>
        </w:tabs>
        <w:suppressAutoHyphens/>
        <w:spacing w:before="360" w:after="240" w:line="300" w:lineRule="exact"/>
        <w:ind w:left="567" w:right="1134"/>
        <w:jc w:val="both"/>
        <w:rPr>
          <w:rFonts w:ascii="Times New Roman" w:hAnsi="Times New Roman"/>
          <w:b/>
          <w:sz w:val="24"/>
        </w:rPr>
      </w:pPr>
      <w:r w:rsidRPr="009604B4">
        <w:rPr>
          <w:rFonts w:ascii="Times New Roman" w:hAnsi="Times New Roman"/>
          <w:b/>
          <w:sz w:val="24"/>
        </w:rPr>
        <w:t>III.</w:t>
      </w:r>
      <w:r w:rsidRPr="009604B4">
        <w:rPr>
          <w:rFonts w:ascii="Times New Roman" w:hAnsi="Times New Roman"/>
          <w:b/>
          <w:sz w:val="24"/>
        </w:rPr>
        <w:tab/>
        <w:t>Consideration and evaluation by the Committee</w:t>
      </w:r>
    </w:p>
    <w:p w14:paraId="16277ABE" w14:textId="7D6BB140" w:rsidR="00AB4541" w:rsidRPr="009604B4" w:rsidRDefault="00AB4541"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 xml:space="preserve">The United Kingdom deposited its instrument of </w:t>
      </w:r>
      <w:r w:rsidR="00937C99">
        <w:rPr>
          <w:rFonts w:ascii="Times New Roman" w:hAnsi="Times New Roman"/>
          <w:sz w:val="20"/>
        </w:rPr>
        <w:t xml:space="preserve">ratification </w:t>
      </w:r>
      <w:r w:rsidRPr="009604B4">
        <w:rPr>
          <w:rFonts w:ascii="Times New Roman" w:hAnsi="Times New Roman"/>
          <w:sz w:val="20"/>
        </w:rPr>
        <w:t>of the Convention</w:t>
      </w:r>
      <w:r w:rsidR="000F4DAD">
        <w:rPr>
          <w:rFonts w:ascii="Times New Roman" w:hAnsi="Times New Roman"/>
          <w:sz w:val="20"/>
        </w:rPr>
        <w:t xml:space="preserve"> </w:t>
      </w:r>
      <w:r w:rsidRPr="009604B4">
        <w:rPr>
          <w:rFonts w:ascii="Times New Roman" w:hAnsi="Times New Roman"/>
          <w:sz w:val="20"/>
        </w:rPr>
        <w:t>on</w:t>
      </w:r>
      <w:r w:rsidR="000F4DAD">
        <w:rPr>
          <w:rFonts w:ascii="Times New Roman" w:hAnsi="Times New Roman"/>
          <w:sz w:val="20"/>
        </w:rPr>
        <w:t xml:space="preserve"> </w:t>
      </w:r>
      <w:r w:rsidRPr="009604B4">
        <w:rPr>
          <w:rFonts w:ascii="Times New Roman" w:hAnsi="Times New Roman"/>
          <w:sz w:val="20"/>
        </w:rPr>
        <w:t xml:space="preserve">23 February 2005, meaning that the Convention entered into force for the United Kingdom on 24 May 2005, i.e. ninety days after the date of deposit of </w:t>
      </w:r>
      <w:r w:rsidRPr="004F2D82">
        <w:rPr>
          <w:rFonts w:ascii="Times New Roman" w:hAnsi="Times New Roman"/>
          <w:sz w:val="20"/>
        </w:rPr>
        <w:t>the instrument of ratification.</w:t>
      </w:r>
    </w:p>
    <w:p w14:paraId="749DB59C" w14:textId="77777777" w:rsidR="00A32B7B" w:rsidRPr="009604B4" w:rsidRDefault="00A32B7B" w:rsidP="005D584F">
      <w:pPr>
        <w:pStyle w:val="ListParagraph"/>
        <w:tabs>
          <w:tab w:val="left" w:pos="1134"/>
        </w:tabs>
        <w:autoSpaceDE w:val="0"/>
        <w:autoSpaceDN w:val="0"/>
        <w:adjustRightInd w:val="0"/>
        <w:spacing w:after="0" w:line="240" w:lineRule="auto"/>
        <w:ind w:left="567" w:right="1134"/>
        <w:jc w:val="both"/>
        <w:rPr>
          <w:rFonts w:ascii="Times New Roman" w:hAnsi="Times New Roman" w:cs="Times New Roman"/>
          <w:color w:val="000000"/>
          <w:sz w:val="20"/>
          <w:szCs w:val="20"/>
        </w:rPr>
      </w:pPr>
    </w:p>
    <w:p w14:paraId="769C25BA" w14:textId="077E2519" w:rsidR="007E4E7A" w:rsidRPr="009604B4" w:rsidRDefault="00F42F7F" w:rsidP="00FD13A4">
      <w:pPr>
        <w:tabs>
          <w:tab w:val="left" w:pos="1134"/>
        </w:tabs>
        <w:suppressAutoHyphens/>
        <w:spacing w:after="120" w:line="240" w:lineRule="atLeast"/>
        <w:ind w:left="567" w:right="1134"/>
        <w:jc w:val="both"/>
        <w:outlineLvl w:val="0"/>
        <w:rPr>
          <w:rFonts w:ascii="Times New Roman" w:hAnsi="Times New Roman"/>
          <w:b/>
          <w:sz w:val="20"/>
        </w:rPr>
      </w:pPr>
      <w:r w:rsidRPr="009604B4">
        <w:rPr>
          <w:rFonts w:ascii="Times New Roman" w:hAnsi="Times New Roman"/>
          <w:b/>
          <w:sz w:val="20"/>
        </w:rPr>
        <w:t>A</w:t>
      </w:r>
      <w:r w:rsidR="007E4E7A" w:rsidRPr="009604B4">
        <w:rPr>
          <w:rFonts w:ascii="Times New Roman" w:hAnsi="Times New Roman"/>
          <w:b/>
          <w:sz w:val="20"/>
        </w:rPr>
        <w:t xml:space="preserve">dmissibility </w:t>
      </w:r>
      <w:r w:rsidR="00165EF5" w:rsidRPr="009604B4">
        <w:rPr>
          <w:rFonts w:ascii="Times New Roman" w:hAnsi="Times New Roman"/>
          <w:b/>
          <w:sz w:val="20"/>
        </w:rPr>
        <w:t>and exhaustion of domestic remedies</w:t>
      </w:r>
    </w:p>
    <w:p w14:paraId="6E5C5C52" w14:textId="114C0AB6" w:rsidR="00DE34CA" w:rsidRPr="009604B4" w:rsidRDefault="00DE34CA"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While t</w:t>
      </w:r>
      <w:r w:rsidR="007C3409" w:rsidRPr="009604B4">
        <w:rPr>
          <w:rFonts w:ascii="Times New Roman" w:hAnsi="Times New Roman"/>
          <w:sz w:val="20"/>
        </w:rPr>
        <w:t xml:space="preserve">he Party concerned </w:t>
      </w:r>
      <w:r w:rsidRPr="009604B4">
        <w:rPr>
          <w:rFonts w:ascii="Times New Roman" w:hAnsi="Times New Roman"/>
          <w:sz w:val="20"/>
        </w:rPr>
        <w:t xml:space="preserve">challenged the status of the London Borough of Hillingdon as a member of the public (see para. </w:t>
      </w:r>
      <w:r w:rsidRPr="009604B4">
        <w:rPr>
          <w:rFonts w:ascii="Times New Roman" w:hAnsi="Times New Roman"/>
          <w:sz w:val="20"/>
        </w:rPr>
        <w:fldChar w:fldCharType="begin"/>
      </w:r>
      <w:r w:rsidRPr="009604B4">
        <w:rPr>
          <w:rFonts w:ascii="Times New Roman" w:hAnsi="Times New Roman"/>
          <w:sz w:val="20"/>
        </w:rPr>
        <w:instrText xml:space="preserve"> REF _Ref495315355 \r \h </w:instrText>
      </w:r>
      <w:r w:rsidR="00BF6313" w:rsidRPr="009604B4">
        <w:rPr>
          <w:rFonts w:ascii="Times New Roman" w:hAnsi="Times New Roman"/>
          <w:sz w:val="20"/>
        </w:rPr>
        <w:instrText xml:space="preserve"> \* MERGEFORMAT </w:instrText>
      </w:r>
      <w:r w:rsidRPr="009604B4">
        <w:rPr>
          <w:rFonts w:ascii="Times New Roman" w:hAnsi="Times New Roman"/>
          <w:sz w:val="20"/>
        </w:rPr>
      </w:r>
      <w:r w:rsidRPr="009604B4">
        <w:rPr>
          <w:rFonts w:ascii="Times New Roman" w:hAnsi="Times New Roman"/>
          <w:sz w:val="20"/>
        </w:rPr>
        <w:fldChar w:fldCharType="separate"/>
      </w:r>
      <w:r w:rsidR="00E47C6E" w:rsidRPr="00E47C6E">
        <w:rPr>
          <w:rFonts w:ascii="Times New Roman" w:hAnsi="Times New Roman" w:cs="Times New Roman"/>
          <w:sz w:val="20"/>
          <w:szCs w:val="20"/>
          <w:cs/>
        </w:rPr>
        <w:t>‎</w:t>
      </w:r>
      <w:r w:rsidR="00E47C6E">
        <w:rPr>
          <w:rFonts w:ascii="Times New Roman" w:hAnsi="Times New Roman"/>
          <w:sz w:val="20"/>
        </w:rPr>
        <w:t>8</w:t>
      </w:r>
      <w:r w:rsidRPr="009604B4">
        <w:rPr>
          <w:rFonts w:ascii="Times New Roman" w:hAnsi="Times New Roman"/>
          <w:sz w:val="20"/>
        </w:rPr>
        <w:fldChar w:fldCharType="end"/>
      </w:r>
      <w:r w:rsidRPr="009604B4">
        <w:rPr>
          <w:rFonts w:ascii="Times New Roman" w:hAnsi="Times New Roman"/>
          <w:sz w:val="20"/>
        </w:rPr>
        <w:t xml:space="preserve"> </w:t>
      </w:r>
      <w:proofErr w:type="gramStart"/>
      <w:r w:rsidRPr="009604B4">
        <w:rPr>
          <w:rFonts w:ascii="Times New Roman" w:hAnsi="Times New Roman"/>
          <w:sz w:val="20"/>
        </w:rPr>
        <w:t>above),</w:t>
      </w:r>
      <w:proofErr w:type="gramEnd"/>
      <w:r w:rsidRPr="009604B4">
        <w:rPr>
          <w:rFonts w:ascii="Times New Roman" w:hAnsi="Times New Roman"/>
          <w:sz w:val="20"/>
        </w:rPr>
        <w:t xml:space="preserve"> it </w:t>
      </w:r>
      <w:r w:rsidR="00605AF6" w:rsidRPr="009604B4">
        <w:rPr>
          <w:rFonts w:ascii="Times New Roman" w:hAnsi="Times New Roman"/>
          <w:sz w:val="20"/>
        </w:rPr>
        <w:t xml:space="preserve">has not challenged the status </w:t>
      </w:r>
      <w:r w:rsidR="00605AF6" w:rsidRPr="009604B4">
        <w:rPr>
          <w:rFonts w:ascii="Times New Roman" w:hAnsi="Times New Roman"/>
          <w:sz w:val="20"/>
        </w:rPr>
        <w:lastRenderedPageBreak/>
        <w:t>of</w:t>
      </w:r>
      <w:r w:rsidR="007E4E7A" w:rsidRPr="009604B4">
        <w:rPr>
          <w:rFonts w:ascii="Times New Roman" w:hAnsi="Times New Roman"/>
          <w:sz w:val="20"/>
        </w:rPr>
        <w:t xml:space="preserve"> </w:t>
      </w:r>
      <w:r w:rsidR="00605AF6" w:rsidRPr="009604B4">
        <w:rPr>
          <w:rFonts w:ascii="Times New Roman" w:hAnsi="Times New Roman"/>
          <w:sz w:val="20"/>
        </w:rPr>
        <w:t xml:space="preserve">High Speed 2 </w:t>
      </w:r>
      <w:r w:rsidR="007E4E7A" w:rsidRPr="009604B4">
        <w:rPr>
          <w:rFonts w:ascii="Times New Roman" w:hAnsi="Times New Roman"/>
          <w:sz w:val="20"/>
        </w:rPr>
        <w:t>Action Alliance, which is the sole re</w:t>
      </w:r>
      <w:r w:rsidR="007C3409" w:rsidRPr="009604B4">
        <w:rPr>
          <w:rFonts w:ascii="Times New Roman" w:hAnsi="Times New Roman"/>
          <w:sz w:val="20"/>
        </w:rPr>
        <w:t>maining communicant</w:t>
      </w:r>
      <w:r w:rsidR="00605AF6" w:rsidRPr="009604B4">
        <w:rPr>
          <w:rFonts w:ascii="Times New Roman" w:hAnsi="Times New Roman"/>
          <w:sz w:val="20"/>
        </w:rPr>
        <w:t xml:space="preserve"> </w:t>
      </w:r>
      <w:r w:rsidR="007C3409" w:rsidRPr="009604B4">
        <w:rPr>
          <w:rFonts w:ascii="Times New Roman" w:hAnsi="Times New Roman"/>
          <w:sz w:val="20"/>
        </w:rPr>
        <w:t>(see para</w:t>
      </w:r>
      <w:r w:rsidR="00D77258" w:rsidRPr="009604B4">
        <w:rPr>
          <w:rFonts w:ascii="Times New Roman" w:hAnsi="Times New Roman"/>
          <w:sz w:val="20"/>
        </w:rPr>
        <w:t xml:space="preserve">. </w:t>
      </w:r>
      <w:r w:rsidR="00D77258" w:rsidRPr="009604B4">
        <w:rPr>
          <w:rFonts w:ascii="Times New Roman" w:hAnsi="Times New Roman"/>
          <w:sz w:val="20"/>
        </w:rPr>
        <w:fldChar w:fldCharType="begin"/>
      </w:r>
      <w:r w:rsidR="00D77258" w:rsidRPr="009604B4">
        <w:rPr>
          <w:rFonts w:ascii="Times New Roman" w:hAnsi="Times New Roman"/>
          <w:sz w:val="20"/>
        </w:rPr>
        <w:instrText xml:space="preserve"> REF _Ref495315357 \r \h </w:instrText>
      </w:r>
      <w:r w:rsidR="00BF6313" w:rsidRPr="009604B4">
        <w:rPr>
          <w:rFonts w:ascii="Times New Roman" w:hAnsi="Times New Roman"/>
          <w:sz w:val="20"/>
        </w:rPr>
        <w:instrText xml:space="preserve"> \* MERGEFORMAT </w:instrText>
      </w:r>
      <w:r w:rsidR="00D77258" w:rsidRPr="009604B4">
        <w:rPr>
          <w:rFonts w:ascii="Times New Roman" w:hAnsi="Times New Roman"/>
          <w:sz w:val="20"/>
        </w:rPr>
      </w:r>
      <w:r w:rsidR="00D77258" w:rsidRPr="009604B4">
        <w:rPr>
          <w:rFonts w:ascii="Times New Roman" w:hAnsi="Times New Roman"/>
          <w:sz w:val="20"/>
        </w:rPr>
        <w:fldChar w:fldCharType="separate"/>
      </w:r>
      <w:r w:rsidR="00E47C6E" w:rsidRPr="00E47C6E">
        <w:rPr>
          <w:rFonts w:ascii="Times New Roman" w:hAnsi="Times New Roman" w:cs="Times New Roman"/>
          <w:sz w:val="20"/>
          <w:szCs w:val="20"/>
          <w:cs/>
        </w:rPr>
        <w:t>‎</w:t>
      </w:r>
      <w:r w:rsidR="00E47C6E">
        <w:rPr>
          <w:rFonts w:ascii="Times New Roman" w:hAnsi="Times New Roman"/>
          <w:sz w:val="20"/>
        </w:rPr>
        <w:t>13</w:t>
      </w:r>
      <w:r w:rsidR="00D77258" w:rsidRPr="009604B4">
        <w:rPr>
          <w:rFonts w:ascii="Times New Roman" w:hAnsi="Times New Roman"/>
          <w:sz w:val="20"/>
        </w:rPr>
        <w:fldChar w:fldCharType="end"/>
      </w:r>
      <w:r w:rsidR="007C3409" w:rsidRPr="009604B4">
        <w:rPr>
          <w:rFonts w:ascii="Times New Roman" w:hAnsi="Times New Roman"/>
          <w:sz w:val="20"/>
        </w:rPr>
        <w:t xml:space="preserve"> </w:t>
      </w:r>
      <w:r w:rsidR="007E4E7A" w:rsidRPr="009604B4">
        <w:rPr>
          <w:rFonts w:ascii="Times New Roman" w:hAnsi="Times New Roman"/>
          <w:sz w:val="20"/>
        </w:rPr>
        <w:t>above).</w:t>
      </w:r>
    </w:p>
    <w:p w14:paraId="45BC95BF" w14:textId="14C93280" w:rsidR="007C3409" w:rsidRPr="009604B4" w:rsidRDefault="007E4E7A" w:rsidP="00F83D77">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 xml:space="preserve"> </w:t>
      </w:r>
      <w:r w:rsidR="007C3409" w:rsidRPr="009604B4">
        <w:rPr>
          <w:rFonts w:ascii="Times New Roman" w:hAnsi="Times New Roman"/>
          <w:sz w:val="20"/>
        </w:rPr>
        <w:t xml:space="preserve">Regarding </w:t>
      </w:r>
      <w:r w:rsidR="008019DD" w:rsidRPr="009604B4">
        <w:rPr>
          <w:rFonts w:ascii="Times New Roman" w:eastAsia="Times New Roman" w:hAnsi="Times New Roman" w:cs="Times New Roman"/>
          <w:sz w:val="20"/>
          <w:szCs w:val="20"/>
        </w:rPr>
        <w:t xml:space="preserve">the </w:t>
      </w:r>
      <w:r w:rsidR="007C3409" w:rsidRPr="009604B4">
        <w:rPr>
          <w:rFonts w:ascii="Times New Roman" w:hAnsi="Times New Roman"/>
          <w:sz w:val="20"/>
        </w:rPr>
        <w:t>exhaustion of domestic remedies</w:t>
      </w:r>
      <w:r w:rsidR="00F75804" w:rsidRPr="009604B4">
        <w:rPr>
          <w:rFonts w:ascii="Times New Roman" w:hAnsi="Times New Roman"/>
          <w:sz w:val="20"/>
        </w:rPr>
        <w:t>,</w:t>
      </w:r>
      <w:r w:rsidR="007C3409" w:rsidRPr="009604B4">
        <w:rPr>
          <w:rFonts w:ascii="Times New Roman" w:hAnsi="Times New Roman"/>
          <w:sz w:val="20"/>
        </w:rPr>
        <w:t xml:space="preserve"> the Committee notes that f</w:t>
      </w:r>
      <w:r w:rsidRPr="009604B4">
        <w:rPr>
          <w:rFonts w:ascii="Times New Roman" w:hAnsi="Times New Roman"/>
          <w:sz w:val="20"/>
        </w:rPr>
        <w:t>ollowing the judgment of the Supreme Court on 22 January 2014, the communicant had exhausted its possibilities to challenge the issues raised in the communication bef</w:t>
      </w:r>
      <w:r w:rsidR="007C3409" w:rsidRPr="009604B4">
        <w:rPr>
          <w:rFonts w:ascii="Times New Roman" w:hAnsi="Times New Roman"/>
          <w:sz w:val="20"/>
        </w:rPr>
        <w:t xml:space="preserve">ore the courts of the Party concerned. </w:t>
      </w:r>
      <w:r w:rsidR="00DE34CA" w:rsidRPr="009604B4">
        <w:rPr>
          <w:rFonts w:ascii="Times New Roman" w:hAnsi="Times New Roman"/>
          <w:sz w:val="20"/>
        </w:rPr>
        <w:t xml:space="preserve">Contrary to the submission of the Party concerned (see para. </w:t>
      </w:r>
      <w:r w:rsidR="00210E37" w:rsidRPr="009604B4">
        <w:rPr>
          <w:rFonts w:ascii="Times New Roman" w:eastAsia="Times New Roman" w:hAnsi="Times New Roman" w:cs="Times New Roman"/>
          <w:sz w:val="20"/>
          <w:szCs w:val="20"/>
        </w:rPr>
        <w:fldChar w:fldCharType="begin"/>
      </w:r>
      <w:r w:rsidR="00210E37" w:rsidRPr="009604B4">
        <w:rPr>
          <w:rFonts w:ascii="Times New Roman" w:eastAsia="Times New Roman" w:hAnsi="Times New Roman" w:cs="Times New Roman"/>
          <w:sz w:val="20"/>
          <w:szCs w:val="20"/>
        </w:rPr>
        <w:instrText xml:space="preserve"> REF _Ref528671903 \r \h </w:instrText>
      </w:r>
      <w:r w:rsidR="00A25458" w:rsidRPr="009604B4">
        <w:rPr>
          <w:rFonts w:ascii="Times New Roman" w:eastAsia="Times New Roman" w:hAnsi="Times New Roman" w:cs="Times New Roman"/>
          <w:sz w:val="20"/>
          <w:szCs w:val="20"/>
        </w:rPr>
        <w:instrText xml:space="preserve"> \* MERGEFORMAT </w:instrText>
      </w:r>
      <w:r w:rsidR="00210E37" w:rsidRPr="009604B4">
        <w:rPr>
          <w:rFonts w:ascii="Times New Roman" w:eastAsia="Times New Roman" w:hAnsi="Times New Roman" w:cs="Times New Roman"/>
          <w:sz w:val="20"/>
          <w:szCs w:val="20"/>
        </w:rPr>
      </w:r>
      <w:r w:rsidR="00210E37" w:rsidRPr="009604B4">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49</w:t>
      </w:r>
      <w:r w:rsidR="00210E37" w:rsidRPr="009604B4">
        <w:rPr>
          <w:rFonts w:ascii="Times New Roman" w:eastAsia="Times New Roman" w:hAnsi="Times New Roman" w:cs="Times New Roman"/>
          <w:sz w:val="20"/>
          <w:szCs w:val="20"/>
        </w:rPr>
        <w:fldChar w:fldCharType="end"/>
      </w:r>
      <w:r w:rsidR="00210E37" w:rsidRPr="009604B4">
        <w:rPr>
          <w:rFonts w:ascii="Times New Roman" w:hAnsi="Times New Roman"/>
          <w:sz w:val="20"/>
        </w:rPr>
        <w:t xml:space="preserve"> </w:t>
      </w:r>
      <w:proofErr w:type="gramStart"/>
      <w:r w:rsidR="00DE34CA" w:rsidRPr="009604B4">
        <w:rPr>
          <w:rFonts w:ascii="Times New Roman" w:hAnsi="Times New Roman"/>
          <w:sz w:val="20"/>
        </w:rPr>
        <w:t>above)</w:t>
      </w:r>
      <w:r w:rsidR="00F75804" w:rsidRPr="009604B4">
        <w:rPr>
          <w:rFonts w:ascii="Times New Roman" w:hAnsi="Times New Roman"/>
          <w:sz w:val="20"/>
        </w:rPr>
        <w:t>,</w:t>
      </w:r>
      <w:proofErr w:type="gramEnd"/>
      <w:r w:rsidR="00DF3C51" w:rsidRPr="009604B4">
        <w:rPr>
          <w:rFonts w:ascii="Times New Roman" w:hAnsi="Times New Roman"/>
          <w:sz w:val="20"/>
        </w:rPr>
        <w:t xml:space="preserve"> t</w:t>
      </w:r>
      <w:r w:rsidR="00D6222E" w:rsidRPr="009604B4">
        <w:rPr>
          <w:rFonts w:ascii="Times New Roman" w:hAnsi="Times New Roman"/>
          <w:sz w:val="20"/>
        </w:rPr>
        <w:t>he Committee does not consider it necessary to e</w:t>
      </w:r>
      <w:r w:rsidR="00F42F7F" w:rsidRPr="009604B4">
        <w:rPr>
          <w:rFonts w:ascii="Times New Roman" w:hAnsi="Times New Roman"/>
          <w:sz w:val="20"/>
        </w:rPr>
        <w:t>x</w:t>
      </w:r>
      <w:r w:rsidR="00D6222E" w:rsidRPr="009604B4">
        <w:rPr>
          <w:rFonts w:ascii="Times New Roman" w:hAnsi="Times New Roman"/>
          <w:sz w:val="20"/>
        </w:rPr>
        <w:t>amine whether</w:t>
      </w:r>
      <w:r w:rsidR="000C25EB" w:rsidRPr="009604B4">
        <w:rPr>
          <w:rFonts w:ascii="Times New Roman" w:hAnsi="Times New Roman"/>
          <w:sz w:val="20"/>
        </w:rPr>
        <w:t xml:space="preserve"> the</w:t>
      </w:r>
      <w:r w:rsidR="00DF3C51" w:rsidRPr="009604B4">
        <w:rPr>
          <w:rFonts w:ascii="Times New Roman" w:hAnsi="Times New Roman"/>
          <w:sz w:val="20"/>
        </w:rPr>
        <w:t xml:space="preserve"> alleged failure to </w:t>
      </w:r>
      <w:r w:rsidR="00D6222E" w:rsidRPr="009604B4">
        <w:rPr>
          <w:rFonts w:ascii="Times New Roman" w:hAnsi="Times New Roman"/>
          <w:sz w:val="20"/>
        </w:rPr>
        <w:t>compl</w:t>
      </w:r>
      <w:r w:rsidR="00DF3C51" w:rsidRPr="009604B4">
        <w:rPr>
          <w:rFonts w:ascii="Times New Roman" w:hAnsi="Times New Roman"/>
          <w:sz w:val="20"/>
        </w:rPr>
        <w:t>y</w:t>
      </w:r>
      <w:r w:rsidR="00D6222E" w:rsidRPr="009604B4">
        <w:rPr>
          <w:rFonts w:ascii="Times New Roman" w:hAnsi="Times New Roman"/>
          <w:sz w:val="20"/>
        </w:rPr>
        <w:t xml:space="preserve"> with article 7 of the Convention was a free-standing ground of challenge or only a supporting argument.</w:t>
      </w:r>
    </w:p>
    <w:p w14:paraId="5F604190" w14:textId="501908A5" w:rsidR="007E4E7A" w:rsidRPr="009604B4" w:rsidRDefault="007E4E7A"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 xml:space="preserve"> Based on the above, the Committee considers that</w:t>
      </w:r>
      <w:r w:rsidR="009B52A9" w:rsidRPr="009604B4">
        <w:rPr>
          <w:rFonts w:ascii="Times New Roman" w:hAnsi="Times New Roman"/>
          <w:sz w:val="20"/>
        </w:rPr>
        <w:t xml:space="preserve"> </w:t>
      </w:r>
      <w:r w:rsidRPr="009604B4">
        <w:rPr>
          <w:rFonts w:ascii="Times New Roman" w:hAnsi="Times New Roman"/>
          <w:sz w:val="20"/>
        </w:rPr>
        <w:t xml:space="preserve">the communication is admissible. </w:t>
      </w:r>
    </w:p>
    <w:p w14:paraId="313E255E" w14:textId="77777777" w:rsidR="00307E7F" w:rsidRPr="009604B4" w:rsidRDefault="00307E7F" w:rsidP="005D584F">
      <w:pPr>
        <w:tabs>
          <w:tab w:val="left" w:pos="1134"/>
        </w:tabs>
        <w:suppressAutoHyphens/>
        <w:spacing w:after="120" w:line="240" w:lineRule="atLeast"/>
        <w:ind w:left="567" w:right="1134"/>
        <w:jc w:val="both"/>
        <w:rPr>
          <w:rFonts w:ascii="Times New Roman" w:eastAsia="Times New Roman" w:hAnsi="Times New Roman" w:cs="Times New Roman"/>
          <w:sz w:val="20"/>
          <w:szCs w:val="20"/>
        </w:rPr>
      </w:pPr>
    </w:p>
    <w:p w14:paraId="03FA2E89" w14:textId="77777777" w:rsidR="007E4E7A" w:rsidRPr="009604B4" w:rsidRDefault="007E4E7A" w:rsidP="00FD13A4">
      <w:pPr>
        <w:tabs>
          <w:tab w:val="left" w:pos="1134"/>
        </w:tabs>
        <w:suppressAutoHyphens/>
        <w:spacing w:after="120" w:line="240" w:lineRule="atLeast"/>
        <w:ind w:left="567" w:right="1134"/>
        <w:jc w:val="both"/>
        <w:outlineLvl w:val="0"/>
        <w:rPr>
          <w:rFonts w:ascii="Times New Roman" w:hAnsi="Times New Roman"/>
          <w:b/>
          <w:sz w:val="20"/>
        </w:rPr>
      </w:pPr>
      <w:r w:rsidRPr="009604B4">
        <w:rPr>
          <w:rFonts w:ascii="Times New Roman" w:hAnsi="Times New Roman"/>
          <w:b/>
          <w:sz w:val="20"/>
        </w:rPr>
        <w:t xml:space="preserve">The scope of the Committee’s considerations </w:t>
      </w:r>
    </w:p>
    <w:p w14:paraId="5BF26450" w14:textId="6B43496F" w:rsidR="00244906" w:rsidRPr="009604B4" w:rsidRDefault="00244906" w:rsidP="00F83D77">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 xml:space="preserve">With respect to the DNS, the Committee </w:t>
      </w:r>
      <w:r w:rsidR="00F75804" w:rsidRPr="009604B4">
        <w:rPr>
          <w:rFonts w:ascii="Times New Roman" w:hAnsi="Times New Roman"/>
          <w:sz w:val="20"/>
        </w:rPr>
        <w:t xml:space="preserve">finds </w:t>
      </w:r>
      <w:r w:rsidRPr="009604B4">
        <w:rPr>
          <w:rFonts w:ascii="Times New Roman" w:hAnsi="Times New Roman"/>
          <w:sz w:val="20"/>
        </w:rPr>
        <w:t xml:space="preserve">that the following points </w:t>
      </w:r>
      <w:r w:rsidR="00F75804" w:rsidRPr="009604B4">
        <w:rPr>
          <w:rFonts w:ascii="Times New Roman" w:hAnsi="Times New Roman"/>
          <w:sz w:val="20"/>
        </w:rPr>
        <w:t xml:space="preserve">do not appear to be disputed by </w:t>
      </w:r>
      <w:r w:rsidRPr="009604B4">
        <w:rPr>
          <w:rFonts w:ascii="Times New Roman" w:hAnsi="Times New Roman"/>
          <w:sz w:val="20"/>
        </w:rPr>
        <w:t xml:space="preserve">the parties to this case: </w:t>
      </w:r>
    </w:p>
    <w:p w14:paraId="673DF139" w14:textId="2BA6C368" w:rsidR="00CF7AC2" w:rsidRPr="009604B4" w:rsidRDefault="00CF7AC2" w:rsidP="005D584F">
      <w:pPr>
        <w:tabs>
          <w:tab w:val="left" w:pos="1134"/>
        </w:tabs>
        <w:autoSpaceDE w:val="0"/>
        <w:autoSpaceDN w:val="0"/>
        <w:adjustRightInd w:val="0"/>
        <w:spacing w:after="153" w:line="240" w:lineRule="auto"/>
        <w:ind w:left="1080" w:right="1134"/>
        <w:jc w:val="both"/>
        <w:rPr>
          <w:rFonts w:ascii="Times New Roman" w:hAnsi="Times New Roman"/>
          <w:color w:val="000000"/>
          <w:sz w:val="20"/>
        </w:rPr>
      </w:pPr>
      <w:r w:rsidRPr="009604B4">
        <w:rPr>
          <w:rFonts w:ascii="Times New Roman" w:hAnsi="Times New Roman"/>
          <w:color w:val="000000"/>
          <w:sz w:val="20"/>
        </w:rPr>
        <w:t xml:space="preserve">- </w:t>
      </w:r>
      <w:r w:rsidR="00244906" w:rsidRPr="009604B4">
        <w:rPr>
          <w:rFonts w:ascii="Times New Roman" w:hAnsi="Times New Roman"/>
          <w:color w:val="000000"/>
          <w:sz w:val="20"/>
        </w:rPr>
        <w:t>Article 7 of the Convention applies to the DNS</w:t>
      </w:r>
      <w:r w:rsidR="0064794E" w:rsidRPr="009604B4">
        <w:rPr>
          <w:rFonts w:ascii="Times New Roman" w:hAnsi="Times New Roman"/>
          <w:color w:val="000000"/>
          <w:sz w:val="20"/>
        </w:rPr>
        <w:t>;</w:t>
      </w:r>
    </w:p>
    <w:p w14:paraId="5D06F511" w14:textId="2E308B24" w:rsidR="00705C92" w:rsidRPr="009604B4" w:rsidRDefault="00705C92" w:rsidP="005D584F">
      <w:pPr>
        <w:tabs>
          <w:tab w:val="left" w:pos="1134"/>
        </w:tabs>
        <w:autoSpaceDE w:val="0"/>
        <w:autoSpaceDN w:val="0"/>
        <w:adjustRightInd w:val="0"/>
        <w:spacing w:after="153" w:line="240" w:lineRule="auto"/>
        <w:ind w:left="1080" w:right="1134"/>
        <w:jc w:val="both"/>
        <w:rPr>
          <w:rFonts w:ascii="Times New Roman" w:hAnsi="Times New Roman"/>
          <w:color w:val="000000"/>
          <w:sz w:val="20"/>
        </w:rPr>
      </w:pPr>
      <w:r w:rsidRPr="009604B4">
        <w:rPr>
          <w:rFonts w:ascii="Times New Roman" w:hAnsi="Times New Roman"/>
          <w:color w:val="000000"/>
          <w:sz w:val="20"/>
        </w:rPr>
        <w:t xml:space="preserve">- </w:t>
      </w:r>
      <w:r w:rsidR="00CF7AC2" w:rsidRPr="009604B4">
        <w:rPr>
          <w:rFonts w:ascii="Times New Roman" w:hAnsi="Times New Roman"/>
          <w:color w:val="000000"/>
          <w:sz w:val="20"/>
        </w:rPr>
        <w:t>A</w:t>
      </w:r>
      <w:r w:rsidRPr="009604B4">
        <w:rPr>
          <w:rFonts w:ascii="Times New Roman" w:hAnsi="Times New Roman"/>
          <w:color w:val="000000"/>
          <w:sz w:val="20"/>
        </w:rPr>
        <w:t xml:space="preserve">rticle 7 of the Convention does not require </w:t>
      </w:r>
      <w:r w:rsidR="004D0F18" w:rsidRPr="009604B4">
        <w:rPr>
          <w:rFonts w:ascii="Times New Roman" w:hAnsi="Times New Roman"/>
          <w:color w:val="000000"/>
          <w:sz w:val="20"/>
        </w:rPr>
        <w:t xml:space="preserve">a strategic environmental assessment </w:t>
      </w:r>
      <w:r w:rsidRPr="009604B4">
        <w:rPr>
          <w:rFonts w:ascii="Times New Roman" w:hAnsi="Times New Roman"/>
          <w:color w:val="000000"/>
          <w:sz w:val="20"/>
        </w:rPr>
        <w:t>to be carried out</w:t>
      </w:r>
      <w:r w:rsidR="0064794E" w:rsidRPr="009604B4">
        <w:rPr>
          <w:rFonts w:ascii="Times New Roman" w:hAnsi="Times New Roman"/>
          <w:color w:val="000000"/>
          <w:sz w:val="20"/>
        </w:rPr>
        <w:t>;</w:t>
      </w:r>
    </w:p>
    <w:p w14:paraId="5C5D7293" w14:textId="59B484A1" w:rsidR="00244906" w:rsidRPr="009604B4" w:rsidRDefault="00244906" w:rsidP="005D584F">
      <w:pPr>
        <w:pStyle w:val="ListParagraph"/>
        <w:tabs>
          <w:tab w:val="left" w:pos="1134"/>
        </w:tabs>
        <w:autoSpaceDE w:val="0"/>
        <w:autoSpaceDN w:val="0"/>
        <w:adjustRightInd w:val="0"/>
        <w:spacing w:after="153" w:line="240" w:lineRule="auto"/>
        <w:ind w:left="1080" w:right="1134"/>
        <w:jc w:val="both"/>
        <w:rPr>
          <w:rFonts w:ascii="Times New Roman" w:hAnsi="Times New Roman"/>
          <w:color w:val="000000"/>
          <w:sz w:val="20"/>
        </w:rPr>
      </w:pPr>
      <w:r w:rsidRPr="009604B4">
        <w:rPr>
          <w:rFonts w:ascii="Times New Roman" w:hAnsi="Times New Roman"/>
          <w:color w:val="000000"/>
          <w:sz w:val="20"/>
        </w:rPr>
        <w:t xml:space="preserve">- </w:t>
      </w:r>
      <w:r w:rsidR="00012045" w:rsidRPr="009604B4">
        <w:rPr>
          <w:rFonts w:ascii="Times New Roman" w:hAnsi="Times New Roman"/>
          <w:color w:val="000000"/>
          <w:sz w:val="20"/>
        </w:rPr>
        <w:t>Before</w:t>
      </w:r>
      <w:r w:rsidR="00012045" w:rsidRPr="009604B4">
        <w:rPr>
          <w:rFonts w:ascii="Times New Roman" w:hAnsi="Times New Roman" w:cs="Times New Roman"/>
          <w:color w:val="000000"/>
          <w:sz w:val="20"/>
          <w:szCs w:val="20"/>
        </w:rPr>
        <w:t xml:space="preserve"> </w:t>
      </w:r>
      <w:r w:rsidR="00851871" w:rsidRPr="009604B4">
        <w:rPr>
          <w:rFonts w:ascii="Times New Roman" w:hAnsi="Times New Roman" w:cs="Times New Roman"/>
          <w:color w:val="000000"/>
          <w:sz w:val="20"/>
          <w:szCs w:val="20"/>
        </w:rPr>
        <w:t>the</w:t>
      </w:r>
      <w:r w:rsidR="00851871" w:rsidRPr="009604B4">
        <w:rPr>
          <w:rFonts w:ascii="Times New Roman" w:hAnsi="Times New Roman"/>
          <w:color w:val="000000"/>
          <w:sz w:val="20"/>
        </w:rPr>
        <w:t xml:space="preserve"> </w:t>
      </w:r>
      <w:r w:rsidR="00012045" w:rsidRPr="009604B4">
        <w:rPr>
          <w:rFonts w:ascii="Times New Roman" w:hAnsi="Times New Roman"/>
          <w:color w:val="000000"/>
          <w:sz w:val="20"/>
        </w:rPr>
        <w:t xml:space="preserve">adoption of </w:t>
      </w:r>
      <w:r w:rsidR="00F75804" w:rsidRPr="009604B4">
        <w:rPr>
          <w:rFonts w:ascii="Times New Roman" w:hAnsi="Times New Roman"/>
          <w:color w:val="000000"/>
          <w:sz w:val="20"/>
        </w:rPr>
        <w:t xml:space="preserve">the </w:t>
      </w:r>
      <w:r w:rsidR="00012045" w:rsidRPr="009604B4">
        <w:rPr>
          <w:rFonts w:ascii="Times New Roman" w:hAnsi="Times New Roman"/>
          <w:color w:val="000000"/>
          <w:sz w:val="20"/>
        </w:rPr>
        <w:t>DNS</w:t>
      </w:r>
      <w:r w:rsidR="00F75804" w:rsidRPr="009604B4">
        <w:rPr>
          <w:rFonts w:ascii="Times New Roman" w:hAnsi="Times New Roman"/>
          <w:color w:val="000000"/>
          <w:sz w:val="20"/>
        </w:rPr>
        <w:t>,</w:t>
      </w:r>
      <w:r w:rsidR="00012045" w:rsidRPr="009604B4">
        <w:rPr>
          <w:rFonts w:ascii="Times New Roman" w:hAnsi="Times New Roman"/>
          <w:color w:val="000000"/>
          <w:sz w:val="20"/>
        </w:rPr>
        <w:t xml:space="preserve"> p</w:t>
      </w:r>
      <w:r w:rsidRPr="009604B4">
        <w:rPr>
          <w:rFonts w:ascii="Times New Roman" w:hAnsi="Times New Roman"/>
          <w:sz w:val="20"/>
        </w:rPr>
        <w:t>ublic participation was conducted</w:t>
      </w:r>
      <w:r w:rsidR="0064794E" w:rsidRPr="009604B4">
        <w:rPr>
          <w:rFonts w:ascii="Times New Roman" w:hAnsi="Times New Roman"/>
          <w:color w:val="000000"/>
          <w:sz w:val="20"/>
        </w:rPr>
        <w:t>;</w:t>
      </w:r>
    </w:p>
    <w:p w14:paraId="0BF912A1" w14:textId="77777777" w:rsidR="00CF7AC2" w:rsidRPr="009604B4" w:rsidRDefault="00CF7AC2" w:rsidP="005D584F">
      <w:pPr>
        <w:pStyle w:val="ListParagraph"/>
        <w:tabs>
          <w:tab w:val="left" w:pos="1134"/>
        </w:tabs>
        <w:autoSpaceDE w:val="0"/>
        <w:autoSpaceDN w:val="0"/>
        <w:adjustRightInd w:val="0"/>
        <w:spacing w:after="153" w:line="240" w:lineRule="auto"/>
        <w:ind w:left="1080" w:right="1134"/>
        <w:jc w:val="both"/>
        <w:rPr>
          <w:rFonts w:ascii="Times New Roman" w:hAnsi="Times New Roman"/>
          <w:color w:val="000000"/>
          <w:sz w:val="20"/>
        </w:rPr>
      </w:pPr>
    </w:p>
    <w:p w14:paraId="4E8F7BDF" w14:textId="555A12DA" w:rsidR="00705C92" w:rsidRPr="009604B4" w:rsidRDefault="00307E7F" w:rsidP="005D584F">
      <w:pPr>
        <w:pStyle w:val="ListParagraph"/>
        <w:tabs>
          <w:tab w:val="left" w:pos="1134"/>
        </w:tabs>
        <w:autoSpaceDE w:val="0"/>
        <w:autoSpaceDN w:val="0"/>
        <w:adjustRightInd w:val="0"/>
        <w:spacing w:after="153" w:line="240" w:lineRule="auto"/>
        <w:ind w:left="1080" w:right="1134"/>
        <w:jc w:val="both"/>
        <w:rPr>
          <w:rFonts w:ascii="Times New Roman" w:hAnsi="Times New Roman" w:cs="Times New Roman"/>
          <w:color w:val="000000"/>
          <w:sz w:val="20"/>
          <w:szCs w:val="20"/>
        </w:rPr>
      </w:pPr>
      <w:r w:rsidRPr="009604B4">
        <w:rPr>
          <w:rFonts w:ascii="Times New Roman" w:hAnsi="Times New Roman"/>
          <w:color w:val="000000"/>
          <w:sz w:val="20"/>
        </w:rPr>
        <w:t xml:space="preserve">- </w:t>
      </w:r>
      <w:r w:rsidR="007D3D72" w:rsidRPr="009604B4">
        <w:rPr>
          <w:rFonts w:ascii="Times New Roman" w:hAnsi="Times New Roman"/>
          <w:color w:val="000000"/>
          <w:sz w:val="20"/>
        </w:rPr>
        <w:t>The communicant’s claim relate</w:t>
      </w:r>
      <w:r w:rsidR="00E72BBC" w:rsidRPr="009604B4">
        <w:rPr>
          <w:rFonts w:ascii="Times New Roman" w:hAnsi="Times New Roman"/>
          <w:color w:val="000000"/>
          <w:sz w:val="20"/>
        </w:rPr>
        <w:t>s</w:t>
      </w:r>
      <w:r w:rsidR="007D3D72" w:rsidRPr="009604B4">
        <w:rPr>
          <w:rFonts w:ascii="Times New Roman" w:hAnsi="Times New Roman"/>
          <w:color w:val="000000"/>
          <w:sz w:val="20"/>
        </w:rPr>
        <w:t xml:space="preserve"> to the DNS stage and not to subs</w:t>
      </w:r>
      <w:r w:rsidR="003F7EC7" w:rsidRPr="009604B4">
        <w:rPr>
          <w:rFonts w:ascii="Times New Roman" w:hAnsi="Times New Roman"/>
          <w:color w:val="000000"/>
          <w:sz w:val="20"/>
        </w:rPr>
        <w:t>e</w:t>
      </w:r>
      <w:r w:rsidR="007D3D72" w:rsidRPr="009604B4">
        <w:rPr>
          <w:rFonts w:ascii="Times New Roman" w:hAnsi="Times New Roman"/>
          <w:color w:val="000000"/>
          <w:sz w:val="20"/>
        </w:rPr>
        <w:t xml:space="preserve">quent </w:t>
      </w:r>
      <w:r w:rsidRPr="009604B4">
        <w:rPr>
          <w:rFonts w:ascii="Times New Roman" w:hAnsi="Times New Roman"/>
          <w:color w:val="000000"/>
          <w:sz w:val="20"/>
        </w:rPr>
        <w:t xml:space="preserve">steps in the </w:t>
      </w:r>
      <w:r w:rsidR="00E05348">
        <w:rPr>
          <w:rFonts w:ascii="Times New Roman" w:hAnsi="Times New Roman"/>
          <w:color w:val="000000"/>
          <w:sz w:val="20"/>
        </w:rPr>
        <w:t xml:space="preserve">decision-making </w:t>
      </w:r>
      <w:r w:rsidRPr="009604B4">
        <w:rPr>
          <w:rFonts w:ascii="Times New Roman" w:hAnsi="Times New Roman"/>
          <w:color w:val="000000"/>
          <w:sz w:val="20"/>
        </w:rPr>
        <w:t>procedure</w:t>
      </w:r>
      <w:r w:rsidR="00FC01D3">
        <w:rPr>
          <w:rFonts w:ascii="Times New Roman" w:hAnsi="Times New Roman"/>
          <w:color w:val="000000"/>
          <w:sz w:val="20"/>
        </w:rPr>
        <w:t xml:space="preserve"> regarding High Speed 2</w:t>
      </w:r>
      <w:r w:rsidR="00F75804" w:rsidRPr="009604B4">
        <w:rPr>
          <w:rFonts w:ascii="Times New Roman" w:hAnsi="Times New Roman"/>
          <w:color w:val="000000"/>
          <w:sz w:val="20"/>
        </w:rPr>
        <w:t>.</w:t>
      </w:r>
    </w:p>
    <w:p w14:paraId="298E827A" w14:textId="56235175" w:rsidR="00307E7F" w:rsidRPr="009604B4" w:rsidRDefault="00307E7F"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 xml:space="preserve">The essence of the communicant’s </w:t>
      </w:r>
      <w:r w:rsidR="00F75804" w:rsidRPr="009604B4">
        <w:rPr>
          <w:rFonts w:ascii="Times New Roman" w:hAnsi="Times New Roman"/>
          <w:sz w:val="20"/>
        </w:rPr>
        <w:t xml:space="preserve">claim </w:t>
      </w:r>
      <w:r w:rsidRPr="009604B4">
        <w:rPr>
          <w:rFonts w:ascii="Times New Roman" w:hAnsi="Times New Roman"/>
          <w:sz w:val="20"/>
        </w:rPr>
        <w:t xml:space="preserve">is that consultations </w:t>
      </w:r>
      <w:r w:rsidR="00012045" w:rsidRPr="009604B4">
        <w:rPr>
          <w:rFonts w:ascii="Times New Roman" w:hAnsi="Times New Roman"/>
          <w:sz w:val="20"/>
        </w:rPr>
        <w:t>reg</w:t>
      </w:r>
      <w:r w:rsidR="00C14D0C" w:rsidRPr="009604B4">
        <w:rPr>
          <w:rFonts w:ascii="Times New Roman" w:hAnsi="Times New Roman"/>
          <w:sz w:val="20"/>
        </w:rPr>
        <w:t>a</w:t>
      </w:r>
      <w:r w:rsidR="00012045" w:rsidRPr="009604B4">
        <w:rPr>
          <w:rFonts w:ascii="Times New Roman" w:hAnsi="Times New Roman"/>
          <w:sz w:val="20"/>
        </w:rPr>
        <w:t xml:space="preserve">rding </w:t>
      </w:r>
      <w:r w:rsidR="00F75804" w:rsidRPr="009604B4">
        <w:rPr>
          <w:rFonts w:ascii="Times New Roman" w:hAnsi="Times New Roman"/>
          <w:sz w:val="20"/>
        </w:rPr>
        <w:t xml:space="preserve">the </w:t>
      </w:r>
      <w:r w:rsidRPr="009604B4">
        <w:rPr>
          <w:rFonts w:ascii="Times New Roman" w:hAnsi="Times New Roman"/>
          <w:sz w:val="20"/>
        </w:rPr>
        <w:t xml:space="preserve">DNS did not represent </w:t>
      </w:r>
      <w:r w:rsidR="00CF7AC2" w:rsidRPr="009604B4">
        <w:rPr>
          <w:rFonts w:ascii="Times New Roman" w:hAnsi="Times New Roman"/>
          <w:sz w:val="20"/>
        </w:rPr>
        <w:t>“</w:t>
      </w:r>
      <w:r w:rsidRPr="009604B4">
        <w:rPr>
          <w:rFonts w:ascii="Times New Roman" w:hAnsi="Times New Roman"/>
          <w:sz w:val="20"/>
        </w:rPr>
        <w:t xml:space="preserve">early public participation, when all options are open” and were not </w:t>
      </w:r>
      <w:r w:rsidR="00F75804" w:rsidRPr="009604B4">
        <w:rPr>
          <w:rFonts w:ascii="Times New Roman" w:hAnsi="Times New Roman"/>
          <w:sz w:val="20"/>
        </w:rPr>
        <w:t xml:space="preserve">conducted </w:t>
      </w:r>
      <w:r w:rsidR="00CF7AC2" w:rsidRPr="009604B4">
        <w:rPr>
          <w:rFonts w:ascii="Times New Roman" w:hAnsi="Times New Roman"/>
          <w:sz w:val="20"/>
        </w:rPr>
        <w:t>“</w:t>
      </w:r>
      <w:r w:rsidRPr="009604B4">
        <w:rPr>
          <w:rFonts w:ascii="Times New Roman" w:hAnsi="Times New Roman"/>
          <w:sz w:val="20"/>
        </w:rPr>
        <w:t xml:space="preserve">within a transparent and fair framework, having provided </w:t>
      </w:r>
      <w:r w:rsidR="009F2CF0" w:rsidRPr="009604B4">
        <w:rPr>
          <w:rFonts w:ascii="Times New Roman" w:hAnsi="Times New Roman"/>
          <w:sz w:val="20"/>
        </w:rPr>
        <w:t xml:space="preserve">the </w:t>
      </w:r>
      <w:r w:rsidRPr="009604B4">
        <w:rPr>
          <w:rFonts w:ascii="Times New Roman" w:hAnsi="Times New Roman"/>
          <w:sz w:val="20"/>
        </w:rPr>
        <w:t>necessary information to the public</w:t>
      </w:r>
      <w:r w:rsidR="00FC01D3">
        <w:rPr>
          <w:rFonts w:ascii="Times New Roman" w:hAnsi="Times New Roman"/>
          <w:sz w:val="20"/>
        </w:rPr>
        <w:t>.</w:t>
      </w:r>
      <w:r w:rsidRPr="009604B4">
        <w:rPr>
          <w:rFonts w:ascii="Times New Roman" w:hAnsi="Times New Roman"/>
          <w:sz w:val="20"/>
        </w:rPr>
        <w:t xml:space="preserve">” </w:t>
      </w:r>
      <w:r w:rsidR="00FC01D3">
        <w:rPr>
          <w:rFonts w:ascii="Times New Roman" w:hAnsi="Times New Roman"/>
          <w:sz w:val="20"/>
        </w:rPr>
        <w:t xml:space="preserve">This is </w:t>
      </w:r>
      <w:r w:rsidRPr="009604B4">
        <w:rPr>
          <w:rFonts w:ascii="Times New Roman" w:hAnsi="Times New Roman"/>
          <w:sz w:val="20"/>
        </w:rPr>
        <w:t xml:space="preserve">because many options </w:t>
      </w:r>
      <w:r w:rsidR="00F75804" w:rsidRPr="009604B4">
        <w:rPr>
          <w:rFonts w:ascii="Times New Roman" w:hAnsi="Times New Roman"/>
          <w:sz w:val="20"/>
        </w:rPr>
        <w:t xml:space="preserve">had </w:t>
      </w:r>
      <w:r w:rsidRPr="009604B4">
        <w:rPr>
          <w:rFonts w:ascii="Times New Roman" w:hAnsi="Times New Roman"/>
          <w:sz w:val="20"/>
        </w:rPr>
        <w:t xml:space="preserve">been ruled out before </w:t>
      </w:r>
      <w:r w:rsidR="00F75804" w:rsidRPr="009604B4">
        <w:rPr>
          <w:rFonts w:ascii="Times New Roman" w:hAnsi="Times New Roman"/>
          <w:sz w:val="20"/>
        </w:rPr>
        <w:t xml:space="preserve">the </w:t>
      </w:r>
      <w:r w:rsidRPr="009604B4">
        <w:rPr>
          <w:rFonts w:ascii="Times New Roman" w:hAnsi="Times New Roman"/>
          <w:sz w:val="20"/>
        </w:rPr>
        <w:t>adoption of</w:t>
      </w:r>
      <w:r w:rsidR="00F75804" w:rsidRPr="009604B4">
        <w:rPr>
          <w:rFonts w:ascii="Times New Roman" w:hAnsi="Times New Roman"/>
          <w:sz w:val="20"/>
        </w:rPr>
        <w:t xml:space="preserve"> the</w:t>
      </w:r>
      <w:r w:rsidRPr="009604B4">
        <w:rPr>
          <w:rFonts w:ascii="Times New Roman" w:hAnsi="Times New Roman"/>
          <w:sz w:val="20"/>
        </w:rPr>
        <w:t xml:space="preserve"> DNS without any</w:t>
      </w:r>
      <w:r w:rsidR="00F75804" w:rsidRPr="009604B4">
        <w:rPr>
          <w:rFonts w:ascii="Times New Roman" w:hAnsi="Times New Roman"/>
          <w:sz w:val="20"/>
        </w:rPr>
        <w:t xml:space="preserve"> prior</w:t>
      </w:r>
      <w:r w:rsidRPr="009604B4">
        <w:rPr>
          <w:rFonts w:ascii="Times New Roman" w:hAnsi="Times New Roman"/>
          <w:sz w:val="20"/>
        </w:rPr>
        <w:t xml:space="preserve"> public consultation and consideration of their environmental impact</w:t>
      </w:r>
      <w:r w:rsidR="001A00C7" w:rsidRPr="009604B4">
        <w:rPr>
          <w:rFonts w:ascii="Times New Roman" w:hAnsi="Times New Roman"/>
          <w:sz w:val="20"/>
        </w:rPr>
        <w:t xml:space="preserve"> and because of a</w:t>
      </w:r>
      <w:r w:rsidR="004747CB" w:rsidRPr="009604B4">
        <w:rPr>
          <w:rFonts w:ascii="Times New Roman" w:hAnsi="Times New Roman"/>
          <w:sz w:val="20"/>
        </w:rPr>
        <w:t>n alleged</w:t>
      </w:r>
      <w:r w:rsidR="001A00C7" w:rsidRPr="009604B4">
        <w:rPr>
          <w:rFonts w:ascii="Times New Roman" w:hAnsi="Times New Roman"/>
          <w:sz w:val="20"/>
        </w:rPr>
        <w:t xml:space="preserve"> lack of information during the</w:t>
      </w:r>
      <w:r w:rsidR="003F7EC7" w:rsidRPr="009604B4">
        <w:rPr>
          <w:rFonts w:ascii="Times New Roman" w:hAnsi="Times New Roman"/>
          <w:sz w:val="20"/>
        </w:rPr>
        <w:t xml:space="preserve"> 2011</w:t>
      </w:r>
      <w:r w:rsidR="001A00C7" w:rsidRPr="009604B4">
        <w:rPr>
          <w:rFonts w:ascii="Times New Roman" w:hAnsi="Times New Roman"/>
          <w:sz w:val="20"/>
        </w:rPr>
        <w:t xml:space="preserve"> public participation </w:t>
      </w:r>
      <w:r w:rsidR="00222CF7" w:rsidRPr="009604B4">
        <w:rPr>
          <w:rFonts w:ascii="Times New Roman" w:eastAsia="Times New Roman" w:hAnsi="Times New Roman" w:cs="Times New Roman"/>
          <w:sz w:val="20"/>
          <w:szCs w:val="20"/>
        </w:rPr>
        <w:t>procedure</w:t>
      </w:r>
      <w:r w:rsidRPr="009604B4">
        <w:rPr>
          <w:rFonts w:ascii="Times New Roman" w:hAnsi="Times New Roman"/>
          <w:sz w:val="20"/>
        </w:rPr>
        <w:t>.</w:t>
      </w:r>
      <w:r w:rsidR="00E05348">
        <w:rPr>
          <w:rFonts w:ascii="Times New Roman" w:hAnsi="Times New Roman"/>
          <w:sz w:val="20"/>
        </w:rPr>
        <w:t xml:space="preserve">  </w:t>
      </w:r>
    </w:p>
    <w:p w14:paraId="2AC5EB8D" w14:textId="48C4428A" w:rsidR="000F7DFA" w:rsidRPr="009604B4" w:rsidRDefault="000F7DFA" w:rsidP="005D584F">
      <w:pPr>
        <w:numPr>
          <w:ilvl w:val="0"/>
          <w:numId w:val="2"/>
        </w:numPr>
        <w:tabs>
          <w:tab w:val="clear" w:pos="1144"/>
          <w:tab w:val="left" w:pos="1134"/>
        </w:tabs>
        <w:suppressAutoHyphens/>
        <w:spacing w:after="120" w:line="240" w:lineRule="atLeast"/>
        <w:ind w:left="567" w:right="1134" w:firstLine="0"/>
        <w:jc w:val="both"/>
        <w:rPr>
          <w:rFonts w:ascii="Times New Roman" w:hAnsi="Times New Roman"/>
          <w:sz w:val="20"/>
        </w:rPr>
      </w:pPr>
      <w:r w:rsidRPr="009604B4">
        <w:rPr>
          <w:rFonts w:ascii="Times New Roman" w:hAnsi="Times New Roman"/>
          <w:sz w:val="20"/>
        </w:rPr>
        <w:t>In the light of the above</w:t>
      </w:r>
      <w:r w:rsidR="00604DF4" w:rsidRPr="009604B4">
        <w:rPr>
          <w:rFonts w:ascii="Times New Roman" w:eastAsia="Times New Roman" w:hAnsi="Times New Roman" w:cs="Times New Roman"/>
          <w:sz w:val="20"/>
          <w:szCs w:val="20"/>
        </w:rPr>
        <w:t>,</w:t>
      </w:r>
      <w:r w:rsidRPr="009604B4">
        <w:rPr>
          <w:rFonts w:ascii="Times New Roman" w:hAnsi="Times New Roman"/>
          <w:sz w:val="20"/>
        </w:rPr>
        <w:t xml:space="preserve"> the Committee will focus its examination on the following issues:</w:t>
      </w:r>
    </w:p>
    <w:p w14:paraId="05EA4862" w14:textId="1B30103D" w:rsidR="000F7DFA" w:rsidRPr="009604B4" w:rsidRDefault="00EA70B2" w:rsidP="003F7EC7">
      <w:pPr>
        <w:numPr>
          <w:ilvl w:val="1"/>
          <w:numId w:val="2"/>
        </w:numPr>
        <w:tabs>
          <w:tab w:val="left" w:pos="1134"/>
          <w:tab w:val="left" w:pos="1800"/>
        </w:tabs>
        <w:suppressAutoHyphens/>
        <w:spacing w:after="120" w:line="240" w:lineRule="atLeast"/>
        <w:ind w:left="1134" w:right="1134" w:firstLine="0"/>
        <w:jc w:val="both"/>
        <w:rPr>
          <w:rFonts w:ascii="Times New Roman" w:hAnsi="Times New Roman"/>
          <w:sz w:val="20"/>
        </w:rPr>
      </w:pPr>
      <w:r w:rsidRPr="009604B4">
        <w:rPr>
          <w:rFonts w:ascii="Times New Roman" w:hAnsi="Times New Roman"/>
          <w:sz w:val="20"/>
        </w:rPr>
        <w:t>“Early public participation, when all options are open”</w:t>
      </w:r>
      <w:r w:rsidR="000F7DFA" w:rsidRPr="009604B4">
        <w:rPr>
          <w:rFonts w:ascii="Times New Roman" w:hAnsi="Times New Roman"/>
          <w:sz w:val="20"/>
        </w:rPr>
        <w:t xml:space="preserve"> under art</w:t>
      </w:r>
      <w:r w:rsidR="00F75804" w:rsidRPr="009604B4">
        <w:rPr>
          <w:rFonts w:ascii="Times New Roman" w:hAnsi="Times New Roman"/>
          <w:sz w:val="20"/>
        </w:rPr>
        <w:t>icle</w:t>
      </w:r>
      <w:r w:rsidR="000F7DFA" w:rsidRPr="009604B4">
        <w:rPr>
          <w:rFonts w:ascii="Times New Roman" w:hAnsi="Times New Roman"/>
          <w:sz w:val="20"/>
        </w:rPr>
        <w:t xml:space="preserve"> 7 in </w:t>
      </w:r>
      <w:r w:rsidR="00F75804" w:rsidRPr="009604B4">
        <w:rPr>
          <w:rFonts w:ascii="Times New Roman" w:hAnsi="Times New Roman"/>
          <w:sz w:val="20"/>
        </w:rPr>
        <w:t>conjunction with</w:t>
      </w:r>
      <w:r w:rsidR="000F7DFA" w:rsidRPr="009604B4">
        <w:rPr>
          <w:rFonts w:ascii="Times New Roman" w:hAnsi="Times New Roman"/>
          <w:sz w:val="20"/>
        </w:rPr>
        <w:t xml:space="preserve"> art</w:t>
      </w:r>
      <w:r w:rsidR="00F75804" w:rsidRPr="009604B4">
        <w:rPr>
          <w:rFonts w:ascii="Times New Roman" w:hAnsi="Times New Roman"/>
          <w:sz w:val="20"/>
        </w:rPr>
        <w:t>icle</w:t>
      </w:r>
      <w:r w:rsidR="0064794E" w:rsidRPr="009604B4">
        <w:rPr>
          <w:rFonts w:ascii="Times New Roman" w:hAnsi="Times New Roman"/>
          <w:sz w:val="20"/>
        </w:rPr>
        <w:t xml:space="preserve"> </w:t>
      </w:r>
      <w:r w:rsidR="000F7DFA" w:rsidRPr="009604B4">
        <w:rPr>
          <w:rFonts w:ascii="Times New Roman" w:hAnsi="Times New Roman"/>
          <w:sz w:val="20"/>
        </w:rPr>
        <w:t>6</w:t>
      </w:r>
      <w:r w:rsidR="001D5934" w:rsidRPr="009604B4">
        <w:rPr>
          <w:rFonts w:ascii="Times New Roman" w:hAnsi="Times New Roman"/>
          <w:sz w:val="20"/>
        </w:rPr>
        <w:t>(</w:t>
      </w:r>
      <w:r w:rsidR="000F7DFA" w:rsidRPr="009604B4">
        <w:rPr>
          <w:rFonts w:ascii="Times New Roman" w:hAnsi="Times New Roman"/>
          <w:sz w:val="20"/>
        </w:rPr>
        <w:t>4</w:t>
      </w:r>
      <w:r w:rsidR="001D5934" w:rsidRPr="009604B4">
        <w:rPr>
          <w:rFonts w:ascii="Times New Roman" w:hAnsi="Times New Roman"/>
          <w:sz w:val="20"/>
        </w:rPr>
        <w:t>)</w:t>
      </w:r>
      <w:r w:rsidR="00F75804" w:rsidRPr="009604B4">
        <w:rPr>
          <w:rFonts w:ascii="Times New Roman" w:hAnsi="Times New Roman"/>
          <w:sz w:val="20"/>
        </w:rPr>
        <w:t xml:space="preserve"> of the Convention;</w:t>
      </w:r>
    </w:p>
    <w:p w14:paraId="5FA343E9" w14:textId="74A1E8D9" w:rsidR="00D42D3D" w:rsidRPr="009604B4" w:rsidRDefault="0060705A" w:rsidP="00EE6602">
      <w:pPr>
        <w:numPr>
          <w:ilvl w:val="1"/>
          <w:numId w:val="2"/>
        </w:numPr>
        <w:tabs>
          <w:tab w:val="left" w:pos="1134"/>
          <w:tab w:val="left" w:pos="1800"/>
        </w:tabs>
        <w:suppressAutoHyphens/>
        <w:spacing w:after="120" w:line="240" w:lineRule="atLeast"/>
        <w:ind w:left="1134" w:right="1134" w:firstLine="0"/>
        <w:jc w:val="both"/>
        <w:rPr>
          <w:rFonts w:ascii="Times New Roman" w:hAnsi="Times New Roman"/>
          <w:sz w:val="20"/>
        </w:rPr>
      </w:pPr>
      <w:r w:rsidRPr="009604B4">
        <w:rPr>
          <w:rFonts w:ascii="Times New Roman" w:hAnsi="Times New Roman"/>
          <w:sz w:val="20"/>
        </w:rPr>
        <w:t xml:space="preserve">The obligation in article 7 </w:t>
      </w:r>
      <w:r w:rsidR="004A4FDA" w:rsidRPr="009604B4">
        <w:rPr>
          <w:rFonts w:ascii="Times New Roman" w:hAnsi="Times New Roman"/>
          <w:sz w:val="20"/>
        </w:rPr>
        <w:t xml:space="preserve">to </w:t>
      </w:r>
      <w:r w:rsidR="00562A3B" w:rsidRPr="009604B4">
        <w:rPr>
          <w:rFonts w:ascii="Times New Roman" w:hAnsi="Times New Roman"/>
          <w:sz w:val="20"/>
        </w:rPr>
        <w:t xml:space="preserve">ensure </w:t>
      </w:r>
      <w:r w:rsidR="000F7DFA" w:rsidRPr="009604B4">
        <w:rPr>
          <w:rFonts w:ascii="Times New Roman" w:hAnsi="Times New Roman"/>
          <w:sz w:val="20"/>
        </w:rPr>
        <w:t>“</w:t>
      </w:r>
      <w:r w:rsidR="00562A3B" w:rsidRPr="009604B4">
        <w:rPr>
          <w:rFonts w:ascii="Times New Roman" w:hAnsi="Times New Roman"/>
          <w:sz w:val="20"/>
        </w:rPr>
        <w:t xml:space="preserve">a transparent and fair framework, having provided </w:t>
      </w:r>
      <w:r w:rsidRPr="009604B4">
        <w:rPr>
          <w:rFonts w:ascii="Times New Roman" w:hAnsi="Times New Roman"/>
          <w:sz w:val="20"/>
        </w:rPr>
        <w:t xml:space="preserve">the </w:t>
      </w:r>
      <w:r w:rsidR="000F7DFA" w:rsidRPr="009604B4">
        <w:rPr>
          <w:rFonts w:ascii="Times New Roman" w:hAnsi="Times New Roman"/>
          <w:sz w:val="20"/>
        </w:rPr>
        <w:t>necessary information</w:t>
      </w:r>
      <w:r w:rsidR="00562A3B" w:rsidRPr="009604B4">
        <w:rPr>
          <w:rFonts w:ascii="Times New Roman" w:hAnsi="Times New Roman"/>
          <w:sz w:val="20"/>
        </w:rPr>
        <w:t xml:space="preserve"> to the public</w:t>
      </w:r>
      <w:r w:rsidR="00222CF7" w:rsidRPr="009604B4">
        <w:rPr>
          <w:rFonts w:ascii="Times New Roman" w:eastAsia="Times New Roman" w:hAnsi="Times New Roman" w:cs="Times New Roman"/>
          <w:sz w:val="20"/>
          <w:szCs w:val="20"/>
        </w:rPr>
        <w:t>”.</w:t>
      </w:r>
      <w:r w:rsidR="00222CF7" w:rsidRPr="009604B4">
        <w:rPr>
          <w:rFonts w:ascii="Times New Roman" w:hAnsi="Times New Roman"/>
          <w:sz w:val="20"/>
        </w:rPr>
        <w:t xml:space="preserve"> </w:t>
      </w:r>
    </w:p>
    <w:p w14:paraId="01A74A6C" w14:textId="77777777" w:rsidR="000F7DFA" w:rsidRPr="009604B4" w:rsidRDefault="000F7DFA" w:rsidP="005D584F">
      <w:pPr>
        <w:tabs>
          <w:tab w:val="left" w:pos="1134"/>
        </w:tabs>
        <w:autoSpaceDE w:val="0"/>
        <w:autoSpaceDN w:val="0"/>
        <w:adjustRightInd w:val="0"/>
        <w:spacing w:after="0" w:line="240" w:lineRule="auto"/>
        <w:ind w:left="567" w:right="1134"/>
        <w:jc w:val="both"/>
        <w:rPr>
          <w:rFonts w:ascii="Times New Roman" w:hAnsi="Times New Roman" w:cs="Times New Roman"/>
          <w:b/>
          <w:color w:val="000000"/>
          <w:sz w:val="20"/>
          <w:szCs w:val="20"/>
        </w:rPr>
      </w:pPr>
    </w:p>
    <w:p w14:paraId="1FA4CAF1" w14:textId="707A5B7A" w:rsidR="00E846D4" w:rsidRPr="009604B4" w:rsidRDefault="00E846D4" w:rsidP="00E846D4">
      <w:pPr>
        <w:tabs>
          <w:tab w:val="left" w:pos="1800"/>
        </w:tabs>
        <w:suppressAutoHyphens/>
        <w:spacing w:after="120" w:line="240" w:lineRule="atLeast"/>
        <w:ind w:left="540" w:right="1134"/>
        <w:jc w:val="both"/>
        <w:rPr>
          <w:rFonts w:ascii="Times New Roman" w:hAnsi="Times New Roman"/>
          <w:b/>
          <w:sz w:val="20"/>
        </w:rPr>
      </w:pPr>
      <w:bookmarkStart w:id="25" w:name="_Hlk518124788"/>
      <w:r w:rsidRPr="009604B4">
        <w:rPr>
          <w:rFonts w:ascii="Times New Roman" w:hAnsi="Times New Roman"/>
          <w:b/>
          <w:sz w:val="20"/>
        </w:rPr>
        <w:t>“Early public participation, when all options are open” under article 7 in conjunction with article 6</w:t>
      </w:r>
      <w:r w:rsidR="001D5934" w:rsidRPr="009604B4">
        <w:rPr>
          <w:rFonts w:ascii="Times New Roman" w:hAnsi="Times New Roman"/>
          <w:b/>
          <w:sz w:val="20"/>
        </w:rPr>
        <w:t>(</w:t>
      </w:r>
      <w:r w:rsidRPr="009604B4">
        <w:rPr>
          <w:rFonts w:ascii="Times New Roman" w:hAnsi="Times New Roman"/>
          <w:b/>
          <w:sz w:val="20"/>
        </w:rPr>
        <w:t>4</w:t>
      </w:r>
      <w:r w:rsidR="001D5934" w:rsidRPr="009604B4">
        <w:rPr>
          <w:rFonts w:ascii="Times New Roman" w:hAnsi="Times New Roman"/>
          <w:b/>
          <w:sz w:val="20"/>
        </w:rPr>
        <w:t>)</w:t>
      </w:r>
      <w:r w:rsidRPr="009604B4">
        <w:rPr>
          <w:rFonts w:ascii="Times New Roman" w:hAnsi="Times New Roman"/>
          <w:b/>
          <w:sz w:val="20"/>
        </w:rPr>
        <w:t xml:space="preserve"> of the Convention</w:t>
      </w:r>
    </w:p>
    <w:p w14:paraId="790B8D97" w14:textId="61597DA3" w:rsidR="00E846D4" w:rsidRPr="009604B4" w:rsidRDefault="00E846D4"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r w:rsidRPr="009604B4">
        <w:rPr>
          <w:rFonts w:ascii="Times New Roman" w:hAnsi="Times New Roman"/>
          <w:sz w:val="20"/>
        </w:rPr>
        <w:t xml:space="preserve">As the Committee found in its findings on communication ACCC/C/2007/22 (France): </w:t>
      </w:r>
    </w:p>
    <w:p w14:paraId="4B43D676" w14:textId="77777777" w:rsidR="00E846D4" w:rsidRPr="009604B4" w:rsidRDefault="00E846D4" w:rsidP="00B81AEB">
      <w:pPr>
        <w:tabs>
          <w:tab w:val="num" w:pos="540"/>
        </w:tabs>
        <w:suppressAutoHyphens/>
        <w:spacing w:after="120" w:line="240" w:lineRule="atLeast"/>
        <w:ind w:left="1440" w:right="1134"/>
        <w:jc w:val="both"/>
        <w:rPr>
          <w:rFonts w:ascii="Times New Roman" w:hAnsi="Times New Roman"/>
          <w:sz w:val="20"/>
        </w:rPr>
      </w:pPr>
      <w:r w:rsidRPr="009604B4">
        <w:rPr>
          <w:rFonts w:ascii="Times New Roman" w:hAnsi="Times New Roman"/>
          <w:sz w:val="20"/>
        </w:rPr>
        <w:t xml:space="preserve">“…from the viewpoint of compliance with article 6, paragraph 4, of the Convention, the decisive issue is whether “all options are open and effective participation can take place” at the stage of decision-making in question. This implies that when public participation is provided for, the permit authority must be neither formally nor informally prevented from fully turning down an application on substantive or procedural grounds. If the scope of the permitting authority is already limited due to earlier decisions, then the Party concerned </w:t>
      </w:r>
      <w:r w:rsidRPr="009604B4">
        <w:rPr>
          <w:rFonts w:ascii="Times New Roman" w:hAnsi="Times New Roman"/>
          <w:sz w:val="20"/>
        </w:rPr>
        <w:lastRenderedPageBreak/>
        <w:t>should have also ensured public participation during the earlier stages of decision-making.”</w:t>
      </w:r>
      <w:r w:rsidRPr="009604B4">
        <w:rPr>
          <w:rStyle w:val="FootnoteReference"/>
        </w:rPr>
        <w:footnoteReference w:id="119"/>
      </w:r>
      <w:r w:rsidRPr="009604B4">
        <w:rPr>
          <w:rFonts w:ascii="Times New Roman" w:hAnsi="Times New Roman"/>
          <w:sz w:val="20"/>
        </w:rPr>
        <w:t xml:space="preserve"> </w:t>
      </w:r>
    </w:p>
    <w:p w14:paraId="5D8F267C" w14:textId="1BE68CC1" w:rsidR="00E846D4" w:rsidRPr="004F2D82" w:rsidRDefault="00973FBB" w:rsidP="00FD13A4">
      <w:pPr>
        <w:numPr>
          <w:ilvl w:val="0"/>
          <w:numId w:val="2"/>
        </w:numPr>
        <w:tabs>
          <w:tab w:val="num" w:pos="540"/>
        </w:tabs>
        <w:suppressAutoHyphens/>
        <w:spacing w:after="120" w:line="240" w:lineRule="atLeast"/>
        <w:ind w:left="540" w:right="1134" w:firstLine="0"/>
        <w:jc w:val="both"/>
        <w:rPr>
          <w:rFonts w:ascii="Times New Roman" w:eastAsia="Times New Roman" w:hAnsi="Times New Roman" w:cs="Times New Roman"/>
          <w:sz w:val="20"/>
          <w:szCs w:val="20"/>
          <w:lang w:val="pl-PL" w:eastAsia="pl-PL"/>
        </w:rPr>
      </w:pPr>
      <w:r w:rsidRPr="009604B4">
        <w:rPr>
          <w:rFonts w:ascii="Times New Roman" w:hAnsi="Times New Roman"/>
          <w:sz w:val="20"/>
        </w:rPr>
        <w:t xml:space="preserve">In a tiered decision-making procedure, </w:t>
      </w:r>
      <w:r w:rsidR="00E846D4" w:rsidRPr="009604B4">
        <w:rPr>
          <w:rFonts w:ascii="Times New Roman" w:hAnsi="Times New Roman"/>
          <w:sz w:val="20"/>
        </w:rPr>
        <w:t xml:space="preserve">the requirement for “early public participation, </w:t>
      </w:r>
      <w:r w:rsidR="00E846D4" w:rsidRPr="004F2D82">
        <w:rPr>
          <w:rFonts w:ascii="Times New Roman" w:hAnsi="Times New Roman"/>
          <w:sz w:val="20"/>
        </w:rPr>
        <w:t xml:space="preserve">when all options are open” refers to the availability of options at a given stage of the decision-making. It neither requires that all options must be studied nor indicates which options/alternatives must be studied and at which stage – this is within the discretion of the </w:t>
      </w:r>
      <w:r w:rsidR="00FC01D3" w:rsidRPr="004F2D82">
        <w:rPr>
          <w:rFonts w:ascii="Times New Roman" w:hAnsi="Times New Roman"/>
          <w:sz w:val="20"/>
        </w:rPr>
        <w:t xml:space="preserve">competent </w:t>
      </w:r>
      <w:r w:rsidR="00E846D4" w:rsidRPr="004F2D82">
        <w:rPr>
          <w:rFonts w:ascii="Times New Roman" w:hAnsi="Times New Roman"/>
          <w:sz w:val="20"/>
        </w:rPr>
        <w:t xml:space="preserve">authorities. It merely precludes foreclosing any options without public participation. </w:t>
      </w:r>
      <w:bookmarkStart w:id="26" w:name="_Ref495078102"/>
      <w:r w:rsidR="00E846D4" w:rsidRPr="004F2D82">
        <w:rPr>
          <w:rFonts w:ascii="Times New Roman" w:hAnsi="Times New Roman"/>
          <w:sz w:val="20"/>
        </w:rPr>
        <w:t>Nothing in article 6</w:t>
      </w:r>
      <w:r w:rsidR="00BF6313" w:rsidRPr="004F2D82">
        <w:rPr>
          <w:rFonts w:ascii="Times New Roman" w:hAnsi="Times New Roman"/>
          <w:sz w:val="20"/>
        </w:rPr>
        <w:t>(</w:t>
      </w:r>
      <w:r w:rsidR="00E846D4" w:rsidRPr="004F2D82">
        <w:rPr>
          <w:rFonts w:ascii="Times New Roman" w:hAnsi="Times New Roman"/>
          <w:sz w:val="20"/>
        </w:rPr>
        <w:t>4</w:t>
      </w:r>
      <w:r w:rsidR="00BF6313" w:rsidRPr="004F2D82">
        <w:rPr>
          <w:rFonts w:ascii="Times New Roman" w:hAnsi="Times New Roman"/>
          <w:sz w:val="20"/>
        </w:rPr>
        <w:t>)</w:t>
      </w:r>
      <w:r w:rsidR="00E846D4" w:rsidRPr="004F2D82">
        <w:rPr>
          <w:rFonts w:ascii="Times New Roman" w:hAnsi="Times New Roman"/>
          <w:sz w:val="20"/>
        </w:rPr>
        <w:t xml:space="preserve"> precludes the right of </w:t>
      </w:r>
      <w:r w:rsidR="00FC01D3" w:rsidRPr="004F2D82">
        <w:rPr>
          <w:rFonts w:ascii="Times New Roman" w:hAnsi="Times New Roman"/>
          <w:sz w:val="20"/>
        </w:rPr>
        <w:t xml:space="preserve">the competent </w:t>
      </w:r>
      <w:r w:rsidR="00E846D4" w:rsidRPr="004F2D82">
        <w:rPr>
          <w:rFonts w:ascii="Times New Roman" w:hAnsi="Times New Roman"/>
          <w:sz w:val="20"/>
        </w:rPr>
        <w:t>authorities</w:t>
      </w:r>
      <w:r w:rsidR="00F83D77" w:rsidRPr="004F2D82">
        <w:rPr>
          <w:rFonts w:ascii="Times New Roman" w:hAnsi="Times New Roman"/>
          <w:sz w:val="20"/>
        </w:rPr>
        <w:t xml:space="preserve"> in the context of article 7 (or in the case of article 6, of project proponents)</w:t>
      </w:r>
      <w:r w:rsidR="00E846D4" w:rsidRPr="004F2D82">
        <w:rPr>
          <w:rFonts w:ascii="Times New Roman" w:hAnsi="Times New Roman"/>
          <w:sz w:val="20"/>
        </w:rPr>
        <w:t xml:space="preserve"> to select their preferred option (or options) and promote it (</w:t>
      </w:r>
      <w:r w:rsidR="00BA4F6F" w:rsidRPr="004F2D82">
        <w:rPr>
          <w:rFonts w:ascii="Times New Roman" w:eastAsia="Times New Roman" w:hAnsi="Times New Roman" w:cs="Times New Roman"/>
          <w:sz w:val="20"/>
          <w:szCs w:val="20"/>
        </w:rPr>
        <w:t xml:space="preserve">or </w:t>
      </w:r>
      <w:r w:rsidR="00E846D4" w:rsidRPr="004F2D82">
        <w:rPr>
          <w:rFonts w:ascii="Times New Roman" w:hAnsi="Times New Roman"/>
          <w:sz w:val="20"/>
        </w:rPr>
        <w:t xml:space="preserve">them); nor does it require that all options studied by the </w:t>
      </w:r>
      <w:r w:rsidR="00FC01D3" w:rsidRPr="004F2D82">
        <w:rPr>
          <w:rFonts w:ascii="Times New Roman" w:hAnsi="Times New Roman"/>
          <w:sz w:val="20"/>
        </w:rPr>
        <w:t xml:space="preserve">competent </w:t>
      </w:r>
      <w:r w:rsidR="00E846D4" w:rsidRPr="004F2D82">
        <w:rPr>
          <w:rFonts w:ascii="Times New Roman" w:hAnsi="Times New Roman"/>
          <w:sz w:val="20"/>
        </w:rPr>
        <w:t>authorities, for example those considered in passing at an early exploratory stage, be presented to the public. However, it does imply that members of the public should be able in their comments to challenge the options put forward in the draft plan and to propose other options, including the zero option.</w:t>
      </w:r>
      <w:bookmarkEnd w:id="26"/>
      <w:r w:rsidR="00E846D4" w:rsidRPr="004F2D82">
        <w:rPr>
          <w:rFonts w:ascii="Times New Roman" w:hAnsi="Times New Roman"/>
          <w:sz w:val="20"/>
        </w:rPr>
        <w:t xml:space="preserve"> This has a bearing on </w:t>
      </w:r>
      <w:r w:rsidR="00E846D4" w:rsidRPr="004F2D82">
        <w:rPr>
          <w:rFonts w:ascii="Times New Roman" w:hAnsi="Times New Roman"/>
          <w:color w:val="000000"/>
          <w:sz w:val="20"/>
          <w:lang w:val="pl-PL"/>
        </w:rPr>
        <w:t xml:space="preserve">the obligation </w:t>
      </w:r>
      <w:r w:rsidR="00BA4F6F" w:rsidRPr="004F2D82">
        <w:rPr>
          <w:rFonts w:ascii="Times New Roman" w:eastAsia="Times New Roman" w:hAnsi="Times New Roman" w:cs="Times New Roman"/>
          <w:color w:val="000000"/>
          <w:sz w:val="20"/>
          <w:szCs w:val="20"/>
          <w:lang w:val="pl-PL" w:eastAsia="pl-PL"/>
        </w:rPr>
        <w:t>in</w:t>
      </w:r>
      <w:r w:rsidR="00BA4F6F" w:rsidRPr="004F2D82">
        <w:rPr>
          <w:rFonts w:ascii="Times New Roman" w:hAnsi="Times New Roman"/>
          <w:color w:val="000000"/>
          <w:sz w:val="20"/>
          <w:lang w:val="pl-PL"/>
        </w:rPr>
        <w:t xml:space="preserve"> </w:t>
      </w:r>
      <w:r w:rsidR="00E846D4" w:rsidRPr="004F2D82">
        <w:rPr>
          <w:rFonts w:ascii="Times New Roman" w:hAnsi="Times New Roman"/>
          <w:color w:val="000000"/>
          <w:sz w:val="20"/>
          <w:lang w:val="pl-PL"/>
        </w:rPr>
        <w:t>article 6</w:t>
      </w:r>
      <w:r w:rsidR="00BF6313" w:rsidRPr="004F2D82">
        <w:rPr>
          <w:rFonts w:ascii="Times New Roman" w:hAnsi="Times New Roman"/>
          <w:color w:val="000000"/>
          <w:sz w:val="20"/>
          <w:lang w:val="pl-PL"/>
        </w:rPr>
        <w:t xml:space="preserve">(8) </w:t>
      </w:r>
      <w:r w:rsidR="00E846D4" w:rsidRPr="004F2D82">
        <w:rPr>
          <w:rFonts w:ascii="Times New Roman" w:hAnsi="Times New Roman"/>
          <w:color w:val="000000"/>
          <w:sz w:val="20"/>
          <w:lang w:val="pl-PL"/>
        </w:rPr>
        <w:t>to take due account of the outcome of the public participation. This provision, seen in this context</w:t>
      </w:r>
      <w:r w:rsidR="00604DF4" w:rsidRPr="004F2D82">
        <w:rPr>
          <w:rFonts w:ascii="Times New Roman" w:eastAsia="Times New Roman" w:hAnsi="Times New Roman" w:cs="Times New Roman"/>
          <w:color w:val="000000"/>
          <w:sz w:val="20"/>
          <w:szCs w:val="20"/>
          <w:lang w:val="pl-PL" w:eastAsia="pl-PL"/>
        </w:rPr>
        <w:t>,</w:t>
      </w:r>
      <w:r w:rsidR="00E846D4" w:rsidRPr="004F2D82">
        <w:rPr>
          <w:rFonts w:ascii="Times New Roman" w:hAnsi="Times New Roman"/>
          <w:color w:val="000000"/>
          <w:sz w:val="20"/>
          <w:lang w:val="pl-PL"/>
        </w:rPr>
        <w:t xml:space="preserve"> requires the </w:t>
      </w:r>
      <w:r w:rsidR="00FC01D3" w:rsidRPr="004F2D82">
        <w:rPr>
          <w:rFonts w:ascii="Times New Roman" w:hAnsi="Times New Roman"/>
          <w:color w:val="000000"/>
          <w:sz w:val="20"/>
          <w:lang w:val="pl-PL"/>
        </w:rPr>
        <w:t xml:space="preserve">competent </w:t>
      </w:r>
      <w:r w:rsidR="00E846D4" w:rsidRPr="004F2D82">
        <w:rPr>
          <w:rFonts w:ascii="Times New Roman" w:hAnsi="Times New Roman"/>
          <w:color w:val="000000"/>
          <w:sz w:val="20"/>
          <w:lang w:val="pl-PL"/>
        </w:rPr>
        <w:t>authorities to consider the option or options suggested by the public and provide reasons for not accepting them.</w:t>
      </w:r>
    </w:p>
    <w:p w14:paraId="57C444FA" w14:textId="067A752F" w:rsidR="00E846D4" w:rsidRPr="004F2D82" w:rsidRDefault="00E846D4"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proofErr w:type="gramStart"/>
      <w:r w:rsidRPr="004F2D82">
        <w:rPr>
          <w:rFonts w:ascii="Times New Roman" w:hAnsi="Times New Roman"/>
          <w:sz w:val="20"/>
        </w:rPr>
        <w:t>In light of</w:t>
      </w:r>
      <w:proofErr w:type="gramEnd"/>
      <w:r w:rsidRPr="004F2D82">
        <w:rPr>
          <w:rFonts w:ascii="Times New Roman" w:hAnsi="Times New Roman"/>
          <w:sz w:val="20"/>
        </w:rPr>
        <w:t xml:space="preserve"> the previous paragraph, the Committee considers that it would not meet the requirements of article 6</w:t>
      </w:r>
      <w:r w:rsidR="001D5934" w:rsidRPr="004F2D82">
        <w:rPr>
          <w:rFonts w:ascii="Times New Roman" w:hAnsi="Times New Roman"/>
          <w:sz w:val="20"/>
        </w:rPr>
        <w:t>(</w:t>
      </w:r>
      <w:r w:rsidRPr="004F2D82">
        <w:rPr>
          <w:rFonts w:ascii="Times New Roman" w:hAnsi="Times New Roman"/>
          <w:sz w:val="20"/>
        </w:rPr>
        <w:t>4</w:t>
      </w:r>
      <w:r w:rsidR="001D5934" w:rsidRPr="004F2D82">
        <w:rPr>
          <w:rFonts w:ascii="Times New Roman" w:hAnsi="Times New Roman"/>
          <w:sz w:val="20"/>
        </w:rPr>
        <w:t>)</w:t>
      </w:r>
      <w:r w:rsidRPr="004F2D82">
        <w:rPr>
          <w:rFonts w:ascii="Times New Roman" w:hAnsi="Times New Roman"/>
          <w:sz w:val="20"/>
        </w:rPr>
        <w:t xml:space="preserve"> of the Convention if options were de jure and de facto still open but this was in no way apparent to members of the public participating in the decision-making procedure. The Committee does not, however, consider that this was the case in the public consultation on the DNS. </w:t>
      </w:r>
      <w:r w:rsidR="000F3DC4" w:rsidRPr="004F2D82">
        <w:rPr>
          <w:rFonts w:ascii="Times New Roman" w:hAnsi="Times New Roman"/>
          <w:sz w:val="20"/>
        </w:rPr>
        <w:t xml:space="preserve">The communicant alleges that the public participation documents presented the choice of the “Y” route as accepted fact and that the </w:t>
      </w:r>
      <w:r w:rsidR="00F83D77" w:rsidRPr="004F2D82">
        <w:rPr>
          <w:rFonts w:ascii="Times New Roman" w:hAnsi="Times New Roman"/>
          <w:sz w:val="20"/>
        </w:rPr>
        <w:t xml:space="preserve">consultation </w:t>
      </w:r>
      <w:r w:rsidR="000F3DC4" w:rsidRPr="004F2D82">
        <w:rPr>
          <w:rFonts w:ascii="Times New Roman" w:hAnsi="Times New Roman"/>
          <w:sz w:val="20"/>
        </w:rPr>
        <w:t>questions did not enquire as to the different options considered (see paras.</w:t>
      </w:r>
      <w:r w:rsidR="00210E37" w:rsidRPr="004F2D82">
        <w:rPr>
          <w:rFonts w:ascii="Times New Roman" w:hAnsi="Times New Roman"/>
          <w:sz w:val="20"/>
        </w:rPr>
        <w:t xml:space="preserve"> </w:t>
      </w:r>
      <w:r w:rsidR="00210E37" w:rsidRPr="004F2D82">
        <w:rPr>
          <w:rFonts w:ascii="Times New Roman" w:eastAsia="Times New Roman" w:hAnsi="Times New Roman" w:cs="Times New Roman"/>
          <w:sz w:val="20"/>
          <w:szCs w:val="20"/>
        </w:rPr>
        <w:fldChar w:fldCharType="begin"/>
      </w:r>
      <w:r w:rsidR="00210E37" w:rsidRPr="004F2D82">
        <w:rPr>
          <w:rFonts w:ascii="Times New Roman" w:eastAsia="Times New Roman" w:hAnsi="Times New Roman" w:cs="Times New Roman"/>
          <w:sz w:val="20"/>
          <w:szCs w:val="20"/>
        </w:rPr>
        <w:instrText xml:space="preserve"> REF _Ref495327519 \r \h </w:instrText>
      </w:r>
      <w:r w:rsidR="0015524A" w:rsidRPr="004F2D82">
        <w:rPr>
          <w:rFonts w:ascii="Times New Roman" w:eastAsia="Times New Roman" w:hAnsi="Times New Roman" w:cs="Times New Roman"/>
          <w:sz w:val="20"/>
          <w:szCs w:val="20"/>
        </w:rPr>
        <w:instrText xml:space="preserve"> \* MERGEFORMAT </w:instrText>
      </w:r>
      <w:r w:rsidR="00210E37" w:rsidRPr="004F2D82">
        <w:rPr>
          <w:rFonts w:ascii="Times New Roman" w:eastAsia="Times New Roman" w:hAnsi="Times New Roman" w:cs="Times New Roman"/>
          <w:sz w:val="20"/>
          <w:szCs w:val="20"/>
        </w:rPr>
      </w:r>
      <w:r w:rsidR="00210E37"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57</w:t>
      </w:r>
      <w:r w:rsidR="00210E37" w:rsidRPr="004F2D82">
        <w:rPr>
          <w:rFonts w:ascii="Times New Roman" w:eastAsia="Times New Roman" w:hAnsi="Times New Roman" w:cs="Times New Roman"/>
          <w:sz w:val="20"/>
          <w:szCs w:val="20"/>
        </w:rPr>
        <w:fldChar w:fldCharType="end"/>
      </w:r>
      <w:r w:rsidR="00210E37" w:rsidRPr="004F2D82">
        <w:rPr>
          <w:rFonts w:ascii="Times New Roman" w:eastAsia="Times New Roman" w:hAnsi="Times New Roman" w:cs="Times New Roman"/>
          <w:sz w:val="20"/>
          <w:szCs w:val="20"/>
        </w:rPr>
        <w:t>-</w:t>
      </w:r>
      <w:r w:rsidR="00210E37" w:rsidRPr="004F2D82">
        <w:rPr>
          <w:rFonts w:ascii="Times New Roman" w:eastAsia="Times New Roman" w:hAnsi="Times New Roman" w:cs="Times New Roman"/>
          <w:sz w:val="20"/>
          <w:szCs w:val="20"/>
        </w:rPr>
        <w:fldChar w:fldCharType="begin"/>
      </w:r>
      <w:r w:rsidR="00210E37" w:rsidRPr="004F2D82">
        <w:rPr>
          <w:rFonts w:ascii="Times New Roman" w:eastAsia="Times New Roman" w:hAnsi="Times New Roman" w:cs="Times New Roman"/>
          <w:sz w:val="20"/>
          <w:szCs w:val="20"/>
        </w:rPr>
        <w:instrText xml:space="preserve"> REF _Ref495327520 \r \h </w:instrText>
      </w:r>
      <w:r w:rsidR="0015524A" w:rsidRPr="004F2D82">
        <w:rPr>
          <w:rFonts w:ascii="Times New Roman" w:eastAsia="Times New Roman" w:hAnsi="Times New Roman" w:cs="Times New Roman"/>
          <w:sz w:val="20"/>
          <w:szCs w:val="20"/>
        </w:rPr>
        <w:instrText xml:space="preserve"> \* MERGEFORMAT </w:instrText>
      </w:r>
      <w:r w:rsidR="00210E37" w:rsidRPr="004F2D82">
        <w:rPr>
          <w:rFonts w:ascii="Times New Roman" w:eastAsia="Times New Roman" w:hAnsi="Times New Roman" w:cs="Times New Roman"/>
          <w:sz w:val="20"/>
          <w:szCs w:val="20"/>
        </w:rPr>
      </w:r>
      <w:r w:rsidR="00210E37"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58</w:t>
      </w:r>
      <w:r w:rsidR="00210E37" w:rsidRPr="004F2D82">
        <w:rPr>
          <w:rFonts w:ascii="Times New Roman" w:eastAsia="Times New Roman" w:hAnsi="Times New Roman" w:cs="Times New Roman"/>
          <w:sz w:val="20"/>
          <w:szCs w:val="20"/>
        </w:rPr>
        <w:fldChar w:fldCharType="end"/>
      </w:r>
      <w:r w:rsidR="00210E37" w:rsidRPr="004F2D82" w:rsidDel="00210E37">
        <w:rPr>
          <w:rFonts w:ascii="Times New Roman" w:eastAsia="Times New Roman" w:hAnsi="Times New Roman" w:cs="Times New Roman"/>
          <w:sz w:val="20"/>
          <w:szCs w:val="20"/>
        </w:rPr>
        <w:t xml:space="preserve"> </w:t>
      </w:r>
      <w:r w:rsidR="000F3DC4" w:rsidRPr="004F2D82">
        <w:rPr>
          <w:rFonts w:ascii="Times New Roman" w:eastAsia="Times New Roman" w:hAnsi="Times New Roman" w:cs="Times New Roman"/>
          <w:sz w:val="20"/>
          <w:szCs w:val="20"/>
        </w:rPr>
        <w:t xml:space="preserve"> above).</w:t>
      </w:r>
      <w:r w:rsidR="000F3DC4" w:rsidRPr="004F2D82">
        <w:rPr>
          <w:rFonts w:ascii="Times New Roman" w:hAnsi="Times New Roman"/>
          <w:sz w:val="20"/>
        </w:rPr>
        <w:t xml:space="preserve"> The Committee does not agree. </w:t>
      </w:r>
      <w:r w:rsidRPr="004F2D82">
        <w:rPr>
          <w:rFonts w:ascii="Times New Roman" w:hAnsi="Times New Roman"/>
          <w:sz w:val="20"/>
        </w:rPr>
        <w:t>While the Party concerned did promote its preferred option in the consultation documents (see chapter 4 of the 2010 Command Paper</w:t>
      </w:r>
      <w:r w:rsidRPr="004F2D82">
        <w:rPr>
          <w:rStyle w:val="FootnoteReference"/>
        </w:rPr>
        <w:footnoteReference w:id="120"/>
      </w:r>
      <w:r w:rsidRPr="004F2D82">
        <w:rPr>
          <w:rFonts w:ascii="Times New Roman" w:hAnsi="Times New Roman"/>
          <w:sz w:val="20"/>
        </w:rPr>
        <w:t xml:space="preserve"> and chapter 5 to the Consultation Document</w:t>
      </w:r>
      <w:r w:rsidRPr="004F2D82">
        <w:rPr>
          <w:rStyle w:val="FootnoteReference"/>
        </w:rPr>
        <w:footnoteReference w:id="121"/>
      </w:r>
      <w:r w:rsidRPr="004F2D82">
        <w:rPr>
          <w:rFonts w:ascii="Times New Roman" w:hAnsi="Times New Roman"/>
          <w:sz w:val="20"/>
        </w:rPr>
        <w:t>), the Committee does not consider that there is any evidence before it that members of the public could not propose other options, including the zero option. Rather, the consultation questions enquired whether the public agreed that the</w:t>
      </w:r>
      <w:r w:rsidR="00DA6C37" w:rsidRPr="004F2D82">
        <w:rPr>
          <w:rFonts w:ascii="Times New Roman" w:hAnsi="Times New Roman"/>
          <w:sz w:val="20"/>
        </w:rPr>
        <w:t xml:space="preserve"> </w:t>
      </w:r>
      <w:r w:rsidR="00DA6C37" w:rsidRPr="004F2D82">
        <w:rPr>
          <w:rFonts w:ascii="Times New Roman" w:eastAsia="Times New Roman" w:hAnsi="Times New Roman" w:cs="Times New Roman"/>
          <w:sz w:val="20"/>
          <w:szCs w:val="20"/>
        </w:rPr>
        <w:t>“</w:t>
      </w:r>
      <w:r w:rsidR="00DA6C37" w:rsidRPr="004F2D82">
        <w:rPr>
          <w:rFonts w:ascii="Times New Roman" w:hAnsi="Times New Roman"/>
          <w:sz w:val="20"/>
        </w:rPr>
        <w:t>Y</w:t>
      </w:r>
      <w:r w:rsidR="00DA6C37" w:rsidRPr="004F2D82">
        <w:rPr>
          <w:rFonts w:ascii="Times New Roman" w:eastAsia="Times New Roman" w:hAnsi="Times New Roman" w:cs="Times New Roman"/>
          <w:sz w:val="20"/>
          <w:szCs w:val="20"/>
        </w:rPr>
        <w:t>”</w:t>
      </w:r>
      <w:r w:rsidR="00DA6C37" w:rsidRPr="004F2D82">
        <w:rPr>
          <w:rFonts w:ascii="Times New Roman" w:hAnsi="Times New Roman"/>
          <w:sz w:val="20"/>
        </w:rPr>
        <w:t xml:space="preserve"> </w:t>
      </w:r>
      <w:r w:rsidRPr="004F2D82">
        <w:rPr>
          <w:rFonts w:ascii="Times New Roman" w:hAnsi="Times New Roman"/>
          <w:sz w:val="20"/>
        </w:rPr>
        <w:t>network was the best option (</w:t>
      </w:r>
      <w:r w:rsidR="00307821" w:rsidRPr="004F2D82">
        <w:rPr>
          <w:rFonts w:ascii="Times New Roman" w:eastAsia="Times New Roman" w:hAnsi="Times New Roman" w:cs="Times New Roman"/>
          <w:sz w:val="20"/>
          <w:szCs w:val="20"/>
        </w:rPr>
        <w:t>see, for example,</w:t>
      </w:r>
      <w:r w:rsidR="000F3DC4" w:rsidRPr="004F2D82">
        <w:rPr>
          <w:rFonts w:ascii="Times New Roman" w:hAnsi="Times New Roman"/>
          <w:sz w:val="20"/>
        </w:rPr>
        <w:t xml:space="preserve"> </w:t>
      </w:r>
      <w:r w:rsidRPr="004F2D82">
        <w:rPr>
          <w:rFonts w:ascii="Times New Roman" w:hAnsi="Times New Roman"/>
          <w:sz w:val="20"/>
        </w:rPr>
        <w:t>questions 2 and 5</w:t>
      </w:r>
      <w:r w:rsidR="00307821" w:rsidRPr="004F2D82">
        <w:rPr>
          <w:rFonts w:ascii="Times New Roman" w:eastAsia="Times New Roman" w:hAnsi="Times New Roman" w:cs="Times New Roman"/>
          <w:sz w:val="20"/>
          <w:szCs w:val="20"/>
        </w:rPr>
        <w:t xml:space="preserve"> in para. </w:t>
      </w:r>
      <w:r w:rsidR="00307821" w:rsidRPr="004F2D82">
        <w:rPr>
          <w:rFonts w:ascii="Times New Roman" w:eastAsia="Times New Roman" w:hAnsi="Times New Roman" w:cs="Times New Roman"/>
          <w:sz w:val="20"/>
          <w:szCs w:val="20"/>
        </w:rPr>
        <w:fldChar w:fldCharType="begin"/>
      </w:r>
      <w:r w:rsidR="00307821" w:rsidRPr="004F2D82">
        <w:rPr>
          <w:rFonts w:ascii="Times New Roman" w:eastAsia="Times New Roman" w:hAnsi="Times New Roman" w:cs="Times New Roman"/>
          <w:sz w:val="20"/>
          <w:szCs w:val="20"/>
        </w:rPr>
        <w:instrText xml:space="preserve"> REF _Ref518380324 \r \h </w:instrText>
      </w:r>
      <w:r w:rsidR="009604B4" w:rsidRPr="004F2D82">
        <w:rPr>
          <w:rFonts w:ascii="Times New Roman" w:eastAsia="Times New Roman" w:hAnsi="Times New Roman" w:cs="Times New Roman"/>
          <w:sz w:val="20"/>
          <w:szCs w:val="20"/>
        </w:rPr>
        <w:instrText xml:space="preserve"> \* MERGEFORMAT </w:instrText>
      </w:r>
      <w:r w:rsidR="00307821" w:rsidRPr="004F2D82">
        <w:rPr>
          <w:rFonts w:ascii="Times New Roman" w:eastAsia="Times New Roman" w:hAnsi="Times New Roman" w:cs="Times New Roman"/>
          <w:sz w:val="20"/>
          <w:szCs w:val="20"/>
        </w:rPr>
      </w:r>
      <w:r w:rsidR="00307821"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30</w:t>
      </w:r>
      <w:r w:rsidR="00307821" w:rsidRPr="004F2D82">
        <w:rPr>
          <w:rFonts w:ascii="Times New Roman" w:eastAsia="Times New Roman" w:hAnsi="Times New Roman" w:cs="Times New Roman"/>
          <w:sz w:val="20"/>
          <w:szCs w:val="20"/>
        </w:rPr>
        <w:fldChar w:fldCharType="end"/>
      </w:r>
      <w:r w:rsidR="00307821" w:rsidRPr="004F2D82">
        <w:rPr>
          <w:rFonts w:ascii="Times New Roman" w:eastAsia="Times New Roman" w:hAnsi="Times New Roman" w:cs="Times New Roman"/>
          <w:sz w:val="20"/>
          <w:szCs w:val="20"/>
        </w:rPr>
        <w:t xml:space="preserve"> above</w:t>
      </w:r>
      <w:r w:rsidRPr="004F2D82">
        <w:rPr>
          <w:rFonts w:ascii="Times New Roman" w:eastAsia="Times New Roman" w:hAnsi="Times New Roman" w:cs="Times New Roman"/>
          <w:sz w:val="20"/>
          <w:szCs w:val="20"/>
        </w:rPr>
        <w:t>).</w:t>
      </w:r>
    </w:p>
    <w:p w14:paraId="1F97142C" w14:textId="3BBAFDA4" w:rsidR="00E846D4" w:rsidRPr="004F2D82" w:rsidRDefault="00E846D4"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r w:rsidRPr="004F2D82">
        <w:rPr>
          <w:rFonts w:ascii="Times New Roman" w:hAnsi="Times New Roman"/>
          <w:sz w:val="20"/>
        </w:rPr>
        <w:t>Based on the above, the Committee concludes that the communicant’s allegation that the Party concerned failed to comply with article 7 in conjunction with article 6</w:t>
      </w:r>
      <w:r w:rsidR="001D5934" w:rsidRPr="004F2D82">
        <w:rPr>
          <w:rFonts w:ascii="Times New Roman" w:hAnsi="Times New Roman"/>
          <w:sz w:val="20"/>
        </w:rPr>
        <w:t>(</w:t>
      </w:r>
      <w:r w:rsidRPr="004F2D82">
        <w:rPr>
          <w:rFonts w:ascii="Times New Roman" w:hAnsi="Times New Roman"/>
          <w:sz w:val="20"/>
        </w:rPr>
        <w:t>4</w:t>
      </w:r>
      <w:r w:rsidR="001D5934" w:rsidRPr="004F2D82">
        <w:rPr>
          <w:rFonts w:ascii="Times New Roman" w:hAnsi="Times New Roman"/>
          <w:sz w:val="20"/>
        </w:rPr>
        <w:t>)</w:t>
      </w:r>
      <w:r w:rsidRPr="004F2D82">
        <w:rPr>
          <w:rFonts w:ascii="Times New Roman" w:hAnsi="Times New Roman"/>
          <w:sz w:val="20"/>
        </w:rPr>
        <w:t xml:space="preserve"> of the Convention by not providing for public participation when all options were open is not substantiated. Accordingly, the Committee finds that the Party concerned has not failed to comply with article 7 in conjunction with article 6</w:t>
      </w:r>
      <w:r w:rsidR="001D5934" w:rsidRPr="004F2D82">
        <w:rPr>
          <w:rFonts w:ascii="Times New Roman" w:hAnsi="Times New Roman"/>
          <w:sz w:val="20"/>
        </w:rPr>
        <w:t>(</w:t>
      </w:r>
      <w:r w:rsidRPr="004F2D82">
        <w:rPr>
          <w:rFonts w:ascii="Times New Roman" w:hAnsi="Times New Roman"/>
          <w:sz w:val="20"/>
        </w:rPr>
        <w:t>4</w:t>
      </w:r>
      <w:r w:rsidR="001D5934" w:rsidRPr="004F2D82">
        <w:rPr>
          <w:rFonts w:ascii="Times New Roman" w:hAnsi="Times New Roman"/>
          <w:sz w:val="20"/>
        </w:rPr>
        <w:t>)</w:t>
      </w:r>
      <w:r w:rsidRPr="004F2D82">
        <w:rPr>
          <w:rFonts w:ascii="Times New Roman" w:hAnsi="Times New Roman"/>
          <w:sz w:val="20"/>
        </w:rPr>
        <w:t xml:space="preserve"> in the circumstances of this case.</w:t>
      </w:r>
    </w:p>
    <w:bookmarkEnd w:id="25"/>
    <w:p w14:paraId="6F590EF7" w14:textId="77777777" w:rsidR="00222BE5" w:rsidRPr="004F2D82" w:rsidRDefault="00222BE5" w:rsidP="00B81AEB">
      <w:pPr>
        <w:tabs>
          <w:tab w:val="num" w:pos="540"/>
        </w:tabs>
        <w:suppressAutoHyphens/>
        <w:spacing w:after="120" w:line="240" w:lineRule="atLeast"/>
        <w:ind w:left="540" w:right="1134"/>
        <w:jc w:val="both"/>
        <w:rPr>
          <w:rFonts w:ascii="Times New Roman" w:hAnsi="Times New Roman"/>
          <w:sz w:val="20"/>
        </w:rPr>
      </w:pPr>
    </w:p>
    <w:p w14:paraId="6A5733C9" w14:textId="12906FD8" w:rsidR="00012045" w:rsidRPr="004F2D82" w:rsidRDefault="009B52A9" w:rsidP="00B81AEB">
      <w:pPr>
        <w:tabs>
          <w:tab w:val="num" w:pos="540"/>
        </w:tabs>
        <w:suppressAutoHyphens/>
        <w:spacing w:after="120" w:line="240" w:lineRule="atLeast"/>
        <w:ind w:left="540" w:right="1134"/>
        <w:jc w:val="both"/>
        <w:rPr>
          <w:rFonts w:ascii="Times New Roman" w:hAnsi="Times New Roman"/>
          <w:sz w:val="20"/>
        </w:rPr>
      </w:pPr>
      <w:r w:rsidRPr="004F2D82">
        <w:rPr>
          <w:rFonts w:ascii="Times New Roman" w:hAnsi="Times New Roman"/>
          <w:b/>
          <w:sz w:val="20"/>
        </w:rPr>
        <w:t xml:space="preserve">Obligation to provide </w:t>
      </w:r>
      <w:r w:rsidR="004A4FDA" w:rsidRPr="004F2D82">
        <w:rPr>
          <w:rFonts w:ascii="Times New Roman" w:hAnsi="Times New Roman"/>
          <w:b/>
          <w:sz w:val="20"/>
        </w:rPr>
        <w:t>“</w:t>
      </w:r>
      <w:r w:rsidR="003C1A4A" w:rsidRPr="004F2D82">
        <w:rPr>
          <w:rFonts w:ascii="Times New Roman" w:hAnsi="Times New Roman"/>
          <w:b/>
          <w:sz w:val="20"/>
        </w:rPr>
        <w:t xml:space="preserve">the </w:t>
      </w:r>
      <w:r w:rsidR="004A4FDA" w:rsidRPr="004F2D82">
        <w:rPr>
          <w:rFonts w:ascii="Times New Roman" w:hAnsi="Times New Roman"/>
          <w:b/>
          <w:sz w:val="20"/>
        </w:rPr>
        <w:t>necessary information</w:t>
      </w:r>
      <w:r w:rsidR="00F128F2" w:rsidRPr="004F2D82">
        <w:rPr>
          <w:rFonts w:ascii="Times New Roman" w:eastAsia="Times New Roman" w:hAnsi="Times New Roman" w:cs="Times New Roman"/>
          <w:b/>
          <w:sz w:val="20"/>
          <w:szCs w:val="20"/>
        </w:rPr>
        <w:t xml:space="preserve"> to the public</w:t>
      </w:r>
      <w:r w:rsidR="004A4FDA" w:rsidRPr="004F2D82">
        <w:rPr>
          <w:rFonts w:ascii="Times New Roman" w:hAnsi="Times New Roman"/>
          <w:b/>
          <w:sz w:val="20"/>
        </w:rPr>
        <w:t xml:space="preserve">” </w:t>
      </w:r>
      <w:r w:rsidR="00807378" w:rsidRPr="004F2D82">
        <w:rPr>
          <w:rFonts w:ascii="Times New Roman" w:hAnsi="Times New Roman"/>
          <w:b/>
          <w:sz w:val="20"/>
        </w:rPr>
        <w:t xml:space="preserve">“within a transparent and fair framework” </w:t>
      </w:r>
      <w:r w:rsidR="004A4FDA" w:rsidRPr="004F2D82">
        <w:rPr>
          <w:rFonts w:ascii="Times New Roman" w:hAnsi="Times New Roman"/>
          <w:b/>
          <w:sz w:val="20"/>
        </w:rPr>
        <w:t>under art</w:t>
      </w:r>
      <w:r w:rsidR="007E0EDE" w:rsidRPr="004F2D82">
        <w:rPr>
          <w:rFonts w:ascii="Times New Roman" w:hAnsi="Times New Roman"/>
          <w:b/>
          <w:sz w:val="20"/>
        </w:rPr>
        <w:t>icle</w:t>
      </w:r>
      <w:r w:rsidR="004A4FDA" w:rsidRPr="004F2D82">
        <w:rPr>
          <w:rFonts w:ascii="Times New Roman" w:hAnsi="Times New Roman"/>
          <w:b/>
          <w:sz w:val="20"/>
        </w:rPr>
        <w:t xml:space="preserve"> 7</w:t>
      </w:r>
      <w:r w:rsidR="007E0EDE" w:rsidRPr="004F2D82">
        <w:rPr>
          <w:rFonts w:ascii="Times New Roman" w:hAnsi="Times New Roman"/>
          <w:b/>
          <w:sz w:val="20"/>
        </w:rPr>
        <w:t xml:space="preserve"> of the Convention</w:t>
      </w:r>
    </w:p>
    <w:p w14:paraId="1905B718" w14:textId="0F623118" w:rsidR="001D22FF" w:rsidRPr="004F2D82" w:rsidRDefault="00010E2E"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r w:rsidRPr="004F2D82">
        <w:rPr>
          <w:rFonts w:ascii="Times New Roman" w:hAnsi="Times New Roman"/>
          <w:sz w:val="20"/>
        </w:rPr>
        <w:t>A</w:t>
      </w:r>
      <w:r w:rsidR="00196490" w:rsidRPr="004F2D82">
        <w:rPr>
          <w:rFonts w:ascii="Times New Roman" w:hAnsi="Times New Roman"/>
          <w:sz w:val="20"/>
        </w:rPr>
        <w:t xml:space="preserve">rticle 7 of </w:t>
      </w:r>
      <w:r w:rsidR="002B2202" w:rsidRPr="004F2D82">
        <w:rPr>
          <w:rFonts w:ascii="Times New Roman" w:hAnsi="Times New Roman"/>
          <w:sz w:val="20"/>
        </w:rPr>
        <w:t>the</w:t>
      </w:r>
      <w:r w:rsidR="007257C9" w:rsidRPr="004F2D82">
        <w:rPr>
          <w:rFonts w:ascii="Times New Roman" w:hAnsi="Times New Roman"/>
          <w:sz w:val="20"/>
        </w:rPr>
        <w:t xml:space="preserve"> Convention </w:t>
      </w:r>
      <w:r w:rsidR="00A244F5" w:rsidRPr="004F2D82">
        <w:rPr>
          <w:rFonts w:ascii="Times New Roman" w:hAnsi="Times New Roman"/>
          <w:sz w:val="20"/>
        </w:rPr>
        <w:t>contains limited guidance</w:t>
      </w:r>
      <w:r w:rsidR="00196490" w:rsidRPr="004F2D82">
        <w:rPr>
          <w:rFonts w:ascii="Times New Roman" w:hAnsi="Times New Roman"/>
          <w:sz w:val="20"/>
        </w:rPr>
        <w:t xml:space="preserve"> o</w:t>
      </w:r>
      <w:r w:rsidR="001D22FF" w:rsidRPr="004F2D82">
        <w:rPr>
          <w:rFonts w:ascii="Times New Roman" w:hAnsi="Times New Roman"/>
          <w:sz w:val="20"/>
        </w:rPr>
        <w:t>n</w:t>
      </w:r>
      <w:r w:rsidR="00196490" w:rsidRPr="004F2D82">
        <w:rPr>
          <w:rFonts w:ascii="Times New Roman" w:hAnsi="Times New Roman"/>
          <w:sz w:val="20"/>
        </w:rPr>
        <w:t xml:space="preserve"> what constitutes </w:t>
      </w:r>
      <w:r w:rsidR="007257C9" w:rsidRPr="004F2D82">
        <w:rPr>
          <w:rFonts w:ascii="Times New Roman" w:hAnsi="Times New Roman"/>
          <w:sz w:val="20"/>
        </w:rPr>
        <w:t>“</w:t>
      </w:r>
      <w:r w:rsidR="003C1A4A" w:rsidRPr="004F2D82">
        <w:rPr>
          <w:rFonts w:ascii="Times New Roman" w:hAnsi="Times New Roman"/>
          <w:sz w:val="20"/>
        </w:rPr>
        <w:t xml:space="preserve">the </w:t>
      </w:r>
      <w:r w:rsidR="007257C9" w:rsidRPr="004F2D82">
        <w:rPr>
          <w:rFonts w:ascii="Times New Roman" w:hAnsi="Times New Roman"/>
          <w:sz w:val="20"/>
        </w:rPr>
        <w:t xml:space="preserve">necessary information” to be provided to the public </w:t>
      </w:r>
      <w:proofErr w:type="gramStart"/>
      <w:r w:rsidR="007257C9" w:rsidRPr="004F2D82">
        <w:rPr>
          <w:rFonts w:ascii="Times New Roman" w:hAnsi="Times New Roman"/>
          <w:sz w:val="20"/>
        </w:rPr>
        <w:t>for the purpose of</w:t>
      </w:r>
      <w:proofErr w:type="gramEnd"/>
      <w:r w:rsidR="007257C9" w:rsidRPr="004F2D82">
        <w:rPr>
          <w:rFonts w:ascii="Times New Roman" w:hAnsi="Times New Roman"/>
          <w:sz w:val="20"/>
        </w:rPr>
        <w:t xml:space="preserve"> </w:t>
      </w:r>
      <w:r w:rsidR="00196490" w:rsidRPr="004F2D82">
        <w:rPr>
          <w:rFonts w:ascii="Times New Roman" w:hAnsi="Times New Roman"/>
          <w:sz w:val="20"/>
        </w:rPr>
        <w:t xml:space="preserve">its </w:t>
      </w:r>
      <w:r w:rsidR="007257C9" w:rsidRPr="004F2D82">
        <w:rPr>
          <w:rFonts w:ascii="Times New Roman" w:hAnsi="Times New Roman"/>
          <w:sz w:val="20"/>
        </w:rPr>
        <w:t xml:space="preserve">participation in the preparation of plans and programmes. </w:t>
      </w:r>
    </w:p>
    <w:p w14:paraId="0537214A" w14:textId="2A4181E7" w:rsidR="001D22FF" w:rsidRPr="004F2D82" w:rsidRDefault="001D22FF"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r w:rsidRPr="004F2D82">
        <w:rPr>
          <w:rFonts w:ascii="Times New Roman" w:hAnsi="Times New Roman"/>
          <w:sz w:val="20"/>
        </w:rPr>
        <w:t>I</w:t>
      </w:r>
      <w:r w:rsidR="00A244F5" w:rsidRPr="004F2D82">
        <w:rPr>
          <w:rFonts w:ascii="Times New Roman" w:hAnsi="Times New Roman"/>
          <w:sz w:val="20"/>
        </w:rPr>
        <w:t xml:space="preserve">t is clear that “the necessary information” </w:t>
      </w:r>
      <w:r w:rsidRPr="004F2D82">
        <w:rPr>
          <w:rFonts w:ascii="Times New Roman" w:hAnsi="Times New Roman"/>
          <w:sz w:val="20"/>
        </w:rPr>
        <w:t xml:space="preserve">in article 7 </w:t>
      </w:r>
      <w:r w:rsidR="00A244F5" w:rsidRPr="004F2D82">
        <w:rPr>
          <w:rFonts w:ascii="Times New Roman" w:hAnsi="Times New Roman"/>
          <w:sz w:val="20"/>
        </w:rPr>
        <w:t xml:space="preserve">includes </w:t>
      </w:r>
      <w:r w:rsidRPr="004F2D82">
        <w:rPr>
          <w:rFonts w:ascii="Times New Roman" w:hAnsi="Times New Roman"/>
          <w:sz w:val="20"/>
        </w:rPr>
        <w:t xml:space="preserve">the notice requirements </w:t>
      </w:r>
      <w:r w:rsidR="00A244F5" w:rsidRPr="004F2D82">
        <w:rPr>
          <w:rFonts w:ascii="Times New Roman" w:hAnsi="Times New Roman"/>
          <w:sz w:val="20"/>
        </w:rPr>
        <w:t>in article 6</w:t>
      </w:r>
      <w:r w:rsidR="007255A3" w:rsidRPr="004F2D82">
        <w:rPr>
          <w:rFonts w:ascii="Times New Roman" w:hAnsi="Times New Roman"/>
          <w:sz w:val="20"/>
        </w:rPr>
        <w:t>(</w:t>
      </w:r>
      <w:r w:rsidR="00A244F5" w:rsidRPr="004F2D82">
        <w:rPr>
          <w:rFonts w:ascii="Times New Roman" w:hAnsi="Times New Roman"/>
          <w:sz w:val="20"/>
        </w:rPr>
        <w:t>2</w:t>
      </w:r>
      <w:r w:rsidR="007255A3" w:rsidRPr="004F2D82">
        <w:rPr>
          <w:rFonts w:ascii="Times New Roman" w:hAnsi="Times New Roman"/>
          <w:sz w:val="20"/>
        </w:rPr>
        <w:t>)</w:t>
      </w:r>
      <w:r w:rsidRPr="004F2D82">
        <w:rPr>
          <w:rFonts w:ascii="Times New Roman" w:hAnsi="Times New Roman"/>
          <w:sz w:val="20"/>
        </w:rPr>
        <w:t xml:space="preserve">. These requirements </w:t>
      </w:r>
      <w:r w:rsidR="00A244F5" w:rsidRPr="004F2D82">
        <w:rPr>
          <w:rFonts w:ascii="Times New Roman" w:hAnsi="Times New Roman"/>
          <w:sz w:val="20"/>
        </w:rPr>
        <w:t xml:space="preserve">are incorporated </w:t>
      </w:r>
      <w:proofErr w:type="gramStart"/>
      <w:r w:rsidR="00A244F5" w:rsidRPr="004F2D82">
        <w:rPr>
          <w:rFonts w:ascii="Times New Roman" w:hAnsi="Times New Roman"/>
          <w:sz w:val="20"/>
        </w:rPr>
        <w:t>by virtue of</w:t>
      </w:r>
      <w:proofErr w:type="gramEnd"/>
      <w:r w:rsidR="00A244F5" w:rsidRPr="004F2D82">
        <w:rPr>
          <w:rFonts w:ascii="Times New Roman" w:hAnsi="Times New Roman"/>
          <w:sz w:val="20"/>
        </w:rPr>
        <w:t xml:space="preserve"> the express reference </w:t>
      </w:r>
      <w:r w:rsidRPr="004F2D82">
        <w:rPr>
          <w:rFonts w:ascii="Times New Roman" w:hAnsi="Times New Roman"/>
          <w:sz w:val="20"/>
        </w:rPr>
        <w:t xml:space="preserve">in article 7 </w:t>
      </w:r>
      <w:r w:rsidR="00A244F5" w:rsidRPr="004F2D82">
        <w:rPr>
          <w:rFonts w:ascii="Times New Roman" w:hAnsi="Times New Roman"/>
          <w:sz w:val="20"/>
        </w:rPr>
        <w:t>to article 6</w:t>
      </w:r>
      <w:r w:rsidR="007255A3" w:rsidRPr="004F2D82">
        <w:rPr>
          <w:rFonts w:ascii="Times New Roman" w:hAnsi="Times New Roman"/>
          <w:sz w:val="20"/>
        </w:rPr>
        <w:t>(</w:t>
      </w:r>
      <w:r w:rsidR="00A244F5" w:rsidRPr="004F2D82">
        <w:rPr>
          <w:rFonts w:ascii="Times New Roman" w:hAnsi="Times New Roman"/>
          <w:sz w:val="20"/>
        </w:rPr>
        <w:t>3</w:t>
      </w:r>
      <w:r w:rsidR="007255A3" w:rsidRPr="004F2D82">
        <w:rPr>
          <w:rFonts w:ascii="Times New Roman" w:hAnsi="Times New Roman"/>
          <w:sz w:val="20"/>
        </w:rPr>
        <w:t>)</w:t>
      </w:r>
      <w:r w:rsidR="008B504D" w:rsidRPr="004F2D82">
        <w:rPr>
          <w:rFonts w:ascii="Times New Roman" w:hAnsi="Times New Roman"/>
          <w:sz w:val="20"/>
        </w:rPr>
        <w:t xml:space="preserve">, </w:t>
      </w:r>
      <w:r w:rsidR="00A244F5" w:rsidRPr="004F2D82">
        <w:rPr>
          <w:rFonts w:ascii="Times New Roman" w:hAnsi="Times New Roman"/>
          <w:sz w:val="20"/>
        </w:rPr>
        <w:t xml:space="preserve">which </w:t>
      </w:r>
      <w:r w:rsidR="00543CA3" w:rsidRPr="004F2D82">
        <w:rPr>
          <w:rFonts w:ascii="Times New Roman" w:hAnsi="Times New Roman"/>
          <w:sz w:val="20"/>
        </w:rPr>
        <w:t xml:space="preserve">in turn </w:t>
      </w:r>
      <w:r w:rsidRPr="004F2D82">
        <w:rPr>
          <w:rFonts w:ascii="Times New Roman" w:hAnsi="Times New Roman"/>
          <w:sz w:val="20"/>
        </w:rPr>
        <w:t>stipulates that</w:t>
      </w:r>
      <w:r w:rsidR="00A244F5" w:rsidRPr="004F2D82">
        <w:rPr>
          <w:rFonts w:ascii="Times New Roman" w:hAnsi="Times New Roman"/>
          <w:sz w:val="20"/>
        </w:rPr>
        <w:t xml:space="preserve"> notice </w:t>
      </w:r>
      <w:r w:rsidR="00543CA3" w:rsidRPr="004F2D82">
        <w:rPr>
          <w:rFonts w:ascii="Times New Roman" w:hAnsi="Times New Roman"/>
          <w:sz w:val="20"/>
        </w:rPr>
        <w:t xml:space="preserve">is </w:t>
      </w:r>
      <w:r w:rsidR="00A244F5" w:rsidRPr="004F2D82">
        <w:rPr>
          <w:rFonts w:ascii="Times New Roman" w:hAnsi="Times New Roman"/>
          <w:sz w:val="20"/>
        </w:rPr>
        <w:t xml:space="preserve">to be </w:t>
      </w:r>
      <w:r w:rsidR="00543CA3" w:rsidRPr="004F2D82">
        <w:rPr>
          <w:rFonts w:ascii="Times New Roman" w:hAnsi="Times New Roman"/>
          <w:sz w:val="20"/>
        </w:rPr>
        <w:t xml:space="preserve">carried </w:t>
      </w:r>
      <w:r w:rsidR="00A244F5" w:rsidRPr="004F2D82">
        <w:rPr>
          <w:rFonts w:ascii="Times New Roman" w:hAnsi="Times New Roman"/>
          <w:sz w:val="20"/>
        </w:rPr>
        <w:t>out in accordance with article 6</w:t>
      </w:r>
      <w:r w:rsidR="007255A3" w:rsidRPr="004F2D82">
        <w:rPr>
          <w:rFonts w:ascii="Times New Roman" w:hAnsi="Times New Roman"/>
          <w:sz w:val="20"/>
        </w:rPr>
        <w:t>(</w:t>
      </w:r>
      <w:r w:rsidR="00A244F5" w:rsidRPr="004F2D82">
        <w:rPr>
          <w:rFonts w:ascii="Times New Roman" w:hAnsi="Times New Roman"/>
          <w:sz w:val="20"/>
        </w:rPr>
        <w:t xml:space="preserve">2). </w:t>
      </w:r>
    </w:p>
    <w:p w14:paraId="0E261CC4" w14:textId="14D9173B" w:rsidR="00507A3C" w:rsidRPr="004F2D82" w:rsidRDefault="001D22FF"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r w:rsidRPr="004F2D82">
        <w:rPr>
          <w:rFonts w:ascii="Times New Roman" w:hAnsi="Times New Roman"/>
          <w:sz w:val="20"/>
        </w:rPr>
        <w:t>In contrast, the information requirements in a</w:t>
      </w:r>
      <w:r w:rsidR="0069734E" w:rsidRPr="004F2D82">
        <w:rPr>
          <w:rFonts w:ascii="Times New Roman" w:hAnsi="Times New Roman"/>
          <w:sz w:val="20"/>
        </w:rPr>
        <w:t>rticle 6</w:t>
      </w:r>
      <w:r w:rsidR="007255A3" w:rsidRPr="004F2D82">
        <w:rPr>
          <w:rFonts w:ascii="Times New Roman" w:hAnsi="Times New Roman"/>
          <w:sz w:val="20"/>
        </w:rPr>
        <w:t>(</w:t>
      </w:r>
      <w:r w:rsidR="00025EF0" w:rsidRPr="004F2D82">
        <w:rPr>
          <w:rFonts w:ascii="Times New Roman" w:hAnsi="Times New Roman"/>
          <w:sz w:val="20"/>
        </w:rPr>
        <w:t>6</w:t>
      </w:r>
      <w:r w:rsidR="007255A3" w:rsidRPr="004F2D82">
        <w:rPr>
          <w:rFonts w:ascii="Times New Roman" w:hAnsi="Times New Roman"/>
          <w:sz w:val="20"/>
        </w:rPr>
        <w:t>)</w:t>
      </w:r>
      <w:r w:rsidR="0069734E" w:rsidRPr="004F2D82">
        <w:rPr>
          <w:rFonts w:ascii="Times New Roman" w:hAnsi="Times New Roman"/>
          <w:sz w:val="20"/>
        </w:rPr>
        <w:t xml:space="preserve"> </w:t>
      </w:r>
      <w:r w:rsidRPr="004F2D82">
        <w:rPr>
          <w:rFonts w:ascii="Times New Roman" w:hAnsi="Times New Roman"/>
          <w:sz w:val="20"/>
        </w:rPr>
        <w:t>are</w:t>
      </w:r>
      <w:r w:rsidR="00A9131F" w:rsidRPr="004F2D82">
        <w:rPr>
          <w:rFonts w:ascii="Times New Roman" w:hAnsi="Times New Roman"/>
          <w:sz w:val="20"/>
        </w:rPr>
        <w:t xml:space="preserve"> not </w:t>
      </w:r>
      <w:r w:rsidR="007E0EDE" w:rsidRPr="004F2D82">
        <w:rPr>
          <w:rFonts w:ascii="Times New Roman" w:hAnsi="Times New Roman"/>
          <w:sz w:val="20"/>
        </w:rPr>
        <w:t>directly</w:t>
      </w:r>
      <w:r w:rsidR="006816D6" w:rsidRPr="004F2D82">
        <w:rPr>
          <w:rFonts w:ascii="Times New Roman" w:hAnsi="Times New Roman"/>
          <w:sz w:val="20"/>
        </w:rPr>
        <w:t xml:space="preserve"> </w:t>
      </w:r>
      <w:r w:rsidR="00A9131F" w:rsidRPr="004F2D82">
        <w:rPr>
          <w:rFonts w:ascii="Times New Roman" w:hAnsi="Times New Roman"/>
          <w:sz w:val="20"/>
        </w:rPr>
        <w:t>applicable to article 7 of the Convention</w:t>
      </w:r>
      <w:r w:rsidR="0069734E" w:rsidRPr="004F2D82">
        <w:rPr>
          <w:rFonts w:ascii="Times New Roman" w:hAnsi="Times New Roman"/>
          <w:sz w:val="20"/>
        </w:rPr>
        <w:t xml:space="preserve">. </w:t>
      </w:r>
      <w:r w:rsidRPr="004F2D82">
        <w:rPr>
          <w:rFonts w:ascii="Times New Roman" w:hAnsi="Times New Roman"/>
          <w:sz w:val="20"/>
        </w:rPr>
        <w:t xml:space="preserve">On this point, </w:t>
      </w:r>
      <w:r w:rsidR="00010E2E" w:rsidRPr="004F2D82">
        <w:rPr>
          <w:rFonts w:ascii="Times New Roman" w:hAnsi="Times New Roman"/>
          <w:sz w:val="20"/>
        </w:rPr>
        <w:t xml:space="preserve">it is </w:t>
      </w:r>
      <w:r w:rsidR="00C43E03" w:rsidRPr="004F2D82">
        <w:rPr>
          <w:rFonts w:ascii="Times New Roman" w:hAnsi="Times New Roman"/>
          <w:sz w:val="20"/>
        </w:rPr>
        <w:t>obvious</w:t>
      </w:r>
      <w:r w:rsidR="0015524A" w:rsidRPr="004F2D82">
        <w:rPr>
          <w:rFonts w:ascii="Times New Roman" w:hAnsi="Times New Roman"/>
          <w:sz w:val="20"/>
        </w:rPr>
        <w:t xml:space="preserve"> </w:t>
      </w:r>
      <w:r w:rsidR="005204FF" w:rsidRPr="004F2D82">
        <w:rPr>
          <w:rFonts w:ascii="Times New Roman" w:hAnsi="Times New Roman"/>
          <w:sz w:val="20"/>
        </w:rPr>
        <w:t>that</w:t>
      </w:r>
      <w:r w:rsidR="00211E21" w:rsidRPr="004F2D82">
        <w:rPr>
          <w:rFonts w:ascii="Times New Roman" w:hAnsi="Times New Roman"/>
          <w:sz w:val="20"/>
        </w:rPr>
        <w:t xml:space="preserve"> the information and documentation developed for the </w:t>
      </w:r>
      <w:r w:rsidR="00A9131F" w:rsidRPr="004F2D82">
        <w:rPr>
          <w:rFonts w:ascii="Times New Roman" w:hAnsi="Times New Roman"/>
          <w:sz w:val="20"/>
        </w:rPr>
        <w:t>preparation</w:t>
      </w:r>
      <w:r w:rsidR="00211E21" w:rsidRPr="004F2D82">
        <w:rPr>
          <w:rFonts w:ascii="Times New Roman" w:hAnsi="Times New Roman"/>
          <w:sz w:val="20"/>
        </w:rPr>
        <w:t xml:space="preserve"> of plan</w:t>
      </w:r>
      <w:r w:rsidR="00A9131F" w:rsidRPr="004F2D82">
        <w:rPr>
          <w:rFonts w:ascii="Times New Roman" w:hAnsi="Times New Roman"/>
          <w:sz w:val="20"/>
        </w:rPr>
        <w:t>s</w:t>
      </w:r>
      <w:r w:rsidR="00211E21" w:rsidRPr="004F2D82">
        <w:rPr>
          <w:rFonts w:ascii="Times New Roman" w:hAnsi="Times New Roman"/>
          <w:sz w:val="20"/>
        </w:rPr>
        <w:t xml:space="preserve"> and programm</w:t>
      </w:r>
      <w:r w:rsidR="00A9131F" w:rsidRPr="004F2D82">
        <w:rPr>
          <w:rFonts w:ascii="Times New Roman" w:hAnsi="Times New Roman"/>
          <w:sz w:val="20"/>
        </w:rPr>
        <w:t>es</w:t>
      </w:r>
      <w:r w:rsidR="00211E21" w:rsidRPr="004F2D82">
        <w:rPr>
          <w:rFonts w:ascii="Times New Roman" w:hAnsi="Times New Roman"/>
          <w:sz w:val="20"/>
        </w:rPr>
        <w:t xml:space="preserve"> would </w:t>
      </w:r>
      <w:r w:rsidR="003C1A4A" w:rsidRPr="004F2D82">
        <w:rPr>
          <w:rFonts w:ascii="Times New Roman" w:hAnsi="Times New Roman"/>
          <w:sz w:val="20"/>
        </w:rPr>
        <w:t xml:space="preserve">frequently </w:t>
      </w:r>
      <w:r w:rsidR="00211E21" w:rsidRPr="004F2D82">
        <w:rPr>
          <w:rFonts w:ascii="Times New Roman" w:hAnsi="Times New Roman"/>
          <w:sz w:val="20"/>
        </w:rPr>
        <w:t xml:space="preserve">differ from </w:t>
      </w:r>
      <w:r w:rsidR="003C1A4A" w:rsidRPr="004F2D82">
        <w:rPr>
          <w:rFonts w:ascii="Times New Roman" w:hAnsi="Times New Roman"/>
          <w:sz w:val="20"/>
        </w:rPr>
        <w:t>that listed in subparagraphs (a) – (f) of</w:t>
      </w:r>
      <w:r w:rsidR="00211E21" w:rsidRPr="004F2D82">
        <w:rPr>
          <w:rFonts w:ascii="Times New Roman" w:hAnsi="Times New Roman"/>
          <w:sz w:val="20"/>
        </w:rPr>
        <w:t xml:space="preserve"> article 6</w:t>
      </w:r>
      <w:r w:rsidR="007255A3" w:rsidRPr="004F2D82">
        <w:rPr>
          <w:rFonts w:ascii="Times New Roman" w:hAnsi="Times New Roman"/>
          <w:sz w:val="20"/>
        </w:rPr>
        <w:t>(</w:t>
      </w:r>
      <w:r w:rsidR="00211E21" w:rsidRPr="004F2D82">
        <w:rPr>
          <w:rFonts w:ascii="Times New Roman" w:hAnsi="Times New Roman"/>
          <w:sz w:val="20"/>
        </w:rPr>
        <w:t>6</w:t>
      </w:r>
      <w:r w:rsidR="007255A3" w:rsidRPr="004F2D82">
        <w:rPr>
          <w:rFonts w:ascii="Times New Roman" w:hAnsi="Times New Roman"/>
          <w:sz w:val="20"/>
        </w:rPr>
        <w:t>)</w:t>
      </w:r>
      <w:r w:rsidR="00211E21" w:rsidRPr="004F2D82">
        <w:rPr>
          <w:rFonts w:ascii="Times New Roman" w:hAnsi="Times New Roman"/>
          <w:sz w:val="20"/>
        </w:rPr>
        <w:t xml:space="preserve">. </w:t>
      </w:r>
      <w:r w:rsidR="007E0EDE" w:rsidRPr="004F2D82">
        <w:rPr>
          <w:rFonts w:ascii="Times New Roman" w:hAnsi="Times New Roman"/>
          <w:sz w:val="20"/>
        </w:rPr>
        <w:t xml:space="preserve">However, </w:t>
      </w:r>
      <w:r w:rsidR="0099001B" w:rsidRPr="004F2D82">
        <w:rPr>
          <w:rFonts w:ascii="Times New Roman" w:hAnsi="Times New Roman"/>
          <w:sz w:val="20"/>
        </w:rPr>
        <w:t xml:space="preserve">the Committee considers that </w:t>
      </w:r>
      <w:r w:rsidR="00507A3C" w:rsidRPr="004F2D82">
        <w:rPr>
          <w:rFonts w:ascii="Times New Roman" w:hAnsi="Times New Roman"/>
          <w:sz w:val="20"/>
        </w:rPr>
        <w:t xml:space="preserve">the rationale of both provisions is that </w:t>
      </w:r>
      <w:r w:rsidR="0072460D" w:rsidRPr="004F2D82">
        <w:rPr>
          <w:rFonts w:ascii="Times New Roman" w:hAnsi="Times New Roman"/>
          <w:sz w:val="20"/>
        </w:rPr>
        <w:t xml:space="preserve">the </w:t>
      </w:r>
      <w:r w:rsidR="0059603F" w:rsidRPr="004F2D82">
        <w:rPr>
          <w:rFonts w:ascii="Times New Roman" w:hAnsi="Times New Roman"/>
          <w:sz w:val="20"/>
        </w:rPr>
        <w:t xml:space="preserve">available </w:t>
      </w:r>
      <w:r w:rsidR="0072460D" w:rsidRPr="004F2D82">
        <w:rPr>
          <w:rFonts w:ascii="Times New Roman" w:hAnsi="Times New Roman"/>
          <w:sz w:val="20"/>
        </w:rPr>
        <w:t xml:space="preserve">information that will </w:t>
      </w:r>
      <w:r w:rsidR="0072460D" w:rsidRPr="004F2D82">
        <w:rPr>
          <w:rFonts w:ascii="Times New Roman" w:hAnsi="Times New Roman"/>
          <w:sz w:val="20"/>
        </w:rPr>
        <w:lastRenderedPageBreak/>
        <w:t>enable the public</w:t>
      </w:r>
      <w:r w:rsidR="003B0E59" w:rsidRPr="004F2D82">
        <w:rPr>
          <w:rFonts w:ascii="Times New Roman" w:hAnsi="Times New Roman"/>
          <w:sz w:val="20"/>
        </w:rPr>
        <w:t xml:space="preserve"> to</w:t>
      </w:r>
      <w:r w:rsidR="0072460D" w:rsidRPr="004F2D82">
        <w:rPr>
          <w:rFonts w:ascii="Times New Roman" w:hAnsi="Times New Roman"/>
          <w:sz w:val="20"/>
        </w:rPr>
        <w:t xml:space="preserve"> participate effectively in the relevant decision-making in each case must be provided</w:t>
      </w:r>
      <w:r w:rsidR="003C1A4A" w:rsidRPr="004F2D82">
        <w:rPr>
          <w:rFonts w:ascii="Times New Roman" w:hAnsi="Times New Roman"/>
          <w:sz w:val="20"/>
        </w:rPr>
        <w:t>.</w:t>
      </w:r>
      <w:r w:rsidR="00196490" w:rsidRPr="004F2D82">
        <w:rPr>
          <w:rFonts w:ascii="Times New Roman" w:hAnsi="Times New Roman"/>
          <w:sz w:val="20"/>
        </w:rPr>
        <w:t xml:space="preserve"> </w:t>
      </w:r>
      <w:r w:rsidR="00837EF9" w:rsidRPr="004F2D82">
        <w:rPr>
          <w:rFonts w:ascii="Times New Roman" w:hAnsi="Times New Roman"/>
          <w:sz w:val="20"/>
        </w:rPr>
        <w:t>While not directly applicable, a</w:t>
      </w:r>
      <w:r w:rsidR="005204FF" w:rsidRPr="004F2D82">
        <w:rPr>
          <w:rFonts w:ascii="Times New Roman" w:hAnsi="Times New Roman"/>
          <w:sz w:val="20"/>
        </w:rPr>
        <w:t>rticle 6</w:t>
      </w:r>
      <w:r w:rsidR="0098299C" w:rsidRPr="004F2D82">
        <w:rPr>
          <w:rFonts w:ascii="Times New Roman" w:hAnsi="Times New Roman"/>
          <w:sz w:val="20"/>
        </w:rPr>
        <w:t>(</w:t>
      </w:r>
      <w:r w:rsidR="00507A3C" w:rsidRPr="004F2D82">
        <w:rPr>
          <w:rFonts w:ascii="Times New Roman" w:hAnsi="Times New Roman"/>
          <w:sz w:val="20"/>
        </w:rPr>
        <w:t>6</w:t>
      </w:r>
      <w:r w:rsidR="0098299C" w:rsidRPr="004F2D82">
        <w:rPr>
          <w:rFonts w:ascii="Times New Roman" w:hAnsi="Times New Roman"/>
          <w:sz w:val="20"/>
        </w:rPr>
        <w:t>)</w:t>
      </w:r>
      <w:r w:rsidR="003C1A4A" w:rsidRPr="004F2D82">
        <w:rPr>
          <w:rFonts w:ascii="Times New Roman" w:hAnsi="Times New Roman"/>
          <w:sz w:val="20"/>
        </w:rPr>
        <w:t xml:space="preserve"> </w:t>
      </w:r>
      <w:r w:rsidR="00507A3C" w:rsidRPr="004F2D82">
        <w:rPr>
          <w:rFonts w:ascii="Times New Roman" w:hAnsi="Times New Roman"/>
          <w:sz w:val="20"/>
        </w:rPr>
        <w:t xml:space="preserve">may </w:t>
      </w:r>
      <w:r w:rsidR="00196490" w:rsidRPr="004F2D82">
        <w:rPr>
          <w:rFonts w:ascii="Times New Roman" w:hAnsi="Times New Roman"/>
          <w:sz w:val="20"/>
        </w:rPr>
        <w:t xml:space="preserve">accordingly </w:t>
      </w:r>
      <w:r w:rsidR="00507A3C" w:rsidRPr="004F2D82">
        <w:rPr>
          <w:rFonts w:ascii="Times New Roman" w:hAnsi="Times New Roman"/>
          <w:sz w:val="20"/>
        </w:rPr>
        <w:t xml:space="preserve">serve as a source of </w:t>
      </w:r>
      <w:r w:rsidR="00010E2E" w:rsidRPr="004F2D82">
        <w:rPr>
          <w:rFonts w:ascii="Times New Roman" w:hAnsi="Times New Roman"/>
          <w:sz w:val="20"/>
        </w:rPr>
        <w:t xml:space="preserve">guidance </w:t>
      </w:r>
      <w:r w:rsidR="004F5573" w:rsidRPr="004F2D82">
        <w:rPr>
          <w:rFonts w:ascii="Times New Roman" w:hAnsi="Times New Roman"/>
          <w:sz w:val="20"/>
        </w:rPr>
        <w:t xml:space="preserve">in the application of </w:t>
      </w:r>
      <w:r w:rsidR="005204FF" w:rsidRPr="004F2D82">
        <w:rPr>
          <w:rFonts w:ascii="Times New Roman" w:hAnsi="Times New Roman"/>
          <w:sz w:val="20"/>
        </w:rPr>
        <w:t xml:space="preserve">the requirement in </w:t>
      </w:r>
      <w:r w:rsidR="004F5573" w:rsidRPr="004F2D82">
        <w:rPr>
          <w:rFonts w:ascii="Times New Roman" w:hAnsi="Times New Roman"/>
          <w:sz w:val="20"/>
        </w:rPr>
        <w:t>article 7</w:t>
      </w:r>
      <w:r w:rsidR="005204FF" w:rsidRPr="004F2D82">
        <w:rPr>
          <w:rFonts w:ascii="Times New Roman" w:hAnsi="Times New Roman"/>
          <w:sz w:val="20"/>
        </w:rPr>
        <w:t xml:space="preserve"> to provide “</w:t>
      </w:r>
      <w:r w:rsidR="003C1A4A" w:rsidRPr="004F2D82">
        <w:rPr>
          <w:rFonts w:ascii="Times New Roman" w:hAnsi="Times New Roman"/>
          <w:sz w:val="20"/>
        </w:rPr>
        <w:t xml:space="preserve">the </w:t>
      </w:r>
      <w:r w:rsidR="005204FF" w:rsidRPr="004F2D82">
        <w:rPr>
          <w:rFonts w:ascii="Times New Roman" w:hAnsi="Times New Roman"/>
          <w:sz w:val="20"/>
        </w:rPr>
        <w:t>necessary information</w:t>
      </w:r>
      <w:r w:rsidR="005204FF" w:rsidRPr="004F2D82">
        <w:rPr>
          <w:rFonts w:ascii="Times New Roman" w:hAnsi="Times New Roman" w:cs="Times New Roman"/>
          <w:sz w:val="20"/>
          <w:szCs w:val="20"/>
        </w:rPr>
        <w:t>”</w:t>
      </w:r>
      <w:r w:rsidR="00F128F2" w:rsidRPr="004F2D82">
        <w:rPr>
          <w:rFonts w:ascii="Times New Roman" w:hAnsi="Times New Roman" w:cs="Times New Roman"/>
          <w:sz w:val="20"/>
          <w:szCs w:val="20"/>
        </w:rPr>
        <w:t xml:space="preserve"> to the public</w:t>
      </w:r>
      <w:r w:rsidR="00507A3C" w:rsidRPr="004F2D82">
        <w:rPr>
          <w:rFonts w:ascii="Times New Roman" w:hAnsi="Times New Roman" w:cs="Times New Roman"/>
          <w:sz w:val="20"/>
          <w:szCs w:val="20"/>
        </w:rPr>
        <w:t>,</w:t>
      </w:r>
      <w:r w:rsidR="00507A3C" w:rsidRPr="004F2D82">
        <w:rPr>
          <w:rFonts w:ascii="Times New Roman" w:hAnsi="Times New Roman"/>
          <w:sz w:val="20"/>
        </w:rPr>
        <w:t xml:space="preserve"> provided that the differences between decisions on specific activities and plans and programmes are </w:t>
      </w:r>
      <w:proofErr w:type="gramStart"/>
      <w:r w:rsidR="00507A3C" w:rsidRPr="004F2D82">
        <w:rPr>
          <w:rFonts w:ascii="Times New Roman" w:hAnsi="Times New Roman"/>
          <w:sz w:val="20"/>
        </w:rPr>
        <w:t>taken into account</w:t>
      </w:r>
      <w:proofErr w:type="gramEnd"/>
      <w:r w:rsidR="00507A3C" w:rsidRPr="004F2D82">
        <w:rPr>
          <w:rFonts w:ascii="Times New Roman" w:hAnsi="Times New Roman"/>
          <w:sz w:val="20"/>
        </w:rPr>
        <w:t>.</w:t>
      </w:r>
      <w:r w:rsidR="00CA5522" w:rsidRPr="004F2D82">
        <w:rPr>
          <w:rStyle w:val="FootnoteReference"/>
        </w:rPr>
        <w:t xml:space="preserve"> </w:t>
      </w:r>
      <w:r w:rsidR="00CA5522" w:rsidRPr="004F2D82">
        <w:rPr>
          <w:rStyle w:val="FootnoteReference"/>
        </w:rPr>
        <w:footnoteReference w:id="122"/>
      </w:r>
    </w:p>
    <w:p w14:paraId="1991CDEC" w14:textId="54C5299C" w:rsidR="007257C9" w:rsidRPr="004F2D82" w:rsidRDefault="006816D6"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r w:rsidRPr="004F2D82">
        <w:rPr>
          <w:rFonts w:ascii="Times New Roman" w:hAnsi="Times New Roman"/>
          <w:sz w:val="20"/>
        </w:rPr>
        <w:t>A</w:t>
      </w:r>
      <w:r w:rsidR="003C1A4A" w:rsidRPr="004F2D82">
        <w:rPr>
          <w:rFonts w:ascii="Times New Roman" w:hAnsi="Times New Roman"/>
          <w:sz w:val="20"/>
        </w:rPr>
        <w:t xml:space="preserve">n important difference between article 6 and </w:t>
      </w:r>
      <w:r w:rsidR="00B3279B" w:rsidRPr="004F2D82">
        <w:rPr>
          <w:rFonts w:ascii="Times New Roman" w:hAnsi="Times New Roman"/>
          <w:sz w:val="20"/>
        </w:rPr>
        <w:t xml:space="preserve">article </w:t>
      </w:r>
      <w:r w:rsidR="003C1A4A" w:rsidRPr="004F2D82">
        <w:rPr>
          <w:rFonts w:ascii="Times New Roman" w:hAnsi="Times New Roman"/>
          <w:sz w:val="20"/>
        </w:rPr>
        <w:t>7 is that article 6 covers specific activities</w:t>
      </w:r>
      <w:r w:rsidR="0057035F" w:rsidRPr="004F2D82">
        <w:rPr>
          <w:rFonts w:ascii="Times New Roman" w:hAnsi="Times New Roman"/>
          <w:sz w:val="20"/>
        </w:rPr>
        <w:t xml:space="preserve"> commonly considered as those</w:t>
      </w:r>
      <w:r w:rsidR="00D96AB4" w:rsidRPr="004F2D82">
        <w:rPr>
          <w:rFonts w:ascii="Times New Roman" w:hAnsi="Times New Roman"/>
          <w:sz w:val="20"/>
        </w:rPr>
        <w:t xml:space="preserve"> “</w:t>
      </w:r>
      <w:r w:rsidR="0057035F" w:rsidRPr="004F2D82">
        <w:rPr>
          <w:rFonts w:ascii="Times New Roman" w:hAnsi="Times New Roman"/>
          <w:sz w:val="20"/>
        </w:rPr>
        <w:t>which may have a significant effect on the environment”</w:t>
      </w:r>
      <w:r w:rsidR="00C55C68" w:rsidRPr="004F2D82">
        <w:rPr>
          <w:rFonts w:ascii="Times New Roman" w:hAnsi="Times New Roman"/>
          <w:sz w:val="20"/>
        </w:rPr>
        <w:t>,</w:t>
      </w:r>
      <w:r w:rsidR="0057035F" w:rsidRPr="004F2D82">
        <w:rPr>
          <w:rFonts w:ascii="Times New Roman" w:hAnsi="Times New Roman"/>
          <w:sz w:val="20"/>
        </w:rPr>
        <w:t xml:space="preserve"> while article 7 relates to plans and programmes “relating to the environment”.</w:t>
      </w:r>
      <w:r w:rsidR="00B16B89" w:rsidRPr="004F2D82">
        <w:rPr>
          <w:rFonts w:ascii="Times New Roman" w:hAnsi="Times New Roman"/>
          <w:sz w:val="20"/>
        </w:rPr>
        <w:t xml:space="preserve"> </w:t>
      </w:r>
    </w:p>
    <w:p w14:paraId="5037F25F" w14:textId="617403D0" w:rsidR="00664B4D" w:rsidRPr="004F2D82" w:rsidRDefault="00B16B89"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r w:rsidRPr="004F2D82">
        <w:rPr>
          <w:rFonts w:ascii="Times New Roman" w:hAnsi="Times New Roman"/>
          <w:sz w:val="20"/>
        </w:rPr>
        <w:t xml:space="preserve">Specific activities “which may have a significant effect on the environment” would normally </w:t>
      </w:r>
      <w:r w:rsidR="008E7177" w:rsidRPr="004F2D82">
        <w:rPr>
          <w:rFonts w:ascii="Times New Roman" w:hAnsi="Times New Roman"/>
          <w:sz w:val="20"/>
        </w:rPr>
        <w:t xml:space="preserve">by </w:t>
      </w:r>
      <w:r w:rsidRPr="004F2D82">
        <w:rPr>
          <w:rFonts w:ascii="Times New Roman" w:hAnsi="Times New Roman"/>
          <w:sz w:val="20"/>
        </w:rPr>
        <w:t>require</w:t>
      </w:r>
      <w:r w:rsidR="008E7177" w:rsidRPr="004F2D82">
        <w:rPr>
          <w:rFonts w:ascii="Times New Roman" w:hAnsi="Times New Roman"/>
          <w:sz w:val="20"/>
        </w:rPr>
        <w:t>d by national law</w:t>
      </w:r>
      <w:r w:rsidR="00D96AB4" w:rsidRPr="004F2D82">
        <w:rPr>
          <w:rFonts w:ascii="Times New Roman" w:hAnsi="Times New Roman"/>
          <w:sz w:val="20"/>
        </w:rPr>
        <w:t xml:space="preserve"> </w:t>
      </w:r>
      <w:r w:rsidR="008E7177" w:rsidRPr="004F2D82">
        <w:rPr>
          <w:rFonts w:ascii="Times New Roman" w:hAnsi="Times New Roman"/>
          <w:sz w:val="20"/>
        </w:rPr>
        <w:t xml:space="preserve">to undergo </w:t>
      </w:r>
      <w:r w:rsidRPr="004F2D82">
        <w:rPr>
          <w:rFonts w:ascii="Times New Roman" w:hAnsi="Times New Roman"/>
          <w:sz w:val="20"/>
        </w:rPr>
        <w:t xml:space="preserve">some </w:t>
      </w:r>
      <w:r w:rsidR="006816D6" w:rsidRPr="004F2D82">
        <w:rPr>
          <w:rFonts w:ascii="Times New Roman" w:hAnsi="Times New Roman"/>
          <w:sz w:val="20"/>
        </w:rPr>
        <w:t xml:space="preserve">form </w:t>
      </w:r>
      <w:r w:rsidRPr="004F2D82">
        <w:rPr>
          <w:rFonts w:ascii="Times New Roman" w:hAnsi="Times New Roman"/>
          <w:sz w:val="20"/>
        </w:rPr>
        <w:t>of environmental impact assessment</w:t>
      </w:r>
      <w:r w:rsidR="004F7A14" w:rsidRPr="004F2D82">
        <w:rPr>
          <w:rFonts w:ascii="Times New Roman" w:hAnsi="Times New Roman"/>
          <w:sz w:val="20"/>
        </w:rPr>
        <w:t>.</w:t>
      </w:r>
      <w:r w:rsidR="002B0BEB" w:rsidRPr="004F2D82">
        <w:rPr>
          <w:rFonts w:ascii="Times New Roman" w:hAnsi="Times New Roman"/>
          <w:sz w:val="20"/>
        </w:rPr>
        <w:t xml:space="preserve"> </w:t>
      </w:r>
      <w:r w:rsidR="004F7A14" w:rsidRPr="004F2D82">
        <w:rPr>
          <w:rFonts w:ascii="Times New Roman" w:hAnsi="Times New Roman"/>
          <w:sz w:val="20"/>
        </w:rPr>
        <w:t>H</w:t>
      </w:r>
      <w:r w:rsidRPr="004F2D82">
        <w:rPr>
          <w:rFonts w:ascii="Times New Roman" w:hAnsi="Times New Roman"/>
          <w:sz w:val="20"/>
        </w:rPr>
        <w:t>ence</w:t>
      </w:r>
      <w:r w:rsidR="004F7A14" w:rsidRPr="004F2D82">
        <w:rPr>
          <w:rFonts w:ascii="Times New Roman" w:hAnsi="Times New Roman"/>
          <w:sz w:val="20"/>
        </w:rPr>
        <w:t>,</w:t>
      </w:r>
      <w:r w:rsidRPr="004F2D82">
        <w:rPr>
          <w:rFonts w:ascii="Times New Roman" w:hAnsi="Times New Roman"/>
          <w:sz w:val="20"/>
        </w:rPr>
        <w:t xml:space="preserve"> article 6</w:t>
      </w:r>
      <w:r w:rsidR="0098299C" w:rsidRPr="004F2D82">
        <w:rPr>
          <w:rFonts w:ascii="Times New Roman" w:hAnsi="Times New Roman"/>
          <w:sz w:val="20"/>
        </w:rPr>
        <w:t>(</w:t>
      </w:r>
      <w:r w:rsidRPr="004F2D82">
        <w:rPr>
          <w:rFonts w:ascii="Times New Roman" w:hAnsi="Times New Roman"/>
          <w:sz w:val="20"/>
        </w:rPr>
        <w:t>6</w:t>
      </w:r>
      <w:r w:rsidR="0098299C" w:rsidRPr="004F2D82">
        <w:rPr>
          <w:rFonts w:ascii="Times New Roman" w:hAnsi="Times New Roman" w:cs="Times New Roman"/>
          <w:sz w:val="20"/>
          <w:szCs w:val="20"/>
        </w:rPr>
        <w:t>)</w:t>
      </w:r>
      <w:r w:rsidRPr="004F2D82">
        <w:rPr>
          <w:rFonts w:ascii="Times New Roman" w:hAnsi="Times New Roman"/>
          <w:sz w:val="20"/>
        </w:rPr>
        <w:t xml:space="preserve"> </w:t>
      </w:r>
      <w:r w:rsidR="003C1A4A" w:rsidRPr="004F2D82">
        <w:rPr>
          <w:rFonts w:ascii="Times New Roman" w:hAnsi="Times New Roman"/>
          <w:sz w:val="20"/>
        </w:rPr>
        <w:t>refers</w:t>
      </w:r>
      <w:r w:rsidRPr="004F2D82">
        <w:rPr>
          <w:rFonts w:ascii="Times New Roman" w:hAnsi="Times New Roman"/>
          <w:sz w:val="20"/>
        </w:rPr>
        <w:t xml:space="preserve"> to information typically </w:t>
      </w:r>
      <w:r w:rsidR="00664B4D" w:rsidRPr="004F2D82">
        <w:rPr>
          <w:rFonts w:ascii="Times New Roman" w:hAnsi="Times New Roman"/>
          <w:sz w:val="20"/>
        </w:rPr>
        <w:t xml:space="preserve">provided in the process of environmental assessment, </w:t>
      </w:r>
      <w:r w:rsidR="004F7A14" w:rsidRPr="004F2D82">
        <w:rPr>
          <w:rFonts w:ascii="Times New Roman" w:hAnsi="Times New Roman"/>
          <w:sz w:val="20"/>
        </w:rPr>
        <w:t xml:space="preserve">such as </w:t>
      </w:r>
      <w:r w:rsidR="008E7177" w:rsidRPr="004F2D82">
        <w:rPr>
          <w:rFonts w:ascii="Times New Roman" w:hAnsi="Times New Roman"/>
          <w:sz w:val="20"/>
        </w:rPr>
        <w:t>a</w:t>
      </w:r>
      <w:r w:rsidR="00664B4D" w:rsidRPr="004F2D82">
        <w:rPr>
          <w:rFonts w:ascii="Times New Roman" w:hAnsi="Times New Roman"/>
          <w:sz w:val="20"/>
        </w:rPr>
        <w:t xml:space="preserve"> description of “the significant effects of the proposed activity on the environment” or of “the measures envisaged to prevent and/or reduce the effects”. </w:t>
      </w:r>
    </w:p>
    <w:p w14:paraId="7A4F473F" w14:textId="42F53D5F" w:rsidR="00424914" w:rsidRPr="004F2D82" w:rsidRDefault="00664B4D"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r w:rsidRPr="004F2D82">
        <w:rPr>
          <w:rFonts w:ascii="Times New Roman" w:hAnsi="Times New Roman"/>
          <w:sz w:val="20"/>
        </w:rPr>
        <w:t xml:space="preserve">The </w:t>
      </w:r>
      <w:r w:rsidR="006816D6" w:rsidRPr="004F2D82">
        <w:rPr>
          <w:rFonts w:ascii="Times New Roman" w:hAnsi="Times New Roman"/>
          <w:sz w:val="20"/>
        </w:rPr>
        <w:t xml:space="preserve">concept </w:t>
      </w:r>
      <w:r w:rsidRPr="004F2D82">
        <w:rPr>
          <w:rFonts w:ascii="Times New Roman" w:hAnsi="Times New Roman"/>
          <w:sz w:val="20"/>
        </w:rPr>
        <w:t xml:space="preserve">of plans and programmes “relating to the environment” is much broader and covers not only plans and programmes “which may have a significant effect on the environment” but also those </w:t>
      </w:r>
      <w:r w:rsidR="00424914" w:rsidRPr="004F2D82">
        <w:rPr>
          <w:rFonts w:ascii="Times New Roman" w:hAnsi="Times New Roman"/>
          <w:sz w:val="20"/>
        </w:rPr>
        <w:t xml:space="preserve">which may </w:t>
      </w:r>
      <w:proofErr w:type="gramStart"/>
      <w:r w:rsidR="00424914" w:rsidRPr="004F2D82">
        <w:rPr>
          <w:rFonts w:ascii="Times New Roman" w:hAnsi="Times New Roman"/>
          <w:sz w:val="20"/>
        </w:rPr>
        <w:t xml:space="preserve">have </w:t>
      </w:r>
      <w:r w:rsidR="004F7A14" w:rsidRPr="004F2D82">
        <w:rPr>
          <w:rFonts w:ascii="Times New Roman" w:hAnsi="Times New Roman"/>
          <w:sz w:val="20"/>
        </w:rPr>
        <w:t xml:space="preserve">an </w:t>
      </w:r>
      <w:r w:rsidR="00424914" w:rsidRPr="004F2D82">
        <w:rPr>
          <w:rFonts w:ascii="Times New Roman" w:hAnsi="Times New Roman"/>
          <w:sz w:val="20"/>
        </w:rPr>
        <w:t>effect on</w:t>
      </w:r>
      <w:proofErr w:type="gramEnd"/>
      <w:r w:rsidR="00424914" w:rsidRPr="004F2D82">
        <w:rPr>
          <w:rFonts w:ascii="Times New Roman" w:hAnsi="Times New Roman"/>
          <w:sz w:val="20"/>
        </w:rPr>
        <w:t xml:space="preserve"> the environment </w:t>
      </w:r>
      <w:r w:rsidR="004F7A14" w:rsidRPr="004F2D82">
        <w:rPr>
          <w:rFonts w:ascii="Times New Roman" w:hAnsi="Times New Roman"/>
          <w:sz w:val="20"/>
        </w:rPr>
        <w:t>without</w:t>
      </w:r>
      <w:r w:rsidR="00424914" w:rsidRPr="004F2D82">
        <w:rPr>
          <w:rFonts w:ascii="Times New Roman" w:hAnsi="Times New Roman"/>
          <w:sz w:val="20"/>
        </w:rPr>
        <w:t xml:space="preserve"> the effect </w:t>
      </w:r>
      <w:r w:rsidR="004F7A14" w:rsidRPr="004F2D82">
        <w:rPr>
          <w:rFonts w:ascii="Times New Roman" w:hAnsi="Times New Roman"/>
          <w:sz w:val="20"/>
        </w:rPr>
        <w:t>being</w:t>
      </w:r>
      <w:r w:rsidR="00424914" w:rsidRPr="004F2D82">
        <w:rPr>
          <w:rFonts w:ascii="Times New Roman" w:hAnsi="Times New Roman"/>
          <w:sz w:val="20"/>
        </w:rPr>
        <w:t xml:space="preserve"> “significant” </w:t>
      </w:r>
      <w:r w:rsidR="004F7A14" w:rsidRPr="004F2D82">
        <w:rPr>
          <w:rFonts w:ascii="Times New Roman" w:hAnsi="Times New Roman"/>
          <w:sz w:val="20"/>
        </w:rPr>
        <w:t>and</w:t>
      </w:r>
      <w:r w:rsidR="00424914" w:rsidRPr="004F2D82">
        <w:rPr>
          <w:rFonts w:ascii="Times New Roman" w:hAnsi="Times New Roman"/>
          <w:sz w:val="20"/>
        </w:rPr>
        <w:t xml:space="preserve"> those </w:t>
      </w:r>
      <w:r w:rsidR="004F7A14" w:rsidRPr="004F2D82">
        <w:rPr>
          <w:rFonts w:ascii="Times New Roman" w:hAnsi="Times New Roman"/>
          <w:sz w:val="20"/>
        </w:rPr>
        <w:t xml:space="preserve">plans or programmes </w:t>
      </w:r>
      <w:r w:rsidR="00424914" w:rsidRPr="004F2D82">
        <w:rPr>
          <w:rFonts w:ascii="Times New Roman" w:hAnsi="Times New Roman"/>
          <w:sz w:val="20"/>
        </w:rPr>
        <w:t xml:space="preserve">intended </w:t>
      </w:r>
      <w:r w:rsidR="004F7A14" w:rsidRPr="004F2D82">
        <w:rPr>
          <w:rFonts w:ascii="Times New Roman" w:hAnsi="Times New Roman"/>
          <w:sz w:val="20"/>
        </w:rPr>
        <w:t>to promote environmental protection</w:t>
      </w:r>
      <w:r w:rsidR="00424914" w:rsidRPr="004F2D82">
        <w:rPr>
          <w:rFonts w:ascii="Times New Roman" w:hAnsi="Times New Roman"/>
          <w:sz w:val="20"/>
        </w:rPr>
        <w:t xml:space="preserve">. Plans and programmes “which may have a significant effect on the environment” would normally </w:t>
      </w:r>
      <w:r w:rsidR="009F76AF" w:rsidRPr="004F2D82">
        <w:rPr>
          <w:rFonts w:ascii="Times New Roman" w:hAnsi="Times New Roman"/>
          <w:sz w:val="20"/>
        </w:rPr>
        <w:t xml:space="preserve">be </w:t>
      </w:r>
      <w:r w:rsidR="009C4F74" w:rsidRPr="004F2D82">
        <w:rPr>
          <w:rFonts w:ascii="Times New Roman" w:hAnsi="Times New Roman"/>
          <w:sz w:val="20"/>
        </w:rPr>
        <w:t>required under national law to undergo</w:t>
      </w:r>
      <w:r w:rsidR="00424914" w:rsidRPr="004F2D82">
        <w:rPr>
          <w:rFonts w:ascii="Times New Roman" w:hAnsi="Times New Roman"/>
          <w:sz w:val="20"/>
        </w:rPr>
        <w:t xml:space="preserve"> some </w:t>
      </w:r>
      <w:r w:rsidR="006816D6" w:rsidRPr="004F2D82">
        <w:rPr>
          <w:rFonts w:ascii="Times New Roman" w:hAnsi="Times New Roman"/>
          <w:sz w:val="20"/>
        </w:rPr>
        <w:t xml:space="preserve">form </w:t>
      </w:r>
      <w:r w:rsidR="00424914" w:rsidRPr="004F2D82">
        <w:rPr>
          <w:rFonts w:ascii="Times New Roman" w:hAnsi="Times New Roman"/>
          <w:sz w:val="20"/>
        </w:rPr>
        <w:t xml:space="preserve">of strategic </w:t>
      </w:r>
      <w:r w:rsidR="003C220C" w:rsidRPr="004F2D82">
        <w:rPr>
          <w:rFonts w:ascii="Times New Roman" w:hAnsi="Times New Roman"/>
          <w:sz w:val="20"/>
        </w:rPr>
        <w:t>environmental assessment</w:t>
      </w:r>
      <w:r w:rsidR="00424914" w:rsidRPr="004F2D82">
        <w:rPr>
          <w:rFonts w:ascii="Times New Roman" w:hAnsi="Times New Roman"/>
          <w:sz w:val="20"/>
        </w:rPr>
        <w:t xml:space="preserve"> and for </w:t>
      </w:r>
      <w:r w:rsidR="004F7A14" w:rsidRPr="004F2D82">
        <w:rPr>
          <w:rFonts w:ascii="Times New Roman" w:hAnsi="Times New Roman"/>
          <w:sz w:val="20"/>
        </w:rPr>
        <w:t>these plans and programmes</w:t>
      </w:r>
      <w:r w:rsidR="00424914" w:rsidRPr="004F2D82">
        <w:rPr>
          <w:rFonts w:ascii="Times New Roman" w:hAnsi="Times New Roman"/>
          <w:sz w:val="20"/>
        </w:rPr>
        <w:t xml:space="preserve"> </w:t>
      </w:r>
      <w:r w:rsidR="004F7A14" w:rsidRPr="004F2D82">
        <w:rPr>
          <w:rFonts w:ascii="Times New Roman" w:hAnsi="Times New Roman"/>
          <w:sz w:val="20"/>
        </w:rPr>
        <w:t xml:space="preserve">the </w:t>
      </w:r>
      <w:r w:rsidR="0019022D" w:rsidRPr="004F2D82">
        <w:rPr>
          <w:rFonts w:ascii="Times New Roman" w:hAnsi="Times New Roman" w:cs="Times New Roman"/>
          <w:sz w:val="20"/>
          <w:szCs w:val="20"/>
        </w:rPr>
        <w:t>requirements of article 6(6)</w:t>
      </w:r>
      <w:r w:rsidR="00615BE0" w:rsidRPr="004F2D82">
        <w:rPr>
          <w:rFonts w:ascii="Times New Roman" w:hAnsi="Times New Roman" w:cs="Times New Roman"/>
          <w:sz w:val="20"/>
          <w:szCs w:val="20"/>
        </w:rPr>
        <w:t xml:space="preserve"> </w:t>
      </w:r>
      <w:r w:rsidR="00424914" w:rsidRPr="004F2D82">
        <w:rPr>
          <w:rFonts w:ascii="Times New Roman" w:hAnsi="Times New Roman"/>
          <w:sz w:val="20"/>
        </w:rPr>
        <w:t>could be applied</w:t>
      </w:r>
      <w:r w:rsidR="00D96AB4" w:rsidRPr="004F2D82">
        <w:rPr>
          <w:rFonts w:ascii="Times New Roman" w:hAnsi="Times New Roman"/>
          <w:sz w:val="20"/>
        </w:rPr>
        <w:t xml:space="preserve"> </w:t>
      </w:r>
      <w:r w:rsidR="0002377F" w:rsidRPr="004F2D82">
        <w:rPr>
          <w:rFonts w:ascii="Times New Roman" w:hAnsi="Times New Roman"/>
          <w:i/>
          <w:sz w:val="20"/>
        </w:rPr>
        <w:t>mutatis mutandis</w:t>
      </w:r>
      <w:r w:rsidR="00424914" w:rsidRPr="004F2D82">
        <w:rPr>
          <w:rFonts w:ascii="Times New Roman" w:hAnsi="Times New Roman"/>
          <w:sz w:val="20"/>
        </w:rPr>
        <w:t xml:space="preserve">. </w:t>
      </w:r>
      <w:r w:rsidR="008B504D" w:rsidRPr="004F2D82">
        <w:rPr>
          <w:rFonts w:ascii="Times New Roman" w:hAnsi="Times New Roman"/>
          <w:sz w:val="20"/>
        </w:rPr>
        <w:t>By contrast</w:t>
      </w:r>
      <w:r w:rsidR="000256A7" w:rsidRPr="004F2D82">
        <w:rPr>
          <w:rFonts w:ascii="Times New Roman" w:hAnsi="Times New Roman"/>
          <w:sz w:val="20"/>
        </w:rPr>
        <w:t xml:space="preserve">, </w:t>
      </w:r>
      <w:r w:rsidR="004F7A14" w:rsidRPr="004F2D82">
        <w:rPr>
          <w:rFonts w:ascii="Times New Roman" w:hAnsi="Times New Roman"/>
          <w:sz w:val="20"/>
        </w:rPr>
        <w:t>for</w:t>
      </w:r>
      <w:r w:rsidR="00424914" w:rsidRPr="004F2D82">
        <w:rPr>
          <w:rFonts w:ascii="Times New Roman" w:hAnsi="Times New Roman"/>
          <w:sz w:val="20"/>
        </w:rPr>
        <w:t xml:space="preserve"> plans and programmes relating to the environment but not subject to strategic environmental assessment</w:t>
      </w:r>
      <w:r w:rsidR="0090269D" w:rsidRPr="004F2D82">
        <w:rPr>
          <w:rFonts w:ascii="Times New Roman" w:hAnsi="Times New Roman"/>
          <w:sz w:val="20"/>
        </w:rPr>
        <w:t xml:space="preserve">, </w:t>
      </w:r>
      <w:proofErr w:type="gramStart"/>
      <w:r w:rsidR="0090269D" w:rsidRPr="004F2D82">
        <w:rPr>
          <w:rFonts w:ascii="Times New Roman" w:hAnsi="Times New Roman"/>
          <w:sz w:val="20"/>
        </w:rPr>
        <w:t>in particular those</w:t>
      </w:r>
      <w:proofErr w:type="gramEnd"/>
      <w:r w:rsidR="0090269D" w:rsidRPr="004F2D82">
        <w:rPr>
          <w:rFonts w:ascii="Times New Roman" w:hAnsi="Times New Roman"/>
          <w:sz w:val="20"/>
        </w:rPr>
        <w:t xml:space="preserve"> intended to </w:t>
      </w:r>
      <w:r w:rsidR="00A1348C" w:rsidRPr="004F2D82">
        <w:rPr>
          <w:rFonts w:ascii="Times New Roman" w:hAnsi="Times New Roman"/>
          <w:sz w:val="20"/>
        </w:rPr>
        <w:t xml:space="preserve">promote </w:t>
      </w:r>
      <w:r w:rsidR="0090269D" w:rsidRPr="004F2D82">
        <w:rPr>
          <w:rFonts w:ascii="Times New Roman" w:hAnsi="Times New Roman"/>
          <w:sz w:val="20"/>
        </w:rPr>
        <w:t>environment</w:t>
      </w:r>
      <w:r w:rsidR="00A1348C" w:rsidRPr="004F2D82">
        <w:rPr>
          <w:rFonts w:ascii="Times New Roman" w:hAnsi="Times New Roman"/>
          <w:sz w:val="20"/>
        </w:rPr>
        <w:t>al protection</w:t>
      </w:r>
      <w:r w:rsidR="0090269D" w:rsidRPr="004F2D82">
        <w:rPr>
          <w:rFonts w:ascii="Times New Roman" w:hAnsi="Times New Roman"/>
          <w:sz w:val="20"/>
        </w:rPr>
        <w:t xml:space="preserve"> (for example</w:t>
      </w:r>
      <w:r w:rsidR="00A1348C" w:rsidRPr="004F2D82">
        <w:rPr>
          <w:rFonts w:ascii="Times New Roman" w:hAnsi="Times New Roman"/>
          <w:sz w:val="20"/>
        </w:rPr>
        <w:t>,</w:t>
      </w:r>
      <w:r w:rsidR="0090269D" w:rsidRPr="004F2D82">
        <w:rPr>
          <w:rFonts w:ascii="Times New Roman" w:hAnsi="Times New Roman"/>
          <w:sz w:val="20"/>
        </w:rPr>
        <w:t xml:space="preserve"> </w:t>
      </w:r>
      <w:r w:rsidR="003C1A4A" w:rsidRPr="004F2D82">
        <w:rPr>
          <w:rFonts w:ascii="Times New Roman" w:hAnsi="Times New Roman"/>
          <w:sz w:val="20"/>
        </w:rPr>
        <w:t xml:space="preserve">an </w:t>
      </w:r>
      <w:r w:rsidR="0090269D" w:rsidRPr="004F2D82">
        <w:rPr>
          <w:rFonts w:ascii="Times New Roman" w:hAnsi="Times New Roman"/>
          <w:sz w:val="20"/>
        </w:rPr>
        <w:t xml:space="preserve">environmental education </w:t>
      </w:r>
      <w:r w:rsidR="003C1A4A" w:rsidRPr="004F2D82">
        <w:rPr>
          <w:rFonts w:ascii="Times New Roman" w:hAnsi="Times New Roman"/>
          <w:sz w:val="20"/>
        </w:rPr>
        <w:t xml:space="preserve">programme </w:t>
      </w:r>
      <w:r w:rsidR="0090269D" w:rsidRPr="004F2D82">
        <w:rPr>
          <w:rFonts w:ascii="Times New Roman" w:hAnsi="Times New Roman"/>
          <w:sz w:val="20"/>
        </w:rPr>
        <w:t xml:space="preserve">or </w:t>
      </w:r>
      <w:r w:rsidR="00A1348C" w:rsidRPr="004F2D82">
        <w:rPr>
          <w:rFonts w:ascii="Times New Roman" w:hAnsi="Times New Roman"/>
          <w:sz w:val="20"/>
        </w:rPr>
        <w:t xml:space="preserve">an </w:t>
      </w:r>
      <w:r w:rsidR="0090269D" w:rsidRPr="004F2D82">
        <w:rPr>
          <w:rFonts w:ascii="Times New Roman" w:hAnsi="Times New Roman"/>
          <w:sz w:val="20"/>
        </w:rPr>
        <w:t>environmental inspection</w:t>
      </w:r>
      <w:r w:rsidR="00A1348C" w:rsidRPr="004F2D82">
        <w:rPr>
          <w:rFonts w:ascii="Times New Roman" w:hAnsi="Times New Roman"/>
          <w:sz w:val="20"/>
        </w:rPr>
        <w:t xml:space="preserve"> plan</w:t>
      </w:r>
      <w:r w:rsidR="0090269D" w:rsidRPr="004F2D82">
        <w:rPr>
          <w:rFonts w:ascii="Times New Roman" w:hAnsi="Times New Roman"/>
          <w:sz w:val="20"/>
        </w:rPr>
        <w:t>)</w:t>
      </w:r>
      <w:r w:rsidR="004F7A14" w:rsidRPr="004F2D82">
        <w:rPr>
          <w:rFonts w:ascii="Times New Roman" w:hAnsi="Times New Roman"/>
          <w:sz w:val="20"/>
        </w:rPr>
        <w:t>,</w:t>
      </w:r>
      <w:r w:rsidR="0090269D" w:rsidRPr="004F2D82">
        <w:rPr>
          <w:rFonts w:ascii="Times New Roman" w:hAnsi="Times New Roman"/>
          <w:sz w:val="20"/>
        </w:rPr>
        <w:t xml:space="preserve"> </w:t>
      </w:r>
      <w:r w:rsidR="003613CA" w:rsidRPr="004F2D82">
        <w:rPr>
          <w:rFonts w:ascii="Times New Roman" w:hAnsi="Times New Roman"/>
          <w:sz w:val="20"/>
        </w:rPr>
        <w:t xml:space="preserve">some </w:t>
      </w:r>
      <w:r w:rsidR="003C1A4A" w:rsidRPr="004F2D82">
        <w:rPr>
          <w:rFonts w:ascii="Times New Roman" w:hAnsi="Times New Roman"/>
          <w:sz w:val="20"/>
        </w:rPr>
        <w:t xml:space="preserve">of the </w:t>
      </w:r>
      <w:r w:rsidR="00424914" w:rsidRPr="004F2D82">
        <w:rPr>
          <w:rFonts w:ascii="Times New Roman" w:hAnsi="Times New Roman"/>
          <w:sz w:val="20"/>
        </w:rPr>
        <w:t xml:space="preserve">information </w:t>
      </w:r>
      <w:r w:rsidR="003C1A4A" w:rsidRPr="004F2D82">
        <w:rPr>
          <w:rFonts w:ascii="Times New Roman" w:hAnsi="Times New Roman"/>
          <w:sz w:val="20"/>
        </w:rPr>
        <w:t xml:space="preserve">listed in </w:t>
      </w:r>
      <w:r w:rsidR="0086517C" w:rsidRPr="004F2D82">
        <w:rPr>
          <w:rFonts w:ascii="Times New Roman" w:hAnsi="Times New Roman" w:cs="Times New Roman"/>
          <w:sz w:val="20"/>
          <w:szCs w:val="20"/>
        </w:rPr>
        <w:t xml:space="preserve">subparagraphs (a)-(f) of </w:t>
      </w:r>
      <w:r w:rsidR="00424914" w:rsidRPr="004F2D82">
        <w:rPr>
          <w:rFonts w:ascii="Times New Roman" w:hAnsi="Times New Roman"/>
          <w:sz w:val="20"/>
        </w:rPr>
        <w:t>article 6</w:t>
      </w:r>
      <w:r w:rsidR="008B504D" w:rsidRPr="004F2D82">
        <w:rPr>
          <w:rFonts w:ascii="Times New Roman" w:hAnsi="Times New Roman"/>
          <w:sz w:val="20"/>
        </w:rPr>
        <w:t>(6)</w:t>
      </w:r>
      <w:r w:rsidR="00424914" w:rsidRPr="004F2D82">
        <w:rPr>
          <w:rFonts w:ascii="Times New Roman" w:hAnsi="Times New Roman"/>
          <w:sz w:val="20"/>
        </w:rPr>
        <w:t xml:space="preserve"> </w:t>
      </w:r>
      <w:r w:rsidR="00A1348C" w:rsidRPr="004F2D82">
        <w:rPr>
          <w:rFonts w:ascii="Times New Roman" w:hAnsi="Times New Roman"/>
          <w:sz w:val="20"/>
        </w:rPr>
        <w:t>may</w:t>
      </w:r>
      <w:r w:rsidR="0090269D" w:rsidRPr="004F2D82">
        <w:rPr>
          <w:rFonts w:ascii="Times New Roman" w:hAnsi="Times New Roman"/>
          <w:sz w:val="20"/>
        </w:rPr>
        <w:t xml:space="preserve"> not </w:t>
      </w:r>
      <w:r w:rsidR="00A1348C" w:rsidRPr="004F2D82">
        <w:rPr>
          <w:rFonts w:ascii="Times New Roman" w:hAnsi="Times New Roman"/>
          <w:sz w:val="20"/>
        </w:rPr>
        <w:t>be relevant</w:t>
      </w:r>
      <w:r w:rsidR="0090269D" w:rsidRPr="004F2D82">
        <w:rPr>
          <w:rFonts w:ascii="Times New Roman" w:hAnsi="Times New Roman"/>
          <w:sz w:val="20"/>
        </w:rPr>
        <w:t xml:space="preserve">. </w:t>
      </w:r>
    </w:p>
    <w:p w14:paraId="02F49CD4" w14:textId="1B1BF515" w:rsidR="00664B4D" w:rsidRPr="004F2D82" w:rsidRDefault="003613CA"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r w:rsidRPr="004F2D82">
        <w:rPr>
          <w:rFonts w:ascii="Times New Roman" w:hAnsi="Times New Roman"/>
          <w:sz w:val="20"/>
        </w:rPr>
        <w:t>The</w:t>
      </w:r>
      <w:r w:rsidR="00FA1F09" w:rsidRPr="004F2D82">
        <w:rPr>
          <w:rFonts w:ascii="Times New Roman" w:hAnsi="Times New Roman"/>
          <w:sz w:val="20"/>
        </w:rPr>
        <w:t xml:space="preserve"> Committee considers that some of the requirements included in article 6</w:t>
      </w:r>
      <w:r w:rsidR="008B504D" w:rsidRPr="004F2D82">
        <w:rPr>
          <w:rFonts w:ascii="Times New Roman" w:hAnsi="Times New Roman"/>
          <w:sz w:val="20"/>
        </w:rPr>
        <w:t>(</w:t>
      </w:r>
      <w:r w:rsidR="00FA1F09" w:rsidRPr="004F2D82">
        <w:rPr>
          <w:rFonts w:ascii="Times New Roman" w:hAnsi="Times New Roman"/>
          <w:sz w:val="20"/>
        </w:rPr>
        <w:t>6</w:t>
      </w:r>
      <w:r w:rsidR="008B504D" w:rsidRPr="004F2D82">
        <w:rPr>
          <w:rFonts w:ascii="Times New Roman" w:hAnsi="Times New Roman"/>
          <w:sz w:val="20"/>
        </w:rPr>
        <w:t>)</w:t>
      </w:r>
      <w:r w:rsidR="00FA1F09" w:rsidRPr="004F2D82">
        <w:rPr>
          <w:rFonts w:ascii="Times New Roman" w:hAnsi="Times New Roman"/>
          <w:sz w:val="20"/>
        </w:rPr>
        <w:t xml:space="preserve"> </w:t>
      </w:r>
      <w:r w:rsidRPr="004F2D82">
        <w:rPr>
          <w:rFonts w:ascii="Times New Roman" w:hAnsi="Times New Roman"/>
          <w:sz w:val="20"/>
        </w:rPr>
        <w:t xml:space="preserve">nonetheless </w:t>
      </w:r>
      <w:r w:rsidR="00FA1F09" w:rsidRPr="004F2D82">
        <w:rPr>
          <w:rFonts w:ascii="Times New Roman" w:hAnsi="Times New Roman"/>
          <w:sz w:val="20"/>
        </w:rPr>
        <w:t xml:space="preserve">should be </w:t>
      </w:r>
      <w:r w:rsidR="006816D6" w:rsidRPr="004F2D82">
        <w:rPr>
          <w:rFonts w:ascii="Times New Roman" w:hAnsi="Times New Roman"/>
          <w:sz w:val="20"/>
        </w:rPr>
        <w:t xml:space="preserve">used as guidance </w:t>
      </w:r>
      <w:r w:rsidR="00B3279B" w:rsidRPr="004F2D82">
        <w:rPr>
          <w:rFonts w:ascii="Times New Roman" w:hAnsi="Times New Roman"/>
          <w:sz w:val="20"/>
        </w:rPr>
        <w:t>as to</w:t>
      </w:r>
      <w:r w:rsidR="006816D6" w:rsidRPr="004F2D82">
        <w:rPr>
          <w:rFonts w:ascii="Times New Roman" w:hAnsi="Times New Roman"/>
          <w:sz w:val="20"/>
        </w:rPr>
        <w:t xml:space="preserve"> what </w:t>
      </w:r>
      <w:r w:rsidR="00113EA2" w:rsidRPr="004F2D82">
        <w:rPr>
          <w:rFonts w:ascii="Times New Roman" w:hAnsi="Times New Roman"/>
          <w:sz w:val="20"/>
        </w:rPr>
        <w:t>constitute</w:t>
      </w:r>
      <w:r w:rsidR="006816D6" w:rsidRPr="004F2D82">
        <w:rPr>
          <w:rFonts w:ascii="Times New Roman" w:hAnsi="Times New Roman"/>
          <w:sz w:val="20"/>
        </w:rPr>
        <w:t>s</w:t>
      </w:r>
      <w:r w:rsidR="00113EA2" w:rsidRPr="004F2D82">
        <w:rPr>
          <w:rFonts w:ascii="Times New Roman" w:hAnsi="Times New Roman"/>
          <w:sz w:val="20"/>
        </w:rPr>
        <w:t xml:space="preserve"> </w:t>
      </w:r>
      <w:r w:rsidR="009B5521" w:rsidRPr="004F2D82">
        <w:rPr>
          <w:rFonts w:ascii="Times New Roman" w:hAnsi="Times New Roman"/>
          <w:sz w:val="20"/>
        </w:rPr>
        <w:t xml:space="preserve">elements of the obligation under article 7 to provide the public with “the necessary information”. </w:t>
      </w:r>
      <w:r w:rsidR="005541EF" w:rsidRPr="004F2D82">
        <w:rPr>
          <w:rFonts w:ascii="Times New Roman" w:hAnsi="Times New Roman"/>
          <w:sz w:val="20"/>
        </w:rPr>
        <w:t>The first element</w:t>
      </w:r>
      <w:r w:rsidR="009B5521" w:rsidRPr="004F2D82">
        <w:rPr>
          <w:rFonts w:ascii="Times New Roman" w:hAnsi="Times New Roman"/>
          <w:sz w:val="20"/>
        </w:rPr>
        <w:t xml:space="preserve"> is the obligation to provide “all information relevant to the decision-making</w:t>
      </w:r>
      <w:r w:rsidR="00942647" w:rsidRPr="004F2D82">
        <w:rPr>
          <w:rFonts w:ascii="Times New Roman" w:hAnsi="Times New Roman"/>
          <w:sz w:val="20"/>
        </w:rPr>
        <w:t xml:space="preserve"> [</w:t>
      </w:r>
      <w:r w:rsidR="009B5521" w:rsidRPr="004F2D82">
        <w:rPr>
          <w:rFonts w:ascii="Times New Roman" w:hAnsi="Times New Roman"/>
          <w:sz w:val="20"/>
        </w:rPr>
        <w:t>…</w:t>
      </w:r>
      <w:r w:rsidR="00942647" w:rsidRPr="004F2D82">
        <w:rPr>
          <w:rFonts w:ascii="Times New Roman" w:hAnsi="Times New Roman"/>
          <w:sz w:val="20"/>
        </w:rPr>
        <w:t>]</w:t>
      </w:r>
      <w:r w:rsidR="009B5521" w:rsidRPr="004F2D82">
        <w:rPr>
          <w:rFonts w:ascii="Times New Roman" w:hAnsi="Times New Roman"/>
          <w:sz w:val="20"/>
        </w:rPr>
        <w:t xml:space="preserve"> which is available at the time of the public participation procedure”. </w:t>
      </w:r>
      <w:r w:rsidR="002B5FAB" w:rsidRPr="004F2D82">
        <w:rPr>
          <w:rFonts w:ascii="Times New Roman" w:hAnsi="Times New Roman"/>
          <w:sz w:val="20"/>
        </w:rPr>
        <w:t xml:space="preserve">This </w:t>
      </w:r>
      <w:r w:rsidR="003B0E59" w:rsidRPr="004F2D82">
        <w:rPr>
          <w:rFonts w:ascii="Times New Roman" w:hAnsi="Times New Roman"/>
          <w:sz w:val="20"/>
        </w:rPr>
        <w:t>would include</w:t>
      </w:r>
      <w:r w:rsidR="00837EF9" w:rsidRPr="004F2D82">
        <w:rPr>
          <w:rFonts w:ascii="Times New Roman" w:hAnsi="Times New Roman"/>
          <w:sz w:val="20"/>
        </w:rPr>
        <w:t xml:space="preserve">, inter alia, </w:t>
      </w:r>
      <w:r w:rsidR="002B5FAB" w:rsidRPr="004F2D82">
        <w:rPr>
          <w:rFonts w:ascii="Times New Roman" w:hAnsi="Times New Roman"/>
          <w:sz w:val="20"/>
        </w:rPr>
        <w:t xml:space="preserve">the “main reports and advice issued to the public authority” </w:t>
      </w:r>
      <w:r w:rsidR="00837EF9" w:rsidRPr="004F2D82">
        <w:rPr>
          <w:rFonts w:ascii="Times New Roman" w:hAnsi="Times New Roman"/>
          <w:sz w:val="20"/>
        </w:rPr>
        <w:t xml:space="preserve">available </w:t>
      </w:r>
      <w:r w:rsidR="002B5FAB" w:rsidRPr="004F2D82">
        <w:rPr>
          <w:rFonts w:ascii="Times New Roman" w:hAnsi="Times New Roman"/>
          <w:sz w:val="20"/>
        </w:rPr>
        <w:t>at the time when the public is informed in accordance with article 6</w:t>
      </w:r>
      <w:r w:rsidR="008B504D" w:rsidRPr="004F2D82">
        <w:rPr>
          <w:rFonts w:ascii="Times New Roman" w:hAnsi="Times New Roman"/>
          <w:sz w:val="20"/>
        </w:rPr>
        <w:t xml:space="preserve">(2) </w:t>
      </w:r>
      <w:r w:rsidR="002B5FAB" w:rsidRPr="004F2D82">
        <w:rPr>
          <w:rFonts w:ascii="Times New Roman" w:hAnsi="Times New Roman"/>
          <w:sz w:val="20"/>
        </w:rPr>
        <w:t>(see article 6</w:t>
      </w:r>
      <w:r w:rsidR="008B504D" w:rsidRPr="004F2D82">
        <w:rPr>
          <w:rFonts w:ascii="Times New Roman" w:hAnsi="Times New Roman"/>
          <w:sz w:val="20"/>
        </w:rPr>
        <w:t>(</w:t>
      </w:r>
      <w:r w:rsidR="002B5FAB" w:rsidRPr="004F2D82">
        <w:rPr>
          <w:rFonts w:ascii="Times New Roman" w:hAnsi="Times New Roman"/>
          <w:sz w:val="20"/>
        </w:rPr>
        <w:t>6</w:t>
      </w:r>
      <w:r w:rsidR="008B504D" w:rsidRPr="004F2D82">
        <w:rPr>
          <w:rFonts w:ascii="Times New Roman" w:hAnsi="Times New Roman" w:cs="Times New Roman"/>
          <w:sz w:val="20"/>
          <w:szCs w:val="20"/>
        </w:rPr>
        <w:t>)(</w:t>
      </w:r>
      <w:r w:rsidR="002B5FAB" w:rsidRPr="004F2D82">
        <w:rPr>
          <w:rFonts w:ascii="Times New Roman" w:hAnsi="Times New Roman"/>
          <w:sz w:val="20"/>
        </w:rPr>
        <w:t>f)).</w:t>
      </w:r>
      <w:r w:rsidR="009619B9" w:rsidRPr="004F2D82">
        <w:rPr>
          <w:rFonts w:ascii="Times New Roman" w:hAnsi="Times New Roman"/>
          <w:sz w:val="20"/>
        </w:rPr>
        <w:t xml:space="preserve"> It would also include any available information on the effects of the proposed plan or programme on the environment (see article 6</w:t>
      </w:r>
      <w:r w:rsidR="008B504D" w:rsidRPr="004F2D82">
        <w:rPr>
          <w:rFonts w:ascii="Times New Roman" w:hAnsi="Times New Roman"/>
          <w:sz w:val="20"/>
        </w:rPr>
        <w:t>(</w:t>
      </w:r>
      <w:r w:rsidR="009619B9" w:rsidRPr="004F2D82">
        <w:rPr>
          <w:rFonts w:ascii="Times New Roman" w:hAnsi="Times New Roman"/>
          <w:sz w:val="20"/>
        </w:rPr>
        <w:t>6</w:t>
      </w:r>
      <w:r w:rsidR="008B504D" w:rsidRPr="004F2D82">
        <w:rPr>
          <w:rFonts w:ascii="Times New Roman" w:hAnsi="Times New Roman" w:cs="Times New Roman"/>
          <w:sz w:val="20"/>
          <w:szCs w:val="20"/>
        </w:rPr>
        <w:t>)</w:t>
      </w:r>
      <w:r w:rsidR="009619B9" w:rsidRPr="004F2D82">
        <w:rPr>
          <w:rFonts w:ascii="Times New Roman" w:hAnsi="Times New Roman" w:cs="Times New Roman"/>
          <w:sz w:val="20"/>
          <w:szCs w:val="20"/>
        </w:rPr>
        <w:t>(</w:t>
      </w:r>
      <w:r w:rsidR="009619B9" w:rsidRPr="004F2D82">
        <w:rPr>
          <w:rFonts w:ascii="Times New Roman" w:hAnsi="Times New Roman"/>
          <w:sz w:val="20"/>
        </w:rPr>
        <w:t>b</w:t>
      </w:r>
      <w:r w:rsidR="00210E37" w:rsidRPr="004F2D82">
        <w:rPr>
          <w:rFonts w:ascii="Times New Roman" w:hAnsi="Times New Roman"/>
          <w:sz w:val="20"/>
        </w:rPr>
        <w:t>)</w:t>
      </w:r>
      <w:r w:rsidR="009619B9" w:rsidRPr="004F2D82">
        <w:rPr>
          <w:rFonts w:ascii="Times New Roman" w:hAnsi="Times New Roman"/>
          <w:sz w:val="20"/>
        </w:rPr>
        <w:t>).</w:t>
      </w:r>
      <w:r w:rsidR="002B5FAB" w:rsidRPr="004F2D82">
        <w:rPr>
          <w:rFonts w:ascii="Times New Roman" w:hAnsi="Times New Roman"/>
          <w:sz w:val="20"/>
        </w:rPr>
        <w:t xml:space="preserve"> </w:t>
      </w:r>
      <w:r w:rsidR="004F7A14" w:rsidRPr="004F2D82">
        <w:rPr>
          <w:rFonts w:ascii="Times New Roman" w:hAnsi="Times New Roman"/>
          <w:sz w:val="20"/>
        </w:rPr>
        <w:t>A</w:t>
      </w:r>
      <w:r w:rsidR="005541EF" w:rsidRPr="004F2D82">
        <w:rPr>
          <w:rFonts w:ascii="Times New Roman" w:hAnsi="Times New Roman"/>
          <w:sz w:val="20"/>
        </w:rPr>
        <w:t xml:space="preserve"> s</w:t>
      </w:r>
      <w:r w:rsidR="009B5521" w:rsidRPr="004F2D82">
        <w:rPr>
          <w:rFonts w:ascii="Times New Roman" w:hAnsi="Times New Roman"/>
          <w:sz w:val="20"/>
        </w:rPr>
        <w:t>econd</w:t>
      </w:r>
      <w:r w:rsidR="004F7A14" w:rsidRPr="004F2D82">
        <w:rPr>
          <w:rFonts w:ascii="Times New Roman" w:hAnsi="Times New Roman"/>
          <w:sz w:val="20"/>
        </w:rPr>
        <w:t xml:space="preserve"> element</w:t>
      </w:r>
      <w:r w:rsidR="009B5521" w:rsidRPr="004F2D82">
        <w:rPr>
          <w:rFonts w:ascii="Times New Roman" w:hAnsi="Times New Roman"/>
          <w:sz w:val="20"/>
        </w:rPr>
        <w:t xml:space="preserve"> is the obligation to provide an “outline of the main alternatives studied by the applicant” which in </w:t>
      </w:r>
      <w:r w:rsidR="00B3279B" w:rsidRPr="004F2D82">
        <w:rPr>
          <w:rFonts w:ascii="Times New Roman" w:hAnsi="Times New Roman"/>
          <w:sz w:val="20"/>
        </w:rPr>
        <w:t xml:space="preserve">the </w:t>
      </w:r>
      <w:r w:rsidR="009B5521" w:rsidRPr="004F2D82">
        <w:rPr>
          <w:rFonts w:ascii="Times New Roman" w:hAnsi="Times New Roman"/>
          <w:sz w:val="20"/>
        </w:rPr>
        <w:t xml:space="preserve">case of plans and programmes would mean those studied by the </w:t>
      </w:r>
      <w:r w:rsidR="00B5456C" w:rsidRPr="004F2D82">
        <w:rPr>
          <w:rFonts w:ascii="Times New Roman" w:hAnsi="Times New Roman"/>
          <w:sz w:val="20"/>
        </w:rPr>
        <w:t xml:space="preserve">competent </w:t>
      </w:r>
      <w:r w:rsidR="009B5521" w:rsidRPr="004F2D82">
        <w:rPr>
          <w:rFonts w:ascii="Times New Roman" w:hAnsi="Times New Roman"/>
          <w:sz w:val="20"/>
        </w:rPr>
        <w:t xml:space="preserve">authority responsible for the preparation of the given plan or programme. </w:t>
      </w:r>
    </w:p>
    <w:p w14:paraId="0CD72679" w14:textId="1A03BCF5" w:rsidR="00085FEB" w:rsidRPr="004F2D82" w:rsidRDefault="002E6C50" w:rsidP="00FD13A4">
      <w:pPr>
        <w:numPr>
          <w:ilvl w:val="0"/>
          <w:numId w:val="2"/>
        </w:numPr>
        <w:tabs>
          <w:tab w:val="num" w:pos="540"/>
        </w:tabs>
        <w:suppressAutoHyphens/>
        <w:spacing w:after="120" w:line="240" w:lineRule="atLeast"/>
        <w:ind w:left="540" w:right="1134" w:firstLine="0"/>
        <w:jc w:val="both"/>
        <w:rPr>
          <w:rFonts w:ascii="Times New Roman" w:hAnsi="Times New Roman"/>
          <w:sz w:val="20"/>
        </w:rPr>
      </w:pPr>
      <w:bookmarkStart w:id="27" w:name="_Ref518116521"/>
      <w:r w:rsidRPr="004F2D82">
        <w:rPr>
          <w:rFonts w:ascii="Times New Roman" w:hAnsi="Times New Roman"/>
          <w:sz w:val="20"/>
        </w:rPr>
        <w:t>In the light of the above observations</w:t>
      </w:r>
      <w:r w:rsidR="00222BE5" w:rsidRPr="004F2D82">
        <w:rPr>
          <w:rFonts w:ascii="Times New Roman" w:hAnsi="Times New Roman"/>
          <w:sz w:val="20"/>
        </w:rPr>
        <w:t>,</w:t>
      </w:r>
      <w:r w:rsidRPr="004F2D82">
        <w:rPr>
          <w:rFonts w:ascii="Times New Roman" w:hAnsi="Times New Roman"/>
          <w:sz w:val="20"/>
        </w:rPr>
        <w:t xml:space="preserve"> the Committee considers that the obligation </w:t>
      </w:r>
      <w:r w:rsidR="00AB4154" w:rsidRPr="004F2D82">
        <w:rPr>
          <w:rFonts w:ascii="Times New Roman" w:hAnsi="Times New Roman"/>
          <w:sz w:val="20"/>
        </w:rPr>
        <w:t xml:space="preserve">in article 7 </w:t>
      </w:r>
      <w:r w:rsidRPr="004F2D82">
        <w:rPr>
          <w:rFonts w:ascii="Times New Roman" w:hAnsi="Times New Roman"/>
          <w:sz w:val="20"/>
        </w:rPr>
        <w:t>to provide “</w:t>
      </w:r>
      <w:r w:rsidR="00AB4154" w:rsidRPr="004F2D82">
        <w:rPr>
          <w:rFonts w:ascii="Times New Roman" w:hAnsi="Times New Roman"/>
          <w:sz w:val="20"/>
        </w:rPr>
        <w:t xml:space="preserve">the </w:t>
      </w:r>
      <w:r w:rsidRPr="004F2D82">
        <w:rPr>
          <w:rFonts w:ascii="Times New Roman" w:hAnsi="Times New Roman"/>
          <w:sz w:val="20"/>
        </w:rPr>
        <w:t>necessary information</w:t>
      </w:r>
      <w:r w:rsidR="0019022D" w:rsidRPr="004F2D82">
        <w:rPr>
          <w:rFonts w:ascii="Times New Roman" w:eastAsia="Times New Roman" w:hAnsi="Times New Roman" w:cs="Times New Roman"/>
          <w:sz w:val="20"/>
          <w:szCs w:val="20"/>
        </w:rPr>
        <w:t xml:space="preserve"> to the public</w:t>
      </w:r>
      <w:r w:rsidRPr="004F2D82">
        <w:rPr>
          <w:rFonts w:ascii="Times New Roman" w:hAnsi="Times New Roman"/>
          <w:sz w:val="20"/>
        </w:rPr>
        <w:t xml:space="preserve">” </w:t>
      </w:r>
      <w:r w:rsidR="0059603F" w:rsidRPr="004F2D82">
        <w:rPr>
          <w:rFonts w:ascii="Times New Roman" w:hAnsi="Times New Roman"/>
          <w:sz w:val="20"/>
        </w:rPr>
        <w:t xml:space="preserve">includes requirements </w:t>
      </w:r>
      <w:r w:rsidRPr="004F2D82">
        <w:rPr>
          <w:rFonts w:ascii="Times New Roman" w:hAnsi="Times New Roman"/>
          <w:sz w:val="20"/>
        </w:rPr>
        <w:t>both</w:t>
      </w:r>
      <w:r w:rsidR="00085FEB" w:rsidRPr="004F2D82">
        <w:rPr>
          <w:rFonts w:ascii="Times New Roman" w:hAnsi="Times New Roman"/>
          <w:sz w:val="20"/>
        </w:rPr>
        <w:t>:</w:t>
      </w:r>
      <w:bookmarkEnd w:id="27"/>
      <w:r w:rsidRPr="004F2D82">
        <w:rPr>
          <w:rFonts w:ascii="Times New Roman" w:hAnsi="Times New Roman"/>
          <w:sz w:val="20"/>
        </w:rPr>
        <w:t xml:space="preserve"> </w:t>
      </w:r>
    </w:p>
    <w:p w14:paraId="4FBB818E" w14:textId="3E84037C" w:rsidR="00085FEB" w:rsidRPr="004F2D82" w:rsidRDefault="00C55C68" w:rsidP="00A244F5">
      <w:pPr>
        <w:suppressAutoHyphens/>
        <w:spacing w:after="120" w:line="240" w:lineRule="atLeast"/>
        <w:ind w:left="567" w:right="1134"/>
        <w:jc w:val="both"/>
        <w:rPr>
          <w:rFonts w:ascii="Times New Roman" w:hAnsi="Times New Roman"/>
          <w:sz w:val="20"/>
        </w:rPr>
      </w:pPr>
      <w:r w:rsidRPr="004F2D82">
        <w:rPr>
          <w:rFonts w:ascii="Times New Roman" w:hAnsi="Times New Roman"/>
          <w:sz w:val="20"/>
        </w:rPr>
        <w:t>(</w:t>
      </w:r>
      <w:r w:rsidR="004C3B86" w:rsidRPr="004F2D82">
        <w:rPr>
          <w:rFonts w:ascii="Times New Roman" w:eastAsia="Times New Roman" w:hAnsi="Times New Roman" w:cs="Times New Roman"/>
          <w:sz w:val="20"/>
          <w:szCs w:val="20"/>
        </w:rPr>
        <w:t>a</w:t>
      </w:r>
      <w:r w:rsidRPr="004F2D82">
        <w:rPr>
          <w:rFonts w:ascii="Times New Roman" w:hAnsi="Times New Roman"/>
          <w:sz w:val="20"/>
        </w:rPr>
        <w:t xml:space="preserve">) </w:t>
      </w:r>
      <w:r w:rsidR="00085FEB" w:rsidRPr="004F2D82">
        <w:rPr>
          <w:rFonts w:ascii="Times New Roman" w:hAnsi="Times New Roman"/>
          <w:sz w:val="20"/>
        </w:rPr>
        <w:tab/>
      </w:r>
      <w:r w:rsidR="00660FD2" w:rsidRPr="004F2D82">
        <w:rPr>
          <w:rFonts w:ascii="Times New Roman" w:hAnsi="Times New Roman"/>
          <w:sz w:val="20"/>
        </w:rPr>
        <w:t>T</w:t>
      </w:r>
      <w:r w:rsidR="009D1DBA" w:rsidRPr="004F2D82">
        <w:rPr>
          <w:rFonts w:ascii="Times New Roman" w:hAnsi="Times New Roman"/>
          <w:sz w:val="20"/>
        </w:rPr>
        <w:t xml:space="preserve">o actively disseminate </w:t>
      </w:r>
      <w:r w:rsidR="002E6C50" w:rsidRPr="004F2D82">
        <w:rPr>
          <w:rFonts w:ascii="Times New Roman" w:hAnsi="Times New Roman"/>
          <w:sz w:val="20"/>
        </w:rPr>
        <w:t>the information indicated in art</w:t>
      </w:r>
      <w:r w:rsidR="00D14987" w:rsidRPr="004F2D82">
        <w:rPr>
          <w:rFonts w:ascii="Times New Roman" w:hAnsi="Times New Roman"/>
          <w:sz w:val="20"/>
        </w:rPr>
        <w:t xml:space="preserve">icle </w:t>
      </w:r>
      <w:r w:rsidR="002E6C50" w:rsidRPr="004F2D82">
        <w:rPr>
          <w:rFonts w:ascii="Times New Roman" w:hAnsi="Times New Roman"/>
          <w:sz w:val="20"/>
        </w:rPr>
        <w:t>6</w:t>
      </w:r>
      <w:r w:rsidR="001C3262" w:rsidRPr="004F2D82">
        <w:rPr>
          <w:rFonts w:ascii="Times New Roman" w:hAnsi="Times New Roman"/>
          <w:sz w:val="20"/>
        </w:rPr>
        <w:t xml:space="preserve">(2) </w:t>
      </w:r>
      <w:r w:rsidR="002E6C50" w:rsidRPr="004F2D82">
        <w:rPr>
          <w:rFonts w:ascii="Times New Roman" w:hAnsi="Times New Roman"/>
          <w:sz w:val="20"/>
        </w:rPr>
        <w:t xml:space="preserve">including information about the </w:t>
      </w:r>
      <w:r w:rsidR="000E4BC1" w:rsidRPr="004F2D82">
        <w:rPr>
          <w:rFonts w:ascii="Times New Roman" w:hAnsi="Times New Roman"/>
          <w:sz w:val="20"/>
        </w:rPr>
        <w:t xml:space="preserve">possibilities to participate and </w:t>
      </w:r>
      <w:r w:rsidR="002E6C50" w:rsidRPr="004F2D82">
        <w:rPr>
          <w:rFonts w:ascii="Times New Roman" w:hAnsi="Times New Roman"/>
          <w:sz w:val="20"/>
        </w:rPr>
        <w:t>availability of the relevant information</w:t>
      </w:r>
      <w:r w:rsidR="00D12736" w:rsidRPr="004F2D82">
        <w:rPr>
          <w:rFonts w:ascii="Times New Roman" w:hAnsi="Times New Roman"/>
          <w:sz w:val="20"/>
        </w:rPr>
        <w:t xml:space="preserve">; </w:t>
      </w:r>
      <w:r w:rsidR="009D1DBA" w:rsidRPr="004F2D82">
        <w:rPr>
          <w:rFonts w:ascii="Times New Roman" w:hAnsi="Times New Roman"/>
          <w:sz w:val="20"/>
        </w:rPr>
        <w:t>and</w:t>
      </w:r>
      <w:r w:rsidR="000E4BC1" w:rsidRPr="004F2D82">
        <w:rPr>
          <w:rFonts w:ascii="Times New Roman" w:hAnsi="Times New Roman"/>
          <w:sz w:val="20"/>
        </w:rPr>
        <w:t xml:space="preserve"> </w:t>
      </w:r>
    </w:p>
    <w:p w14:paraId="5920DABB" w14:textId="692722FF" w:rsidR="00F65547" w:rsidRPr="004F2D82" w:rsidRDefault="00C55C68" w:rsidP="00954170">
      <w:pPr>
        <w:suppressAutoHyphens/>
        <w:spacing w:after="120" w:line="240" w:lineRule="atLeast"/>
        <w:ind w:left="540" w:right="1134"/>
        <w:jc w:val="both"/>
        <w:rPr>
          <w:rFonts w:ascii="Times New Roman" w:hAnsi="Times New Roman"/>
          <w:sz w:val="20"/>
        </w:rPr>
      </w:pPr>
      <w:r w:rsidRPr="004F2D82">
        <w:rPr>
          <w:rFonts w:ascii="Times New Roman" w:hAnsi="Times New Roman"/>
          <w:sz w:val="20"/>
        </w:rPr>
        <w:t>(</w:t>
      </w:r>
      <w:r w:rsidR="004C3B86" w:rsidRPr="004F2D82">
        <w:rPr>
          <w:rFonts w:ascii="Times New Roman" w:eastAsia="Times New Roman" w:hAnsi="Times New Roman" w:cs="Times New Roman"/>
          <w:sz w:val="20"/>
          <w:szCs w:val="20"/>
        </w:rPr>
        <w:t>b</w:t>
      </w:r>
      <w:r w:rsidRPr="004F2D82">
        <w:rPr>
          <w:rFonts w:ascii="Times New Roman" w:hAnsi="Times New Roman"/>
          <w:sz w:val="20"/>
        </w:rPr>
        <w:t xml:space="preserve">) </w:t>
      </w:r>
      <w:r w:rsidR="00085FEB" w:rsidRPr="004F2D82">
        <w:rPr>
          <w:rFonts w:ascii="Times New Roman" w:hAnsi="Times New Roman"/>
          <w:sz w:val="20"/>
        </w:rPr>
        <w:tab/>
      </w:r>
      <w:r w:rsidR="00660FD2" w:rsidRPr="004F2D82">
        <w:rPr>
          <w:rFonts w:ascii="Times New Roman" w:hAnsi="Times New Roman"/>
          <w:sz w:val="20"/>
        </w:rPr>
        <w:t>T</w:t>
      </w:r>
      <w:r w:rsidR="002E6C50" w:rsidRPr="004F2D82">
        <w:rPr>
          <w:rFonts w:ascii="Times New Roman" w:hAnsi="Times New Roman"/>
          <w:sz w:val="20"/>
        </w:rPr>
        <w:t>o make available</w:t>
      </w:r>
      <w:r w:rsidR="000E4BC1" w:rsidRPr="004F2D82">
        <w:rPr>
          <w:rFonts w:ascii="Times New Roman" w:hAnsi="Times New Roman"/>
          <w:sz w:val="20"/>
        </w:rPr>
        <w:t xml:space="preserve"> to the public all information that is in possession of the </w:t>
      </w:r>
      <w:r w:rsidR="00FC01D3" w:rsidRPr="004F2D82">
        <w:rPr>
          <w:rFonts w:ascii="Times New Roman" w:hAnsi="Times New Roman"/>
          <w:sz w:val="20"/>
        </w:rPr>
        <w:t xml:space="preserve">competent </w:t>
      </w:r>
      <w:r w:rsidR="000E4BC1" w:rsidRPr="004F2D82">
        <w:rPr>
          <w:rFonts w:ascii="Times New Roman" w:hAnsi="Times New Roman"/>
          <w:sz w:val="20"/>
        </w:rPr>
        <w:t xml:space="preserve">authorities and is relevant to the decision-making and </w:t>
      </w:r>
      <w:r w:rsidR="00690FB2" w:rsidRPr="004F2D82">
        <w:rPr>
          <w:rFonts w:ascii="Times New Roman" w:hAnsi="Times New Roman"/>
          <w:sz w:val="20"/>
        </w:rPr>
        <w:t xml:space="preserve">is </w:t>
      </w:r>
      <w:r w:rsidR="00CB41A6" w:rsidRPr="004F2D82">
        <w:rPr>
          <w:rFonts w:ascii="Times New Roman" w:eastAsia="Times New Roman" w:hAnsi="Times New Roman" w:cs="Times New Roman"/>
          <w:sz w:val="20"/>
          <w:szCs w:val="20"/>
        </w:rPr>
        <w:t xml:space="preserve">to be </w:t>
      </w:r>
      <w:r w:rsidR="000E4BC1" w:rsidRPr="004F2D82">
        <w:rPr>
          <w:rFonts w:ascii="Times New Roman" w:hAnsi="Times New Roman"/>
          <w:sz w:val="20"/>
        </w:rPr>
        <w:t>used for th</w:t>
      </w:r>
      <w:r w:rsidR="009E614E" w:rsidRPr="004F2D82">
        <w:rPr>
          <w:rFonts w:ascii="Times New Roman" w:hAnsi="Times New Roman"/>
          <w:sz w:val="20"/>
        </w:rPr>
        <w:t>at</w:t>
      </w:r>
      <w:r w:rsidR="000E4BC1" w:rsidRPr="004F2D82">
        <w:rPr>
          <w:rFonts w:ascii="Times New Roman" w:hAnsi="Times New Roman"/>
          <w:sz w:val="20"/>
        </w:rPr>
        <w:t xml:space="preserve"> purpose</w:t>
      </w:r>
      <w:r w:rsidR="006A5280" w:rsidRPr="004F2D82">
        <w:rPr>
          <w:rFonts w:ascii="Times New Roman" w:hAnsi="Times New Roman"/>
          <w:sz w:val="20"/>
        </w:rPr>
        <w:t xml:space="preserve">. </w:t>
      </w:r>
      <w:bookmarkStart w:id="28" w:name="_Ref500181354"/>
      <w:r w:rsidR="000E4BC1" w:rsidRPr="004F2D82">
        <w:rPr>
          <w:rFonts w:ascii="Times New Roman" w:hAnsi="Times New Roman"/>
          <w:sz w:val="20"/>
        </w:rPr>
        <w:t>The relevant information</w:t>
      </w:r>
      <w:r w:rsidRPr="004F2D82">
        <w:rPr>
          <w:rFonts w:ascii="Times New Roman" w:hAnsi="Times New Roman"/>
          <w:sz w:val="20"/>
        </w:rPr>
        <w:t xml:space="preserve"> under category (</w:t>
      </w:r>
      <w:r w:rsidR="00525674" w:rsidRPr="004F2D82">
        <w:rPr>
          <w:rFonts w:ascii="Times New Roman" w:eastAsia="Times New Roman" w:hAnsi="Times New Roman" w:cs="Times New Roman"/>
          <w:sz w:val="20"/>
          <w:szCs w:val="20"/>
        </w:rPr>
        <w:t>b</w:t>
      </w:r>
      <w:r w:rsidRPr="004F2D82">
        <w:rPr>
          <w:rFonts w:ascii="Times New Roman" w:hAnsi="Times New Roman"/>
          <w:sz w:val="20"/>
        </w:rPr>
        <w:t>)</w:t>
      </w:r>
      <w:r w:rsidR="000E4BC1" w:rsidRPr="004F2D82">
        <w:rPr>
          <w:rFonts w:ascii="Times New Roman" w:hAnsi="Times New Roman"/>
          <w:sz w:val="20"/>
        </w:rPr>
        <w:t xml:space="preserve"> would </w:t>
      </w:r>
      <w:r w:rsidR="00F65547" w:rsidRPr="004F2D82">
        <w:rPr>
          <w:rFonts w:ascii="Times New Roman" w:hAnsi="Times New Roman"/>
          <w:sz w:val="20"/>
        </w:rPr>
        <w:t xml:space="preserve">normally </w:t>
      </w:r>
      <w:r w:rsidR="000E4BC1" w:rsidRPr="004F2D82">
        <w:rPr>
          <w:rFonts w:ascii="Times New Roman" w:hAnsi="Times New Roman"/>
          <w:sz w:val="20"/>
        </w:rPr>
        <w:t>include the following information</w:t>
      </w:r>
      <w:r w:rsidRPr="004F2D82">
        <w:rPr>
          <w:rFonts w:ascii="Times New Roman" w:hAnsi="Times New Roman"/>
          <w:sz w:val="20"/>
        </w:rPr>
        <w:t>:</w:t>
      </w:r>
      <w:bookmarkEnd w:id="28"/>
    </w:p>
    <w:p w14:paraId="3DAB43B8" w14:textId="0E800361" w:rsidR="004A4FDA" w:rsidRPr="004F2D82" w:rsidRDefault="00525674" w:rsidP="00FD13A4">
      <w:pPr>
        <w:pStyle w:val="ListParagraph"/>
        <w:numPr>
          <w:ilvl w:val="1"/>
          <w:numId w:val="4"/>
        </w:numPr>
        <w:suppressAutoHyphens/>
        <w:spacing w:after="120" w:line="240" w:lineRule="atLeast"/>
        <w:ind w:right="1134" w:hanging="846"/>
        <w:jc w:val="both"/>
        <w:rPr>
          <w:rFonts w:ascii="Times New Roman" w:hAnsi="Times New Roman"/>
          <w:sz w:val="20"/>
        </w:rPr>
      </w:pPr>
      <w:r w:rsidRPr="004F2D82">
        <w:rPr>
          <w:rFonts w:ascii="Times New Roman" w:eastAsia="Times New Roman" w:hAnsi="Times New Roman" w:cs="Times New Roman"/>
          <w:sz w:val="20"/>
          <w:szCs w:val="20"/>
        </w:rPr>
        <w:t>The m</w:t>
      </w:r>
      <w:r w:rsidR="00F65547" w:rsidRPr="004F2D82">
        <w:rPr>
          <w:rFonts w:ascii="Times New Roman" w:eastAsia="Times New Roman" w:hAnsi="Times New Roman" w:cs="Times New Roman"/>
          <w:sz w:val="20"/>
          <w:szCs w:val="20"/>
        </w:rPr>
        <w:t>ain</w:t>
      </w:r>
      <w:r w:rsidR="00F65547" w:rsidRPr="004F2D82">
        <w:rPr>
          <w:rFonts w:ascii="Times New Roman" w:hAnsi="Times New Roman"/>
          <w:sz w:val="20"/>
        </w:rPr>
        <w:t xml:space="preserve"> reports and advice issued to the competent authority</w:t>
      </w:r>
      <w:r w:rsidR="00222BE5" w:rsidRPr="004F2D82">
        <w:rPr>
          <w:rFonts w:ascii="Times New Roman" w:hAnsi="Times New Roman"/>
          <w:sz w:val="20"/>
        </w:rPr>
        <w:t>;</w:t>
      </w:r>
    </w:p>
    <w:p w14:paraId="13A6CFCF" w14:textId="1FCE2F3E" w:rsidR="00F65547" w:rsidRPr="004F2D82" w:rsidRDefault="00F65547" w:rsidP="005B7F20">
      <w:pPr>
        <w:numPr>
          <w:ilvl w:val="1"/>
          <w:numId w:val="4"/>
        </w:numPr>
        <w:tabs>
          <w:tab w:val="left" w:pos="1134"/>
        </w:tabs>
        <w:suppressAutoHyphens/>
        <w:spacing w:after="120" w:line="240" w:lineRule="atLeast"/>
        <w:ind w:left="1134" w:right="1134" w:firstLine="0"/>
        <w:jc w:val="both"/>
        <w:rPr>
          <w:rFonts w:ascii="Times New Roman" w:hAnsi="Times New Roman"/>
          <w:sz w:val="20"/>
        </w:rPr>
      </w:pPr>
      <w:bookmarkStart w:id="29" w:name="_Ref518382068"/>
      <w:r w:rsidRPr="004F2D82">
        <w:rPr>
          <w:rFonts w:ascii="Times New Roman" w:hAnsi="Times New Roman"/>
          <w:sz w:val="20"/>
        </w:rPr>
        <w:lastRenderedPageBreak/>
        <w:t>Any information regarding possible environmental consequences</w:t>
      </w:r>
      <w:r w:rsidR="00FC521E" w:rsidRPr="004F2D82">
        <w:rPr>
          <w:rFonts w:ascii="Times New Roman" w:hAnsi="Times New Roman"/>
          <w:sz w:val="20"/>
        </w:rPr>
        <w:t xml:space="preserve"> and cost-benefit and other economic analyses and assumptions </w:t>
      </w:r>
      <w:r w:rsidR="00216B6D" w:rsidRPr="004F2D82">
        <w:rPr>
          <w:rFonts w:ascii="Times New Roman" w:hAnsi="Times New Roman"/>
          <w:sz w:val="20"/>
        </w:rPr>
        <w:t xml:space="preserve">to be </w:t>
      </w:r>
      <w:r w:rsidR="00FC521E" w:rsidRPr="004F2D82">
        <w:rPr>
          <w:rFonts w:ascii="Times New Roman" w:hAnsi="Times New Roman"/>
          <w:sz w:val="20"/>
        </w:rPr>
        <w:t>used in the decision-making</w:t>
      </w:r>
      <w:r w:rsidR="00222BE5" w:rsidRPr="004F2D82">
        <w:rPr>
          <w:rFonts w:ascii="Times New Roman" w:hAnsi="Times New Roman"/>
          <w:sz w:val="20"/>
        </w:rPr>
        <w:t>;</w:t>
      </w:r>
      <w:bookmarkEnd w:id="29"/>
    </w:p>
    <w:p w14:paraId="3995897A" w14:textId="45F8335B" w:rsidR="009E614E" w:rsidRPr="004F2D82" w:rsidRDefault="00525674" w:rsidP="00C02377">
      <w:pPr>
        <w:numPr>
          <w:ilvl w:val="1"/>
          <w:numId w:val="4"/>
        </w:numPr>
        <w:tabs>
          <w:tab w:val="left" w:pos="1134"/>
        </w:tabs>
        <w:suppressAutoHyphens/>
        <w:spacing w:after="120" w:line="240" w:lineRule="atLeast"/>
        <w:ind w:left="1134" w:right="1134" w:firstLine="0"/>
        <w:jc w:val="both"/>
        <w:rPr>
          <w:rFonts w:ascii="Times New Roman" w:hAnsi="Times New Roman"/>
          <w:sz w:val="20"/>
        </w:rPr>
      </w:pPr>
      <w:r w:rsidRPr="004F2D82">
        <w:rPr>
          <w:rFonts w:ascii="Times New Roman" w:eastAsia="Times New Roman" w:hAnsi="Times New Roman" w:cs="Times New Roman"/>
          <w:sz w:val="20"/>
          <w:szCs w:val="20"/>
        </w:rPr>
        <w:t>An o</w:t>
      </w:r>
      <w:r w:rsidR="009E614E" w:rsidRPr="004F2D82">
        <w:rPr>
          <w:rFonts w:ascii="Times New Roman" w:eastAsia="Times New Roman" w:hAnsi="Times New Roman" w:cs="Times New Roman"/>
          <w:sz w:val="20"/>
          <w:szCs w:val="20"/>
        </w:rPr>
        <w:t>utline</w:t>
      </w:r>
      <w:r w:rsidR="009E614E" w:rsidRPr="004F2D82">
        <w:rPr>
          <w:rFonts w:ascii="Times New Roman" w:hAnsi="Times New Roman"/>
          <w:sz w:val="20"/>
        </w:rPr>
        <w:t xml:space="preserve"> of the main alternatives studied by the competent authority</w:t>
      </w:r>
      <w:r w:rsidR="00222BE5" w:rsidRPr="004F2D82">
        <w:rPr>
          <w:rFonts w:ascii="Times New Roman" w:hAnsi="Times New Roman"/>
          <w:sz w:val="20"/>
        </w:rPr>
        <w:t>.</w:t>
      </w:r>
    </w:p>
    <w:p w14:paraId="6829C578" w14:textId="2462DDF9" w:rsidR="007E010F" w:rsidRPr="004F2D82" w:rsidRDefault="00B54AC3" w:rsidP="00A32B7B">
      <w:pPr>
        <w:tabs>
          <w:tab w:val="left" w:pos="1134"/>
        </w:tabs>
        <w:suppressAutoHyphens/>
        <w:spacing w:before="240" w:after="120" w:line="240" w:lineRule="atLeast"/>
        <w:ind w:left="567" w:right="1134"/>
        <w:jc w:val="both"/>
        <w:rPr>
          <w:rFonts w:ascii="Times New Roman" w:eastAsia="Times New Roman" w:hAnsi="Times New Roman" w:cs="Times New Roman"/>
          <w:bCs/>
          <w:i/>
          <w:iCs/>
          <w:sz w:val="20"/>
          <w:szCs w:val="20"/>
        </w:rPr>
      </w:pPr>
      <w:r w:rsidRPr="004F2D82">
        <w:rPr>
          <w:rFonts w:ascii="Times New Roman" w:eastAsia="Times New Roman" w:hAnsi="Times New Roman" w:cs="Times New Roman"/>
          <w:bCs/>
          <w:i/>
          <w:iCs/>
          <w:sz w:val="20"/>
          <w:szCs w:val="20"/>
        </w:rPr>
        <w:t>I</w:t>
      </w:r>
      <w:r w:rsidR="002C6BF8" w:rsidRPr="004F2D82">
        <w:rPr>
          <w:rFonts w:ascii="Times New Roman" w:eastAsia="Times New Roman" w:hAnsi="Times New Roman" w:cs="Times New Roman"/>
          <w:bCs/>
          <w:i/>
          <w:iCs/>
          <w:sz w:val="20"/>
          <w:szCs w:val="20"/>
        </w:rPr>
        <w:t>nformation provided during</w:t>
      </w:r>
      <w:r w:rsidR="00AB4154" w:rsidRPr="004F2D82">
        <w:rPr>
          <w:rFonts w:ascii="Times New Roman" w:eastAsia="Times New Roman" w:hAnsi="Times New Roman" w:cs="Times New Roman"/>
          <w:bCs/>
          <w:i/>
          <w:iCs/>
          <w:sz w:val="20"/>
          <w:szCs w:val="20"/>
        </w:rPr>
        <w:t xml:space="preserve"> </w:t>
      </w:r>
      <w:r w:rsidR="00222BE5" w:rsidRPr="004F2D82">
        <w:rPr>
          <w:rFonts w:ascii="Times New Roman" w:eastAsia="Times New Roman" w:hAnsi="Times New Roman" w:cs="Times New Roman"/>
          <w:bCs/>
          <w:i/>
          <w:iCs/>
          <w:sz w:val="20"/>
          <w:szCs w:val="20"/>
        </w:rPr>
        <w:t xml:space="preserve">the consultation </w:t>
      </w:r>
      <w:r w:rsidRPr="004F2D82">
        <w:rPr>
          <w:rFonts w:ascii="Times New Roman" w:eastAsia="Times New Roman" w:hAnsi="Times New Roman" w:cs="Times New Roman"/>
          <w:bCs/>
          <w:i/>
          <w:iCs/>
          <w:sz w:val="20"/>
          <w:szCs w:val="20"/>
        </w:rPr>
        <w:t>on the DNS</w:t>
      </w:r>
    </w:p>
    <w:p w14:paraId="35B3D3DE" w14:textId="5C710896" w:rsidR="00933A53" w:rsidRPr="004F2D82" w:rsidRDefault="00933A53" w:rsidP="00FD13A4">
      <w:pPr>
        <w:numPr>
          <w:ilvl w:val="0"/>
          <w:numId w:val="2"/>
        </w:numPr>
        <w:tabs>
          <w:tab w:val="num" w:pos="540"/>
        </w:tabs>
        <w:suppressAutoHyphens/>
        <w:spacing w:after="120" w:line="240" w:lineRule="atLeast"/>
        <w:ind w:left="540" w:right="1134" w:firstLine="0"/>
        <w:jc w:val="both"/>
        <w:rPr>
          <w:rFonts w:ascii="Times New Roman" w:hAnsi="Times New Roman"/>
          <w:sz w:val="20"/>
          <w:u w:val="single"/>
        </w:rPr>
      </w:pPr>
      <w:r w:rsidRPr="004F2D82">
        <w:rPr>
          <w:rFonts w:ascii="Times New Roman" w:hAnsi="Times New Roman"/>
          <w:sz w:val="20"/>
        </w:rPr>
        <w:t xml:space="preserve">Turning to the </w:t>
      </w:r>
      <w:r w:rsidR="005E2F54" w:rsidRPr="004F2D82">
        <w:rPr>
          <w:rFonts w:ascii="Times New Roman" w:hAnsi="Times New Roman"/>
          <w:sz w:val="20"/>
        </w:rPr>
        <w:t xml:space="preserve">specific </w:t>
      </w:r>
      <w:r w:rsidRPr="004F2D82">
        <w:rPr>
          <w:rFonts w:ascii="Times New Roman" w:hAnsi="Times New Roman"/>
          <w:sz w:val="20"/>
        </w:rPr>
        <w:t>submissions of the communicant, the Committee notes that the communicant</w:t>
      </w:r>
      <w:r w:rsidR="006E49B8" w:rsidRPr="004F2D82">
        <w:rPr>
          <w:rFonts w:ascii="Times New Roman" w:hAnsi="Times New Roman"/>
          <w:sz w:val="20"/>
        </w:rPr>
        <w:t xml:space="preserve"> </w:t>
      </w:r>
      <w:r w:rsidR="006E49B8" w:rsidRPr="004F2D82">
        <w:rPr>
          <w:rFonts w:ascii="Times New Roman" w:eastAsia="Times New Roman" w:hAnsi="Times New Roman" w:cs="Times New Roman"/>
          <w:sz w:val="20"/>
          <w:szCs w:val="20"/>
        </w:rPr>
        <w:t>alleges that the Party concerned failed</w:t>
      </w:r>
      <w:r w:rsidR="006E49B8" w:rsidRPr="004F2D82">
        <w:rPr>
          <w:rFonts w:ascii="Times New Roman" w:hAnsi="Times New Roman"/>
          <w:sz w:val="20"/>
        </w:rPr>
        <w:t xml:space="preserve"> to </w:t>
      </w:r>
      <w:r w:rsidR="006E49B8" w:rsidRPr="004F2D82">
        <w:rPr>
          <w:rFonts w:ascii="Times New Roman" w:eastAsia="Times New Roman" w:hAnsi="Times New Roman" w:cs="Times New Roman"/>
          <w:sz w:val="20"/>
          <w:szCs w:val="20"/>
        </w:rPr>
        <w:t xml:space="preserve">provide the necessary </w:t>
      </w:r>
      <w:r w:rsidR="006E49B8" w:rsidRPr="004F2D82">
        <w:rPr>
          <w:rFonts w:ascii="Times New Roman" w:hAnsi="Times New Roman"/>
          <w:sz w:val="20"/>
        </w:rPr>
        <w:t xml:space="preserve">information </w:t>
      </w:r>
      <w:r w:rsidR="006E49B8" w:rsidRPr="004F2D82">
        <w:rPr>
          <w:rFonts w:ascii="Times New Roman" w:eastAsia="Times New Roman" w:hAnsi="Times New Roman" w:cs="Times New Roman"/>
          <w:sz w:val="20"/>
          <w:szCs w:val="20"/>
        </w:rPr>
        <w:t xml:space="preserve">to the public in four main respects </w:t>
      </w:r>
      <w:r w:rsidRPr="004F2D82">
        <w:rPr>
          <w:rFonts w:ascii="Times New Roman" w:hAnsi="Times New Roman"/>
          <w:sz w:val="20"/>
        </w:rPr>
        <w:t>(see paras.</w:t>
      </w:r>
      <w:r w:rsidR="00210E37" w:rsidRPr="004F2D82">
        <w:rPr>
          <w:rFonts w:ascii="Times New Roman" w:hAnsi="Times New Roman"/>
          <w:sz w:val="20"/>
        </w:rPr>
        <w:t xml:space="preserve"> </w:t>
      </w:r>
      <w:r w:rsidR="00210E37" w:rsidRPr="004F2D82">
        <w:rPr>
          <w:rFonts w:ascii="Times New Roman" w:eastAsia="Times New Roman" w:hAnsi="Times New Roman" w:cs="Times New Roman"/>
          <w:sz w:val="20"/>
          <w:szCs w:val="20"/>
        </w:rPr>
        <w:fldChar w:fldCharType="begin"/>
      </w:r>
      <w:r w:rsidR="00210E37" w:rsidRPr="004F2D82">
        <w:rPr>
          <w:rFonts w:ascii="Times New Roman" w:eastAsia="Times New Roman" w:hAnsi="Times New Roman" w:cs="Times New Roman"/>
          <w:sz w:val="20"/>
          <w:szCs w:val="20"/>
        </w:rPr>
        <w:instrText xml:space="preserve"> REF _Ref494299772 \r \h </w:instrText>
      </w:r>
      <w:r w:rsidR="004551B9" w:rsidRPr="004F2D82">
        <w:rPr>
          <w:rFonts w:ascii="Times New Roman" w:eastAsia="Times New Roman" w:hAnsi="Times New Roman" w:cs="Times New Roman"/>
          <w:sz w:val="20"/>
          <w:szCs w:val="20"/>
        </w:rPr>
        <w:instrText xml:space="preserve"> \* MERGEFORMAT </w:instrText>
      </w:r>
      <w:r w:rsidR="00210E37" w:rsidRPr="004F2D82">
        <w:rPr>
          <w:rFonts w:ascii="Times New Roman" w:eastAsia="Times New Roman" w:hAnsi="Times New Roman" w:cs="Times New Roman"/>
          <w:sz w:val="20"/>
          <w:szCs w:val="20"/>
        </w:rPr>
      </w:r>
      <w:r w:rsidR="00210E37"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68</w:t>
      </w:r>
      <w:r w:rsidR="00210E37" w:rsidRPr="004F2D82">
        <w:rPr>
          <w:rFonts w:ascii="Times New Roman" w:eastAsia="Times New Roman" w:hAnsi="Times New Roman" w:cs="Times New Roman"/>
          <w:sz w:val="20"/>
          <w:szCs w:val="20"/>
        </w:rPr>
        <w:fldChar w:fldCharType="end"/>
      </w:r>
      <w:r w:rsidR="00210E37" w:rsidRPr="004F2D82">
        <w:rPr>
          <w:rFonts w:ascii="Times New Roman" w:hAnsi="Times New Roman"/>
          <w:sz w:val="20"/>
        </w:rPr>
        <w:t xml:space="preserve">, </w:t>
      </w:r>
      <w:r w:rsidR="00210E37" w:rsidRPr="004F2D82">
        <w:rPr>
          <w:rFonts w:ascii="Times New Roman" w:eastAsia="Times New Roman" w:hAnsi="Times New Roman" w:cs="Times New Roman"/>
          <w:sz w:val="20"/>
          <w:szCs w:val="20"/>
        </w:rPr>
        <w:fldChar w:fldCharType="begin"/>
      </w:r>
      <w:r w:rsidR="00210E37" w:rsidRPr="004F2D82">
        <w:rPr>
          <w:rFonts w:ascii="Times New Roman" w:eastAsia="Times New Roman" w:hAnsi="Times New Roman" w:cs="Times New Roman"/>
          <w:sz w:val="20"/>
          <w:szCs w:val="20"/>
        </w:rPr>
        <w:instrText xml:space="preserve"> REF _Ref528682096 \r \h </w:instrText>
      </w:r>
      <w:r w:rsidR="004551B9" w:rsidRPr="004F2D82">
        <w:rPr>
          <w:rFonts w:ascii="Times New Roman" w:eastAsia="Times New Roman" w:hAnsi="Times New Roman" w:cs="Times New Roman"/>
          <w:sz w:val="20"/>
          <w:szCs w:val="20"/>
        </w:rPr>
        <w:instrText xml:space="preserve"> \* MERGEFORMAT </w:instrText>
      </w:r>
      <w:r w:rsidR="00210E37" w:rsidRPr="004F2D82">
        <w:rPr>
          <w:rFonts w:ascii="Times New Roman" w:eastAsia="Times New Roman" w:hAnsi="Times New Roman" w:cs="Times New Roman"/>
          <w:sz w:val="20"/>
          <w:szCs w:val="20"/>
        </w:rPr>
      </w:r>
      <w:r w:rsidR="00210E37"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70</w:t>
      </w:r>
      <w:r w:rsidR="00210E37" w:rsidRPr="004F2D82">
        <w:rPr>
          <w:rFonts w:ascii="Times New Roman" w:eastAsia="Times New Roman" w:hAnsi="Times New Roman" w:cs="Times New Roman"/>
          <w:sz w:val="20"/>
          <w:szCs w:val="20"/>
        </w:rPr>
        <w:fldChar w:fldCharType="end"/>
      </w:r>
      <w:r w:rsidR="00210E37" w:rsidRPr="004F2D82">
        <w:rPr>
          <w:rFonts w:ascii="Times New Roman" w:hAnsi="Times New Roman"/>
          <w:sz w:val="20"/>
        </w:rPr>
        <w:t xml:space="preserve">, </w:t>
      </w:r>
      <w:r w:rsidR="00525674" w:rsidRPr="004F2D82">
        <w:rPr>
          <w:rFonts w:ascii="Times New Roman" w:eastAsia="Times New Roman" w:hAnsi="Times New Roman" w:cs="Times New Roman"/>
          <w:sz w:val="20"/>
          <w:szCs w:val="20"/>
        </w:rPr>
        <w:fldChar w:fldCharType="begin"/>
      </w:r>
      <w:r w:rsidR="00525674" w:rsidRPr="004F2D82">
        <w:rPr>
          <w:rFonts w:ascii="Times New Roman" w:eastAsia="Times New Roman" w:hAnsi="Times New Roman" w:cs="Times New Roman"/>
          <w:sz w:val="20"/>
          <w:szCs w:val="20"/>
        </w:rPr>
        <w:instrText xml:space="preserve"> REF _Ref494356787 \r \h </w:instrText>
      </w:r>
      <w:r w:rsidR="004551B9" w:rsidRPr="004F2D82">
        <w:rPr>
          <w:rFonts w:ascii="Times New Roman" w:eastAsia="Times New Roman" w:hAnsi="Times New Roman" w:cs="Times New Roman"/>
          <w:sz w:val="20"/>
          <w:szCs w:val="20"/>
        </w:rPr>
        <w:instrText xml:space="preserve"> \* MERGEFORMAT </w:instrText>
      </w:r>
      <w:r w:rsidR="00525674" w:rsidRPr="004F2D82">
        <w:rPr>
          <w:rFonts w:ascii="Times New Roman" w:eastAsia="Times New Roman" w:hAnsi="Times New Roman" w:cs="Times New Roman"/>
          <w:sz w:val="20"/>
          <w:szCs w:val="20"/>
        </w:rPr>
      </w:r>
      <w:r w:rsidR="00525674"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72</w:t>
      </w:r>
      <w:r w:rsidR="00525674" w:rsidRPr="004F2D82">
        <w:rPr>
          <w:rFonts w:ascii="Times New Roman" w:eastAsia="Times New Roman" w:hAnsi="Times New Roman" w:cs="Times New Roman"/>
          <w:sz w:val="20"/>
          <w:szCs w:val="20"/>
        </w:rPr>
        <w:fldChar w:fldCharType="end"/>
      </w:r>
      <w:r w:rsidR="00525674" w:rsidRPr="004F2D82">
        <w:rPr>
          <w:rFonts w:ascii="Times New Roman" w:eastAsia="Times New Roman" w:hAnsi="Times New Roman" w:cs="Times New Roman"/>
          <w:sz w:val="20"/>
          <w:szCs w:val="20"/>
        </w:rPr>
        <w:t xml:space="preserve"> </w:t>
      </w:r>
      <w:r w:rsidR="00210E37" w:rsidRPr="004F2D82">
        <w:rPr>
          <w:rFonts w:ascii="Times New Roman" w:hAnsi="Times New Roman"/>
          <w:sz w:val="20"/>
        </w:rPr>
        <w:t xml:space="preserve">and </w:t>
      </w:r>
      <w:r w:rsidR="00210E37" w:rsidRPr="004F2D82">
        <w:rPr>
          <w:rFonts w:ascii="Times New Roman" w:eastAsia="Times New Roman" w:hAnsi="Times New Roman" w:cs="Times New Roman"/>
          <w:sz w:val="20"/>
          <w:szCs w:val="20"/>
        </w:rPr>
        <w:fldChar w:fldCharType="begin"/>
      </w:r>
      <w:r w:rsidR="00210E37" w:rsidRPr="004F2D82">
        <w:rPr>
          <w:rFonts w:ascii="Times New Roman" w:eastAsia="Times New Roman" w:hAnsi="Times New Roman" w:cs="Times New Roman"/>
          <w:sz w:val="20"/>
          <w:szCs w:val="20"/>
        </w:rPr>
        <w:instrText xml:space="preserve"> REF _Ref495325071 \r \h </w:instrText>
      </w:r>
      <w:r w:rsidR="004551B9" w:rsidRPr="004F2D82">
        <w:rPr>
          <w:rFonts w:ascii="Times New Roman" w:eastAsia="Times New Roman" w:hAnsi="Times New Roman" w:cs="Times New Roman"/>
          <w:sz w:val="20"/>
          <w:szCs w:val="20"/>
        </w:rPr>
        <w:instrText xml:space="preserve"> \* MERGEFORMAT </w:instrText>
      </w:r>
      <w:r w:rsidR="00210E37" w:rsidRPr="004F2D82">
        <w:rPr>
          <w:rFonts w:ascii="Times New Roman" w:eastAsia="Times New Roman" w:hAnsi="Times New Roman" w:cs="Times New Roman"/>
          <w:sz w:val="20"/>
          <w:szCs w:val="20"/>
        </w:rPr>
      </w:r>
      <w:r w:rsidR="00210E37"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74</w:t>
      </w:r>
      <w:r w:rsidR="00210E37" w:rsidRPr="004F2D82">
        <w:rPr>
          <w:rFonts w:ascii="Times New Roman" w:eastAsia="Times New Roman" w:hAnsi="Times New Roman" w:cs="Times New Roman"/>
          <w:sz w:val="20"/>
          <w:szCs w:val="20"/>
        </w:rPr>
        <w:fldChar w:fldCharType="end"/>
      </w:r>
      <w:r w:rsidR="006A5280" w:rsidRPr="004F2D82">
        <w:rPr>
          <w:rFonts w:ascii="Times New Roman" w:hAnsi="Times New Roman"/>
          <w:sz w:val="20"/>
        </w:rPr>
        <w:t xml:space="preserve"> </w:t>
      </w:r>
      <w:r w:rsidR="005531C0" w:rsidRPr="004F2D82">
        <w:rPr>
          <w:rFonts w:ascii="Times New Roman" w:hAnsi="Times New Roman"/>
          <w:sz w:val="20"/>
        </w:rPr>
        <w:t>above</w:t>
      </w:r>
      <w:r w:rsidRPr="004F2D82">
        <w:rPr>
          <w:rFonts w:ascii="Times New Roman" w:hAnsi="Times New Roman"/>
          <w:sz w:val="20"/>
        </w:rPr>
        <w:t>).</w:t>
      </w:r>
      <w:r w:rsidR="004551B9" w:rsidRPr="004F2D82">
        <w:rPr>
          <w:rFonts w:ascii="Times New Roman" w:hAnsi="Times New Roman"/>
          <w:sz w:val="20"/>
        </w:rPr>
        <w:t xml:space="preserve"> The Committee </w:t>
      </w:r>
      <w:r w:rsidR="004551B9" w:rsidRPr="004F2D82">
        <w:rPr>
          <w:rFonts w:ascii="Times New Roman" w:eastAsia="Times New Roman" w:hAnsi="Times New Roman" w:cs="Times New Roman"/>
          <w:sz w:val="20"/>
          <w:szCs w:val="20"/>
        </w:rPr>
        <w:t xml:space="preserve">examines each of </w:t>
      </w:r>
      <w:r w:rsidR="004551B9" w:rsidRPr="004F2D82">
        <w:rPr>
          <w:rFonts w:ascii="Times New Roman" w:hAnsi="Times New Roman"/>
          <w:sz w:val="20"/>
        </w:rPr>
        <w:t xml:space="preserve">these </w:t>
      </w:r>
      <w:r w:rsidR="004551B9" w:rsidRPr="004F2D82">
        <w:rPr>
          <w:rFonts w:ascii="Times New Roman" w:eastAsia="Times New Roman" w:hAnsi="Times New Roman" w:cs="Times New Roman"/>
          <w:sz w:val="20"/>
          <w:szCs w:val="20"/>
        </w:rPr>
        <w:t>below.</w:t>
      </w:r>
      <w:r w:rsidRPr="004F2D82">
        <w:rPr>
          <w:rFonts w:ascii="Times New Roman" w:eastAsia="Times New Roman" w:hAnsi="Times New Roman" w:cs="Times New Roman"/>
          <w:sz w:val="20"/>
          <w:szCs w:val="20"/>
        </w:rPr>
        <w:t xml:space="preserve"> </w:t>
      </w:r>
    </w:p>
    <w:p w14:paraId="75A4AB48" w14:textId="77EA29A7" w:rsidR="00933A53" w:rsidRPr="004F2D82" w:rsidRDefault="00933A53" w:rsidP="000F4DAD">
      <w:pPr>
        <w:suppressAutoHyphens/>
        <w:spacing w:before="240" w:after="120" w:line="240" w:lineRule="atLeast"/>
        <w:ind w:left="567" w:right="1134"/>
        <w:jc w:val="both"/>
        <w:outlineLvl w:val="0"/>
        <w:rPr>
          <w:rFonts w:ascii="Times New Roman" w:hAnsi="Times New Roman"/>
          <w:sz w:val="20"/>
          <w:u w:val="single"/>
        </w:rPr>
      </w:pPr>
      <w:r w:rsidRPr="004F2D82">
        <w:rPr>
          <w:rFonts w:ascii="Times New Roman" w:hAnsi="Times New Roman"/>
          <w:sz w:val="20"/>
          <w:u w:val="single"/>
        </w:rPr>
        <w:t xml:space="preserve">(a) The environmental effects of the </w:t>
      </w:r>
      <w:r w:rsidR="003848C9" w:rsidRPr="004F2D82">
        <w:rPr>
          <w:rFonts w:ascii="Times New Roman" w:eastAsia="Times New Roman" w:hAnsi="Times New Roman" w:cs="Times New Roman"/>
          <w:iCs/>
          <w:sz w:val="20"/>
          <w:szCs w:val="20"/>
          <w:u w:val="single"/>
        </w:rPr>
        <w:t>“Y”</w:t>
      </w:r>
      <w:r w:rsidRPr="004F2D82">
        <w:rPr>
          <w:rFonts w:ascii="Times New Roman" w:hAnsi="Times New Roman"/>
          <w:sz w:val="20"/>
          <w:u w:val="single"/>
        </w:rPr>
        <w:t xml:space="preserve"> network as a whole </w:t>
      </w:r>
    </w:p>
    <w:p w14:paraId="4ED3CD81" w14:textId="150F8B9F" w:rsidR="00933A53" w:rsidRPr="004F2D82" w:rsidRDefault="00933A53" w:rsidP="00FD13A4">
      <w:pPr>
        <w:numPr>
          <w:ilvl w:val="0"/>
          <w:numId w:val="2"/>
        </w:numPr>
        <w:suppressAutoHyphens/>
        <w:spacing w:after="120" w:line="240" w:lineRule="atLeast"/>
        <w:ind w:left="540" w:right="1134" w:firstLine="0"/>
        <w:jc w:val="both"/>
        <w:rPr>
          <w:rFonts w:ascii="Times New Roman" w:hAnsi="Times New Roman"/>
          <w:sz w:val="20"/>
        </w:rPr>
      </w:pPr>
      <w:r w:rsidRPr="004F2D82">
        <w:rPr>
          <w:rFonts w:ascii="Times New Roman" w:hAnsi="Times New Roman"/>
          <w:sz w:val="20"/>
        </w:rPr>
        <w:t xml:space="preserve">The communicant submits that there was a failure to consider the cumulative </w:t>
      </w:r>
      <w:r w:rsidR="00216B6D" w:rsidRPr="004F2D82">
        <w:rPr>
          <w:rFonts w:ascii="Times New Roman" w:hAnsi="Times New Roman"/>
          <w:sz w:val="20"/>
        </w:rPr>
        <w:t xml:space="preserve">environmental </w:t>
      </w:r>
      <w:r w:rsidRPr="004F2D82">
        <w:rPr>
          <w:rFonts w:ascii="Times New Roman" w:hAnsi="Times New Roman"/>
          <w:sz w:val="20"/>
        </w:rPr>
        <w:t xml:space="preserve">effects of </w:t>
      </w:r>
      <w:r w:rsidR="00B83B23" w:rsidRPr="004F2D82">
        <w:rPr>
          <w:rFonts w:ascii="Times New Roman" w:hAnsi="Times New Roman"/>
          <w:sz w:val="20"/>
        </w:rPr>
        <w:t>phase</w:t>
      </w:r>
      <w:r w:rsidR="006A5280" w:rsidRPr="004F2D82">
        <w:rPr>
          <w:rFonts w:ascii="Times New Roman" w:hAnsi="Times New Roman"/>
          <w:sz w:val="20"/>
        </w:rPr>
        <w:t xml:space="preserve"> 1 and 2 of the “Y”</w:t>
      </w:r>
      <w:r w:rsidRPr="004F2D82">
        <w:rPr>
          <w:rFonts w:ascii="Times New Roman" w:hAnsi="Times New Roman"/>
          <w:sz w:val="20"/>
        </w:rPr>
        <w:t xml:space="preserve"> network</w:t>
      </w:r>
      <w:r w:rsidR="007465FB" w:rsidRPr="004F2D82">
        <w:rPr>
          <w:rFonts w:ascii="Times New Roman" w:eastAsia="Times New Roman" w:hAnsi="Times New Roman" w:cs="Times New Roman"/>
          <w:sz w:val="20"/>
          <w:szCs w:val="20"/>
        </w:rPr>
        <w:t xml:space="preserve">, </w:t>
      </w:r>
      <w:r w:rsidR="00CB41A6" w:rsidRPr="004F2D82">
        <w:rPr>
          <w:rFonts w:ascii="Times New Roman" w:eastAsia="Times New Roman" w:hAnsi="Times New Roman" w:cs="Times New Roman"/>
          <w:sz w:val="20"/>
          <w:szCs w:val="20"/>
        </w:rPr>
        <w:t>the option</w:t>
      </w:r>
      <w:r w:rsidRPr="004F2D82">
        <w:rPr>
          <w:rFonts w:ascii="Times New Roman" w:eastAsia="Times New Roman" w:hAnsi="Times New Roman" w:cs="Times New Roman"/>
          <w:sz w:val="20"/>
          <w:szCs w:val="20"/>
        </w:rPr>
        <w:t xml:space="preserve"> </w:t>
      </w:r>
      <w:r w:rsidR="00CB41A6" w:rsidRPr="004F2D82">
        <w:rPr>
          <w:rFonts w:ascii="Times New Roman" w:eastAsia="Times New Roman" w:hAnsi="Times New Roman" w:cs="Times New Roman"/>
          <w:sz w:val="20"/>
          <w:szCs w:val="20"/>
        </w:rPr>
        <w:t>selected</w:t>
      </w:r>
      <w:r w:rsidR="00CB41A6" w:rsidRPr="004F2D82">
        <w:rPr>
          <w:rFonts w:ascii="Times New Roman" w:hAnsi="Times New Roman"/>
          <w:sz w:val="20"/>
        </w:rPr>
        <w:t xml:space="preserve"> in</w:t>
      </w:r>
      <w:r w:rsidRPr="004F2D82">
        <w:rPr>
          <w:rFonts w:ascii="Times New Roman" w:hAnsi="Times New Roman"/>
          <w:sz w:val="20"/>
        </w:rPr>
        <w:t xml:space="preserve"> the DNS</w:t>
      </w:r>
      <w:r w:rsidR="0006684E" w:rsidRPr="004F2D82">
        <w:rPr>
          <w:rFonts w:ascii="Times New Roman" w:eastAsia="Times New Roman" w:hAnsi="Times New Roman" w:cs="Times New Roman"/>
          <w:sz w:val="20"/>
          <w:szCs w:val="20"/>
        </w:rPr>
        <w:t>,</w:t>
      </w:r>
      <w:r w:rsidRPr="004F2D82">
        <w:rPr>
          <w:rFonts w:ascii="Times New Roman" w:hAnsi="Times New Roman"/>
          <w:sz w:val="20"/>
        </w:rPr>
        <w:t xml:space="preserve"> </w:t>
      </w:r>
      <w:r w:rsidR="00254BC7" w:rsidRPr="004F2D82">
        <w:rPr>
          <w:rFonts w:ascii="Times New Roman" w:hAnsi="Times New Roman"/>
          <w:sz w:val="20"/>
        </w:rPr>
        <w:t xml:space="preserve">as a whole </w:t>
      </w:r>
      <w:r w:rsidRPr="004F2D82">
        <w:rPr>
          <w:rFonts w:ascii="Times New Roman" w:hAnsi="Times New Roman"/>
          <w:sz w:val="20"/>
        </w:rPr>
        <w:t xml:space="preserve">(see para. </w:t>
      </w:r>
      <w:r w:rsidRPr="004F2D82">
        <w:rPr>
          <w:rFonts w:ascii="Times New Roman" w:hAnsi="Times New Roman"/>
          <w:sz w:val="20"/>
        </w:rPr>
        <w:fldChar w:fldCharType="begin"/>
      </w:r>
      <w:r w:rsidRPr="004F2D82">
        <w:rPr>
          <w:rFonts w:ascii="Times New Roman" w:eastAsia="Times New Roman" w:hAnsi="Times New Roman" w:cs="Times New Roman"/>
          <w:sz w:val="20"/>
          <w:szCs w:val="20"/>
        </w:rPr>
        <w:instrText xml:space="preserve"> REF _Ref494299772 \r \h </w:instrText>
      </w:r>
      <w:r w:rsidR="009E16D3" w:rsidRPr="004F2D82">
        <w:rPr>
          <w:rFonts w:ascii="Times New Roman" w:eastAsia="Times New Roman" w:hAnsi="Times New Roman" w:cs="Times New Roman"/>
          <w:sz w:val="20"/>
          <w:szCs w:val="20"/>
        </w:rPr>
        <w:instrText xml:space="preserve"> \* MERGEFORMAT </w:instrText>
      </w:r>
      <w:r w:rsidRPr="004F2D82">
        <w:rPr>
          <w:rFonts w:ascii="Times New Roman" w:hAnsi="Times New Roman"/>
          <w:sz w:val="20"/>
        </w:rPr>
      </w:r>
      <w:r w:rsidRPr="004F2D82">
        <w:rPr>
          <w:rFonts w:ascii="Times New Roman" w:hAnsi="Times New Roman"/>
          <w:sz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68</w:t>
      </w:r>
      <w:r w:rsidRPr="004F2D82">
        <w:rPr>
          <w:rFonts w:ascii="Times New Roman" w:hAnsi="Times New Roman"/>
          <w:sz w:val="20"/>
        </w:rPr>
        <w:fldChar w:fldCharType="end"/>
      </w:r>
      <w:r w:rsidRPr="004F2D82">
        <w:rPr>
          <w:rFonts w:ascii="Times New Roman" w:hAnsi="Times New Roman"/>
          <w:sz w:val="20"/>
        </w:rPr>
        <w:t xml:space="preserve"> above). As </w:t>
      </w:r>
      <w:r w:rsidR="0006684E" w:rsidRPr="004F2D82">
        <w:rPr>
          <w:rFonts w:ascii="Times New Roman" w:eastAsia="Times New Roman" w:hAnsi="Times New Roman" w:cs="Times New Roman"/>
          <w:sz w:val="20"/>
          <w:szCs w:val="20"/>
        </w:rPr>
        <w:t>set out in</w:t>
      </w:r>
      <w:r w:rsidR="00054787" w:rsidRPr="004F2D82">
        <w:rPr>
          <w:rFonts w:ascii="Times New Roman" w:eastAsia="Times New Roman" w:hAnsi="Times New Roman" w:cs="Times New Roman"/>
          <w:sz w:val="20"/>
          <w:szCs w:val="20"/>
        </w:rPr>
        <w:t xml:space="preserve"> para</w:t>
      </w:r>
      <w:r w:rsidR="004551B9" w:rsidRPr="004F2D82">
        <w:rPr>
          <w:rFonts w:ascii="Times New Roman" w:eastAsia="Times New Roman" w:hAnsi="Times New Roman" w:cs="Times New Roman"/>
          <w:sz w:val="20"/>
          <w:szCs w:val="20"/>
        </w:rPr>
        <w:t>graph</w:t>
      </w:r>
      <w:r w:rsidRPr="004F2D82">
        <w:rPr>
          <w:rFonts w:ascii="Times New Roman" w:hAnsi="Times New Roman"/>
          <w:sz w:val="20"/>
        </w:rPr>
        <w:t xml:space="preserve"> </w:t>
      </w:r>
      <w:r w:rsidR="006A5280" w:rsidRPr="004F2D82">
        <w:rPr>
          <w:rFonts w:ascii="Times New Roman" w:eastAsia="Times New Roman" w:hAnsi="Times New Roman" w:cs="Times New Roman"/>
          <w:sz w:val="20"/>
          <w:szCs w:val="20"/>
        </w:rPr>
        <w:fldChar w:fldCharType="begin"/>
      </w:r>
      <w:r w:rsidR="006A5280" w:rsidRPr="004F2D82">
        <w:rPr>
          <w:rFonts w:ascii="Times New Roman" w:eastAsia="Times New Roman" w:hAnsi="Times New Roman" w:cs="Times New Roman"/>
          <w:sz w:val="20"/>
          <w:szCs w:val="20"/>
        </w:rPr>
        <w:instrText xml:space="preserve"> REF _Ref518116521 \r \h </w:instrText>
      </w:r>
      <w:r w:rsidR="004551B9" w:rsidRPr="004F2D82">
        <w:rPr>
          <w:rFonts w:ascii="Times New Roman" w:eastAsia="Times New Roman" w:hAnsi="Times New Roman" w:cs="Times New Roman"/>
          <w:sz w:val="20"/>
          <w:szCs w:val="20"/>
        </w:rPr>
        <w:instrText xml:space="preserve"> \* MERGEFORMAT </w:instrText>
      </w:r>
      <w:r w:rsidR="006A5280" w:rsidRPr="004F2D82">
        <w:rPr>
          <w:rFonts w:ascii="Times New Roman" w:eastAsia="Times New Roman" w:hAnsi="Times New Roman" w:cs="Times New Roman"/>
          <w:sz w:val="20"/>
          <w:szCs w:val="20"/>
        </w:rPr>
      </w:r>
      <w:r w:rsidR="006A5280"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94</w:t>
      </w:r>
      <w:r w:rsidR="006A5280" w:rsidRPr="004F2D82">
        <w:rPr>
          <w:rFonts w:ascii="Times New Roman" w:eastAsia="Times New Roman" w:hAnsi="Times New Roman" w:cs="Times New Roman"/>
          <w:sz w:val="20"/>
          <w:szCs w:val="20"/>
        </w:rPr>
        <w:fldChar w:fldCharType="end"/>
      </w:r>
      <w:r w:rsidR="006A5280" w:rsidRPr="004F2D82">
        <w:rPr>
          <w:rFonts w:ascii="Times New Roman" w:hAnsi="Times New Roman"/>
          <w:sz w:val="20"/>
        </w:rPr>
        <w:t xml:space="preserve"> </w:t>
      </w:r>
      <w:r w:rsidR="0006684E" w:rsidRPr="004F2D82">
        <w:rPr>
          <w:rFonts w:ascii="Times New Roman" w:hAnsi="Times New Roman"/>
          <w:sz w:val="20"/>
        </w:rPr>
        <w:t>(b</w:t>
      </w:r>
      <w:r w:rsidR="0006684E" w:rsidRPr="004F2D82">
        <w:rPr>
          <w:rFonts w:ascii="Times New Roman" w:eastAsia="Times New Roman" w:hAnsi="Times New Roman" w:cs="Times New Roman"/>
          <w:sz w:val="20"/>
          <w:szCs w:val="20"/>
        </w:rPr>
        <w:t>)</w:t>
      </w:r>
      <w:r w:rsidR="005E2F54" w:rsidRPr="004F2D82">
        <w:rPr>
          <w:rFonts w:ascii="Times New Roman" w:eastAsia="Times New Roman" w:hAnsi="Times New Roman" w:cs="Times New Roman"/>
          <w:sz w:val="20"/>
          <w:szCs w:val="20"/>
        </w:rPr>
        <w:t>(ii</w:t>
      </w:r>
      <w:r w:rsidR="005E2F54" w:rsidRPr="004F2D82">
        <w:rPr>
          <w:rFonts w:ascii="Times New Roman" w:hAnsi="Times New Roman"/>
          <w:sz w:val="20"/>
        </w:rPr>
        <w:t xml:space="preserve">) </w:t>
      </w:r>
      <w:r w:rsidRPr="004F2D82">
        <w:rPr>
          <w:rFonts w:ascii="Times New Roman" w:hAnsi="Times New Roman"/>
          <w:sz w:val="20"/>
        </w:rPr>
        <w:t>above, the Committee consider</w:t>
      </w:r>
      <w:r w:rsidR="005E2F54" w:rsidRPr="004F2D82">
        <w:rPr>
          <w:rFonts w:ascii="Times New Roman" w:hAnsi="Times New Roman"/>
          <w:sz w:val="20"/>
        </w:rPr>
        <w:t>s</w:t>
      </w:r>
      <w:r w:rsidRPr="004F2D82">
        <w:rPr>
          <w:rFonts w:ascii="Times New Roman" w:hAnsi="Times New Roman"/>
          <w:sz w:val="20"/>
        </w:rPr>
        <w:t xml:space="preserve"> information regarding the possible environmental consequences of a plan or programme </w:t>
      </w:r>
      <w:r w:rsidR="00254BC7" w:rsidRPr="004F2D82">
        <w:rPr>
          <w:rFonts w:ascii="Times New Roman" w:hAnsi="Times New Roman"/>
          <w:sz w:val="20"/>
        </w:rPr>
        <w:t>to be</w:t>
      </w:r>
      <w:r w:rsidRPr="004F2D82">
        <w:rPr>
          <w:rFonts w:ascii="Times New Roman" w:hAnsi="Times New Roman"/>
          <w:sz w:val="20"/>
        </w:rPr>
        <w:t xml:space="preserve"> “necessary information” for the purposes of article 7 of the Convention. This information should therefore be disclosed, where it is available. </w:t>
      </w:r>
    </w:p>
    <w:p w14:paraId="2E7FB03F" w14:textId="689927D0" w:rsidR="00933A53" w:rsidRPr="004F2D82" w:rsidRDefault="00933A53" w:rsidP="00FD13A4">
      <w:pPr>
        <w:numPr>
          <w:ilvl w:val="0"/>
          <w:numId w:val="2"/>
        </w:numPr>
        <w:suppressAutoHyphens/>
        <w:spacing w:after="120" w:line="240" w:lineRule="atLeast"/>
        <w:ind w:left="540" w:right="1134" w:firstLine="0"/>
        <w:jc w:val="both"/>
        <w:rPr>
          <w:rFonts w:ascii="Times New Roman" w:hAnsi="Times New Roman"/>
          <w:sz w:val="20"/>
          <w:u w:val="single"/>
        </w:rPr>
      </w:pPr>
      <w:r w:rsidRPr="004F2D82">
        <w:rPr>
          <w:rFonts w:ascii="Times New Roman" w:hAnsi="Times New Roman"/>
          <w:sz w:val="20"/>
        </w:rPr>
        <w:t xml:space="preserve">The Committee notes, however, that </w:t>
      </w:r>
      <w:r w:rsidR="005B7F20" w:rsidRPr="004F2D82">
        <w:rPr>
          <w:rFonts w:ascii="Times New Roman" w:hAnsi="Times New Roman"/>
          <w:sz w:val="20"/>
        </w:rPr>
        <w:t>t</w:t>
      </w:r>
      <w:r w:rsidRPr="004F2D82">
        <w:rPr>
          <w:rFonts w:ascii="Times New Roman" w:hAnsi="Times New Roman"/>
          <w:sz w:val="20"/>
        </w:rPr>
        <w:t xml:space="preserve">he Party concerned has provided </w:t>
      </w:r>
      <w:r w:rsidR="00385F78" w:rsidRPr="004F2D82">
        <w:rPr>
          <w:rFonts w:ascii="Times New Roman" w:hAnsi="Times New Roman"/>
          <w:sz w:val="20"/>
        </w:rPr>
        <w:t>evidence</w:t>
      </w:r>
      <w:r w:rsidRPr="004F2D82">
        <w:rPr>
          <w:rFonts w:ascii="Times New Roman" w:eastAsia="Times New Roman" w:hAnsi="Times New Roman" w:cs="Times New Roman"/>
          <w:sz w:val="20"/>
          <w:szCs w:val="20"/>
        </w:rPr>
        <w:t xml:space="preserve"> </w:t>
      </w:r>
      <w:r w:rsidR="004551B9" w:rsidRPr="004F2D82">
        <w:rPr>
          <w:rFonts w:ascii="Times New Roman" w:eastAsia="Times New Roman" w:hAnsi="Times New Roman" w:cs="Times New Roman"/>
          <w:sz w:val="20"/>
          <w:szCs w:val="20"/>
        </w:rPr>
        <w:t xml:space="preserve">(see para. </w:t>
      </w:r>
      <w:r w:rsidR="004551B9" w:rsidRPr="004F2D82">
        <w:rPr>
          <w:rFonts w:ascii="Times New Roman" w:eastAsia="Times New Roman" w:hAnsi="Times New Roman" w:cs="Times New Roman"/>
          <w:sz w:val="20"/>
          <w:szCs w:val="20"/>
        </w:rPr>
        <w:fldChar w:fldCharType="begin"/>
      </w:r>
      <w:r w:rsidR="004551B9" w:rsidRPr="004F2D82">
        <w:rPr>
          <w:rFonts w:ascii="Times New Roman" w:eastAsia="Times New Roman" w:hAnsi="Times New Roman" w:cs="Times New Roman"/>
          <w:sz w:val="20"/>
          <w:szCs w:val="20"/>
        </w:rPr>
        <w:instrText xml:space="preserve"> REF _Ref495326104 \n \h  \* MERGEFORMAT </w:instrText>
      </w:r>
      <w:r w:rsidR="004551B9" w:rsidRPr="004F2D82">
        <w:rPr>
          <w:rFonts w:ascii="Times New Roman" w:eastAsia="Times New Roman" w:hAnsi="Times New Roman" w:cs="Times New Roman"/>
          <w:sz w:val="20"/>
          <w:szCs w:val="20"/>
        </w:rPr>
      </w:r>
      <w:r w:rsidR="004551B9"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69</w:t>
      </w:r>
      <w:r w:rsidR="004551B9" w:rsidRPr="004F2D82">
        <w:rPr>
          <w:rFonts w:ascii="Times New Roman" w:eastAsia="Times New Roman" w:hAnsi="Times New Roman" w:cs="Times New Roman"/>
          <w:sz w:val="20"/>
          <w:szCs w:val="20"/>
        </w:rPr>
        <w:fldChar w:fldCharType="end"/>
      </w:r>
      <w:r w:rsidR="004551B9" w:rsidRPr="004F2D82">
        <w:rPr>
          <w:rFonts w:ascii="Times New Roman" w:eastAsia="Times New Roman" w:hAnsi="Times New Roman" w:cs="Times New Roman"/>
          <w:sz w:val="20"/>
          <w:szCs w:val="20"/>
        </w:rPr>
        <w:t xml:space="preserve"> and footnote </w:t>
      </w:r>
      <w:r w:rsidR="004551B9" w:rsidRPr="004F2D82">
        <w:rPr>
          <w:rFonts w:ascii="Times New Roman" w:eastAsia="Times New Roman" w:hAnsi="Times New Roman" w:cs="Times New Roman"/>
          <w:sz w:val="20"/>
          <w:szCs w:val="20"/>
        </w:rPr>
        <w:fldChar w:fldCharType="begin"/>
      </w:r>
      <w:r w:rsidR="004551B9" w:rsidRPr="004F2D82">
        <w:rPr>
          <w:rFonts w:ascii="Times New Roman" w:eastAsia="Times New Roman" w:hAnsi="Times New Roman" w:cs="Times New Roman"/>
          <w:sz w:val="20"/>
          <w:szCs w:val="20"/>
        </w:rPr>
        <w:instrText xml:space="preserve"> NOTEREF _Ref529977487 \h  \* MERGEFORMAT </w:instrText>
      </w:r>
      <w:r w:rsidR="004551B9" w:rsidRPr="004F2D82">
        <w:rPr>
          <w:rFonts w:ascii="Times New Roman" w:eastAsia="Times New Roman" w:hAnsi="Times New Roman" w:cs="Times New Roman"/>
          <w:sz w:val="20"/>
          <w:szCs w:val="20"/>
        </w:rPr>
      </w:r>
      <w:r w:rsidR="004551B9" w:rsidRPr="004F2D82">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rPr>
        <w:t>97</w:t>
      </w:r>
      <w:r w:rsidR="004551B9" w:rsidRPr="004F2D82">
        <w:rPr>
          <w:rFonts w:ascii="Times New Roman" w:eastAsia="Times New Roman" w:hAnsi="Times New Roman" w:cs="Times New Roman"/>
          <w:sz w:val="20"/>
          <w:szCs w:val="20"/>
        </w:rPr>
        <w:fldChar w:fldCharType="end"/>
      </w:r>
      <w:r w:rsidR="004551B9" w:rsidRPr="004F2D82">
        <w:rPr>
          <w:rFonts w:ascii="Times New Roman" w:eastAsia="Times New Roman" w:hAnsi="Times New Roman" w:cs="Times New Roman"/>
          <w:sz w:val="20"/>
          <w:szCs w:val="20"/>
        </w:rPr>
        <w:t xml:space="preserve"> above)</w:t>
      </w:r>
      <w:r w:rsidR="004551B9" w:rsidRPr="004F2D82">
        <w:rPr>
          <w:rFonts w:ascii="Times New Roman" w:hAnsi="Times New Roman"/>
          <w:sz w:val="20"/>
        </w:rPr>
        <w:t xml:space="preserve"> </w:t>
      </w:r>
      <w:r w:rsidRPr="004F2D82">
        <w:rPr>
          <w:rFonts w:ascii="Times New Roman" w:hAnsi="Times New Roman"/>
          <w:sz w:val="20"/>
        </w:rPr>
        <w:t xml:space="preserve">that demonstrates that information on the cumulative effects of the project was provided at a later stage </w:t>
      </w:r>
      <w:r w:rsidR="00B84C73" w:rsidRPr="004F2D82">
        <w:rPr>
          <w:rFonts w:ascii="Times New Roman" w:hAnsi="Times New Roman"/>
          <w:sz w:val="20"/>
        </w:rPr>
        <w:t xml:space="preserve">in the decision-making procedure </w:t>
      </w:r>
      <w:r w:rsidRPr="004F2D82">
        <w:rPr>
          <w:rFonts w:ascii="Times New Roman" w:hAnsi="Times New Roman"/>
          <w:sz w:val="20"/>
        </w:rPr>
        <w:t>when this information became available</w:t>
      </w:r>
      <w:r w:rsidRPr="004F2D82">
        <w:rPr>
          <w:rFonts w:ascii="Times New Roman" w:eastAsia="Times New Roman" w:hAnsi="Times New Roman" w:cs="Times New Roman"/>
          <w:sz w:val="20"/>
          <w:szCs w:val="20"/>
        </w:rPr>
        <w:t>.</w:t>
      </w:r>
      <w:r w:rsidRPr="004F2D82">
        <w:rPr>
          <w:rFonts w:ascii="Times New Roman" w:hAnsi="Times New Roman"/>
          <w:sz w:val="20"/>
        </w:rPr>
        <w:t xml:space="preserve"> </w:t>
      </w:r>
      <w:r w:rsidR="00B84C73" w:rsidRPr="004F2D82">
        <w:rPr>
          <w:rFonts w:ascii="Times New Roman" w:hAnsi="Times New Roman"/>
          <w:sz w:val="20"/>
        </w:rPr>
        <w:t>That this information was subsequently made available is not disputed by the communicant.</w:t>
      </w:r>
    </w:p>
    <w:p w14:paraId="40F88908" w14:textId="54D6E075" w:rsidR="002D75BB" w:rsidRPr="004F2D82" w:rsidRDefault="002D75BB" w:rsidP="00FD13A4">
      <w:pPr>
        <w:numPr>
          <w:ilvl w:val="0"/>
          <w:numId w:val="2"/>
        </w:numPr>
        <w:suppressAutoHyphens/>
        <w:spacing w:after="120" w:line="240" w:lineRule="atLeast"/>
        <w:ind w:left="540" w:right="1134" w:firstLine="0"/>
        <w:jc w:val="both"/>
        <w:rPr>
          <w:rFonts w:ascii="Times New Roman" w:hAnsi="Times New Roman"/>
          <w:sz w:val="20"/>
        </w:rPr>
      </w:pPr>
      <w:bookmarkStart w:id="30" w:name="_Ref529980323"/>
      <w:r w:rsidRPr="004F2D82">
        <w:rPr>
          <w:rFonts w:ascii="Times New Roman" w:hAnsi="Times New Roman"/>
          <w:sz w:val="20"/>
        </w:rPr>
        <w:t xml:space="preserve">Based on the above, the Committee finds that, in the circumstances of this case, the Party concerned did not fail to comply with the requirement in article 7 to provide </w:t>
      </w:r>
      <w:r w:rsidR="004266D8" w:rsidRPr="004F2D82">
        <w:rPr>
          <w:rFonts w:ascii="Times New Roman" w:eastAsia="Times New Roman" w:hAnsi="Times New Roman" w:cs="Times New Roman"/>
          <w:sz w:val="20"/>
          <w:szCs w:val="20"/>
        </w:rPr>
        <w:t>“</w:t>
      </w:r>
      <w:r w:rsidRPr="004F2D82">
        <w:rPr>
          <w:rFonts w:ascii="Times New Roman" w:hAnsi="Times New Roman"/>
          <w:sz w:val="20"/>
        </w:rPr>
        <w:t>the necessary information</w:t>
      </w:r>
      <w:r w:rsidR="004266D8" w:rsidRPr="004F2D82">
        <w:rPr>
          <w:rFonts w:ascii="Times New Roman" w:eastAsia="Times New Roman" w:hAnsi="Times New Roman" w:cs="Times New Roman"/>
          <w:sz w:val="20"/>
          <w:szCs w:val="20"/>
        </w:rPr>
        <w:t xml:space="preserve"> to the public</w:t>
      </w:r>
      <w:r w:rsidR="004266D8" w:rsidRPr="004F2D82">
        <w:rPr>
          <w:rFonts w:ascii="Times New Roman" w:hAnsi="Times New Roman"/>
          <w:sz w:val="20"/>
        </w:rPr>
        <w:t>”</w:t>
      </w:r>
      <w:r w:rsidRPr="004F2D82">
        <w:rPr>
          <w:rFonts w:ascii="Times New Roman" w:hAnsi="Times New Roman"/>
          <w:sz w:val="20"/>
        </w:rPr>
        <w:t xml:space="preserve"> with respect to </w:t>
      </w:r>
      <w:r w:rsidR="00863E80" w:rsidRPr="004F2D82">
        <w:rPr>
          <w:rFonts w:ascii="Times New Roman" w:hAnsi="Times New Roman"/>
          <w:sz w:val="20"/>
        </w:rPr>
        <w:t xml:space="preserve">the </w:t>
      </w:r>
      <w:r w:rsidR="00D166CF" w:rsidRPr="004F2D82">
        <w:rPr>
          <w:rFonts w:ascii="Times New Roman" w:hAnsi="Times New Roman"/>
          <w:sz w:val="20"/>
        </w:rPr>
        <w:t>environmental effects of the “Y” network for the purposes of the decision-making on the DNS</w:t>
      </w:r>
      <w:r w:rsidRPr="004F2D82">
        <w:rPr>
          <w:rFonts w:ascii="Times New Roman" w:hAnsi="Times New Roman"/>
          <w:sz w:val="20"/>
        </w:rPr>
        <w:t>.</w:t>
      </w:r>
      <w:bookmarkEnd w:id="30"/>
      <w:r w:rsidRPr="004F2D82">
        <w:rPr>
          <w:rFonts w:ascii="Times New Roman" w:hAnsi="Times New Roman"/>
          <w:sz w:val="20"/>
        </w:rPr>
        <w:t xml:space="preserve"> </w:t>
      </w:r>
    </w:p>
    <w:p w14:paraId="6D6DDD6B" w14:textId="77777777" w:rsidR="007E1275" w:rsidRPr="004F2D82" w:rsidRDefault="007E1275" w:rsidP="006068D9">
      <w:pPr>
        <w:pStyle w:val="ListParagraph"/>
        <w:tabs>
          <w:tab w:val="left" w:pos="1134"/>
        </w:tabs>
        <w:ind w:left="567" w:right="1134"/>
        <w:jc w:val="both"/>
        <w:rPr>
          <w:rFonts w:ascii="Times New Roman" w:hAnsi="Times New Roman" w:cs="Times New Roman"/>
          <w:sz w:val="20"/>
          <w:szCs w:val="20"/>
        </w:rPr>
      </w:pPr>
    </w:p>
    <w:p w14:paraId="3ED4BDFF" w14:textId="7B4459CA" w:rsidR="0011192C" w:rsidRPr="004F2D82" w:rsidRDefault="00607985" w:rsidP="00FD13A4">
      <w:pPr>
        <w:pStyle w:val="ListParagraph"/>
        <w:tabs>
          <w:tab w:val="left" w:pos="1134"/>
        </w:tabs>
        <w:ind w:left="567" w:right="1134"/>
        <w:jc w:val="both"/>
        <w:outlineLvl w:val="0"/>
        <w:rPr>
          <w:rFonts w:ascii="Times New Roman" w:hAnsi="Times New Roman"/>
          <w:sz w:val="20"/>
          <w:u w:val="single"/>
        </w:rPr>
      </w:pPr>
      <w:r w:rsidRPr="004F2D82">
        <w:rPr>
          <w:rFonts w:ascii="Times New Roman" w:hAnsi="Times New Roman"/>
          <w:sz w:val="20"/>
          <w:u w:val="single"/>
        </w:rPr>
        <w:t>(b) “</w:t>
      </w:r>
      <w:r w:rsidR="00F128F2" w:rsidRPr="004F2D82">
        <w:rPr>
          <w:rFonts w:ascii="Times New Roman" w:hAnsi="Times New Roman" w:cs="Times New Roman"/>
          <w:iCs/>
          <w:sz w:val="20"/>
          <w:szCs w:val="20"/>
          <w:u w:val="single"/>
        </w:rPr>
        <w:t>An o</w:t>
      </w:r>
      <w:r w:rsidR="0011192C" w:rsidRPr="004F2D82">
        <w:rPr>
          <w:rFonts w:ascii="Times New Roman" w:hAnsi="Times New Roman" w:cs="Times New Roman"/>
          <w:iCs/>
          <w:sz w:val="20"/>
          <w:szCs w:val="20"/>
          <w:u w:val="single"/>
        </w:rPr>
        <w:t>utline</w:t>
      </w:r>
      <w:r w:rsidR="0011192C" w:rsidRPr="004F2D82">
        <w:rPr>
          <w:rFonts w:ascii="Times New Roman" w:hAnsi="Times New Roman"/>
          <w:sz w:val="20"/>
          <w:u w:val="single"/>
        </w:rPr>
        <w:t xml:space="preserve"> of the main alternatives studied by the </w:t>
      </w:r>
      <w:r w:rsidR="00333E27" w:rsidRPr="004F2D82">
        <w:rPr>
          <w:rFonts w:ascii="Times New Roman" w:hAnsi="Times New Roman"/>
          <w:sz w:val="20"/>
          <w:u w:val="single"/>
        </w:rPr>
        <w:t>competent authority</w:t>
      </w:r>
      <w:r w:rsidRPr="004F2D82">
        <w:rPr>
          <w:rFonts w:ascii="Times New Roman" w:hAnsi="Times New Roman"/>
          <w:sz w:val="20"/>
          <w:u w:val="single"/>
        </w:rPr>
        <w:t>”</w:t>
      </w:r>
    </w:p>
    <w:p w14:paraId="2202BD70" w14:textId="77777777" w:rsidR="006A003B" w:rsidRPr="004F2D82" w:rsidRDefault="006A003B" w:rsidP="005D584F">
      <w:pPr>
        <w:pStyle w:val="ListParagraph"/>
        <w:tabs>
          <w:tab w:val="left" w:pos="1134"/>
        </w:tabs>
        <w:ind w:left="567" w:right="1134"/>
        <w:jc w:val="both"/>
        <w:rPr>
          <w:rFonts w:ascii="Times New Roman" w:hAnsi="Times New Roman"/>
          <w:i/>
          <w:sz w:val="20"/>
        </w:rPr>
      </w:pPr>
    </w:p>
    <w:p w14:paraId="564F7740" w14:textId="21751226" w:rsidR="00574CE0" w:rsidRPr="004F2D82" w:rsidRDefault="006A003B" w:rsidP="00FD13A4">
      <w:pPr>
        <w:pStyle w:val="ListParagraph"/>
        <w:numPr>
          <w:ilvl w:val="0"/>
          <w:numId w:val="2"/>
        </w:numPr>
        <w:tabs>
          <w:tab w:val="num" w:pos="540"/>
        </w:tabs>
        <w:ind w:left="540" w:right="1134" w:firstLine="0"/>
        <w:jc w:val="both"/>
        <w:rPr>
          <w:rFonts w:ascii="Times New Roman" w:hAnsi="Times New Roman"/>
          <w:sz w:val="20"/>
        </w:rPr>
      </w:pPr>
      <w:r w:rsidRPr="004F2D82">
        <w:rPr>
          <w:rFonts w:ascii="Times New Roman" w:hAnsi="Times New Roman"/>
          <w:sz w:val="20"/>
        </w:rPr>
        <w:t xml:space="preserve">The </w:t>
      </w:r>
      <w:r w:rsidR="00B84C73" w:rsidRPr="004F2D82">
        <w:rPr>
          <w:rFonts w:ascii="Times New Roman" w:hAnsi="Times New Roman"/>
          <w:sz w:val="20"/>
        </w:rPr>
        <w:t>c</w:t>
      </w:r>
      <w:r w:rsidRPr="004F2D82">
        <w:rPr>
          <w:rFonts w:ascii="Times New Roman" w:hAnsi="Times New Roman"/>
          <w:sz w:val="20"/>
        </w:rPr>
        <w:t xml:space="preserve">ommunicant </w:t>
      </w:r>
      <w:r w:rsidR="00B84C73" w:rsidRPr="004F2D82">
        <w:rPr>
          <w:rFonts w:ascii="Times New Roman" w:hAnsi="Times New Roman"/>
          <w:sz w:val="20"/>
        </w:rPr>
        <w:t xml:space="preserve">alleges that there was a </w:t>
      </w:r>
      <w:r w:rsidRPr="004F2D82">
        <w:rPr>
          <w:rFonts w:ascii="Times New Roman" w:hAnsi="Times New Roman"/>
          <w:sz w:val="20"/>
        </w:rPr>
        <w:t xml:space="preserve">lack of information on </w:t>
      </w:r>
      <w:r w:rsidR="00574CE0" w:rsidRPr="004F2D82">
        <w:rPr>
          <w:rFonts w:ascii="Times New Roman" w:hAnsi="Times New Roman"/>
          <w:sz w:val="20"/>
        </w:rPr>
        <w:t xml:space="preserve">the relative environmental effects of </w:t>
      </w:r>
      <w:r w:rsidR="00837EF9" w:rsidRPr="004F2D82">
        <w:rPr>
          <w:rFonts w:ascii="Times New Roman" w:hAnsi="Times New Roman"/>
          <w:sz w:val="20"/>
        </w:rPr>
        <w:t xml:space="preserve">the </w:t>
      </w:r>
      <w:r w:rsidRPr="004F2D82">
        <w:rPr>
          <w:rFonts w:ascii="Times New Roman" w:hAnsi="Times New Roman"/>
          <w:sz w:val="20"/>
        </w:rPr>
        <w:t>alternatives</w:t>
      </w:r>
      <w:r w:rsidR="00837EF9" w:rsidRPr="004F2D82">
        <w:rPr>
          <w:rFonts w:ascii="Times New Roman" w:hAnsi="Times New Roman"/>
          <w:sz w:val="20"/>
        </w:rPr>
        <w:t xml:space="preserve"> studied by the Party concerned</w:t>
      </w:r>
      <w:r w:rsidRPr="004F2D82">
        <w:rPr>
          <w:rFonts w:ascii="Times New Roman" w:hAnsi="Times New Roman"/>
          <w:sz w:val="20"/>
        </w:rPr>
        <w:t xml:space="preserve">, </w:t>
      </w:r>
      <w:r w:rsidR="00B84C73" w:rsidRPr="004F2D82">
        <w:rPr>
          <w:rFonts w:ascii="Times New Roman" w:hAnsi="Times New Roman"/>
          <w:sz w:val="20"/>
        </w:rPr>
        <w:t>including</w:t>
      </w:r>
      <w:r w:rsidR="00574CE0" w:rsidRPr="004F2D82">
        <w:rPr>
          <w:rFonts w:ascii="Times New Roman" w:hAnsi="Times New Roman"/>
          <w:sz w:val="20"/>
        </w:rPr>
        <w:t>:</w:t>
      </w:r>
      <w:r w:rsidR="00B84C73" w:rsidRPr="004F2D82">
        <w:rPr>
          <w:rFonts w:ascii="Times New Roman" w:hAnsi="Times New Roman"/>
          <w:sz w:val="20"/>
        </w:rPr>
        <w:t xml:space="preserve"> </w:t>
      </w:r>
    </w:p>
    <w:p w14:paraId="7A691862" w14:textId="524C5E44" w:rsidR="00574CE0" w:rsidRPr="004F2D82" w:rsidRDefault="00837EF9" w:rsidP="00954170">
      <w:pPr>
        <w:pStyle w:val="ListParagraph"/>
        <w:numPr>
          <w:ilvl w:val="0"/>
          <w:numId w:val="7"/>
        </w:numPr>
        <w:tabs>
          <w:tab w:val="left" w:pos="1440"/>
        </w:tabs>
        <w:ind w:left="900" w:right="1134" w:firstLine="0"/>
        <w:jc w:val="both"/>
        <w:rPr>
          <w:rFonts w:ascii="Times New Roman" w:hAnsi="Times New Roman"/>
          <w:sz w:val="20"/>
        </w:rPr>
      </w:pPr>
      <w:r w:rsidRPr="004F2D82">
        <w:rPr>
          <w:rFonts w:ascii="Times New Roman" w:hAnsi="Times New Roman"/>
          <w:sz w:val="20"/>
        </w:rPr>
        <w:t>The r</w:t>
      </w:r>
      <w:r w:rsidR="00574CE0" w:rsidRPr="004F2D82">
        <w:rPr>
          <w:rFonts w:ascii="Times New Roman" w:hAnsi="Times New Roman"/>
          <w:sz w:val="20"/>
        </w:rPr>
        <w:t xml:space="preserve">elative environmental effects of strategic alternatives to high speed rail (see para. </w:t>
      </w:r>
      <w:r w:rsidR="00574CE0" w:rsidRPr="004F2D82">
        <w:rPr>
          <w:rFonts w:ascii="Times New Roman" w:hAnsi="Times New Roman"/>
          <w:sz w:val="20"/>
        </w:rPr>
        <w:fldChar w:fldCharType="begin"/>
      </w:r>
      <w:r w:rsidR="00574CE0" w:rsidRPr="004F2D82">
        <w:rPr>
          <w:rFonts w:ascii="Times New Roman" w:hAnsi="Times New Roman" w:cs="Times New Roman"/>
          <w:sz w:val="20"/>
          <w:szCs w:val="20"/>
        </w:rPr>
        <w:instrText xml:space="preserve"> REF _Ref494356776 \r \h </w:instrText>
      </w:r>
      <w:r w:rsidR="00EE1188" w:rsidRPr="004F2D82">
        <w:rPr>
          <w:rFonts w:ascii="Times New Roman" w:hAnsi="Times New Roman" w:cs="Times New Roman"/>
          <w:sz w:val="20"/>
          <w:szCs w:val="20"/>
        </w:rPr>
        <w:instrText xml:space="preserve"> \* MERGEFORMAT </w:instrText>
      </w:r>
      <w:r w:rsidR="00574CE0" w:rsidRPr="004F2D82">
        <w:rPr>
          <w:rFonts w:ascii="Times New Roman" w:hAnsi="Times New Roman"/>
          <w:sz w:val="20"/>
        </w:rPr>
      </w:r>
      <w:r w:rsidR="00574CE0" w:rsidRPr="004F2D82">
        <w:rPr>
          <w:rFonts w:ascii="Times New Roman" w:hAnsi="Times New Roman"/>
          <w:sz w:val="20"/>
        </w:rPr>
        <w:fldChar w:fldCharType="separate"/>
      </w:r>
      <w:r w:rsidR="00E47C6E">
        <w:rPr>
          <w:rFonts w:ascii="Times New Roman" w:hAnsi="Times New Roman" w:cs="Times New Roman"/>
          <w:sz w:val="20"/>
          <w:szCs w:val="20"/>
          <w:cs/>
        </w:rPr>
        <w:t>‎</w:t>
      </w:r>
      <w:r w:rsidR="00E47C6E">
        <w:rPr>
          <w:rFonts w:ascii="Times New Roman" w:hAnsi="Times New Roman" w:cs="Times New Roman"/>
          <w:sz w:val="20"/>
          <w:szCs w:val="20"/>
        </w:rPr>
        <w:t>70</w:t>
      </w:r>
      <w:r w:rsidR="00574CE0" w:rsidRPr="004F2D82">
        <w:rPr>
          <w:rFonts w:ascii="Times New Roman" w:hAnsi="Times New Roman"/>
          <w:sz w:val="20"/>
        </w:rPr>
        <w:fldChar w:fldCharType="end"/>
      </w:r>
      <w:r w:rsidR="00574CE0" w:rsidRPr="004F2D82">
        <w:rPr>
          <w:rFonts w:ascii="Times New Roman" w:hAnsi="Times New Roman"/>
          <w:sz w:val="20"/>
        </w:rPr>
        <w:t xml:space="preserve"> </w:t>
      </w:r>
      <w:proofErr w:type="gramStart"/>
      <w:r w:rsidR="00574CE0" w:rsidRPr="004F2D82">
        <w:rPr>
          <w:rFonts w:ascii="Times New Roman" w:hAnsi="Times New Roman"/>
          <w:sz w:val="20"/>
        </w:rPr>
        <w:t>above</w:t>
      </w:r>
      <w:r w:rsidR="00574CE0" w:rsidRPr="004F2D82">
        <w:rPr>
          <w:rFonts w:ascii="Times New Roman" w:hAnsi="Times New Roman" w:cs="Times New Roman"/>
          <w:sz w:val="20"/>
          <w:szCs w:val="20"/>
        </w:rPr>
        <w:t>)</w:t>
      </w:r>
      <w:r w:rsidR="00CB41A6" w:rsidRPr="004F2D82">
        <w:rPr>
          <w:rFonts w:ascii="Times New Roman" w:hAnsi="Times New Roman" w:cs="Times New Roman"/>
          <w:sz w:val="20"/>
          <w:szCs w:val="20"/>
        </w:rPr>
        <w:t>;</w:t>
      </w:r>
      <w:proofErr w:type="gramEnd"/>
    </w:p>
    <w:p w14:paraId="0DEC6FEB" w14:textId="7E07C54C" w:rsidR="00574CE0" w:rsidRPr="004F2D82" w:rsidRDefault="00837EF9" w:rsidP="00954170">
      <w:pPr>
        <w:pStyle w:val="ListParagraph"/>
        <w:numPr>
          <w:ilvl w:val="0"/>
          <w:numId w:val="7"/>
        </w:numPr>
        <w:tabs>
          <w:tab w:val="left" w:pos="1440"/>
        </w:tabs>
        <w:ind w:left="900" w:right="1134" w:firstLine="0"/>
        <w:jc w:val="both"/>
        <w:rPr>
          <w:rFonts w:ascii="Times New Roman" w:hAnsi="Times New Roman"/>
          <w:sz w:val="20"/>
        </w:rPr>
      </w:pPr>
      <w:r w:rsidRPr="004F2D82">
        <w:rPr>
          <w:rFonts w:ascii="Times New Roman" w:hAnsi="Times New Roman"/>
          <w:sz w:val="20"/>
        </w:rPr>
        <w:t>The r</w:t>
      </w:r>
      <w:r w:rsidR="00574CE0" w:rsidRPr="004F2D82">
        <w:rPr>
          <w:rFonts w:ascii="Times New Roman" w:hAnsi="Times New Roman"/>
          <w:sz w:val="20"/>
        </w:rPr>
        <w:t xml:space="preserve">elative environmental effects of alternative configurations for the </w:t>
      </w:r>
      <w:proofErr w:type="gramStart"/>
      <w:r w:rsidR="00574CE0" w:rsidRPr="004F2D82">
        <w:rPr>
          <w:rFonts w:ascii="Times New Roman" w:hAnsi="Times New Roman"/>
          <w:sz w:val="20"/>
        </w:rPr>
        <w:t>high speed</w:t>
      </w:r>
      <w:proofErr w:type="gramEnd"/>
      <w:r w:rsidR="00574CE0" w:rsidRPr="004F2D82">
        <w:rPr>
          <w:rFonts w:ascii="Times New Roman" w:hAnsi="Times New Roman"/>
          <w:sz w:val="20"/>
        </w:rPr>
        <w:t xml:space="preserve"> rail network (see para. </w:t>
      </w:r>
      <w:r w:rsidR="00574CE0" w:rsidRPr="004F2D82">
        <w:rPr>
          <w:rFonts w:ascii="Times New Roman" w:hAnsi="Times New Roman"/>
          <w:sz w:val="20"/>
        </w:rPr>
        <w:fldChar w:fldCharType="begin"/>
      </w:r>
      <w:r w:rsidR="00574CE0" w:rsidRPr="004F2D82">
        <w:rPr>
          <w:rFonts w:ascii="Times New Roman" w:hAnsi="Times New Roman" w:cs="Times New Roman"/>
          <w:sz w:val="20"/>
          <w:szCs w:val="20"/>
        </w:rPr>
        <w:instrText xml:space="preserve"> REF _Ref494356787 \r \h </w:instrText>
      </w:r>
      <w:r w:rsidR="00EE1188" w:rsidRPr="004F2D82">
        <w:instrText xml:space="preserve"> \* MERGEFORMAT </w:instrText>
      </w:r>
      <w:r w:rsidR="00574CE0" w:rsidRPr="004F2D82">
        <w:rPr>
          <w:rFonts w:ascii="Times New Roman" w:hAnsi="Times New Roman"/>
          <w:sz w:val="20"/>
        </w:rPr>
      </w:r>
      <w:r w:rsidR="00574CE0" w:rsidRPr="004F2D82">
        <w:rPr>
          <w:rFonts w:ascii="Times New Roman" w:hAnsi="Times New Roman"/>
          <w:sz w:val="20"/>
        </w:rPr>
        <w:fldChar w:fldCharType="separate"/>
      </w:r>
      <w:r w:rsidR="00E47C6E">
        <w:rPr>
          <w:rFonts w:ascii="Times New Roman" w:hAnsi="Times New Roman" w:cs="Times New Roman"/>
          <w:sz w:val="20"/>
          <w:szCs w:val="20"/>
          <w:cs/>
        </w:rPr>
        <w:t>‎</w:t>
      </w:r>
      <w:r w:rsidR="00E47C6E">
        <w:rPr>
          <w:rFonts w:ascii="Times New Roman" w:hAnsi="Times New Roman" w:cs="Times New Roman"/>
          <w:sz w:val="20"/>
          <w:szCs w:val="20"/>
        </w:rPr>
        <w:t>72</w:t>
      </w:r>
      <w:r w:rsidR="00574CE0" w:rsidRPr="004F2D82">
        <w:rPr>
          <w:rFonts w:ascii="Times New Roman" w:hAnsi="Times New Roman"/>
          <w:sz w:val="20"/>
        </w:rPr>
        <w:fldChar w:fldCharType="end"/>
      </w:r>
      <w:r w:rsidR="00574CE0" w:rsidRPr="004F2D82">
        <w:rPr>
          <w:rFonts w:ascii="Times New Roman" w:hAnsi="Times New Roman"/>
          <w:sz w:val="20"/>
        </w:rPr>
        <w:t xml:space="preserve"> </w:t>
      </w:r>
      <w:proofErr w:type="gramStart"/>
      <w:r w:rsidR="00574CE0" w:rsidRPr="004F2D82">
        <w:rPr>
          <w:rFonts w:ascii="Times New Roman" w:hAnsi="Times New Roman"/>
          <w:sz w:val="20"/>
        </w:rPr>
        <w:t>above</w:t>
      </w:r>
      <w:r w:rsidR="00574CE0" w:rsidRPr="004F2D82">
        <w:rPr>
          <w:rFonts w:ascii="Times New Roman" w:hAnsi="Times New Roman" w:cs="Times New Roman"/>
          <w:sz w:val="20"/>
          <w:szCs w:val="20"/>
        </w:rPr>
        <w:t>)</w:t>
      </w:r>
      <w:r w:rsidR="00CB41A6" w:rsidRPr="004F2D82">
        <w:rPr>
          <w:rFonts w:ascii="Times New Roman" w:hAnsi="Times New Roman" w:cs="Times New Roman"/>
          <w:sz w:val="20"/>
          <w:szCs w:val="20"/>
        </w:rPr>
        <w:t>;</w:t>
      </w:r>
      <w:proofErr w:type="gramEnd"/>
    </w:p>
    <w:p w14:paraId="1E3A5066" w14:textId="3AB81E98" w:rsidR="006A003B" w:rsidRPr="004F2D82" w:rsidRDefault="00837EF9" w:rsidP="00954170">
      <w:pPr>
        <w:pStyle w:val="ListParagraph"/>
        <w:numPr>
          <w:ilvl w:val="0"/>
          <w:numId w:val="7"/>
        </w:numPr>
        <w:tabs>
          <w:tab w:val="left" w:pos="1440"/>
        </w:tabs>
        <w:ind w:left="900" w:right="1134" w:firstLine="0"/>
        <w:jc w:val="both"/>
        <w:rPr>
          <w:rFonts w:ascii="Times New Roman" w:hAnsi="Times New Roman"/>
          <w:sz w:val="20"/>
        </w:rPr>
      </w:pPr>
      <w:r w:rsidRPr="004F2D82">
        <w:rPr>
          <w:rFonts w:ascii="Times New Roman" w:hAnsi="Times New Roman"/>
          <w:sz w:val="20"/>
        </w:rPr>
        <w:t>The r</w:t>
      </w:r>
      <w:r w:rsidR="00574CE0" w:rsidRPr="004F2D82">
        <w:rPr>
          <w:rFonts w:ascii="Times New Roman" w:hAnsi="Times New Roman"/>
          <w:sz w:val="20"/>
        </w:rPr>
        <w:t xml:space="preserve">elative environmental effects of an alternative route corridor </w:t>
      </w:r>
      <w:r w:rsidR="006A003B" w:rsidRPr="004F2D82">
        <w:rPr>
          <w:rFonts w:ascii="Times New Roman" w:hAnsi="Times New Roman"/>
          <w:sz w:val="20"/>
        </w:rPr>
        <w:t>(see para</w:t>
      </w:r>
      <w:r w:rsidR="003E4D1C" w:rsidRPr="004F2D82">
        <w:rPr>
          <w:rFonts w:ascii="Times New Roman" w:hAnsi="Times New Roman"/>
          <w:sz w:val="20"/>
        </w:rPr>
        <w:t>.</w:t>
      </w:r>
      <w:r w:rsidR="00574CE0" w:rsidRPr="004F2D82">
        <w:rPr>
          <w:rFonts w:ascii="Times New Roman" w:hAnsi="Times New Roman"/>
          <w:sz w:val="20"/>
        </w:rPr>
        <w:t xml:space="preserve"> </w:t>
      </w:r>
      <w:r w:rsidR="006A003B" w:rsidRPr="004F2D82">
        <w:rPr>
          <w:rFonts w:ascii="Times New Roman" w:hAnsi="Times New Roman" w:cs="Times New Roman"/>
          <w:sz w:val="20"/>
          <w:szCs w:val="20"/>
        </w:rPr>
        <w:fldChar w:fldCharType="begin"/>
      </w:r>
      <w:r w:rsidR="006A003B" w:rsidRPr="004F2D82">
        <w:rPr>
          <w:rFonts w:ascii="Times New Roman" w:hAnsi="Times New Roman" w:cs="Times New Roman"/>
          <w:sz w:val="20"/>
          <w:szCs w:val="20"/>
        </w:rPr>
        <w:instrText xml:space="preserve"> REF _Ref494356799 \r \h </w:instrText>
      </w:r>
      <w:r w:rsidR="00EE1188" w:rsidRPr="004F2D82">
        <w:instrText xml:space="preserve"> \* MERGEFORMAT </w:instrText>
      </w:r>
      <w:r w:rsidR="006A003B" w:rsidRPr="004F2D82">
        <w:rPr>
          <w:rFonts w:ascii="Times New Roman" w:hAnsi="Times New Roman" w:cs="Times New Roman"/>
          <w:sz w:val="20"/>
          <w:szCs w:val="20"/>
        </w:rPr>
      </w:r>
      <w:r w:rsidR="006A003B" w:rsidRPr="004F2D82">
        <w:rPr>
          <w:rFonts w:ascii="Times New Roman" w:hAnsi="Times New Roman" w:cs="Times New Roman"/>
          <w:sz w:val="20"/>
          <w:szCs w:val="20"/>
        </w:rPr>
        <w:fldChar w:fldCharType="separate"/>
      </w:r>
      <w:r w:rsidR="00E47C6E">
        <w:rPr>
          <w:rFonts w:ascii="Times New Roman" w:hAnsi="Times New Roman" w:cs="Times New Roman"/>
          <w:sz w:val="20"/>
          <w:szCs w:val="20"/>
          <w:cs/>
        </w:rPr>
        <w:t>‎</w:t>
      </w:r>
      <w:r w:rsidR="00E47C6E">
        <w:rPr>
          <w:rFonts w:ascii="Times New Roman" w:hAnsi="Times New Roman" w:cs="Times New Roman"/>
          <w:sz w:val="20"/>
          <w:szCs w:val="20"/>
        </w:rPr>
        <w:t>74</w:t>
      </w:r>
      <w:r w:rsidR="006A003B" w:rsidRPr="004F2D82">
        <w:rPr>
          <w:rFonts w:ascii="Times New Roman" w:hAnsi="Times New Roman" w:cs="Times New Roman"/>
          <w:sz w:val="20"/>
          <w:szCs w:val="20"/>
        </w:rPr>
        <w:fldChar w:fldCharType="end"/>
      </w:r>
      <w:r w:rsidR="006A003B" w:rsidRPr="004F2D82">
        <w:rPr>
          <w:rFonts w:ascii="Times New Roman" w:hAnsi="Times New Roman"/>
          <w:sz w:val="20"/>
        </w:rPr>
        <w:t xml:space="preserve"> above</w:t>
      </w:r>
      <w:r w:rsidR="00607985" w:rsidRPr="004F2D82">
        <w:rPr>
          <w:rFonts w:ascii="Times New Roman" w:hAnsi="Times New Roman"/>
          <w:sz w:val="20"/>
        </w:rPr>
        <w:t>)</w:t>
      </w:r>
      <w:r w:rsidR="006A003B" w:rsidRPr="004F2D82">
        <w:rPr>
          <w:rFonts w:ascii="Times New Roman" w:hAnsi="Times New Roman"/>
          <w:sz w:val="20"/>
        </w:rPr>
        <w:t xml:space="preserve">. </w:t>
      </w:r>
    </w:p>
    <w:p w14:paraId="3DA285F8" w14:textId="215CBD31" w:rsidR="006A003B" w:rsidRPr="004F2D82" w:rsidRDefault="0011192C" w:rsidP="00FD13A4">
      <w:pPr>
        <w:numPr>
          <w:ilvl w:val="0"/>
          <w:numId w:val="2"/>
        </w:numPr>
        <w:tabs>
          <w:tab w:val="num" w:pos="540"/>
        </w:tabs>
        <w:suppressAutoHyphens/>
        <w:spacing w:after="120" w:line="240" w:lineRule="atLeast"/>
        <w:ind w:left="630" w:right="1134" w:firstLine="0"/>
        <w:jc w:val="both"/>
        <w:rPr>
          <w:rFonts w:ascii="Times New Roman" w:hAnsi="Times New Roman"/>
          <w:sz w:val="20"/>
        </w:rPr>
      </w:pPr>
      <w:bookmarkStart w:id="31" w:name="_Ref495077836"/>
      <w:r w:rsidRPr="004F2D82">
        <w:rPr>
          <w:rFonts w:ascii="Times New Roman" w:hAnsi="Times New Roman"/>
          <w:sz w:val="20"/>
        </w:rPr>
        <w:t xml:space="preserve">In this </w:t>
      </w:r>
      <w:r w:rsidR="006A003B" w:rsidRPr="004F2D82">
        <w:rPr>
          <w:rFonts w:ascii="Times New Roman" w:hAnsi="Times New Roman"/>
          <w:sz w:val="20"/>
        </w:rPr>
        <w:t>regard,</w:t>
      </w:r>
      <w:r w:rsidRPr="004F2D82">
        <w:rPr>
          <w:rFonts w:ascii="Times New Roman" w:hAnsi="Times New Roman"/>
          <w:sz w:val="20"/>
        </w:rPr>
        <w:t xml:space="preserve"> the </w:t>
      </w:r>
      <w:r w:rsidRPr="004F2D82">
        <w:rPr>
          <w:rFonts w:ascii="Times New Roman" w:hAnsi="Times New Roman" w:cs="Times New Roman"/>
          <w:sz w:val="20"/>
          <w:szCs w:val="20"/>
        </w:rPr>
        <w:t>Committee recalls</w:t>
      </w:r>
      <w:r w:rsidR="00134689" w:rsidRPr="004F2D82">
        <w:rPr>
          <w:rFonts w:ascii="Times New Roman" w:hAnsi="Times New Roman" w:cs="Times New Roman"/>
          <w:sz w:val="20"/>
          <w:szCs w:val="20"/>
        </w:rPr>
        <w:t xml:space="preserve"> </w:t>
      </w:r>
      <w:r w:rsidRPr="004F2D82">
        <w:rPr>
          <w:rFonts w:ascii="Times New Roman" w:hAnsi="Times New Roman" w:cs="Times New Roman"/>
          <w:sz w:val="20"/>
          <w:szCs w:val="20"/>
        </w:rPr>
        <w:t xml:space="preserve">its </w:t>
      </w:r>
      <w:r w:rsidRPr="004F2D82">
        <w:rPr>
          <w:rFonts w:ascii="Times New Roman" w:hAnsi="Times New Roman"/>
          <w:sz w:val="20"/>
        </w:rPr>
        <w:t xml:space="preserve">findings on communication ACCC/C/2006/16 </w:t>
      </w:r>
      <w:r w:rsidR="00E90715" w:rsidRPr="004F2D82">
        <w:rPr>
          <w:rFonts w:ascii="Times New Roman" w:hAnsi="Times New Roman" w:cs="Times New Roman"/>
          <w:sz w:val="20"/>
          <w:szCs w:val="20"/>
        </w:rPr>
        <w:t>(</w:t>
      </w:r>
      <w:r w:rsidRPr="004F2D82">
        <w:rPr>
          <w:rFonts w:ascii="Times New Roman" w:hAnsi="Times New Roman"/>
          <w:sz w:val="20"/>
        </w:rPr>
        <w:t>Lithuania</w:t>
      </w:r>
      <w:r w:rsidR="00E90715" w:rsidRPr="004F2D82">
        <w:rPr>
          <w:rFonts w:ascii="Times New Roman" w:hAnsi="Times New Roman" w:cs="Times New Roman"/>
          <w:sz w:val="20"/>
          <w:szCs w:val="20"/>
        </w:rPr>
        <w:t>)</w:t>
      </w:r>
      <w:r w:rsidRPr="004F2D82">
        <w:rPr>
          <w:rFonts w:ascii="Times New Roman" w:hAnsi="Times New Roman" w:cs="Times New Roman"/>
          <w:sz w:val="20"/>
          <w:szCs w:val="20"/>
        </w:rPr>
        <w:t xml:space="preserve">, </w:t>
      </w:r>
      <w:r w:rsidR="00E014BE" w:rsidRPr="004F2D82">
        <w:rPr>
          <w:rFonts w:ascii="Times New Roman" w:hAnsi="Times New Roman" w:cs="Times New Roman"/>
          <w:sz w:val="20"/>
          <w:szCs w:val="20"/>
        </w:rPr>
        <w:t xml:space="preserve">in </w:t>
      </w:r>
      <w:r w:rsidR="00134689" w:rsidRPr="004F2D82">
        <w:rPr>
          <w:rFonts w:ascii="Times New Roman" w:hAnsi="Times New Roman" w:cs="Times New Roman"/>
          <w:sz w:val="20"/>
          <w:szCs w:val="20"/>
        </w:rPr>
        <w:t>which it</w:t>
      </w:r>
      <w:r w:rsidRPr="004F2D82">
        <w:rPr>
          <w:rFonts w:ascii="Times New Roman" w:hAnsi="Times New Roman" w:cs="Times New Roman"/>
          <w:sz w:val="20"/>
          <w:szCs w:val="20"/>
        </w:rPr>
        <w:t xml:space="preserve"> </w:t>
      </w:r>
      <w:r w:rsidR="00B84C73" w:rsidRPr="004F2D82">
        <w:rPr>
          <w:rFonts w:ascii="Times New Roman" w:hAnsi="Times New Roman" w:cs="Times New Roman"/>
          <w:sz w:val="20"/>
          <w:szCs w:val="20"/>
        </w:rPr>
        <w:t xml:space="preserve">held </w:t>
      </w:r>
      <w:r w:rsidRPr="004F2D82">
        <w:rPr>
          <w:rFonts w:ascii="Times New Roman" w:hAnsi="Times New Roman" w:cs="Times New Roman"/>
          <w:sz w:val="20"/>
          <w:szCs w:val="20"/>
        </w:rPr>
        <w:t>that</w:t>
      </w:r>
      <w:r w:rsidRPr="004F2D82">
        <w:rPr>
          <w:rFonts w:ascii="Times New Roman" w:hAnsi="Times New Roman"/>
          <w:sz w:val="20"/>
        </w:rPr>
        <w:t>:</w:t>
      </w:r>
      <w:bookmarkEnd w:id="31"/>
      <w:r w:rsidRPr="004F2D82">
        <w:rPr>
          <w:rFonts w:ascii="Times New Roman" w:hAnsi="Times New Roman"/>
          <w:sz w:val="20"/>
        </w:rPr>
        <w:t xml:space="preserve"> </w:t>
      </w:r>
    </w:p>
    <w:p w14:paraId="0289A300" w14:textId="2FCB5118" w:rsidR="0011192C" w:rsidRPr="004F2D82" w:rsidRDefault="0011192C" w:rsidP="00FD13A4">
      <w:pPr>
        <w:tabs>
          <w:tab w:val="num" w:pos="1134"/>
        </w:tabs>
        <w:suppressAutoHyphens/>
        <w:spacing w:after="120" w:line="240" w:lineRule="atLeast"/>
        <w:ind w:left="1134" w:right="1134"/>
        <w:jc w:val="both"/>
        <w:rPr>
          <w:rFonts w:ascii="Times New Roman" w:hAnsi="Times New Roman"/>
          <w:sz w:val="20"/>
        </w:rPr>
      </w:pPr>
      <w:r w:rsidRPr="004F2D82">
        <w:rPr>
          <w:rFonts w:ascii="Times New Roman" w:hAnsi="Times New Roman"/>
          <w:sz w:val="20"/>
        </w:rPr>
        <w:t>“The Convention, while requiring the main alternatives studied by the applicant to be made accessible, does not prescribe what alternatives should be studied. Thus, the role of the Committee is to find out if the data that were available for the authorities taking the decision were accessible to the public.”</w:t>
      </w:r>
      <w:r w:rsidR="00E446DB" w:rsidRPr="004F2D82">
        <w:rPr>
          <w:rStyle w:val="FootnoteReference"/>
        </w:rPr>
        <w:footnoteReference w:id="123"/>
      </w:r>
    </w:p>
    <w:p w14:paraId="036DED5A" w14:textId="10962EF3" w:rsidR="00321B9A" w:rsidRPr="004F2D82" w:rsidRDefault="00321B9A" w:rsidP="00FD13A4">
      <w:pPr>
        <w:pStyle w:val="ListParagraph"/>
        <w:numPr>
          <w:ilvl w:val="0"/>
          <w:numId w:val="2"/>
        </w:numPr>
        <w:tabs>
          <w:tab w:val="num" w:pos="540"/>
        </w:tabs>
        <w:suppressAutoHyphens/>
        <w:spacing w:after="120" w:line="240" w:lineRule="atLeast"/>
        <w:ind w:left="630" w:right="1134" w:firstLine="0"/>
        <w:contextualSpacing w:val="0"/>
        <w:jc w:val="both"/>
        <w:rPr>
          <w:rFonts w:ascii="Times New Roman" w:hAnsi="Times New Roman"/>
          <w:sz w:val="20"/>
        </w:rPr>
      </w:pPr>
      <w:r w:rsidRPr="004F2D82">
        <w:rPr>
          <w:rFonts w:ascii="Times New Roman" w:hAnsi="Times New Roman"/>
          <w:sz w:val="20"/>
        </w:rPr>
        <w:t xml:space="preserve">The Committee </w:t>
      </w:r>
      <w:r w:rsidR="00D96AB4" w:rsidRPr="004F2D82">
        <w:rPr>
          <w:rFonts w:ascii="Times New Roman" w:hAnsi="Times New Roman"/>
          <w:sz w:val="20"/>
        </w:rPr>
        <w:t>considers</w:t>
      </w:r>
      <w:r w:rsidRPr="004F2D82">
        <w:rPr>
          <w:rFonts w:ascii="Times New Roman" w:hAnsi="Times New Roman"/>
          <w:sz w:val="20"/>
        </w:rPr>
        <w:t xml:space="preserve"> the </w:t>
      </w:r>
      <w:r w:rsidR="00B84C73" w:rsidRPr="004F2D82">
        <w:rPr>
          <w:rFonts w:ascii="Times New Roman" w:hAnsi="Times New Roman"/>
          <w:sz w:val="20"/>
        </w:rPr>
        <w:t>term</w:t>
      </w:r>
      <w:r w:rsidRPr="004F2D82">
        <w:rPr>
          <w:rFonts w:ascii="Times New Roman" w:hAnsi="Times New Roman"/>
          <w:sz w:val="20"/>
        </w:rPr>
        <w:t xml:space="preserve"> “options” </w:t>
      </w:r>
      <w:r w:rsidR="00B84C73" w:rsidRPr="004F2D82">
        <w:rPr>
          <w:rFonts w:ascii="Times New Roman" w:hAnsi="Times New Roman"/>
          <w:sz w:val="20"/>
        </w:rPr>
        <w:t xml:space="preserve">used in </w:t>
      </w:r>
      <w:r w:rsidRPr="004F2D82">
        <w:rPr>
          <w:rFonts w:ascii="Times New Roman" w:hAnsi="Times New Roman"/>
          <w:sz w:val="20"/>
        </w:rPr>
        <w:t>article 6</w:t>
      </w:r>
      <w:r w:rsidR="0098299C" w:rsidRPr="004F2D82">
        <w:rPr>
          <w:rFonts w:ascii="Times New Roman" w:hAnsi="Times New Roman"/>
          <w:sz w:val="20"/>
        </w:rPr>
        <w:t>(</w:t>
      </w:r>
      <w:r w:rsidRPr="004F2D82">
        <w:rPr>
          <w:rFonts w:ascii="Times New Roman" w:hAnsi="Times New Roman"/>
          <w:sz w:val="20"/>
        </w:rPr>
        <w:t>4</w:t>
      </w:r>
      <w:r w:rsidR="0098299C" w:rsidRPr="004F2D82">
        <w:rPr>
          <w:rFonts w:ascii="Times New Roman" w:eastAsia="Times New Roman" w:hAnsi="Times New Roman" w:cs="Times New Roman"/>
          <w:sz w:val="20"/>
          <w:szCs w:val="20"/>
        </w:rPr>
        <w:t>)</w:t>
      </w:r>
      <w:r w:rsidRPr="004F2D82">
        <w:rPr>
          <w:rFonts w:ascii="Times New Roman" w:hAnsi="Times New Roman"/>
          <w:sz w:val="20"/>
        </w:rPr>
        <w:t xml:space="preserve"> of the Convention </w:t>
      </w:r>
      <w:r w:rsidR="00E446DB" w:rsidRPr="004F2D82">
        <w:rPr>
          <w:rFonts w:ascii="Times New Roman" w:hAnsi="Times New Roman"/>
          <w:sz w:val="20"/>
        </w:rPr>
        <w:t>to be</w:t>
      </w:r>
      <w:r w:rsidRPr="004F2D82">
        <w:rPr>
          <w:rFonts w:ascii="Times New Roman" w:hAnsi="Times New Roman"/>
          <w:sz w:val="20"/>
        </w:rPr>
        <w:t xml:space="preserve"> wider than the </w:t>
      </w:r>
      <w:r w:rsidR="00B84C73" w:rsidRPr="004F2D82">
        <w:rPr>
          <w:rFonts w:ascii="Times New Roman" w:hAnsi="Times New Roman"/>
          <w:sz w:val="20"/>
        </w:rPr>
        <w:t>term “</w:t>
      </w:r>
      <w:r w:rsidRPr="004F2D82">
        <w:rPr>
          <w:rFonts w:ascii="Times New Roman" w:hAnsi="Times New Roman"/>
          <w:sz w:val="20"/>
        </w:rPr>
        <w:t>alternatives</w:t>
      </w:r>
      <w:r w:rsidR="00630352" w:rsidRPr="004F2D82">
        <w:rPr>
          <w:rFonts w:ascii="Times New Roman" w:hAnsi="Times New Roman"/>
          <w:sz w:val="20"/>
        </w:rPr>
        <w:t xml:space="preserve"> studied</w:t>
      </w:r>
      <w:r w:rsidR="00B84C73" w:rsidRPr="004F2D82">
        <w:rPr>
          <w:rFonts w:ascii="Times New Roman" w:hAnsi="Times New Roman"/>
          <w:sz w:val="20"/>
        </w:rPr>
        <w:t>”</w:t>
      </w:r>
      <w:r w:rsidRPr="004F2D82">
        <w:rPr>
          <w:rFonts w:ascii="Times New Roman" w:hAnsi="Times New Roman"/>
          <w:sz w:val="20"/>
        </w:rPr>
        <w:t xml:space="preserve"> </w:t>
      </w:r>
      <w:r w:rsidR="00B84C73" w:rsidRPr="004F2D82">
        <w:rPr>
          <w:rFonts w:ascii="Times New Roman" w:hAnsi="Times New Roman"/>
          <w:sz w:val="20"/>
        </w:rPr>
        <w:t>found in</w:t>
      </w:r>
      <w:r w:rsidRPr="004F2D82">
        <w:rPr>
          <w:rFonts w:ascii="Times New Roman" w:hAnsi="Times New Roman"/>
          <w:sz w:val="20"/>
        </w:rPr>
        <w:t xml:space="preserve"> article 6</w:t>
      </w:r>
      <w:r w:rsidR="0098299C" w:rsidRPr="004F2D82">
        <w:rPr>
          <w:rFonts w:ascii="Times New Roman" w:hAnsi="Times New Roman"/>
          <w:sz w:val="20"/>
        </w:rPr>
        <w:t>(</w:t>
      </w:r>
      <w:r w:rsidRPr="004F2D82">
        <w:rPr>
          <w:rFonts w:ascii="Times New Roman" w:hAnsi="Times New Roman"/>
          <w:sz w:val="20"/>
        </w:rPr>
        <w:t>6</w:t>
      </w:r>
      <w:r w:rsidR="0098299C" w:rsidRPr="004F2D82">
        <w:rPr>
          <w:rFonts w:ascii="Times New Roman" w:hAnsi="Times New Roman"/>
          <w:sz w:val="20"/>
        </w:rPr>
        <w:t>)</w:t>
      </w:r>
      <w:r w:rsidRPr="004F2D82">
        <w:rPr>
          <w:rFonts w:ascii="Times New Roman" w:hAnsi="Times New Roman"/>
          <w:sz w:val="20"/>
        </w:rPr>
        <w:t xml:space="preserve"> of the Convention. “</w:t>
      </w:r>
      <w:r w:rsidR="00B84C73" w:rsidRPr="004F2D82">
        <w:rPr>
          <w:rFonts w:ascii="Times New Roman" w:eastAsia="Times New Roman" w:hAnsi="Times New Roman" w:cs="Times New Roman"/>
          <w:sz w:val="20"/>
          <w:szCs w:val="20"/>
        </w:rPr>
        <w:t>O</w:t>
      </w:r>
      <w:r w:rsidRPr="004F2D82">
        <w:rPr>
          <w:rFonts w:ascii="Times New Roman" w:eastAsia="Times New Roman" w:hAnsi="Times New Roman" w:cs="Times New Roman"/>
          <w:sz w:val="20"/>
          <w:szCs w:val="20"/>
        </w:rPr>
        <w:t>ption</w:t>
      </w:r>
      <w:r w:rsidR="00E90715" w:rsidRPr="004F2D82">
        <w:rPr>
          <w:rFonts w:ascii="Times New Roman" w:eastAsia="Times New Roman" w:hAnsi="Times New Roman" w:cs="Times New Roman"/>
          <w:sz w:val="20"/>
          <w:szCs w:val="20"/>
        </w:rPr>
        <w:t>s</w:t>
      </w:r>
      <w:r w:rsidRPr="004F2D82">
        <w:rPr>
          <w:rFonts w:ascii="Times New Roman" w:hAnsi="Times New Roman"/>
          <w:sz w:val="20"/>
        </w:rPr>
        <w:t xml:space="preserve">” refers to </w:t>
      </w:r>
      <w:r w:rsidR="00010EE3" w:rsidRPr="004F2D82">
        <w:rPr>
          <w:rFonts w:ascii="Times New Roman" w:hAnsi="Times New Roman"/>
          <w:sz w:val="20"/>
        </w:rPr>
        <w:t xml:space="preserve">all the </w:t>
      </w:r>
      <w:r w:rsidRPr="004F2D82">
        <w:rPr>
          <w:rFonts w:ascii="Times New Roman" w:hAnsi="Times New Roman"/>
          <w:sz w:val="20"/>
        </w:rPr>
        <w:t xml:space="preserve">possible courses of action which the decision-maker may </w:t>
      </w:r>
      <w:proofErr w:type="gramStart"/>
      <w:r w:rsidRPr="004F2D82">
        <w:rPr>
          <w:rFonts w:ascii="Times New Roman" w:hAnsi="Times New Roman"/>
          <w:sz w:val="20"/>
        </w:rPr>
        <w:t>choose</w:t>
      </w:r>
      <w:proofErr w:type="gramEnd"/>
      <w:r w:rsidR="00443235" w:rsidRPr="004F2D82">
        <w:rPr>
          <w:rFonts w:ascii="Times New Roman" w:hAnsi="Times New Roman"/>
          <w:sz w:val="20"/>
        </w:rPr>
        <w:t xml:space="preserve"> </w:t>
      </w:r>
      <w:r w:rsidR="00443235" w:rsidRPr="004F2D82">
        <w:rPr>
          <w:rFonts w:ascii="Times New Roman" w:hAnsi="Times New Roman"/>
          <w:sz w:val="20"/>
        </w:rPr>
        <w:lastRenderedPageBreak/>
        <w:t>or the public may propose, including the so-called “zero option</w:t>
      </w:r>
      <w:r w:rsidR="00443235" w:rsidRPr="004F2D82">
        <w:rPr>
          <w:rFonts w:ascii="Times New Roman" w:eastAsia="Times New Roman" w:hAnsi="Times New Roman" w:cs="Times New Roman"/>
          <w:sz w:val="20"/>
          <w:szCs w:val="20"/>
        </w:rPr>
        <w:t>”</w:t>
      </w:r>
      <w:r w:rsidR="00E90715" w:rsidRPr="004F2D82">
        <w:rPr>
          <w:rFonts w:ascii="Times New Roman" w:eastAsia="Times New Roman" w:hAnsi="Times New Roman" w:cs="Times New Roman"/>
          <w:sz w:val="20"/>
          <w:szCs w:val="20"/>
        </w:rPr>
        <w:t>.</w:t>
      </w:r>
      <w:r w:rsidR="0034501C" w:rsidRPr="004F2D82">
        <w:rPr>
          <w:rStyle w:val="FootnoteReference"/>
          <w:rFonts w:eastAsia="Times New Roman"/>
          <w:szCs w:val="20"/>
        </w:rPr>
        <w:footnoteReference w:id="124"/>
      </w:r>
      <w:r w:rsidR="00443235" w:rsidRPr="004F2D82">
        <w:rPr>
          <w:rFonts w:ascii="Times New Roman" w:eastAsia="Times New Roman" w:hAnsi="Times New Roman" w:cs="Times New Roman"/>
          <w:sz w:val="20"/>
          <w:szCs w:val="20"/>
        </w:rPr>
        <w:t xml:space="preserve"> </w:t>
      </w:r>
      <w:r w:rsidR="00E90715" w:rsidRPr="004F2D82">
        <w:rPr>
          <w:rFonts w:ascii="Times New Roman" w:eastAsia="Times New Roman" w:hAnsi="Times New Roman" w:cs="Times New Roman"/>
          <w:sz w:val="20"/>
          <w:szCs w:val="20"/>
        </w:rPr>
        <w:t>The</w:t>
      </w:r>
      <w:r w:rsidR="00E90715" w:rsidRPr="004F2D82">
        <w:rPr>
          <w:rFonts w:ascii="Times New Roman" w:hAnsi="Times New Roman"/>
          <w:sz w:val="20"/>
        </w:rPr>
        <w:t xml:space="preserve"> </w:t>
      </w:r>
      <w:r w:rsidRPr="004F2D82">
        <w:rPr>
          <w:rFonts w:ascii="Times New Roman" w:hAnsi="Times New Roman"/>
          <w:sz w:val="20"/>
        </w:rPr>
        <w:t>“</w:t>
      </w:r>
      <w:r w:rsidR="00E90715" w:rsidRPr="004F2D82">
        <w:rPr>
          <w:rFonts w:ascii="Times New Roman" w:hAnsi="Times New Roman"/>
          <w:sz w:val="20"/>
        </w:rPr>
        <w:t>a</w:t>
      </w:r>
      <w:r w:rsidRPr="004F2D82">
        <w:rPr>
          <w:rFonts w:ascii="Times New Roman" w:hAnsi="Times New Roman"/>
          <w:sz w:val="20"/>
        </w:rPr>
        <w:t>lternatives</w:t>
      </w:r>
      <w:r w:rsidR="00630352" w:rsidRPr="004F2D82">
        <w:rPr>
          <w:rFonts w:ascii="Times New Roman" w:hAnsi="Times New Roman"/>
          <w:sz w:val="20"/>
        </w:rPr>
        <w:t xml:space="preserve"> studied</w:t>
      </w:r>
      <w:r w:rsidRPr="004F2D82">
        <w:rPr>
          <w:rFonts w:ascii="Times New Roman" w:hAnsi="Times New Roman"/>
          <w:sz w:val="20"/>
        </w:rPr>
        <w:t xml:space="preserve">” </w:t>
      </w:r>
      <w:r w:rsidR="00E90715" w:rsidRPr="004F2D82">
        <w:rPr>
          <w:rFonts w:ascii="Times New Roman" w:eastAsia="Times New Roman" w:hAnsi="Times New Roman" w:cs="Times New Roman"/>
          <w:sz w:val="20"/>
          <w:szCs w:val="20"/>
        </w:rPr>
        <w:t>are</w:t>
      </w:r>
      <w:r w:rsidRPr="004F2D82">
        <w:rPr>
          <w:rFonts w:ascii="Times New Roman" w:hAnsi="Times New Roman"/>
          <w:sz w:val="20"/>
        </w:rPr>
        <w:t xml:space="preserve"> th</w:t>
      </w:r>
      <w:r w:rsidR="00E90715" w:rsidRPr="004F2D82">
        <w:rPr>
          <w:rFonts w:ascii="Times New Roman" w:hAnsi="Times New Roman"/>
          <w:sz w:val="20"/>
        </w:rPr>
        <w:t>os</w:t>
      </w:r>
      <w:r w:rsidRPr="004F2D82">
        <w:rPr>
          <w:rFonts w:ascii="Times New Roman" w:hAnsi="Times New Roman"/>
          <w:sz w:val="20"/>
        </w:rPr>
        <w:t xml:space="preserve">e </w:t>
      </w:r>
      <w:r w:rsidR="00E90715" w:rsidRPr="004F2D82">
        <w:rPr>
          <w:rFonts w:ascii="Times New Roman" w:hAnsi="Times New Roman"/>
          <w:sz w:val="20"/>
        </w:rPr>
        <w:t xml:space="preserve">options </w:t>
      </w:r>
      <w:r w:rsidRPr="004F2D82">
        <w:rPr>
          <w:rFonts w:ascii="Times New Roman" w:hAnsi="Times New Roman"/>
          <w:sz w:val="20"/>
        </w:rPr>
        <w:t>which were</w:t>
      </w:r>
      <w:r w:rsidR="00010EE3" w:rsidRPr="004F2D82">
        <w:rPr>
          <w:rFonts w:ascii="Times New Roman" w:hAnsi="Times New Roman"/>
          <w:sz w:val="20"/>
        </w:rPr>
        <w:t xml:space="preserve"> </w:t>
      </w:r>
      <w:r w:rsidRPr="004F2D82">
        <w:rPr>
          <w:rFonts w:ascii="Times New Roman" w:hAnsi="Times New Roman"/>
          <w:sz w:val="20"/>
        </w:rPr>
        <w:t xml:space="preserve">elaborated and studied by the applicant. </w:t>
      </w:r>
    </w:p>
    <w:p w14:paraId="4C986472" w14:textId="45604EAD" w:rsidR="00105D0B" w:rsidRPr="004F2D82" w:rsidRDefault="003A4A45" w:rsidP="00FD13A4">
      <w:pPr>
        <w:pStyle w:val="ListParagraph"/>
        <w:numPr>
          <w:ilvl w:val="0"/>
          <w:numId w:val="2"/>
        </w:numPr>
        <w:tabs>
          <w:tab w:val="num" w:pos="540"/>
        </w:tabs>
        <w:spacing w:after="120"/>
        <w:ind w:left="630" w:right="1109" w:firstLine="0"/>
        <w:contextualSpacing w:val="0"/>
        <w:jc w:val="both"/>
        <w:rPr>
          <w:rFonts w:ascii="Times New Roman" w:hAnsi="Times New Roman" w:cs="Times New Roman"/>
          <w:sz w:val="20"/>
          <w:szCs w:val="20"/>
        </w:rPr>
      </w:pPr>
      <w:r w:rsidRPr="004F2D82">
        <w:rPr>
          <w:rFonts w:ascii="Times New Roman" w:hAnsi="Times New Roman"/>
          <w:sz w:val="20"/>
        </w:rPr>
        <w:t>I</w:t>
      </w:r>
      <w:r w:rsidR="00105D0B" w:rsidRPr="004F2D82">
        <w:rPr>
          <w:rFonts w:ascii="Times New Roman" w:hAnsi="Times New Roman"/>
          <w:sz w:val="20"/>
        </w:rPr>
        <w:t xml:space="preserve">n the present case the Party concerned </w:t>
      </w:r>
      <w:r w:rsidR="00C87C7C" w:rsidRPr="004F2D82">
        <w:rPr>
          <w:rFonts w:ascii="Times New Roman" w:hAnsi="Times New Roman"/>
          <w:sz w:val="20"/>
        </w:rPr>
        <w:t xml:space="preserve">studied </w:t>
      </w:r>
      <w:r w:rsidR="00105D0B" w:rsidRPr="004F2D82">
        <w:rPr>
          <w:rFonts w:ascii="Times New Roman" w:hAnsi="Times New Roman"/>
          <w:sz w:val="20"/>
        </w:rPr>
        <w:t xml:space="preserve">a range of </w:t>
      </w:r>
      <w:r w:rsidR="00C87C7C" w:rsidRPr="004F2D82">
        <w:rPr>
          <w:rFonts w:ascii="Times New Roman" w:hAnsi="Times New Roman"/>
          <w:sz w:val="20"/>
        </w:rPr>
        <w:t xml:space="preserve">alternatives </w:t>
      </w:r>
      <w:r w:rsidR="00105D0B" w:rsidRPr="004F2D82">
        <w:rPr>
          <w:rFonts w:ascii="Times New Roman" w:hAnsi="Times New Roman"/>
          <w:sz w:val="20"/>
        </w:rPr>
        <w:t>prior to the publication of the DNS</w:t>
      </w:r>
      <w:r w:rsidRPr="004F2D82">
        <w:rPr>
          <w:rFonts w:ascii="Times New Roman" w:hAnsi="Times New Roman"/>
          <w:sz w:val="20"/>
        </w:rPr>
        <w:t xml:space="preserve"> (see paras. </w:t>
      </w:r>
      <w:r w:rsidRPr="004F2D82">
        <w:rPr>
          <w:rFonts w:ascii="Times New Roman" w:hAnsi="Times New Roman"/>
          <w:sz w:val="20"/>
        </w:rPr>
        <w:fldChar w:fldCharType="begin"/>
      </w:r>
      <w:r w:rsidRPr="004F2D82">
        <w:rPr>
          <w:rFonts w:ascii="Times New Roman" w:hAnsi="Times New Roman" w:cs="Times New Roman"/>
          <w:sz w:val="20"/>
          <w:szCs w:val="20"/>
        </w:rPr>
        <w:instrText xml:space="preserve"> REF _Ref495320883 \n \h  \* MERGEFORMAT </w:instrText>
      </w:r>
      <w:r w:rsidRPr="004F2D82">
        <w:rPr>
          <w:rFonts w:ascii="Times New Roman" w:hAnsi="Times New Roman"/>
          <w:sz w:val="20"/>
        </w:rPr>
      </w:r>
      <w:r w:rsidRPr="004F2D82">
        <w:rPr>
          <w:rFonts w:ascii="Times New Roman" w:hAnsi="Times New Roman"/>
          <w:sz w:val="20"/>
        </w:rPr>
        <w:fldChar w:fldCharType="separate"/>
      </w:r>
      <w:r w:rsidR="00E47C6E">
        <w:rPr>
          <w:rFonts w:ascii="Times New Roman" w:hAnsi="Times New Roman" w:cs="Times New Roman"/>
          <w:sz w:val="20"/>
          <w:szCs w:val="20"/>
          <w:cs/>
        </w:rPr>
        <w:t>‎</w:t>
      </w:r>
      <w:r w:rsidR="00E47C6E" w:rsidRPr="00E47C6E">
        <w:rPr>
          <w:rFonts w:ascii="Times New Roman" w:hAnsi="Times New Roman"/>
          <w:sz w:val="20"/>
        </w:rPr>
        <w:t>22</w:t>
      </w:r>
      <w:r w:rsidRPr="004F2D82">
        <w:rPr>
          <w:rFonts w:ascii="Times New Roman" w:hAnsi="Times New Roman"/>
          <w:sz w:val="20"/>
        </w:rPr>
        <w:fldChar w:fldCharType="end"/>
      </w:r>
      <w:r w:rsidRPr="004F2D82">
        <w:rPr>
          <w:rFonts w:ascii="Times New Roman" w:hAnsi="Times New Roman"/>
          <w:sz w:val="20"/>
        </w:rPr>
        <w:t>-</w:t>
      </w:r>
      <w:r w:rsidRPr="004F2D82">
        <w:rPr>
          <w:rFonts w:ascii="Times New Roman" w:hAnsi="Times New Roman"/>
          <w:sz w:val="20"/>
        </w:rPr>
        <w:fldChar w:fldCharType="begin"/>
      </w:r>
      <w:r w:rsidRPr="004F2D82">
        <w:rPr>
          <w:rFonts w:ascii="Times New Roman" w:hAnsi="Times New Roman" w:cs="Times New Roman"/>
          <w:sz w:val="20"/>
          <w:szCs w:val="20"/>
        </w:rPr>
        <w:instrText xml:space="preserve"> REF _Ref495326790 \n \h  \* MERGEFORMAT </w:instrText>
      </w:r>
      <w:r w:rsidRPr="004F2D82">
        <w:rPr>
          <w:rFonts w:ascii="Times New Roman" w:hAnsi="Times New Roman"/>
          <w:sz w:val="20"/>
        </w:rPr>
      </w:r>
      <w:r w:rsidRPr="004F2D82">
        <w:rPr>
          <w:rFonts w:ascii="Times New Roman" w:hAnsi="Times New Roman"/>
          <w:sz w:val="20"/>
        </w:rPr>
        <w:fldChar w:fldCharType="separate"/>
      </w:r>
      <w:r w:rsidR="00E47C6E">
        <w:rPr>
          <w:rFonts w:ascii="Times New Roman" w:hAnsi="Times New Roman" w:cs="Times New Roman"/>
          <w:sz w:val="20"/>
          <w:szCs w:val="20"/>
          <w:cs/>
        </w:rPr>
        <w:t>‎</w:t>
      </w:r>
      <w:r w:rsidR="00E47C6E">
        <w:rPr>
          <w:rFonts w:ascii="Times New Roman" w:hAnsi="Times New Roman" w:cs="Times New Roman"/>
          <w:sz w:val="20"/>
          <w:szCs w:val="20"/>
        </w:rPr>
        <w:t>28</w:t>
      </w:r>
      <w:r w:rsidRPr="004F2D82">
        <w:rPr>
          <w:rFonts w:ascii="Times New Roman" w:hAnsi="Times New Roman"/>
          <w:sz w:val="20"/>
        </w:rPr>
        <w:fldChar w:fldCharType="end"/>
      </w:r>
      <w:r w:rsidRPr="004F2D82">
        <w:rPr>
          <w:rFonts w:ascii="Times New Roman" w:hAnsi="Times New Roman"/>
          <w:sz w:val="20"/>
        </w:rPr>
        <w:t xml:space="preserve"> above)</w:t>
      </w:r>
      <w:r w:rsidR="00105D0B" w:rsidRPr="004F2D82">
        <w:rPr>
          <w:rFonts w:ascii="Times New Roman" w:hAnsi="Times New Roman"/>
          <w:sz w:val="20"/>
        </w:rPr>
        <w:t xml:space="preserve">. It also provided information on the </w:t>
      </w:r>
      <w:r w:rsidR="00C87C7C" w:rsidRPr="004F2D82">
        <w:rPr>
          <w:rFonts w:ascii="Times New Roman" w:hAnsi="Times New Roman"/>
          <w:sz w:val="20"/>
        </w:rPr>
        <w:t xml:space="preserve">main alternatives studied </w:t>
      </w:r>
      <w:r w:rsidR="00105D0B" w:rsidRPr="004F2D82">
        <w:rPr>
          <w:rFonts w:ascii="Times New Roman" w:hAnsi="Times New Roman"/>
          <w:sz w:val="20"/>
        </w:rPr>
        <w:t xml:space="preserve">prior to the public consultation on the DNS (see paras. </w:t>
      </w:r>
      <w:r w:rsidR="00D2705E" w:rsidRPr="004F2D82">
        <w:rPr>
          <w:rFonts w:ascii="Times New Roman" w:hAnsi="Times New Roman" w:cs="Times New Roman"/>
          <w:sz w:val="20"/>
          <w:szCs w:val="20"/>
        </w:rPr>
        <w:fldChar w:fldCharType="begin"/>
      </w:r>
      <w:r w:rsidR="00D2705E" w:rsidRPr="004F2D82">
        <w:rPr>
          <w:rFonts w:ascii="Times New Roman" w:hAnsi="Times New Roman" w:cs="Times New Roman"/>
          <w:sz w:val="20"/>
          <w:szCs w:val="20"/>
        </w:rPr>
        <w:instrText xml:space="preserve"> REF _Ref530052481 \r \h </w:instrText>
      </w:r>
      <w:r w:rsidR="009604B4" w:rsidRPr="004F2D82">
        <w:rPr>
          <w:rFonts w:ascii="Times New Roman" w:hAnsi="Times New Roman" w:cs="Times New Roman"/>
          <w:sz w:val="20"/>
          <w:szCs w:val="20"/>
        </w:rPr>
        <w:instrText xml:space="preserve"> \* MERGEFORMAT </w:instrText>
      </w:r>
      <w:r w:rsidR="00D2705E" w:rsidRPr="004F2D82">
        <w:rPr>
          <w:rFonts w:ascii="Times New Roman" w:hAnsi="Times New Roman" w:cs="Times New Roman"/>
          <w:sz w:val="20"/>
          <w:szCs w:val="20"/>
        </w:rPr>
      </w:r>
      <w:r w:rsidR="00D2705E" w:rsidRPr="004F2D82">
        <w:rPr>
          <w:rFonts w:ascii="Times New Roman" w:hAnsi="Times New Roman" w:cs="Times New Roman"/>
          <w:sz w:val="20"/>
          <w:szCs w:val="20"/>
        </w:rPr>
        <w:fldChar w:fldCharType="separate"/>
      </w:r>
      <w:r w:rsidR="00E47C6E">
        <w:rPr>
          <w:rFonts w:ascii="Times New Roman" w:hAnsi="Times New Roman" w:cs="Times New Roman"/>
          <w:sz w:val="20"/>
          <w:szCs w:val="20"/>
          <w:cs/>
        </w:rPr>
        <w:t>‎</w:t>
      </w:r>
      <w:r w:rsidR="00E47C6E">
        <w:rPr>
          <w:rFonts w:ascii="Times New Roman" w:hAnsi="Times New Roman" w:cs="Times New Roman"/>
          <w:sz w:val="20"/>
          <w:szCs w:val="20"/>
        </w:rPr>
        <w:t>31</w:t>
      </w:r>
      <w:r w:rsidR="00D2705E" w:rsidRPr="004F2D82">
        <w:rPr>
          <w:rFonts w:ascii="Times New Roman" w:hAnsi="Times New Roman" w:cs="Times New Roman"/>
          <w:sz w:val="20"/>
          <w:szCs w:val="20"/>
        </w:rPr>
        <w:fldChar w:fldCharType="end"/>
      </w:r>
      <w:r w:rsidR="00D2705E" w:rsidRPr="004F2D82">
        <w:rPr>
          <w:rFonts w:ascii="Times New Roman" w:hAnsi="Times New Roman" w:cs="Times New Roman"/>
          <w:sz w:val="20"/>
          <w:szCs w:val="20"/>
        </w:rPr>
        <w:t xml:space="preserve">, </w:t>
      </w:r>
      <w:r w:rsidR="00105D0B" w:rsidRPr="004F2D82">
        <w:rPr>
          <w:rFonts w:ascii="Times New Roman" w:hAnsi="Times New Roman" w:cs="Times New Roman"/>
          <w:sz w:val="20"/>
          <w:szCs w:val="20"/>
        </w:rPr>
        <w:fldChar w:fldCharType="begin"/>
      </w:r>
      <w:r w:rsidR="00105D0B" w:rsidRPr="004F2D82">
        <w:rPr>
          <w:rFonts w:ascii="Times New Roman" w:hAnsi="Times New Roman" w:cs="Times New Roman"/>
          <w:sz w:val="20"/>
          <w:szCs w:val="20"/>
        </w:rPr>
        <w:instrText xml:space="preserve"> REF _Ref495326951 \n \h  \* MERGEFORMAT </w:instrText>
      </w:r>
      <w:r w:rsidR="00105D0B" w:rsidRPr="004F2D82">
        <w:rPr>
          <w:rFonts w:ascii="Times New Roman" w:hAnsi="Times New Roman" w:cs="Times New Roman"/>
          <w:sz w:val="20"/>
          <w:szCs w:val="20"/>
        </w:rPr>
      </w:r>
      <w:r w:rsidR="00105D0B" w:rsidRPr="004F2D82">
        <w:rPr>
          <w:rFonts w:ascii="Times New Roman" w:hAnsi="Times New Roman" w:cs="Times New Roman"/>
          <w:sz w:val="20"/>
          <w:szCs w:val="20"/>
        </w:rPr>
        <w:fldChar w:fldCharType="separate"/>
      </w:r>
      <w:r w:rsidR="00E47C6E">
        <w:rPr>
          <w:rFonts w:ascii="Times New Roman" w:hAnsi="Times New Roman" w:cs="Times New Roman"/>
          <w:sz w:val="20"/>
          <w:szCs w:val="20"/>
          <w:cs/>
        </w:rPr>
        <w:t>‎</w:t>
      </w:r>
      <w:r w:rsidR="00E47C6E">
        <w:rPr>
          <w:rFonts w:ascii="Times New Roman" w:hAnsi="Times New Roman" w:cs="Times New Roman"/>
          <w:sz w:val="20"/>
          <w:szCs w:val="20"/>
        </w:rPr>
        <w:t>71</w:t>
      </w:r>
      <w:r w:rsidR="00105D0B" w:rsidRPr="004F2D82">
        <w:rPr>
          <w:rFonts w:ascii="Times New Roman" w:hAnsi="Times New Roman" w:cs="Times New Roman"/>
          <w:sz w:val="20"/>
          <w:szCs w:val="20"/>
        </w:rPr>
        <w:fldChar w:fldCharType="end"/>
      </w:r>
      <w:r w:rsidR="00105D0B" w:rsidRPr="004F2D82">
        <w:rPr>
          <w:rFonts w:ascii="Times New Roman" w:hAnsi="Times New Roman" w:cs="Times New Roman"/>
          <w:sz w:val="20"/>
          <w:szCs w:val="20"/>
        </w:rPr>
        <w:t xml:space="preserve">, </w:t>
      </w:r>
      <w:r w:rsidR="00105D0B" w:rsidRPr="004F2D82">
        <w:rPr>
          <w:rFonts w:ascii="Times New Roman" w:hAnsi="Times New Roman" w:cs="Times New Roman"/>
          <w:sz w:val="20"/>
          <w:szCs w:val="20"/>
        </w:rPr>
        <w:fldChar w:fldCharType="begin"/>
      </w:r>
      <w:r w:rsidR="00105D0B" w:rsidRPr="004F2D82">
        <w:rPr>
          <w:rFonts w:ascii="Times New Roman" w:hAnsi="Times New Roman" w:cs="Times New Roman"/>
          <w:sz w:val="20"/>
          <w:szCs w:val="20"/>
        </w:rPr>
        <w:instrText xml:space="preserve"> REF _Ref495326952 \n \h  \* MERGEFORMAT </w:instrText>
      </w:r>
      <w:r w:rsidR="00105D0B" w:rsidRPr="004F2D82">
        <w:rPr>
          <w:rFonts w:ascii="Times New Roman" w:hAnsi="Times New Roman" w:cs="Times New Roman"/>
          <w:sz w:val="20"/>
          <w:szCs w:val="20"/>
        </w:rPr>
      </w:r>
      <w:r w:rsidR="00105D0B" w:rsidRPr="004F2D82">
        <w:rPr>
          <w:rFonts w:ascii="Times New Roman" w:hAnsi="Times New Roman" w:cs="Times New Roman"/>
          <w:sz w:val="20"/>
          <w:szCs w:val="20"/>
        </w:rPr>
        <w:fldChar w:fldCharType="separate"/>
      </w:r>
      <w:r w:rsidR="00E47C6E">
        <w:rPr>
          <w:rFonts w:ascii="Times New Roman" w:hAnsi="Times New Roman" w:cs="Times New Roman"/>
          <w:sz w:val="20"/>
          <w:szCs w:val="20"/>
          <w:cs/>
        </w:rPr>
        <w:t>‎</w:t>
      </w:r>
      <w:r w:rsidR="00E47C6E">
        <w:rPr>
          <w:rFonts w:ascii="Times New Roman" w:hAnsi="Times New Roman" w:cs="Times New Roman"/>
          <w:sz w:val="20"/>
          <w:szCs w:val="20"/>
        </w:rPr>
        <w:t>73</w:t>
      </w:r>
      <w:r w:rsidR="00105D0B" w:rsidRPr="004F2D82">
        <w:rPr>
          <w:rFonts w:ascii="Times New Roman" w:hAnsi="Times New Roman" w:cs="Times New Roman"/>
          <w:sz w:val="20"/>
          <w:szCs w:val="20"/>
        </w:rPr>
        <w:fldChar w:fldCharType="end"/>
      </w:r>
      <w:r w:rsidR="00105D0B" w:rsidRPr="004F2D82">
        <w:rPr>
          <w:rFonts w:ascii="Times New Roman" w:hAnsi="Times New Roman" w:cs="Times New Roman"/>
          <w:sz w:val="20"/>
          <w:szCs w:val="20"/>
        </w:rPr>
        <w:t xml:space="preserve"> and </w:t>
      </w:r>
      <w:r w:rsidR="006A5280" w:rsidRPr="004F2D82">
        <w:rPr>
          <w:rFonts w:ascii="Times New Roman" w:hAnsi="Times New Roman" w:cs="Times New Roman"/>
          <w:sz w:val="20"/>
          <w:szCs w:val="20"/>
        </w:rPr>
        <w:fldChar w:fldCharType="begin"/>
      </w:r>
      <w:r w:rsidR="006A5280" w:rsidRPr="004F2D82">
        <w:rPr>
          <w:rFonts w:ascii="Times New Roman" w:hAnsi="Times New Roman" w:cs="Times New Roman"/>
          <w:sz w:val="20"/>
          <w:szCs w:val="20"/>
        </w:rPr>
        <w:instrText xml:space="preserve"> REF _Ref528682823 \r \h </w:instrText>
      </w:r>
      <w:r w:rsidR="00C02377" w:rsidRPr="004F2D82">
        <w:rPr>
          <w:rFonts w:ascii="Times New Roman" w:hAnsi="Times New Roman" w:cs="Times New Roman"/>
          <w:sz w:val="20"/>
          <w:szCs w:val="20"/>
        </w:rPr>
        <w:instrText xml:space="preserve"> \* MERGEFORMAT </w:instrText>
      </w:r>
      <w:r w:rsidR="006A5280" w:rsidRPr="004F2D82">
        <w:rPr>
          <w:rFonts w:ascii="Times New Roman" w:hAnsi="Times New Roman" w:cs="Times New Roman"/>
          <w:sz w:val="20"/>
          <w:szCs w:val="20"/>
        </w:rPr>
      </w:r>
      <w:r w:rsidR="006A5280" w:rsidRPr="004F2D82">
        <w:rPr>
          <w:rFonts w:ascii="Times New Roman" w:hAnsi="Times New Roman" w:cs="Times New Roman"/>
          <w:sz w:val="20"/>
          <w:szCs w:val="20"/>
        </w:rPr>
        <w:fldChar w:fldCharType="separate"/>
      </w:r>
      <w:r w:rsidR="00E47C6E">
        <w:rPr>
          <w:rFonts w:ascii="Times New Roman" w:hAnsi="Times New Roman" w:cs="Times New Roman"/>
          <w:sz w:val="20"/>
          <w:szCs w:val="20"/>
          <w:cs/>
        </w:rPr>
        <w:t>‎</w:t>
      </w:r>
      <w:r w:rsidR="00E47C6E">
        <w:rPr>
          <w:rFonts w:ascii="Times New Roman" w:hAnsi="Times New Roman" w:cs="Times New Roman"/>
          <w:sz w:val="20"/>
          <w:szCs w:val="20"/>
        </w:rPr>
        <w:t>75</w:t>
      </w:r>
      <w:r w:rsidR="006A5280" w:rsidRPr="004F2D82">
        <w:rPr>
          <w:rFonts w:ascii="Times New Roman" w:hAnsi="Times New Roman" w:cs="Times New Roman"/>
          <w:sz w:val="20"/>
          <w:szCs w:val="20"/>
        </w:rPr>
        <w:fldChar w:fldCharType="end"/>
      </w:r>
      <w:r w:rsidR="006A5280" w:rsidRPr="004F2D82">
        <w:rPr>
          <w:rFonts w:ascii="Times New Roman" w:hAnsi="Times New Roman" w:cs="Times New Roman"/>
          <w:sz w:val="20"/>
          <w:szCs w:val="20"/>
        </w:rPr>
        <w:t xml:space="preserve"> </w:t>
      </w:r>
      <w:r w:rsidR="00105D0B" w:rsidRPr="004F2D82">
        <w:rPr>
          <w:rFonts w:ascii="Times New Roman" w:hAnsi="Times New Roman" w:cs="Times New Roman"/>
          <w:sz w:val="20"/>
          <w:szCs w:val="20"/>
        </w:rPr>
        <w:t>above)</w:t>
      </w:r>
      <w:r w:rsidR="00C32B10" w:rsidRPr="004F2D82">
        <w:rPr>
          <w:rFonts w:ascii="Times New Roman" w:hAnsi="Times New Roman" w:cs="Times New Roman"/>
          <w:sz w:val="20"/>
          <w:szCs w:val="20"/>
        </w:rPr>
        <w:t>. Th</w:t>
      </w:r>
      <w:r w:rsidR="00984D1F" w:rsidRPr="004F2D82">
        <w:rPr>
          <w:rFonts w:ascii="Times New Roman" w:hAnsi="Times New Roman" w:cs="Times New Roman"/>
          <w:sz w:val="20"/>
          <w:szCs w:val="20"/>
        </w:rPr>
        <w:t>at this information was provided</w:t>
      </w:r>
      <w:r w:rsidR="00C32B10" w:rsidRPr="004F2D82">
        <w:rPr>
          <w:rFonts w:ascii="Times New Roman" w:hAnsi="Times New Roman" w:cs="Times New Roman"/>
          <w:sz w:val="20"/>
          <w:szCs w:val="20"/>
        </w:rPr>
        <w:t xml:space="preserve"> is not disputed by the communicant </w:t>
      </w:r>
      <w:r w:rsidR="003E4D1C" w:rsidRPr="004F2D82">
        <w:rPr>
          <w:rFonts w:ascii="Times New Roman" w:hAnsi="Times New Roman" w:cs="Times New Roman"/>
          <w:sz w:val="20"/>
          <w:szCs w:val="20"/>
        </w:rPr>
        <w:t>even if</w:t>
      </w:r>
      <w:r w:rsidR="00690FB2" w:rsidRPr="004F2D82">
        <w:rPr>
          <w:rFonts w:ascii="Times New Roman" w:hAnsi="Times New Roman" w:cs="Times New Roman"/>
          <w:sz w:val="20"/>
          <w:szCs w:val="20"/>
        </w:rPr>
        <w:t>,</w:t>
      </w:r>
      <w:r w:rsidRPr="004F2D82">
        <w:rPr>
          <w:rFonts w:ascii="Times New Roman" w:hAnsi="Times New Roman" w:cs="Times New Roman"/>
          <w:sz w:val="20"/>
          <w:szCs w:val="20"/>
        </w:rPr>
        <w:t xml:space="preserve"> in </w:t>
      </w:r>
      <w:r w:rsidR="00525ED9" w:rsidRPr="004F2D82">
        <w:rPr>
          <w:rFonts w:ascii="Times New Roman" w:hAnsi="Times New Roman" w:cs="Times New Roman"/>
          <w:sz w:val="20"/>
          <w:szCs w:val="20"/>
        </w:rPr>
        <w:t>its</w:t>
      </w:r>
      <w:r w:rsidR="00984D1F" w:rsidRPr="004F2D82">
        <w:rPr>
          <w:rFonts w:ascii="Times New Roman" w:hAnsi="Times New Roman" w:cs="Times New Roman"/>
          <w:sz w:val="20"/>
          <w:szCs w:val="20"/>
        </w:rPr>
        <w:t xml:space="preserve"> </w:t>
      </w:r>
      <w:r w:rsidRPr="004F2D82">
        <w:rPr>
          <w:rFonts w:ascii="Times New Roman" w:hAnsi="Times New Roman" w:cs="Times New Roman"/>
          <w:sz w:val="20"/>
          <w:szCs w:val="20"/>
        </w:rPr>
        <w:t>view</w:t>
      </w:r>
      <w:r w:rsidR="00690FB2" w:rsidRPr="004F2D82">
        <w:rPr>
          <w:rFonts w:ascii="Times New Roman" w:hAnsi="Times New Roman" w:cs="Times New Roman"/>
          <w:sz w:val="20"/>
          <w:szCs w:val="20"/>
        </w:rPr>
        <w:t>,</w:t>
      </w:r>
      <w:r w:rsidRPr="004F2D82">
        <w:rPr>
          <w:rFonts w:ascii="Times New Roman" w:hAnsi="Times New Roman"/>
          <w:sz w:val="20"/>
        </w:rPr>
        <w:t xml:space="preserve"> </w:t>
      </w:r>
      <w:r w:rsidR="003E4D1C" w:rsidRPr="004F2D82">
        <w:rPr>
          <w:rFonts w:ascii="Times New Roman" w:hAnsi="Times New Roman"/>
          <w:sz w:val="20"/>
        </w:rPr>
        <w:t xml:space="preserve">that information was </w:t>
      </w:r>
      <w:r w:rsidRPr="004F2D82">
        <w:rPr>
          <w:rFonts w:ascii="Times New Roman" w:hAnsi="Times New Roman"/>
          <w:sz w:val="20"/>
        </w:rPr>
        <w:t>not sufficient</w:t>
      </w:r>
      <w:r w:rsidR="00105D0B" w:rsidRPr="004F2D82">
        <w:rPr>
          <w:rFonts w:ascii="Times New Roman" w:hAnsi="Times New Roman"/>
          <w:sz w:val="20"/>
        </w:rPr>
        <w:t xml:space="preserve">. </w:t>
      </w:r>
      <w:r w:rsidR="005055BE" w:rsidRPr="004F2D82">
        <w:rPr>
          <w:rFonts w:ascii="Times New Roman" w:hAnsi="Times New Roman"/>
          <w:sz w:val="20"/>
        </w:rPr>
        <w:t xml:space="preserve">As stated above, the Committee will not assess whether the Party concerned sufficiently studied the environmental </w:t>
      </w:r>
      <w:r w:rsidR="00837EF9" w:rsidRPr="004F2D82">
        <w:rPr>
          <w:rFonts w:ascii="Times New Roman" w:hAnsi="Times New Roman"/>
          <w:sz w:val="20"/>
        </w:rPr>
        <w:t>effects</w:t>
      </w:r>
      <w:r w:rsidR="005055BE" w:rsidRPr="004F2D82">
        <w:rPr>
          <w:rFonts w:ascii="Times New Roman" w:hAnsi="Times New Roman"/>
          <w:sz w:val="20"/>
        </w:rPr>
        <w:t xml:space="preserve"> of all alternatives considered. </w:t>
      </w:r>
      <w:r w:rsidR="00105D0B" w:rsidRPr="004F2D82">
        <w:rPr>
          <w:rFonts w:ascii="Times New Roman" w:hAnsi="Times New Roman"/>
          <w:sz w:val="20"/>
        </w:rPr>
        <w:t>The</w:t>
      </w:r>
      <w:r w:rsidRPr="004F2D82">
        <w:rPr>
          <w:rFonts w:ascii="Times New Roman" w:hAnsi="Times New Roman"/>
          <w:sz w:val="20"/>
        </w:rPr>
        <w:t xml:space="preserve"> </w:t>
      </w:r>
      <w:r w:rsidR="005055BE" w:rsidRPr="004F2D82">
        <w:rPr>
          <w:rFonts w:ascii="Times New Roman" w:hAnsi="Times New Roman"/>
          <w:sz w:val="20"/>
        </w:rPr>
        <w:t xml:space="preserve">key point is that there is no evidence before the </w:t>
      </w:r>
      <w:r w:rsidRPr="004F2D82">
        <w:rPr>
          <w:rFonts w:ascii="Times New Roman" w:hAnsi="Times New Roman"/>
          <w:sz w:val="20"/>
        </w:rPr>
        <w:t xml:space="preserve">Committee </w:t>
      </w:r>
      <w:r w:rsidR="00105D0B" w:rsidRPr="004F2D82">
        <w:rPr>
          <w:rFonts w:ascii="Times New Roman" w:hAnsi="Times New Roman"/>
          <w:sz w:val="20"/>
        </w:rPr>
        <w:t xml:space="preserve">that </w:t>
      </w:r>
      <w:r w:rsidRPr="004F2D82">
        <w:rPr>
          <w:rFonts w:ascii="Times New Roman" w:hAnsi="Times New Roman"/>
          <w:sz w:val="20"/>
        </w:rPr>
        <w:t xml:space="preserve">would indicate that </w:t>
      </w:r>
      <w:r w:rsidR="00105D0B" w:rsidRPr="004F2D82">
        <w:rPr>
          <w:rFonts w:ascii="Times New Roman" w:hAnsi="Times New Roman"/>
          <w:sz w:val="20"/>
        </w:rPr>
        <w:t xml:space="preserve">the Party concerned </w:t>
      </w:r>
      <w:r w:rsidRPr="004F2D82">
        <w:rPr>
          <w:rFonts w:ascii="Times New Roman" w:hAnsi="Times New Roman"/>
          <w:sz w:val="20"/>
        </w:rPr>
        <w:t xml:space="preserve">held </w:t>
      </w:r>
      <w:r w:rsidR="00105D0B" w:rsidRPr="004F2D82">
        <w:rPr>
          <w:rFonts w:ascii="Times New Roman" w:hAnsi="Times New Roman"/>
          <w:sz w:val="20"/>
        </w:rPr>
        <w:t xml:space="preserve">further information on </w:t>
      </w:r>
      <w:r w:rsidR="00C87C7C" w:rsidRPr="004F2D82">
        <w:rPr>
          <w:rFonts w:ascii="Times New Roman" w:hAnsi="Times New Roman"/>
          <w:sz w:val="20"/>
        </w:rPr>
        <w:t>the alternatives studied</w:t>
      </w:r>
      <w:r w:rsidR="00105D0B" w:rsidRPr="004F2D82">
        <w:rPr>
          <w:rFonts w:ascii="Times New Roman" w:hAnsi="Times New Roman"/>
          <w:sz w:val="20"/>
        </w:rPr>
        <w:t xml:space="preserve"> at the time when the public consultation was held </w:t>
      </w:r>
      <w:r w:rsidR="0034501C" w:rsidRPr="004F2D82">
        <w:rPr>
          <w:rFonts w:ascii="Times New Roman" w:hAnsi="Times New Roman" w:cs="Times New Roman"/>
          <w:sz w:val="20"/>
          <w:szCs w:val="20"/>
        </w:rPr>
        <w:t>but</w:t>
      </w:r>
      <w:r w:rsidR="005055BE" w:rsidRPr="004F2D82">
        <w:rPr>
          <w:rFonts w:ascii="Times New Roman" w:hAnsi="Times New Roman"/>
          <w:sz w:val="20"/>
        </w:rPr>
        <w:t xml:space="preserve"> </w:t>
      </w:r>
      <w:r w:rsidR="00105D0B" w:rsidRPr="004F2D82">
        <w:rPr>
          <w:rFonts w:ascii="Times New Roman" w:hAnsi="Times New Roman"/>
          <w:sz w:val="20"/>
        </w:rPr>
        <w:t xml:space="preserve">failed to disclose </w:t>
      </w:r>
      <w:r w:rsidRPr="004F2D82">
        <w:rPr>
          <w:rFonts w:ascii="Times New Roman" w:hAnsi="Times New Roman"/>
          <w:sz w:val="20"/>
        </w:rPr>
        <w:t>it</w:t>
      </w:r>
      <w:r w:rsidR="00105D0B" w:rsidRPr="004F2D82">
        <w:rPr>
          <w:rFonts w:ascii="Times New Roman" w:hAnsi="Times New Roman"/>
          <w:sz w:val="20"/>
        </w:rPr>
        <w:t>.</w:t>
      </w:r>
      <w:r w:rsidR="00105D0B" w:rsidRPr="004F2D82">
        <w:rPr>
          <w:rFonts w:ascii="Times New Roman" w:hAnsi="Times New Roman" w:cs="Times New Roman"/>
          <w:sz w:val="20"/>
          <w:szCs w:val="20"/>
        </w:rPr>
        <w:t xml:space="preserve"> </w:t>
      </w:r>
    </w:p>
    <w:p w14:paraId="76E5AF43" w14:textId="18C0E37D" w:rsidR="002D75BB" w:rsidRPr="009604B4" w:rsidRDefault="002D75BB" w:rsidP="00FD13A4">
      <w:pPr>
        <w:numPr>
          <w:ilvl w:val="0"/>
          <w:numId w:val="2"/>
        </w:numPr>
        <w:tabs>
          <w:tab w:val="num" w:pos="540"/>
        </w:tabs>
        <w:suppressAutoHyphens/>
        <w:spacing w:after="120" w:line="240" w:lineRule="atLeast"/>
        <w:ind w:left="630" w:right="1109" w:firstLine="0"/>
        <w:jc w:val="both"/>
        <w:rPr>
          <w:rFonts w:ascii="Times New Roman" w:eastAsia="Times New Roman" w:hAnsi="Times New Roman" w:cs="Times New Roman"/>
          <w:sz w:val="20"/>
          <w:szCs w:val="20"/>
        </w:rPr>
      </w:pPr>
      <w:bookmarkStart w:id="32" w:name="_Ref529980328"/>
      <w:r w:rsidRPr="004F2D82">
        <w:rPr>
          <w:rFonts w:ascii="Times New Roman" w:hAnsi="Times New Roman"/>
          <w:sz w:val="20"/>
        </w:rPr>
        <w:t>Based on the above, the Committee finds that</w:t>
      </w:r>
      <w:r w:rsidR="00CB28B7" w:rsidRPr="004F2D82">
        <w:rPr>
          <w:rFonts w:ascii="Times New Roman" w:hAnsi="Times New Roman"/>
          <w:sz w:val="20"/>
        </w:rPr>
        <w:t xml:space="preserve"> the </w:t>
      </w:r>
      <w:r w:rsidR="00CB28B7" w:rsidRPr="004F2D82">
        <w:rPr>
          <w:rFonts w:ascii="Times New Roman" w:eastAsia="Times New Roman" w:hAnsi="Times New Roman" w:cs="Times New Roman"/>
          <w:sz w:val="20"/>
          <w:szCs w:val="20"/>
        </w:rPr>
        <w:t xml:space="preserve">Party concerned </w:t>
      </w:r>
      <w:r w:rsidR="004C0395" w:rsidRPr="004F2D82">
        <w:rPr>
          <w:rFonts w:ascii="Times New Roman" w:eastAsia="Times New Roman" w:hAnsi="Times New Roman" w:cs="Times New Roman"/>
          <w:sz w:val="20"/>
          <w:szCs w:val="20"/>
        </w:rPr>
        <w:t>did</w:t>
      </w:r>
      <w:r w:rsidR="00525ED9" w:rsidRPr="004F2D82">
        <w:rPr>
          <w:rFonts w:ascii="Times New Roman" w:eastAsia="Times New Roman" w:hAnsi="Times New Roman" w:cs="Times New Roman"/>
          <w:sz w:val="20"/>
          <w:szCs w:val="20"/>
        </w:rPr>
        <w:t xml:space="preserve"> </w:t>
      </w:r>
      <w:r w:rsidR="00CB28B7" w:rsidRPr="004F2D82">
        <w:rPr>
          <w:rFonts w:ascii="Times New Roman" w:eastAsia="Times New Roman" w:hAnsi="Times New Roman" w:cs="Times New Roman"/>
          <w:sz w:val="20"/>
          <w:szCs w:val="20"/>
        </w:rPr>
        <w:t>provide an outline</w:t>
      </w:r>
      <w:r w:rsidR="00CB28B7" w:rsidRPr="004F2D82">
        <w:rPr>
          <w:rFonts w:ascii="Times New Roman" w:hAnsi="Times New Roman"/>
          <w:sz w:val="20"/>
        </w:rPr>
        <w:t xml:space="preserve"> of </w:t>
      </w:r>
      <w:r w:rsidR="00CB28B7" w:rsidRPr="004F2D82">
        <w:rPr>
          <w:rFonts w:ascii="Times New Roman" w:eastAsia="Times New Roman" w:hAnsi="Times New Roman" w:cs="Times New Roman"/>
          <w:sz w:val="20"/>
          <w:szCs w:val="20"/>
        </w:rPr>
        <w:t>the main alternatives studied by the competent authority to the public and thus did not fail to comply with the requirement in article 7 to provi</w:t>
      </w:r>
      <w:r w:rsidR="00CB28B7" w:rsidRPr="009604B4">
        <w:rPr>
          <w:rFonts w:ascii="Times New Roman" w:eastAsia="Times New Roman" w:hAnsi="Times New Roman" w:cs="Times New Roman"/>
          <w:sz w:val="20"/>
          <w:szCs w:val="20"/>
        </w:rPr>
        <w:t xml:space="preserve">de “the necessary information” to the public in </w:t>
      </w:r>
      <w:r w:rsidR="00CB28B7" w:rsidRPr="009604B4">
        <w:rPr>
          <w:rFonts w:ascii="Times New Roman" w:hAnsi="Times New Roman"/>
          <w:sz w:val="20"/>
        </w:rPr>
        <w:t xml:space="preserve">this </w:t>
      </w:r>
      <w:r w:rsidR="00CB28B7" w:rsidRPr="009604B4">
        <w:rPr>
          <w:rFonts w:ascii="Times New Roman" w:eastAsia="Times New Roman" w:hAnsi="Times New Roman" w:cs="Times New Roman"/>
          <w:sz w:val="20"/>
          <w:szCs w:val="20"/>
        </w:rPr>
        <w:t>respect</w:t>
      </w:r>
      <w:r w:rsidRPr="009604B4">
        <w:rPr>
          <w:rFonts w:ascii="Times New Roman" w:eastAsia="Times New Roman" w:hAnsi="Times New Roman" w:cs="Times New Roman"/>
          <w:sz w:val="20"/>
          <w:szCs w:val="20"/>
        </w:rPr>
        <w:t>.</w:t>
      </w:r>
      <w:bookmarkEnd w:id="32"/>
      <w:r w:rsidRPr="009604B4">
        <w:rPr>
          <w:rFonts w:ascii="Times New Roman" w:eastAsia="Times New Roman" w:hAnsi="Times New Roman" w:cs="Times New Roman"/>
          <w:sz w:val="20"/>
          <w:szCs w:val="20"/>
        </w:rPr>
        <w:t xml:space="preserve"> </w:t>
      </w:r>
    </w:p>
    <w:p w14:paraId="0D5237CB" w14:textId="5532B389" w:rsidR="00105D0B" w:rsidRPr="009604B4" w:rsidRDefault="004C0395" w:rsidP="00FD13A4">
      <w:pPr>
        <w:pStyle w:val="ListParagraph"/>
        <w:numPr>
          <w:ilvl w:val="0"/>
          <w:numId w:val="2"/>
        </w:numPr>
        <w:tabs>
          <w:tab w:val="num" w:pos="540"/>
        </w:tabs>
        <w:spacing w:after="120"/>
        <w:ind w:left="630" w:right="1109" w:firstLine="0"/>
        <w:contextualSpacing w:val="0"/>
        <w:jc w:val="both"/>
        <w:rPr>
          <w:rFonts w:ascii="Times New Roman" w:hAnsi="Times New Roman"/>
          <w:sz w:val="20"/>
        </w:rPr>
      </w:pPr>
      <w:bookmarkStart w:id="33" w:name="_Ref518119662"/>
      <w:r>
        <w:rPr>
          <w:rFonts w:ascii="Times New Roman" w:eastAsia="Times New Roman" w:hAnsi="Times New Roman" w:cs="Times New Roman"/>
          <w:sz w:val="20"/>
          <w:szCs w:val="20"/>
        </w:rPr>
        <w:t>Based on</w:t>
      </w:r>
      <w:r w:rsidR="00105D0B" w:rsidRPr="009604B4">
        <w:rPr>
          <w:rFonts w:ascii="Times New Roman" w:eastAsia="Times New Roman" w:hAnsi="Times New Roman" w:cs="Times New Roman"/>
          <w:sz w:val="20"/>
          <w:szCs w:val="20"/>
        </w:rPr>
        <w:t xml:space="preserve"> </w:t>
      </w:r>
      <w:r w:rsidR="00C02377" w:rsidRPr="009604B4">
        <w:rPr>
          <w:rFonts w:ascii="Times New Roman" w:eastAsia="Times New Roman" w:hAnsi="Times New Roman" w:cs="Times New Roman"/>
          <w:sz w:val="20"/>
          <w:szCs w:val="20"/>
        </w:rPr>
        <w:t>its</w:t>
      </w:r>
      <w:r w:rsidR="00D129A4">
        <w:rPr>
          <w:rFonts w:ascii="Times New Roman" w:eastAsia="Times New Roman" w:hAnsi="Times New Roman" w:cs="Times New Roman"/>
          <w:sz w:val="20"/>
          <w:szCs w:val="20"/>
        </w:rPr>
        <w:t xml:space="preserve"> conclusions </w:t>
      </w:r>
      <w:r w:rsidR="00C02377" w:rsidRPr="009604B4">
        <w:rPr>
          <w:rFonts w:ascii="Times New Roman" w:eastAsia="Times New Roman" w:hAnsi="Times New Roman" w:cs="Times New Roman"/>
          <w:sz w:val="20"/>
          <w:szCs w:val="20"/>
        </w:rPr>
        <w:t xml:space="preserve">in paragraphs </w:t>
      </w:r>
      <w:r w:rsidR="00C02377" w:rsidRPr="009604B4">
        <w:rPr>
          <w:rFonts w:ascii="Times New Roman" w:eastAsia="Times New Roman" w:hAnsi="Times New Roman" w:cs="Times New Roman"/>
          <w:sz w:val="20"/>
          <w:szCs w:val="20"/>
        </w:rPr>
        <w:fldChar w:fldCharType="begin"/>
      </w:r>
      <w:r w:rsidR="00C02377" w:rsidRPr="009604B4">
        <w:rPr>
          <w:rFonts w:ascii="Times New Roman" w:eastAsia="Times New Roman" w:hAnsi="Times New Roman" w:cs="Times New Roman"/>
          <w:sz w:val="20"/>
          <w:szCs w:val="20"/>
        </w:rPr>
        <w:instrText xml:space="preserve"> REF _Ref529980323 \r \h </w:instrText>
      </w:r>
      <w:r w:rsidR="00CB28B7" w:rsidRPr="009604B4">
        <w:rPr>
          <w:rFonts w:ascii="Times New Roman" w:eastAsia="Times New Roman" w:hAnsi="Times New Roman" w:cs="Times New Roman"/>
          <w:sz w:val="20"/>
          <w:szCs w:val="20"/>
        </w:rPr>
        <w:instrText xml:space="preserve"> \* MERGEFORMAT </w:instrText>
      </w:r>
      <w:r w:rsidR="00C02377" w:rsidRPr="009604B4">
        <w:rPr>
          <w:rFonts w:ascii="Times New Roman" w:eastAsia="Times New Roman" w:hAnsi="Times New Roman" w:cs="Times New Roman"/>
          <w:sz w:val="20"/>
          <w:szCs w:val="20"/>
        </w:rPr>
      </w:r>
      <w:r w:rsidR="00C02377" w:rsidRPr="009604B4">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98</w:t>
      </w:r>
      <w:r w:rsidR="00C02377" w:rsidRPr="009604B4">
        <w:rPr>
          <w:rFonts w:ascii="Times New Roman" w:eastAsia="Times New Roman" w:hAnsi="Times New Roman" w:cs="Times New Roman"/>
          <w:sz w:val="20"/>
          <w:szCs w:val="20"/>
        </w:rPr>
        <w:fldChar w:fldCharType="end"/>
      </w:r>
      <w:r w:rsidR="00C02377" w:rsidRPr="009604B4">
        <w:rPr>
          <w:rFonts w:ascii="Times New Roman" w:eastAsia="Times New Roman" w:hAnsi="Times New Roman" w:cs="Times New Roman"/>
          <w:sz w:val="20"/>
          <w:szCs w:val="20"/>
        </w:rPr>
        <w:t xml:space="preserve"> and </w:t>
      </w:r>
      <w:r w:rsidR="00C02377" w:rsidRPr="009604B4">
        <w:rPr>
          <w:rFonts w:ascii="Times New Roman" w:eastAsia="Times New Roman" w:hAnsi="Times New Roman" w:cs="Times New Roman"/>
          <w:sz w:val="20"/>
          <w:szCs w:val="20"/>
        </w:rPr>
        <w:fldChar w:fldCharType="begin"/>
      </w:r>
      <w:r w:rsidR="00C02377" w:rsidRPr="009604B4">
        <w:rPr>
          <w:rFonts w:ascii="Times New Roman" w:eastAsia="Times New Roman" w:hAnsi="Times New Roman" w:cs="Times New Roman"/>
          <w:sz w:val="20"/>
          <w:szCs w:val="20"/>
        </w:rPr>
        <w:instrText xml:space="preserve"> REF _Ref529980328 \r \h </w:instrText>
      </w:r>
      <w:r w:rsidR="00CB28B7" w:rsidRPr="009604B4">
        <w:rPr>
          <w:rFonts w:ascii="Times New Roman" w:eastAsia="Times New Roman" w:hAnsi="Times New Roman" w:cs="Times New Roman"/>
          <w:sz w:val="20"/>
          <w:szCs w:val="20"/>
        </w:rPr>
        <w:instrText xml:space="preserve"> \* MERGEFORMAT </w:instrText>
      </w:r>
      <w:r w:rsidR="00C02377" w:rsidRPr="009604B4">
        <w:rPr>
          <w:rFonts w:ascii="Times New Roman" w:eastAsia="Times New Roman" w:hAnsi="Times New Roman" w:cs="Times New Roman"/>
          <w:sz w:val="20"/>
          <w:szCs w:val="20"/>
        </w:rPr>
      </w:r>
      <w:r w:rsidR="00C02377" w:rsidRPr="009604B4">
        <w:rPr>
          <w:rFonts w:ascii="Times New Roman" w:eastAsia="Times New Roman" w:hAnsi="Times New Roman" w:cs="Times New Roman"/>
          <w:sz w:val="20"/>
          <w:szCs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103</w:t>
      </w:r>
      <w:r w:rsidR="00C02377" w:rsidRPr="009604B4">
        <w:rPr>
          <w:rFonts w:ascii="Times New Roman" w:eastAsia="Times New Roman" w:hAnsi="Times New Roman" w:cs="Times New Roman"/>
          <w:sz w:val="20"/>
          <w:szCs w:val="20"/>
        </w:rPr>
        <w:fldChar w:fldCharType="end"/>
      </w:r>
      <w:r w:rsidR="00C02377" w:rsidRPr="009604B4">
        <w:rPr>
          <w:rFonts w:ascii="Times New Roman" w:eastAsia="Times New Roman" w:hAnsi="Times New Roman" w:cs="Times New Roman"/>
          <w:sz w:val="20"/>
          <w:szCs w:val="20"/>
        </w:rPr>
        <w:t xml:space="preserve"> above</w:t>
      </w:r>
      <w:r w:rsidR="00105D0B" w:rsidRPr="009604B4">
        <w:rPr>
          <w:rFonts w:ascii="Times New Roman" w:eastAsia="Times New Roman" w:hAnsi="Times New Roman" w:cs="Times New Roman"/>
          <w:sz w:val="20"/>
          <w:szCs w:val="20"/>
        </w:rPr>
        <w:t xml:space="preserve">, the Committee </w:t>
      </w:r>
      <w:r w:rsidR="00630352" w:rsidRPr="009604B4">
        <w:rPr>
          <w:rFonts w:ascii="Times New Roman" w:eastAsia="Times New Roman" w:hAnsi="Times New Roman" w:cs="Times New Roman"/>
          <w:sz w:val="20"/>
          <w:szCs w:val="20"/>
        </w:rPr>
        <w:t>find</w:t>
      </w:r>
      <w:r w:rsidR="00C02377" w:rsidRPr="009604B4">
        <w:rPr>
          <w:rFonts w:ascii="Times New Roman" w:eastAsia="Times New Roman" w:hAnsi="Times New Roman" w:cs="Times New Roman"/>
          <w:sz w:val="20"/>
          <w:szCs w:val="20"/>
        </w:rPr>
        <w:t>s</w:t>
      </w:r>
      <w:r w:rsidR="00630352" w:rsidRPr="009604B4">
        <w:rPr>
          <w:rFonts w:ascii="Times New Roman" w:eastAsia="Times New Roman" w:hAnsi="Times New Roman" w:cs="Times New Roman"/>
          <w:sz w:val="20"/>
          <w:szCs w:val="20"/>
        </w:rPr>
        <w:t xml:space="preserve"> </w:t>
      </w:r>
      <w:r w:rsidR="00105D0B" w:rsidRPr="009604B4">
        <w:rPr>
          <w:rFonts w:ascii="Times New Roman" w:eastAsia="Times New Roman" w:hAnsi="Times New Roman" w:cs="Times New Roman"/>
          <w:sz w:val="20"/>
          <w:szCs w:val="20"/>
        </w:rPr>
        <w:t>that</w:t>
      </w:r>
      <w:r w:rsidR="00105D0B" w:rsidRPr="009604B4">
        <w:rPr>
          <w:rFonts w:ascii="Times New Roman" w:hAnsi="Times New Roman"/>
          <w:sz w:val="20"/>
        </w:rPr>
        <w:t xml:space="preserve"> </w:t>
      </w:r>
      <w:r w:rsidR="003A4A45" w:rsidRPr="009604B4">
        <w:rPr>
          <w:rFonts w:ascii="Times New Roman" w:hAnsi="Times New Roman"/>
          <w:sz w:val="20"/>
        </w:rPr>
        <w:t xml:space="preserve">the </w:t>
      </w:r>
      <w:r w:rsidR="00105D0B" w:rsidRPr="009604B4">
        <w:rPr>
          <w:rFonts w:ascii="Times New Roman" w:hAnsi="Times New Roman"/>
          <w:sz w:val="20"/>
        </w:rPr>
        <w:t xml:space="preserve">Party concerned </w:t>
      </w:r>
      <w:r w:rsidR="00C02377" w:rsidRPr="009604B4">
        <w:rPr>
          <w:rFonts w:ascii="Times New Roman" w:hAnsi="Times New Roman"/>
          <w:sz w:val="20"/>
        </w:rPr>
        <w:t xml:space="preserve">did not fail to comply with the requirement in article 7 </w:t>
      </w:r>
      <w:r w:rsidR="00105D0B" w:rsidRPr="009604B4">
        <w:rPr>
          <w:rFonts w:ascii="Times New Roman" w:hAnsi="Times New Roman"/>
          <w:sz w:val="20"/>
        </w:rPr>
        <w:t xml:space="preserve">to provide the “necessary information </w:t>
      </w:r>
      <w:r w:rsidR="00C02377" w:rsidRPr="009604B4">
        <w:rPr>
          <w:rFonts w:ascii="Times New Roman" w:hAnsi="Times New Roman"/>
          <w:sz w:val="20"/>
        </w:rPr>
        <w:t xml:space="preserve">to the </w:t>
      </w:r>
      <w:r w:rsidR="00C02377" w:rsidRPr="009604B4">
        <w:rPr>
          <w:rFonts w:ascii="Times New Roman" w:eastAsia="Times New Roman" w:hAnsi="Times New Roman" w:cs="Times New Roman"/>
          <w:sz w:val="20"/>
          <w:szCs w:val="20"/>
        </w:rPr>
        <w:t>public</w:t>
      </w:r>
      <w:r w:rsidR="00CB28B7" w:rsidRPr="009604B4">
        <w:rPr>
          <w:rFonts w:ascii="Times New Roman" w:eastAsia="Times New Roman" w:hAnsi="Times New Roman" w:cs="Times New Roman"/>
          <w:sz w:val="20"/>
          <w:szCs w:val="20"/>
        </w:rPr>
        <w:t>”</w:t>
      </w:r>
      <w:r w:rsidR="00C02377" w:rsidRPr="009604B4">
        <w:rPr>
          <w:rFonts w:ascii="Times New Roman" w:eastAsia="Times New Roman" w:hAnsi="Times New Roman" w:cs="Times New Roman"/>
          <w:sz w:val="20"/>
          <w:szCs w:val="20"/>
        </w:rPr>
        <w:t xml:space="preserve"> </w:t>
      </w:r>
      <w:r w:rsidR="00B54AC3" w:rsidRPr="009604B4">
        <w:rPr>
          <w:rFonts w:ascii="Times New Roman" w:eastAsia="Times New Roman" w:hAnsi="Times New Roman" w:cs="Times New Roman"/>
          <w:sz w:val="20"/>
          <w:szCs w:val="20"/>
        </w:rPr>
        <w:t>in the circumstances</w:t>
      </w:r>
      <w:r w:rsidR="00B54AC3" w:rsidRPr="009604B4">
        <w:rPr>
          <w:rFonts w:ascii="Times New Roman" w:hAnsi="Times New Roman"/>
          <w:sz w:val="20"/>
        </w:rPr>
        <w:t xml:space="preserve"> of </w:t>
      </w:r>
      <w:r w:rsidR="00B54AC3" w:rsidRPr="009604B4">
        <w:rPr>
          <w:rFonts w:ascii="Times New Roman" w:eastAsia="Times New Roman" w:hAnsi="Times New Roman" w:cs="Times New Roman"/>
          <w:sz w:val="20"/>
          <w:szCs w:val="20"/>
        </w:rPr>
        <w:t>this case</w:t>
      </w:r>
      <w:r w:rsidR="00105D0B" w:rsidRPr="009604B4">
        <w:rPr>
          <w:rFonts w:ascii="Times New Roman" w:eastAsia="Times New Roman" w:hAnsi="Times New Roman" w:cs="Times New Roman"/>
          <w:sz w:val="20"/>
          <w:szCs w:val="20"/>
        </w:rPr>
        <w:t>.</w:t>
      </w:r>
      <w:bookmarkEnd w:id="33"/>
    </w:p>
    <w:p w14:paraId="5464F07E" w14:textId="2D44AF6D" w:rsidR="00886C83" w:rsidRPr="009604B4" w:rsidRDefault="00886C83" w:rsidP="00A32B7B">
      <w:pPr>
        <w:pStyle w:val="ListParagraph"/>
        <w:tabs>
          <w:tab w:val="num" w:pos="540"/>
        </w:tabs>
        <w:spacing w:before="240" w:after="120"/>
        <w:ind w:left="630" w:right="1253"/>
        <w:contextualSpacing w:val="0"/>
        <w:jc w:val="both"/>
        <w:rPr>
          <w:rFonts w:ascii="Times New Roman" w:hAnsi="Times New Roman"/>
          <w:i/>
          <w:sz w:val="20"/>
        </w:rPr>
      </w:pPr>
      <w:r w:rsidRPr="009604B4">
        <w:rPr>
          <w:rFonts w:ascii="Times New Roman" w:hAnsi="Times New Roman"/>
          <w:i/>
          <w:sz w:val="20"/>
        </w:rPr>
        <w:t>Transparent and fair framework</w:t>
      </w:r>
    </w:p>
    <w:p w14:paraId="3F0AAE5B" w14:textId="1FDA47CE" w:rsidR="00886C83" w:rsidRPr="009604B4" w:rsidRDefault="0013566B" w:rsidP="00FD13A4">
      <w:pPr>
        <w:pStyle w:val="ListParagraph"/>
        <w:numPr>
          <w:ilvl w:val="0"/>
          <w:numId w:val="2"/>
        </w:numPr>
        <w:tabs>
          <w:tab w:val="num" w:pos="540"/>
        </w:tabs>
        <w:spacing w:after="120"/>
        <w:ind w:left="630" w:right="1109" w:firstLine="0"/>
        <w:contextualSpacing w:val="0"/>
        <w:jc w:val="both"/>
        <w:rPr>
          <w:rFonts w:ascii="Times New Roman" w:eastAsia="Times New Roman" w:hAnsi="Times New Roman" w:cs="Times New Roman"/>
          <w:sz w:val="20"/>
          <w:szCs w:val="20"/>
        </w:rPr>
      </w:pPr>
      <w:r w:rsidRPr="00FD13A4">
        <w:rPr>
          <w:rFonts w:ascii="Times New Roman" w:eastAsia="Times New Roman" w:hAnsi="Times New Roman" w:cs="Times New Roman"/>
          <w:sz w:val="20"/>
          <w:szCs w:val="20"/>
        </w:rPr>
        <w:t>T</w:t>
      </w:r>
      <w:r w:rsidR="00886C83" w:rsidRPr="00FD13A4">
        <w:rPr>
          <w:rFonts w:ascii="Times New Roman" w:eastAsia="Times New Roman" w:hAnsi="Times New Roman" w:cs="Times New Roman"/>
          <w:sz w:val="20"/>
          <w:szCs w:val="20"/>
        </w:rPr>
        <w:t xml:space="preserve">he requirement in article 7 to </w:t>
      </w:r>
      <w:r w:rsidR="00BE714A" w:rsidRPr="009604B4">
        <w:rPr>
          <w:rFonts w:ascii="Times New Roman" w:eastAsia="Times New Roman" w:hAnsi="Times New Roman" w:cs="Times New Roman"/>
          <w:sz w:val="20"/>
          <w:szCs w:val="20"/>
        </w:rPr>
        <w:t>make provision</w:t>
      </w:r>
      <w:r w:rsidR="000F4DAD">
        <w:rPr>
          <w:rFonts w:ascii="Times New Roman" w:eastAsia="Times New Roman" w:hAnsi="Times New Roman" w:cs="Times New Roman"/>
          <w:sz w:val="20"/>
          <w:szCs w:val="20"/>
        </w:rPr>
        <w:t>s</w:t>
      </w:r>
      <w:r w:rsidR="00BE714A" w:rsidRPr="009604B4">
        <w:rPr>
          <w:rFonts w:ascii="Times New Roman" w:eastAsia="Times New Roman" w:hAnsi="Times New Roman" w:cs="Times New Roman"/>
          <w:sz w:val="20"/>
          <w:szCs w:val="20"/>
        </w:rPr>
        <w:t xml:space="preserve"> for the public to participate within</w:t>
      </w:r>
      <w:r w:rsidR="00BE714A" w:rsidRPr="00FD13A4">
        <w:rPr>
          <w:rFonts w:ascii="Times New Roman" w:eastAsia="Times New Roman" w:hAnsi="Times New Roman" w:cs="Times New Roman"/>
          <w:sz w:val="20"/>
          <w:szCs w:val="20"/>
        </w:rPr>
        <w:t xml:space="preserve"> </w:t>
      </w:r>
      <w:r w:rsidR="00886C83" w:rsidRPr="00FD13A4">
        <w:rPr>
          <w:rFonts w:ascii="Times New Roman" w:eastAsia="Times New Roman" w:hAnsi="Times New Roman" w:cs="Times New Roman"/>
          <w:sz w:val="20"/>
          <w:szCs w:val="20"/>
        </w:rPr>
        <w:t xml:space="preserve">a “transparent and fair framework” </w:t>
      </w:r>
      <w:r w:rsidR="00BE714A" w:rsidRPr="00FD13A4">
        <w:rPr>
          <w:rFonts w:ascii="Times New Roman" w:eastAsia="Times New Roman" w:hAnsi="Times New Roman" w:cs="Times New Roman"/>
          <w:sz w:val="20"/>
          <w:szCs w:val="20"/>
        </w:rPr>
        <w:t xml:space="preserve">covers </w:t>
      </w:r>
      <w:r w:rsidR="00BE714A" w:rsidRPr="009604B4">
        <w:rPr>
          <w:rFonts w:ascii="Times New Roman" w:eastAsia="Times New Roman" w:hAnsi="Times New Roman" w:cs="Times New Roman"/>
          <w:sz w:val="20"/>
          <w:szCs w:val="20"/>
        </w:rPr>
        <w:t xml:space="preserve">both </w:t>
      </w:r>
      <w:r w:rsidR="00507B08" w:rsidRPr="00FD13A4">
        <w:rPr>
          <w:rFonts w:ascii="Times New Roman" w:eastAsia="Times New Roman" w:hAnsi="Times New Roman" w:cs="Times New Roman"/>
          <w:sz w:val="20"/>
          <w:szCs w:val="20"/>
        </w:rPr>
        <w:t xml:space="preserve">the </w:t>
      </w:r>
      <w:r w:rsidR="00BE714A" w:rsidRPr="00FD13A4">
        <w:rPr>
          <w:rFonts w:ascii="Times New Roman" w:eastAsia="Times New Roman" w:hAnsi="Times New Roman" w:cs="Times New Roman"/>
          <w:sz w:val="20"/>
          <w:szCs w:val="20"/>
        </w:rPr>
        <w:t xml:space="preserve">transparency and fairness of the </w:t>
      </w:r>
      <w:r w:rsidR="00BE714A" w:rsidRPr="009604B4">
        <w:rPr>
          <w:rFonts w:ascii="Times New Roman" w:eastAsia="Times New Roman" w:hAnsi="Times New Roman" w:cs="Times New Roman"/>
          <w:sz w:val="20"/>
          <w:szCs w:val="20"/>
        </w:rPr>
        <w:t xml:space="preserve">general </w:t>
      </w:r>
      <w:r w:rsidR="00886C83" w:rsidRPr="00FD13A4">
        <w:rPr>
          <w:rFonts w:ascii="Times New Roman" w:eastAsia="Times New Roman" w:hAnsi="Times New Roman" w:cs="Times New Roman"/>
          <w:sz w:val="20"/>
          <w:szCs w:val="20"/>
        </w:rPr>
        <w:t xml:space="preserve">framework </w:t>
      </w:r>
      <w:r w:rsidR="00863E80" w:rsidRPr="00FD13A4">
        <w:rPr>
          <w:rFonts w:ascii="Times New Roman" w:eastAsia="Times New Roman" w:hAnsi="Times New Roman" w:cs="Times New Roman"/>
          <w:sz w:val="20"/>
          <w:szCs w:val="20"/>
        </w:rPr>
        <w:t xml:space="preserve">of the Party concerned </w:t>
      </w:r>
      <w:r w:rsidR="00886C83" w:rsidRPr="00FD13A4">
        <w:rPr>
          <w:rFonts w:ascii="Times New Roman" w:eastAsia="Times New Roman" w:hAnsi="Times New Roman" w:cs="Times New Roman"/>
          <w:sz w:val="20"/>
          <w:szCs w:val="20"/>
        </w:rPr>
        <w:t xml:space="preserve">for public participation </w:t>
      </w:r>
      <w:r w:rsidRPr="00FD13A4">
        <w:rPr>
          <w:rFonts w:ascii="Times New Roman" w:eastAsia="Times New Roman" w:hAnsi="Times New Roman" w:cs="Times New Roman"/>
          <w:sz w:val="20"/>
          <w:szCs w:val="20"/>
        </w:rPr>
        <w:t>in plans and</w:t>
      </w:r>
      <w:r w:rsidRPr="009604B4">
        <w:rPr>
          <w:rFonts w:ascii="Times New Roman" w:hAnsi="Times New Roman"/>
          <w:sz w:val="20"/>
        </w:rPr>
        <w:t xml:space="preserve"> programmes </w:t>
      </w:r>
      <w:proofErr w:type="gramStart"/>
      <w:r w:rsidR="00157DE4" w:rsidRPr="009604B4">
        <w:rPr>
          <w:rFonts w:ascii="Times New Roman" w:eastAsia="Times New Roman" w:hAnsi="Times New Roman" w:cs="Times New Roman"/>
          <w:sz w:val="20"/>
          <w:szCs w:val="20"/>
        </w:rPr>
        <w:t xml:space="preserve">and </w:t>
      </w:r>
      <w:r w:rsidR="00BE714A" w:rsidRPr="009604B4">
        <w:rPr>
          <w:rFonts w:ascii="Times New Roman" w:eastAsia="Times New Roman" w:hAnsi="Times New Roman" w:cs="Times New Roman"/>
          <w:sz w:val="20"/>
          <w:szCs w:val="20"/>
        </w:rPr>
        <w:t>also</w:t>
      </w:r>
      <w:proofErr w:type="gramEnd"/>
      <w:r w:rsidR="00BE714A" w:rsidRPr="009604B4">
        <w:rPr>
          <w:rFonts w:ascii="Times New Roman" w:eastAsia="Times New Roman" w:hAnsi="Times New Roman" w:cs="Times New Roman"/>
          <w:sz w:val="20"/>
          <w:szCs w:val="20"/>
        </w:rPr>
        <w:t xml:space="preserve"> </w:t>
      </w:r>
      <w:r w:rsidR="00507B08" w:rsidRPr="009604B4">
        <w:rPr>
          <w:rFonts w:ascii="Times New Roman" w:eastAsia="Times New Roman" w:hAnsi="Times New Roman" w:cs="Times New Roman"/>
          <w:sz w:val="20"/>
          <w:szCs w:val="20"/>
        </w:rPr>
        <w:t>the transparency and fairness</w:t>
      </w:r>
      <w:r w:rsidR="00507B08" w:rsidRPr="009604B4">
        <w:rPr>
          <w:rFonts w:ascii="Times New Roman" w:hAnsi="Times New Roman"/>
          <w:sz w:val="20"/>
        </w:rPr>
        <w:t xml:space="preserve"> of </w:t>
      </w:r>
      <w:r w:rsidRPr="009604B4">
        <w:rPr>
          <w:rFonts w:ascii="Times New Roman" w:hAnsi="Times New Roman"/>
          <w:sz w:val="20"/>
        </w:rPr>
        <w:t xml:space="preserve">the public participation procedure carried out </w:t>
      </w:r>
      <w:r w:rsidR="00525ED9" w:rsidRPr="009604B4">
        <w:rPr>
          <w:rFonts w:ascii="Times New Roman" w:hAnsi="Times New Roman"/>
          <w:sz w:val="20"/>
        </w:rPr>
        <w:t>on</w:t>
      </w:r>
      <w:r w:rsidR="00BE714A" w:rsidRPr="009604B4">
        <w:rPr>
          <w:rFonts w:ascii="Times New Roman" w:hAnsi="Times New Roman"/>
          <w:sz w:val="20"/>
        </w:rPr>
        <w:t xml:space="preserve"> </w:t>
      </w:r>
      <w:r w:rsidRPr="009604B4">
        <w:rPr>
          <w:rFonts w:ascii="Times New Roman" w:hAnsi="Times New Roman"/>
          <w:sz w:val="20"/>
        </w:rPr>
        <w:t>a particular plan or programme. I</w:t>
      </w:r>
      <w:r w:rsidR="00886C83" w:rsidRPr="009604B4">
        <w:rPr>
          <w:rFonts w:ascii="Times New Roman" w:hAnsi="Times New Roman"/>
          <w:sz w:val="20"/>
        </w:rPr>
        <w:t xml:space="preserve">n the present case, the communicant’s allegation </w:t>
      </w:r>
      <w:r w:rsidRPr="009604B4">
        <w:rPr>
          <w:rFonts w:ascii="Times New Roman" w:hAnsi="Times New Roman"/>
          <w:sz w:val="20"/>
        </w:rPr>
        <w:t xml:space="preserve">does not address the framework </w:t>
      </w:r>
      <w:r w:rsidR="00863E80" w:rsidRPr="009604B4">
        <w:rPr>
          <w:rFonts w:ascii="Times New Roman" w:hAnsi="Times New Roman"/>
          <w:sz w:val="20"/>
        </w:rPr>
        <w:t xml:space="preserve">of the Party concerned </w:t>
      </w:r>
      <w:r w:rsidRPr="009604B4">
        <w:rPr>
          <w:rFonts w:ascii="Times New Roman" w:hAnsi="Times New Roman"/>
          <w:sz w:val="20"/>
        </w:rPr>
        <w:t xml:space="preserve">in general but </w:t>
      </w:r>
      <w:r w:rsidR="00525ED9" w:rsidRPr="009604B4">
        <w:rPr>
          <w:rFonts w:ascii="Times New Roman" w:hAnsi="Times New Roman"/>
          <w:sz w:val="20"/>
        </w:rPr>
        <w:t xml:space="preserve">is </w:t>
      </w:r>
      <w:r w:rsidRPr="009604B4">
        <w:rPr>
          <w:rFonts w:ascii="Times New Roman" w:hAnsi="Times New Roman"/>
          <w:sz w:val="20"/>
        </w:rPr>
        <w:t xml:space="preserve">rather </w:t>
      </w:r>
      <w:r w:rsidR="00DB2B02" w:rsidRPr="009604B4">
        <w:rPr>
          <w:rFonts w:ascii="Times New Roman" w:hAnsi="Times New Roman"/>
          <w:sz w:val="20"/>
        </w:rPr>
        <w:t>very much built</w:t>
      </w:r>
      <w:r w:rsidR="00507B08" w:rsidRPr="009604B4">
        <w:rPr>
          <w:rFonts w:ascii="Times New Roman" w:hAnsi="Times New Roman"/>
          <w:sz w:val="20"/>
        </w:rPr>
        <w:t xml:space="preserve"> upon</w:t>
      </w:r>
      <w:r w:rsidR="00886C83" w:rsidRPr="009604B4">
        <w:rPr>
          <w:rFonts w:ascii="Times New Roman" w:hAnsi="Times New Roman"/>
          <w:sz w:val="20"/>
        </w:rPr>
        <w:t xml:space="preserve"> its </w:t>
      </w:r>
      <w:r w:rsidR="00886C83" w:rsidRPr="009604B4">
        <w:rPr>
          <w:rFonts w:ascii="Times New Roman" w:eastAsia="Times New Roman" w:hAnsi="Times New Roman" w:cs="Times New Roman"/>
          <w:sz w:val="20"/>
          <w:szCs w:val="20"/>
        </w:rPr>
        <w:t>allegation</w:t>
      </w:r>
      <w:r w:rsidR="00886C83" w:rsidRPr="009604B4">
        <w:rPr>
          <w:rFonts w:ascii="Times New Roman" w:hAnsi="Times New Roman"/>
          <w:sz w:val="20"/>
        </w:rPr>
        <w:t xml:space="preserve"> that not all the necessary information was provided to the public</w:t>
      </w:r>
      <w:r w:rsidRPr="009604B4">
        <w:rPr>
          <w:rFonts w:ascii="Times New Roman" w:hAnsi="Times New Roman"/>
          <w:sz w:val="20"/>
        </w:rPr>
        <w:t xml:space="preserve"> in the context of the decision-making on the DNS</w:t>
      </w:r>
      <w:r w:rsidR="00886C83" w:rsidRPr="009604B4">
        <w:rPr>
          <w:rFonts w:ascii="Times New Roman" w:hAnsi="Times New Roman"/>
          <w:sz w:val="20"/>
        </w:rPr>
        <w:t xml:space="preserve">. Having found in paragraph </w:t>
      </w:r>
      <w:r w:rsidR="00886C83" w:rsidRPr="009604B4">
        <w:rPr>
          <w:rFonts w:ascii="Times New Roman" w:hAnsi="Times New Roman"/>
          <w:sz w:val="20"/>
        </w:rPr>
        <w:fldChar w:fldCharType="begin"/>
      </w:r>
      <w:r w:rsidR="00886C83" w:rsidRPr="009604B4">
        <w:rPr>
          <w:rFonts w:ascii="Times New Roman" w:eastAsia="Times New Roman" w:hAnsi="Times New Roman" w:cs="Times New Roman"/>
          <w:sz w:val="20"/>
          <w:szCs w:val="20"/>
        </w:rPr>
        <w:instrText xml:space="preserve"> REF _Ref518119662 \r \h </w:instrText>
      </w:r>
      <w:r w:rsidR="00DD14A6" w:rsidRPr="009604B4">
        <w:rPr>
          <w:rFonts w:ascii="Times New Roman" w:eastAsia="Times New Roman" w:hAnsi="Times New Roman" w:cs="Times New Roman"/>
          <w:sz w:val="20"/>
          <w:szCs w:val="20"/>
        </w:rPr>
        <w:instrText xml:space="preserve"> \* MERGEFORMAT </w:instrText>
      </w:r>
      <w:r w:rsidR="00886C83" w:rsidRPr="009604B4">
        <w:rPr>
          <w:rFonts w:ascii="Times New Roman" w:hAnsi="Times New Roman"/>
          <w:sz w:val="20"/>
        </w:rPr>
      </w:r>
      <w:r w:rsidR="00886C83" w:rsidRPr="009604B4">
        <w:rPr>
          <w:rFonts w:ascii="Times New Roman" w:hAnsi="Times New Roman"/>
          <w:sz w:val="20"/>
        </w:rPr>
        <w:fldChar w:fldCharType="separate"/>
      </w:r>
      <w:r w:rsidR="00E47C6E">
        <w:rPr>
          <w:rFonts w:ascii="Times New Roman" w:eastAsia="Times New Roman" w:hAnsi="Times New Roman" w:cs="Times New Roman"/>
          <w:sz w:val="20"/>
          <w:szCs w:val="20"/>
          <w:cs/>
        </w:rPr>
        <w:t>‎</w:t>
      </w:r>
      <w:r w:rsidR="00E47C6E">
        <w:rPr>
          <w:rFonts w:ascii="Times New Roman" w:eastAsia="Times New Roman" w:hAnsi="Times New Roman" w:cs="Times New Roman"/>
          <w:sz w:val="20"/>
          <w:szCs w:val="20"/>
        </w:rPr>
        <w:t>104</w:t>
      </w:r>
      <w:r w:rsidR="00886C83" w:rsidRPr="009604B4">
        <w:rPr>
          <w:rFonts w:ascii="Times New Roman" w:hAnsi="Times New Roman"/>
          <w:sz w:val="20"/>
        </w:rPr>
        <w:fldChar w:fldCharType="end"/>
      </w:r>
      <w:r w:rsidR="00886C83" w:rsidRPr="009604B4">
        <w:rPr>
          <w:rFonts w:ascii="Times New Roman" w:hAnsi="Times New Roman"/>
          <w:sz w:val="20"/>
        </w:rPr>
        <w:t xml:space="preserve"> above that the Party concerned </w:t>
      </w:r>
      <w:r w:rsidR="00507B08" w:rsidRPr="009604B4">
        <w:rPr>
          <w:rFonts w:ascii="Times New Roman" w:eastAsia="Times New Roman" w:hAnsi="Times New Roman" w:cs="Times New Roman"/>
          <w:sz w:val="20"/>
          <w:szCs w:val="20"/>
        </w:rPr>
        <w:t>did not fail</w:t>
      </w:r>
      <w:r w:rsidR="00507B08" w:rsidRPr="009604B4">
        <w:rPr>
          <w:rFonts w:ascii="Times New Roman" w:hAnsi="Times New Roman"/>
          <w:sz w:val="20"/>
        </w:rPr>
        <w:t xml:space="preserve"> </w:t>
      </w:r>
      <w:r w:rsidR="00886C83" w:rsidRPr="009604B4">
        <w:rPr>
          <w:rFonts w:ascii="Times New Roman" w:hAnsi="Times New Roman"/>
          <w:sz w:val="20"/>
        </w:rPr>
        <w:t>to provide the necessary information</w:t>
      </w:r>
      <w:r w:rsidR="00886C83" w:rsidRPr="009604B4">
        <w:rPr>
          <w:rFonts w:ascii="Times New Roman" w:eastAsia="Times New Roman" w:hAnsi="Times New Roman" w:cs="Times New Roman"/>
          <w:sz w:val="20"/>
          <w:szCs w:val="20"/>
        </w:rPr>
        <w:t xml:space="preserve"> </w:t>
      </w:r>
      <w:r w:rsidR="00507B08" w:rsidRPr="009604B4">
        <w:rPr>
          <w:rFonts w:ascii="Times New Roman" w:eastAsia="Times New Roman" w:hAnsi="Times New Roman" w:cs="Times New Roman"/>
          <w:sz w:val="20"/>
          <w:szCs w:val="20"/>
        </w:rPr>
        <w:t>to the public</w:t>
      </w:r>
      <w:r w:rsidR="00507B08" w:rsidRPr="009604B4">
        <w:rPr>
          <w:rFonts w:ascii="Times New Roman" w:hAnsi="Times New Roman"/>
          <w:sz w:val="20"/>
        </w:rPr>
        <w:t xml:space="preserve"> </w:t>
      </w:r>
      <w:r w:rsidR="00886C83" w:rsidRPr="009604B4">
        <w:rPr>
          <w:rFonts w:ascii="Times New Roman" w:hAnsi="Times New Roman"/>
          <w:sz w:val="20"/>
        </w:rPr>
        <w:t>in this case, the Committee accordingly finds that</w:t>
      </w:r>
      <w:r w:rsidRPr="009604B4">
        <w:rPr>
          <w:rFonts w:ascii="Times New Roman" w:hAnsi="Times New Roman"/>
          <w:sz w:val="20"/>
        </w:rPr>
        <w:t xml:space="preserve"> the communicant’s allegation that the Party concerned failed to provide a transparent and fair framework</w:t>
      </w:r>
      <w:r w:rsidR="004C0395">
        <w:rPr>
          <w:rFonts w:ascii="Times New Roman" w:hAnsi="Times New Roman"/>
          <w:sz w:val="20"/>
        </w:rPr>
        <w:t>, as required by article 7,</w:t>
      </w:r>
      <w:r w:rsidRPr="009604B4">
        <w:rPr>
          <w:rFonts w:ascii="Times New Roman" w:hAnsi="Times New Roman"/>
          <w:sz w:val="20"/>
        </w:rPr>
        <w:t xml:space="preserve"> is unsubstantiated.</w:t>
      </w:r>
      <w:r w:rsidR="00886C83" w:rsidRPr="009604B4">
        <w:rPr>
          <w:rFonts w:ascii="Times New Roman" w:eastAsia="Times New Roman" w:hAnsi="Times New Roman" w:cs="Times New Roman"/>
          <w:sz w:val="20"/>
          <w:szCs w:val="20"/>
        </w:rPr>
        <w:t xml:space="preserve"> </w:t>
      </w:r>
    </w:p>
    <w:p w14:paraId="0B2B3F26" w14:textId="1B649075" w:rsidR="00AB4541" w:rsidRPr="009604B4" w:rsidRDefault="00AB4541" w:rsidP="00105D0B">
      <w:pPr>
        <w:keepNext/>
        <w:keepLines/>
        <w:tabs>
          <w:tab w:val="left" w:pos="567"/>
        </w:tabs>
        <w:suppressAutoHyphens/>
        <w:spacing w:before="360" w:after="240" w:line="300" w:lineRule="exact"/>
        <w:ind w:left="567" w:right="1134" w:hanging="425"/>
        <w:jc w:val="both"/>
        <w:rPr>
          <w:rFonts w:ascii="Times New Roman" w:eastAsia="Times New Roman" w:hAnsi="Times New Roman" w:cs="Times New Roman"/>
          <w:b/>
          <w:sz w:val="24"/>
          <w:szCs w:val="24"/>
        </w:rPr>
      </w:pPr>
      <w:r w:rsidRPr="009604B4">
        <w:rPr>
          <w:rFonts w:ascii="Times New Roman" w:eastAsia="Times New Roman" w:hAnsi="Times New Roman" w:cs="Times New Roman"/>
          <w:b/>
          <w:sz w:val="24"/>
          <w:szCs w:val="24"/>
        </w:rPr>
        <w:t>IV.</w:t>
      </w:r>
      <w:r w:rsidRPr="009604B4">
        <w:rPr>
          <w:rFonts w:ascii="Times New Roman" w:eastAsia="Times New Roman" w:hAnsi="Times New Roman" w:cs="Times New Roman"/>
          <w:b/>
          <w:sz w:val="24"/>
          <w:szCs w:val="24"/>
        </w:rPr>
        <w:tab/>
        <w:t xml:space="preserve">Conclusions </w:t>
      </w:r>
    </w:p>
    <w:p w14:paraId="0D921E81" w14:textId="6B903572" w:rsidR="00AB4541" w:rsidRPr="009604B4" w:rsidRDefault="00157DE4" w:rsidP="00FD13A4">
      <w:pPr>
        <w:pStyle w:val="ListParagraph"/>
        <w:numPr>
          <w:ilvl w:val="0"/>
          <w:numId w:val="2"/>
        </w:numPr>
        <w:tabs>
          <w:tab w:val="num" w:pos="540"/>
        </w:tabs>
        <w:spacing w:after="120"/>
        <w:ind w:left="630" w:right="1109" w:firstLine="0"/>
        <w:contextualSpacing w:val="0"/>
        <w:jc w:val="both"/>
        <w:rPr>
          <w:rFonts w:ascii="Times New Roman" w:hAnsi="Times New Roman"/>
          <w:sz w:val="20"/>
        </w:rPr>
      </w:pPr>
      <w:r w:rsidRPr="009604B4">
        <w:rPr>
          <w:rFonts w:ascii="Times New Roman" w:hAnsi="Times New Roman"/>
          <w:sz w:val="20"/>
        </w:rPr>
        <w:t>Based on the above considerations, the Committee does not find the Party concerned to be in non-compliance with article 7 of the Convention in the circumstances of this case</w:t>
      </w:r>
      <w:r w:rsidR="00F42F7F" w:rsidRPr="009604B4">
        <w:rPr>
          <w:rFonts w:ascii="Times New Roman" w:hAnsi="Times New Roman"/>
          <w:sz w:val="20"/>
        </w:rPr>
        <w:t>.</w:t>
      </w:r>
    </w:p>
    <w:p w14:paraId="39A8E785" w14:textId="54E8BF4D" w:rsidR="00AB4541" w:rsidRPr="009B52A9" w:rsidRDefault="00AB4541" w:rsidP="005D584F">
      <w:pPr>
        <w:tabs>
          <w:tab w:val="left" w:pos="1134"/>
        </w:tabs>
        <w:suppressAutoHyphens/>
        <w:spacing w:after="120" w:line="240" w:lineRule="atLeast"/>
        <w:ind w:left="567" w:right="1134"/>
        <w:jc w:val="both"/>
        <w:rPr>
          <w:rFonts w:ascii="Times New Roman" w:eastAsia="Times New Roman" w:hAnsi="Times New Roman" w:cs="Times New Roman"/>
          <w:sz w:val="20"/>
          <w:szCs w:val="20"/>
        </w:rPr>
      </w:pPr>
      <w:bookmarkStart w:id="34" w:name="_GoBack"/>
      <w:bookmarkEnd w:id="34"/>
    </w:p>
    <w:p w14:paraId="788E6D5A" w14:textId="77777777" w:rsidR="00E51C85" w:rsidRPr="0025364C" w:rsidRDefault="00E51C85" w:rsidP="005D584F">
      <w:pPr>
        <w:tabs>
          <w:tab w:val="left" w:pos="1134"/>
        </w:tabs>
        <w:ind w:left="567" w:right="1134"/>
        <w:jc w:val="both"/>
        <w:rPr>
          <w:rFonts w:ascii="Times New Roman" w:hAnsi="Times New Roman" w:cs="Times New Roman"/>
          <w:sz w:val="20"/>
          <w:szCs w:val="20"/>
        </w:rPr>
      </w:pPr>
    </w:p>
    <w:sectPr w:rsidR="00E51C85" w:rsidRPr="0025364C" w:rsidSect="00D2432B">
      <w:headerReference w:type="default" r:id="rId8"/>
      <w:foot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444A" w14:textId="77777777" w:rsidR="000F4DAD" w:rsidRDefault="000F4DAD" w:rsidP="00D14D7D">
      <w:pPr>
        <w:spacing w:after="0" w:line="240" w:lineRule="auto"/>
      </w:pPr>
      <w:r>
        <w:separator/>
      </w:r>
    </w:p>
  </w:endnote>
  <w:endnote w:type="continuationSeparator" w:id="0">
    <w:p w14:paraId="2943697C" w14:textId="77777777" w:rsidR="000F4DAD" w:rsidRDefault="000F4DAD" w:rsidP="00D14D7D">
      <w:pPr>
        <w:spacing w:after="0" w:line="240" w:lineRule="auto"/>
      </w:pPr>
      <w:r>
        <w:continuationSeparator/>
      </w:r>
    </w:p>
  </w:endnote>
  <w:endnote w:type="continuationNotice" w:id="1">
    <w:p w14:paraId="20354A97" w14:textId="77777777" w:rsidR="000F4DAD" w:rsidRDefault="000F4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392662212"/>
      <w:docPartObj>
        <w:docPartGallery w:val="Page Numbers (Bottom of Page)"/>
        <w:docPartUnique/>
      </w:docPartObj>
    </w:sdtPr>
    <w:sdtEndPr>
      <w:rPr>
        <w:noProof/>
      </w:rPr>
    </w:sdtEndPr>
    <w:sdtContent>
      <w:p w14:paraId="638BC092" w14:textId="4D3A1CB0" w:rsidR="00543742" w:rsidRPr="009B52A9" w:rsidRDefault="00543742">
        <w:pPr>
          <w:pStyle w:val="Footer"/>
          <w:jc w:val="center"/>
          <w:rPr>
            <w:rFonts w:ascii="Times New Roman" w:hAnsi="Times New Roman" w:cs="Times New Roman"/>
            <w:sz w:val="20"/>
            <w:szCs w:val="20"/>
          </w:rPr>
        </w:pPr>
        <w:r w:rsidRPr="009B52A9">
          <w:rPr>
            <w:rFonts w:ascii="Times New Roman" w:hAnsi="Times New Roman" w:cs="Times New Roman"/>
            <w:sz w:val="20"/>
            <w:szCs w:val="20"/>
          </w:rPr>
          <w:fldChar w:fldCharType="begin"/>
        </w:r>
        <w:r w:rsidRPr="009B52A9">
          <w:rPr>
            <w:rFonts w:ascii="Times New Roman" w:hAnsi="Times New Roman" w:cs="Times New Roman"/>
            <w:sz w:val="20"/>
            <w:szCs w:val="20"/>
          </w:rPr>
          <w:instrText xml:space="preserve"> PAGE   \* MERGEFORMAT </w:instrText>
        </w:r>
        <w:r w:rsidRPr="009B52A9">
          <w:rPr>
            <w:rFonts w:ascii="Times New Roman" w:hAnsi="Times New Roman" w:cs="Times New Roman"/>
            <w:sz w:val="20"/>
            <w:szCs w:val="20"/>
          </w:rPr>
          <w:fldChar w:fldCharType="separate"/>
        </w:r>
        <w:r>
          <w:rPr>
            <w:rFonts w:ascii="Times New Roman" w:hAnsi="Times New Roman" w:cs="Times New Roman"/>
            <w:noProof/>
            <w:sz w:val="20"/>
            <w:szCs w:val="20"/>
          </w:rPr>
          <w:t>11</w:t>
        </w:r>
        <w:r w:rsidRPr="009B52A9">
          <w:rPr>
            <w:rFonts w:ascii="Times New Roman" w:hAnsi="Times New Roman" w:cs="Times New Roman"/>
            <w:noProof/>
            <w:sz w:val="20"/>
            <w:szCs w:val="20"/>
          </w:rPr>
          <w:fldChar w:fldCharType="end"/>
        </w:r>
      </w:p>
    </w:sdtContent>
  </w:sdt>
  <w:p w14:paraId="216B69D3" w14:textId="77777777" w:rsidR="00543742" w:rsidRDefault="00543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EF8C0" w14:textId="77777777" w:rsidR="000F4DAD" w:rsidRDefault="000F4DAD" w:rsidP="00D14D7D">
      <w:pPr>
        <w:spacing w:after="0" w:line="240" w:lineRule="auto"/>
      </w:pPr>
      <w:r>
        <w:separator/>
      </w:r>
    </w:p>
  </w:footnote>
  <w:footnote w:type="continuationSeparator" w:id="0">
    <w:p w14:paraId="5B1AF3BC" w14:textId="77777777" w:rsidR="000F4DAD" w:rsidRDefault="000F4DAD" w:rsidP="00D14D7D">
      <w:pPr>
        <w:spacing w:after="0" w:line="240" w:lineRule="auto"/>
      </w:pPr>
      <w:r>
        <w:continuationSeparator/>
      </w:r>
    </w:p>
  </w:footnote>
  <w:footnote w:type="continuationNotice" w:id="1">
    <w:p w14:paraId="4B41BFD1" w14:textId="77777777" w:rsidR="000F4DAD" w:rsidRDefault="000F4DAD">
      <w:pPr>
        <w:spacing w:after="0" w:line="240" w:lineRule="auto"/>
      </w:pPr>
    </w:p>
  </w:footnote>
  <w:footnote w:id="2">
    <w:p w14:paraId="37F3D285" w14:textId="419EE517"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Style w:val="FootnoteReference"/>
          <w:rFonts w:asciiTheme="majorBidi" w:hAnsiTheme="majorBidi" w:cstheme="majorBidi"/>
          <w:szCs w:val="18"/>
        </w:rPr>
        <w:t xml:space="preserve"> </w:t>
      </w:r>
      <w:r w:rsidRPr="002C4EC1">
        <w:rPr>
          <w:rFonts w:asciiTheme="majorBidi" w:hAnsiTheme="majorBidi" w:cstheme="majorBidi"/>
          <w:sz w:val="18"/>
          <w:szCs w:val="18"/>
        </w:rPr>
        <w:t>The communication and related documentation from the communicant, the Party concerned and the secretariat, is available from http://www.unece.org/environmental-policy/conventions/public-participation/aarhus-convention/tfwg/envppcc/envppcccom/acccc2014100-united-kingdom.html</w:t>
      </w:r>
    </w:p>
  </w:footnote>
  <w:footnote w:id="3">
    <w:p w14:paraId="60AF4EA1" w14:textId="165F5366" w:rsidR="00543742" w:rsidRPr="002C4EC1" w:rsidRDefault="00543742" w:rsidP="003A7A56">
      <w:pPr>
        <w:pStyle w:val="FootnoteText"/>
        <w:ind w:left="567" w:right="1109"/>
        <w:jc w:val="both"/>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Pr>
          <w:rFonts w:asciiTheme="majorBidi" w:hAnsiTheme="majorBidi" w:cstheme="majorBidi"/>
          <w:sz w:val="18"/>
          <w:szCs w:val="18"/>
        </w:rPr>
        <w:t>C</w:t>
      </w:r>
      <w:r w:rsidRPr="002C4EC1">
        <w:rPr>
          <w:rFonts w:asciiTheme="majorBidi" w:hAnsiTheme="majorBidi" w:cstheme="majorBidi"/>
          <w:sz w:val="18"/>
          <w:szCs w:val="18"/>
        </w:rPr>
        <w:t>ommunication, p</w:t>
      </w:r>
      <w:r>
        <w:rPr>
          <w:rFonts w:asciiTheme="majorBidi" w:hAnsiTheme="majorBidi" w:cstheme="majorBidi"/>
          <w:sz w:val="18"/>
          <w:szCs w:val="18"/>
        </w:rPr>
        <w:t>.</w:t>
      </w:r>
      <w:r w:rsidRPr="002C4EC1">
        <w:rPr>
          <w:rFonts w:asciiTheme="majorBidi" w:hAnsiTheme="majorBidi" w:cstheme="majorBidi"/>
          <w:sz w:val="18"/>
          <w:szCs w:val="18"/>
        </w:rPr>
        <w:t xml:space="preserve"> 2.</w:t>
      </w:r>
    </w:p>
  </w:footnote>
  <w:footnote w:id="4">
    <w:p w14:paraId="11F7E18D" w14:textId="1A95D83C"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Pr>
          <w:rFonts w:asciiTheme="majorBidi" w:hAnsiTheme="majorBidi" w:cstheme="majorBidi"/>
          <w:sz w:val="18"/>
          <w:szCs w:val="18"/>
        </w:rPr>
        <w:t xml:space="preserve"> </w:t>
      </w:r>
      <w:r w:rsidRPr="002C4EC1">
        <w:rPr>
          <w:rFonts w:asciiTheme="majorBidi" w:hAnsiTheme="majorBidi" w:cstheme="majorBidi"/>
          <w:sz w:val="18"/>
          <w:szCs w:val="18"/>
        </w:rPr>
        <w:t>This section summarizes only the main facts, evidence and issues considered to be relevant to the question of compliance, as presented to and considered by the Committee.</w:t>
      </w:r>
    </w:p>
  </w:footnote>
  <w:footnote w:id="5">
    <w:p w14:paraId="61887CCA" w14:textId="59224C8B"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Pr="002C4EC1">
        <w:rPr>
          <w:rFonts w:asciiTheme="majorBidi" w:eastAsia="Times New Roman" w:hAnsiTheme="majorBidi" w:cstheme="majorBidi"/>
          <w:sz w:val="18"/>
          <w:szCs w:val="18"/>
        </w:rPr>
        <w:t>Directive 2001/42/EC of the European Parliament and of the Council of 27 June 2001 on the assessment of the effects of certain plans and programmes on the environment.</w:t>
      </w:r>
    </w:p>
  </w:footnote>
  <w:footnote w:id="6">
    <w:p w14:paraId="38CE995B" w14:textId="79B06BA0"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Environmental Assessment of Plans and Programmes </w:t>
      </w:r>
      <w:r w:rsidRPr="002C4EC1">
        <w:rPr>
          <w:rFonts w:asciiTheme="majorBidi" w:hAnsiTheme="majorBidi" w:cstheme="majorBidi"/>
          <w:bCs/>
          <w:sz w:val="18"/>
          <w:szCs w:val="18"/>
        </w:rPr>
        <w:t>Regulations</w:t>
      </w:r>
      <w:r w:rsidRPr="002C4EC1">
        <w:rPr>
          <w:rFonts w:asciiTheme="majorBidi" w:hAnsiTheme="majorBidi" w:cstheme="majorBidi"/>
          <w:sz w:val="18"/>
          <w:szCs w:val="18"/>
        </w:rPr>
        <w:t> 2004.</w:t>
      </w:r>
    </w:p>
  </w:footnote>
  <w:footnote w:id="7">
    <w:p w14:paraId="060FC83D" w14:textId="2BED8509"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para. 35</w:t>
      </w:r>
      <w:r>
        <w:rPr>
          <w:rFonts w:asciiTheme="majorBidi" w:hAnsiTheme="majorBidi" w:cstheme="majorBidi"/>
          <w:sz w:val="18"/>
          <w:szCs w:val="18"/>
        </w:rPr>
        <w:t>,</w:t>
      </w:r>
      <w:r w:rsidRPr="002C4EC1">
        <w:rPr>
          <w:rFonts w:asciiTheme="majorBidi" w:hAnsiTheme="majorBidi" w:cstheme="majorBidi"/>
          <w:sz w:val="18"/>
          <w:szCs w:val="18"/>
        </w:rPr>
        <w:t xml:space="preserve"> and annex 3 to the communication, para. 5.</w:t>
      </w:r>
    </w:p>
  </w:footnote>
  <w:footnote w:id="8">
    <w:p w14:paraId="4B43753A" w14:textId="44469DF4"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paras. 36</w:t>
      </w:r>
      <w:r>
        <w:rPr>
          <w:rFonts w:asciiTheme="majorBidi" w:hAnsiTheme="majorBidi" w:cstheme="majorBidi"/>
          <w:sz w:val="18"/>
          <w:szCs w:val="18"/>
        </w:rPr>
        <w:t>-</w:t>
      </w:r>
      <w:r w:rsidRPr="002C4EC1">
        <w:rPr>
          <w:rFonts w:asciiTheme="majorBidi" w:hAnsiTheme="majorBidi" w:cstheme="majorBidi"/>
          <w:sz w:val="18"/>
          <w:szCs w:val="18"/>
        </w:rPr>
        <w:t xml:space="preserve">37. See annex 8 to </w:t>
      </w:r>
      <w:r w:rsidR="002D3D2A">
        <w:rPr>
          <w:rFonts w:asciiTheme="majorBidi" w:hAnsiTheme="majorBidi" w:cstheme="majorBidi"/>
          <w:sz w:val="18"/>
          <w:szCs w:val="18"/>
        </w:rPr>
        <w:t xml:space="preserve">the response </w:t>
      </w:r>
      <w:r w:rsidRPr="002C4EC1">
        <w:rPr>
          <w:rFonts w:asciiTheme="majorBidi" w:hAnsiTheme="majorBidi" w:cstheme="majorBidi"/>
          <w:sz w:val="18"/>
          <w:szCs w:val="18"/>
        </w:rPr>
        <w:t>for the report.</w:t>
      </w:r>
    </w:p>
  </w:footnote>
  <w:footnote w:id="9">
    <w:p w14:paraId="0A5A8E1C" w14:textId="3848546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Style w:val="FootnoteReference"/>
          <w:rFonts w:asciiTheme="majorBidi" w:hAnsiTheme="majorBidi" w:cstheme="majorBidi"/>
          <w:szCs w:val="18"/>
        </w:rPr>
        <w:t xml:space="preserve"> </w:t>
      </w:r>
      <w:r w:rsidRPr="002C4EC1">
        <w:rPr>
          <w:rFonts w:asciiTheme="majorBidi" w:hAnsiTheme="majorBidi" w:cstheme="majorBidi"/>
          <w:sz w:val="18"/>
          <w:szCs w:val="18"/>
        </w:rPr>
        <w:t>Annex A to additional information provided by the Party concerned</w:t>
      </w:r>
      <w:r>
        <w:rPr>
          <w:rFonts w:asciiTheme="majorBidi" w:hAnsiTheme="majorBidi" w:cstheme="majorBidi"/>
          <w:sz w:val="18"/>
          <w:szCs w:val="18"/>
        </w:rPr>
        <w:t xml:space="preserve">, </w:t>
      </w:r>
      <w:r w:rsidRPr="002C4EC1">
        <w:rPr>
          <w:rFonts w:asciiTheme="majorBidi" w:hAnsiTheme="majorBidi" w:cstheme="majorBidi"/>
          <w:sz w:val="18"/>
          <w:szCs w:val="18"/>
        </w:rPr>
        <w:t>25 February 2016, p. 3.</w:t>
      </w:r>
    </w:p>
  </w:footnote>
  <w:footnote w:id="10">
    <w:p w14:paraId="48869D22" w14:textId="594B9F18" w:rsidR="00543742" w:rsidRPr="00FD13A4"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FD13A4">
        <w:rPr>
          <w:rFonts w:asciiTheme="majorBidi" w:hAnsiTheme="majorBidi"/>
          <w:sz w:val="18"/>
        </w:rPr>
        <w:t xml:space="preserve"> </w:t>
      </w:r>
      <w:r w:rsidR="00444FB4">
        <w:rPr>
          <w:rFonts w:asciiTheme="majorBidi" w:hAnsiTheme="majorBidi" w:cstheme="majorBidi"/>
          <w:sz w:val="18"/>
          <w:szCs w:val="18"/>
        </w:rPr>
        <w:t>Response to communication by Party concerned</w:t>
      </w:r>
      <w:r w:rsidRPr="00FD13A4">
        <w:rPr>
          <w:rFonts w:asciiTheme="majorBidi" w:hAnsiTheme="majorBidi"/>
          <w:sz w:val="18"/>
        </w:rPr>
        <w:t>, para. 36.</w:t>
      </w:r>
    </w:p>
  </w:footnote>
  <w:footnote w:id="11">
    <w:p w14:paraId="48561695" w14:textId="6426804A" w:rsidR="00543742" w:rsidRPr="00FD13A4"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FD13A4">
        <w:rPr>
          <w:rStyle w:val="FootnoteReference"/>
          <w:rFonts w:asciiTheme="majorBidi" w:hAnsiTheme="majorBidi"/>
        </w:rPr>
        <w:t xml:space="preserve"> </w:t>
      </w:r>
      <w:r w:rsidR="00444FB4">
        <w:rPr>
          <w:rFonts w:asciiTheme="majorBidi" w:hAnsiTheme="majorBidi" w:cstheme="majorBidi"/>
          <w:sz w:val="18"/>
          <w:szCs w:val="18"/>
        </w:rPr>
        <w:t>Response to communication by Party concerned</w:t>
      </w:r>
      <w:r w:rsidRPr="00FD13A4">
        <w:rPr>
          <w:rFonts w:asciiTheme="majorBidi" w:hAnsiTheme="majorBidi"/>
          <w:sz w:val="18"/>
        </w:rPr>
        <w:t>, para 36</w:t>
      </w:r>
      <w:r>
        <w:rPr>
          <w:rFonts w:asciiTheme="majorBidi" w:hAnsiTheme="majorBidi" w:cstheme="majorBidi"/>
          <w:sz w:val="18"/>
          <w:szCs w:val="18"/>
        </w:rPr>
        <w:t>,</w:t>
      </w:r>
      <w:r w:rsidRPr="00FD13A4">
        <w:rPr>
          <w:rFonts w:asciiTheme="majorBidi" w:hAnsiTheme="majorBidi"/>
          <w:sz w:val="18"/>
        </w:rPr>
        <w:t xml:space="preserve"> and </w:t>
      </w:r>
      <w:r w:rsidRPr="006432DC">
        <w:rPr>
          <w:rFonts w:asciiTheme="majorBidi" w:hAnsiTheme="majorBidi" w:cstheme="majorBidi"/>
          <w:sz w:val="18"/>
          <w:szCs w:val="18"/>
        </w:rPr>
        <w:t>annex</w:t>
      </w:r>
      <w:r w:rsidRPr="00FD13A4">
        <w:rPr>
          <w:rFonts w:asciiTheme="majorBidi" w:hAnsiTheme="majorBidi"/>
          <w:sz w:val="18"/>
        </w:rPr>
        <w:t xml:space="preserve"> 5</w:t>
      </w:r>
      <w:r>
        <w:rPr>
          <w:rFonts w:asciiTheme="majorBidi" w:hAnsiTheme="majorBidi" w:cstheme="majorBidi"/>
          <w:sz w:val="18"/>
          <w:szCs w:val="18"/>
        </w:rPr>
        <w:t xml:space="preserve"> to </w:t>
      </w:r>
      <w:r w:rsidR="002D3D2A">
        <w:rPr>
          <w:rFonts w:asciiTheme="majorBidi" w:hAnsiTheme="majorBidi" w:cstheme="majorBidi"/>
          <w:sz w:val="18"/>
          <w:szCs w:val="18"/>
        </w:rPr>
        <w:t>the response</w:t>
      </w:r>
      <w:r w:rsidRPr="00FD13A4">
        <w:rPr>
          <w:rFonts w:asciiTheme="majorBidi" w:hAnsiTheme="majorBidi"/>
          <w:sz w:val="18"/>
        </w:rPr>
        <w:t>, para</w:t>
      </w:r>
      <w:r w:rsidRPr="006432DC">
        <w:rPr>
          <w:rFonts w:asciiTheme="majorBidi" w:hAnsiTheme="majorBidi" w:cstheme="majorBidi"/>
          <w:sz w:val="18"/>
          <w:szCs w:val="18"/>
        </w:rPr>
        <w:t>.</w:t>
      </w:r>
      <w:r w:rsidRPr="00FD13A4">
        <w:rPr>
          <w:rFonts w:asciiTheme="majorBidi" w:hAnsiTheme="majorBidi"/>
          <w:sz w:val="18"/>
        </w:rPr>
        <w:t xml:space="preserve"> 22.</w:t>
      </w:r>
    </w:p>
  </w:footnote>
  <w:footnote w:id="12">
    <w:p w14:paraId="16007D73" w14:textId="6DA9DB8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5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 para</w:t>
      </w:r>
      <w:r>
        <w:rPr>
          <w:rFonts w:asciiTheme="majorBidi" w:hAnsiTheme="majorBidi" w:cstheme="majorBidi"/>
          <w:sz w:val="18"/>
          <w:szCs w:val="18"/>
        </w:rPr>
        <w:t>.</w:t>
      </w:r>
      <w:r w:rsidRPr="002C4EC1">
        <w:rPr>
          <w:rFonts w:asciiTheme="majorBidi" w:hAnsiTheme="majorBidi" w:cstheme="majorBidi"/>
          <w:sz w:val="18"/>
          <w:szCs w:val="18"/>
        </w:rPr>
        <w:t xml:space="preserve"> 28.</w:t>
      </w:r>
    </w:p>
  </w:footnote>
  <w:footnote w:id="13">
    <w:p w14:paraId="67BCA2A5" w14:textId="780E9D42"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9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w:t>
      </w:r>
    </w:p>
  </w:footnote>
  <w:footnote w:id="14">
    <w:p w14:paraId="0ECA3E46" w14:textId="3414913E"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9604B4">
        <w:rPr>
          <w:rStyle w:val="FootnoteReference"/>
          <w:rFonts w:asciiTheme="majorBidi" w:hAnsiTheme="majorBidi"/>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xml:space="preserve">, para. 40. See annex 10 </w:t>
      </w:r>
      <w:r>
        <w:rPr>
          <w:rFonts w:asciiTheme="majorBidi" w:hAnsiTheme="majorBidi" w:cstheme="majorBidi"/>
          <w:sz w:val="18"/>
          <w:szCs w:val="18"/>
        </w:rPr>
        <w:t xml:space="preserve">to </w:t>
      </w:r>
      <w:r w:rsidR="002D3D2A">
        <w:rPr>
          <w:rFonts w:asciiTheme="majorBidi" w:hAnsiTheme="majorBidi" w:cstheme="majorBidi"/>
          <w:sz w:val="18"/>
          <w:szCs w:val="18"/>
        </w:rPr>
        <w:t xml:space="preserve">the response </w:t>
      </w:r>
      <w:r w:rsidRPr="002C4EC1">
        <w:rPr>
          <w:rFonts w:asciiTheme="majorBidi" w:hAnsiTheme="majorBidi" w:cstheme="majorBidi"/>
          <w:sz w:val="18"/>
          <w:szCs w:val="18"/>
        </w:rPr>
        <w:t>for the summary.</w:t>
      </w:r>
    </w:p>
  </w:footnote>
  <w:footnote w:id="15">
    <w:p w14:paraId="01969C65" w14:textId="1414C2C1"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Style w:val="FootnoteReference"/>
          <w:rFonts w:asciiTheme="majorBidi" w:hAnsiTheme="majorBidi" w:cstheme="majorBidi"/>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xml:space="preserve">, para. 40. See annex 11 to </w:t>
      </w:r>
      <w:r w:rsidR="002D3D2A">
        <w:rPr>
          <w:rFonts w:asciiTheme="majorBidi" w:hAnsiTheme="majorBidi" w:cstheme="majorBidi"/>
          <w:sz w:val="18"/>
          <w:szCs w:val="18"/>
        </w:rPr>
        <w:t xml:space="preserve">the response </w:t>
      </w:r>
      <w:r w:rsidRPr="002C4EC1">
        <w:rPr>
          <w:rFonts w:asciiTheme="majorBidi" w:hAnsiTheme="majorBidi" w:cstheme="majorBidi"/>
          <w:sz w:val="18"/>
          <w:szCs w:val="18"/>
        </w:rPr>
        <w:t xml:space="preserve">for the reports. </w:t>
      </w:r>
    </w:p>
  </w:footnote>
  <w:footnote w:id="16">
    <w:p w14:paraId="6F6C4F16" w14:textId="7B8027AC"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FD13A4">
        <w:rPr>
          <w:rFonts w:asciiTheme="majorBidi" w:hAnsiTheme="majorBidi"/>
          <w:sz w:val="18"/>
        </w:rPr>
        <w:t xml:space="preserve"> </w:t>
      </w:r>
      <w:r w:rsidR="00444FB4">
        <w:rPr>
          <w:rFonts w:asciiTheme="majorBidi" w:hAnsiTheme="majorBidi" w:cstheme="majorBidi"/>
          <w:sz w:val="18"/>
          <w:szCs w:val="18"/>
        </w:rPr>
        <w:t>Response to communication by Party concerned</w:t>
      </w:r>
      <w:r w:rsidRPr="00FD13A4">
        <w:rPr>
          <w:rFonts w:asciiTheme="majorBidi" w:hAnsiTheme="majorBidi"/>
          <w:sz w:val="18"/>
        </w:rPr>
        <w:t>, para. 41</w:t>
      </w:r>
      <w:r>
        <w:rPr>
          <w:rFonts w:asciiTheme="majorBidi" w:hAnsiTheme="majorBidi" w:cstheme="majorBidi"/>
          <w:sz w:val="18"/>
          <w:szCs w:val="18"/>
        </w:rPr>
        <w:t>,</w:t>
      </w:r>
      <w:r w:rsidRPr="00FD13A4">
        <w:rPr>
          <w:rFonts w:asciiTheme="majorBidi" w:hAnsiTheme="majorBidi"/>
          <w:sz w:val="18"/>
        </w:rPr>
        <w:t xml:space="preserve"> and annex 5</w:t>
      </w:r>
      <w:r w:rsidRPr="006432DC">
        <w:rPr>
          <w:rFonts w:asciiTheme="majorBidi" w:hAnsiTheme="majorBidi" w:cstheme="majorBidi"/>
          <w:sz w:val="18"/>
          <w:szCs w:val="18"/>
        </w:rPr>
        <w:t xml:space="preserve"> to </w:t>
      </w:r>
      <w:r w:rsidR="002D3D2A">
        <w:rPr>
          <w:rFonts w:asciiTheme="majorBidi" w:hAnsiTheme="majorBidi" w:cstheme="majorBidi"/>
          <w:sz w:val="18"/>
          <w:szCs w:val="18"/>
        </w:rPr>
        <w:t>the response</w:t>
      </w:r>
      <w:r w:rsidRPr="00FD13A4">
        <w:rPr>
          <w:rFonts w:asciiTheme="majorBidi" w:hAnsiTheme="majorBidi"/>
          <w:sz w:val="18"/>
        </w:rPr>
        <w:t xml:space="preserve">, paras. </w:t>
      </w:r>
      <w:r w:rsidRPr="002C4EC1">
        <w:rPr>
          <w:rFonts w:asciiTheme="majorBidi" w:hAnsiTheme="majorBidi" w:cstheme="majorBidi"/>
          <w:sz w:val="18"/>
          <w:szCs w:val="18"/>
        </w:rPr>
        <w:t>35-37. See also annex 3 to the communication, paras. 17 and 20.</w:t>
      </w:r>
    </w:p>
  </w:footnote>
  <w:footnote w:id="17">
    <w:p w14:paraId="55882C7B" w14:textId="7E7EEF36"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para. 41</w:t>
      </w:r>
      <w:r>
        <w:rPr>
          <w:rFonts w:asciiTheme="majorBidi" w:hAnsiTheme="majorBidi" w:cstheme="majorBidi"/>
          <w:sz w:val="18"/>
          <w:szCs w:val="18"/>
        </w:rPr>
        <w:t>;</w:t>
      </w:r>
      <w:r w:rsidRPr="002C4EC1">
        <w:rPr>
          <w:rFonts w:asciiTheme="majorBidi" w:hAnsiTheme="majorBidi" w:cstheme="majorBidi"/>
          <w:sz w:val="18"/>
          <w:szCs w:val="18"/>
        </w:rPr>
        <w:t xml:space="preserve"> annex A to additional information provided by the Party concerned</w:t>
      </w:r>
      <w:r>
        <w:rPr>
          <w:rFonts w:asciiTheme="majorBidi" w:hAnsiTheme="majorBidi" w:cstheme="majorBidi"/>
          <w:sz w:val="18"/>
          <w:szCs w:val="18"/>
        </w:rPr>
        <w:t xml:space="preserve">, </w:t>
      </w:r>
      <w:r w:rsidRPr="002C4EC1">
        <w:rPr>
          <w:rFonts w:asciiTheme="majorBidi" w:hAnsiTheme="majorBidi" w:cstheme="majorBidi"/>
          <w:sz w:val="18"/>
          <w:szCs w:val="18"/>
        </w:rPr>
        <w:t>25 February 2016, p. 6</w:t>
      </w:r>
      <w:r>
        <w:rPr>
          <w:rFonts w:asciiTheme="majorBidi" w:hAnsiTheme="majorBidi" w:cstheme="majorBidi"/>
          <w:sz w:val="18"/>
          <w:szCs w:val="18"/>
        </w:rPr>
        <w:t>;</w:t>
      </w:r>
      <w:r w:rsidRPr="002C4EC1">
        <w:rPr>
          <w:rFonts w:asciiTheme="majorBidi" w:hAnsiTheme="majorBidi" w:cstheme="majorBidi"/>
          <w:sz w:val="18"/>
          <w:szCs w:val="18"/>
        </w:rPr>
        <w:t xml:space="preserve"> and annex 3 to the communication, paras. 19 and 21.</w:t>
      </w:r>
    </w:p>
  </w:footnote>
  <w:footnote w:id="18">
    <w:p w14:paraId="574B03D2" w14:textId="6B31597C" w:rsidR="00543742" w:rsidRPr="002C4EC1" w:rsidRDefault="00543742" w:rsidP="00192A82">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Style w:val="FootnoteReference"/>
          <w:rFonts w:asciiTheme="majorBidi" w:hAnsiTheme="majorBidi" w:cstheme="majorBidi"/>
          <w:szCs w:val="18"/>
        </w:rPr>
        <w:t xml:space="preserve"> </w:t>
      </w:r>
      <w:r w:rsidRPr="002C4EC1">
        <w:rPr>
          <w:rFonts w:asciiTheme="majorBidi" w:hAnsiTheme="majorBidi" w:cstheme="majorBidi"/>
          <w:sz w:val="18"/>
          <w:szCs w:val="18"/>
        </w:rPr>
        <w:t xml:space="preserve">Annex 7 to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paras. 14</w:t>
      </w:r>
      <w:r>
        <w:rPr>
          <w:rFonts w:asciiTheme="majorBidi" w:hAnsiTheme="majorBidi" w:cstheme="majorBidi"/>
          <w:sz w:val="18"/>
          <w:szCs w:val="18"/>
        </w:rPr>
        <w:t xml:space="preserve"> and </w:t>
      </w:r>
      <w:r w:rsidRPr="002C4EC1">
        <w:rPr>
          <w:rFonts w:asciiTheme="majorBidi" w:hAnsiTheme="majorBidi" w:cstheme="majorBidi"/>
          <w:sz w:val="18"/>
          <w:szCs w:val="18"/>
        </w:rPr>
        <w:t>16.</w:t>
      </w:r>
    </w:p>
  </w:footnote>
  <w:footnote w:id="19">
    <w:p w14:paraId="3E578E03" w14:textId="21576FD5" w:rsidR="00543742" w:rsidRPr="002C4EC1" w:rsidRDefault="00543742" w:rsidP="006068D9">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A to additional information provided by the Party concerned</w:t>
      </w:r>
      <w:r>
        <w:rPr>
          <w:rFonts w:asciiTheme="majorBidi" w:hAnsiTheme="majorBidi" w:cstheme="majorBidi"/>
          <w:sz w:val="18"/>
          <w:szCs w:val="18"/>
        </w:rPr>
        <w:t xml:space="preserve">, </w:t>
      </w:r>
      <w:r w:rsidRPr="002C4EC1">
        <w:rPr>
          <w:rFonts w:asciiTheme="majorBidi" w:hAnsiTheme="majorBidi" w:cstheme="majorBidi"/>
          <w:sz w:val="18"/>
          <w:szCs w:val="18"/>
        </w:rPr>
        <w:t>25 February 2016, p. 6.</w:t>
      </w:r>
    </w:p>
  </w:footnote>
  <w:footnote w:id="20">
    <w:p w14:paraId="6E931B42" w14:textId="446C5B22" w:rsidR="00543742" w:rsidRPr="002C4EC1" w:rsidRDefault="00543742" w:rsidP="0030015E">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A to additional information provided by the Party concerned</w:t>
      </w:r>
      <w:r>
        <w:rPr>
          <w:rFonts w:asciiTheme="majorBidi" w:hAnsiTheme="majorBidi" w:cstheme="majorBidi"/>
          <w:sz w:val="18"/>
          <w:szCs w:val="18"/>
        </w:rPr>
        <w:t xml:space="preserve">, </w:t>
      </w:r>
      <w:r w:rsidRPr="002C4EC1">
        <w:rPr>
          <w:rFonts w:asciiTheme="majorBidi" w:hAnsiTheme="majorBidi" w:cstheme="majorBidi"/>
          <w:sz w:val="18"/>
          <w:szCs w:val="18"/>
        </w:rPr>
        <w:t xml:space="preserve">25 February 2016, </w:t>
      </w:r>
      <w:r>
        <w:rPr>
          <w:rFonts w:asciiTheme="majorBidi" w:hAnsiTheme="majorBidi" w:cstheme="majorBidi"/>
          <w:sz w:val="18"/>
          <w:szCs w:val="18"/>
        </w:rPr>
        <w:t>p. 7</w:t>
      </w:r>
      <w:r w:rsidRPr="002C4EC1">
        <w:rPr>
          <w:rFonts w:asciiTheme="majorBidi" w:hAnsiTheme="majorBidi" w:cstheme="majorBidi"/>
          <w:sz w:val="18"/>
          <w:szCs w:val="18"/>
        </w:rPr>
        <w:t>.</w:t>
      </w:r>
    </w:p>
  </w:footnote>
  <w:footnote w:id="21">
    <w:p w14:paraId="790DDF2E" w14:textId="46FF531B"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Style w:val="FootnoteReference"/>
          <w:rFonts w:asciiTheme="majorBidi" w:hAnsiTheme="majorBidi" w:cstheme="majorBidi"/>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para. 43</w:t>
      </w:r>
      <w:r>
        <w:rPr>
          <w:rFonts w:asciiTheme="majorBidi" w:hAnsiTheme="majorBidi" w:cstheme="majorBidi"/>
          <w:sz w:val="18"/>
          <w:szCs w:val="18"/>
        </w:rPr>
        <w:t xml:space="preserve">, and annex </w:t>
      </w:r>
      <w:r w:rsidRPr="002C4EC1">
        <w:rPr>
          <w:rFonts w:asciiTheme="majorBidi" w:hAnsiTheme="majorBidi" w:cstheme="majorBidi"/>
          <w:sz w:val="18"/>
          <w:szCs w:val="18"/>
        </w:rPr>
        <w:t>A to additional information provided by the Party concerned</w:t>
      </w:r>
      <w:r>
        <w:rPr>
          <w:rFonts w:asciiTheme="majorBidi" w:hAnsiTheme="majorBidi" w:cstheme="majorBidi"/>
          <w:sz w:val="18"/>
          <w:szCs w:val="18"/>
        </w:rPr>
        <w:t xml:space="preserve">, </w:t>
      </w:r>
      <w:r w:rsidRPr="002C4EC1">
        <w:rPr>
          <w:rFonts w:asciiTheme="majorBidi" w:hAnsiTheme="majorBidi" w:cstheme="majorBidi"/>
          <w:sz w:val="18"/>
          <w:szCs w:val="18"/>
        </w:rPr>
        <w:t xml:space="preserve">25 February 2016, </w:t>
      </w:r>
      <w:r>
        <w:rPr>
          <w:rFonts w:asciiTheme="majorBidi" w:hAnsiTheme="majorBidi" w:cstheme="majorBidi"/>
          <w:sz w:val="18"/>
          <w:szCs w:val="18"/>
        </w:rPr>
        <w:t>pp. 7-8</w:t>
      </w:r>
      <w:r w:rsidRPr="002C4EC1">
        <w:rPr>
          <w:rFonts w:asciiTheme="majorBidi" w:hAnsiTheme="majorBidi" w:cstheme="majorBidi"/>
          <w:sz w:val="18"/>
          <w:szCs w:val="18"/>
        </w:rPr>
        <w:t xml:space="preserve">.    </w:t>
      </w:r>
    </w:p>
  </w:footnote>
  <w:footnote w:id="22">
    <w:p w14:paraId="3299B73B" w14:textId="7EA498CA"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13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w:t>
      </w:r>
    </w:p>
  </w:footnote>
  <w:footnote w:id="23">
    <w:p w14:paraId="73515024" w14:textId="411C9A35"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14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w:t>
      </w:r>
    </w:p>
  </w:footnote>
  <w:footnote w:id="24">
    <w:p w14:paraId="4E9BDB98" w14:textId="2BECA7A0"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15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w:t>
      </w:r>
    </w:p>
  </w:footnote>
  <w:footnote w:id="25">
    <w:p w14:paraId="0469FCF8" w14:textId="37783B06"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16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w:t>
      </w:r>
    </w:p>
  </w:footnote>
  <w:footnote w:id="26">
    <w:p w14:paraId="7E59B713" w14:textId="1CE3BB0A" w:rsidR="00543742" w:rsidRPr="002C4EC1" w:rsidRDefault="00543742" w:rsidP="008B2C38">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Style w:val="FootnoteReference"/>
          <w:rFonts w:asciiTheme="majorBidi" w:hAnsiTheme="majorBidi" w:cstheme="majorBidi"/>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xml:space="preserve">, para. 43.    </w:t>
      </w:r>
    </w:p>
  </w:footnote>
  <w:footnote w:id="27">
    <w:p w14:paraId="61FC36E9" w14:textId="2158B6A8"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5 to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pp. 79-80.</w:t>
      </w:r>
    </w:p>
  </w:footnote>
  <w:footnote w:id="28">
    <w:p w14:paraId="476E6F87" w14:textId="636413B6" w:rsidR="00543742" w:rsidRPr="009604B4" w:rsidRDefault="00543742" w:rsidP="009604B4">
      <w:pPr>
        <w:pStyle w:val="FootnoteText"/>
        <w:ind w:firstLine="567"/>
      </w:pPr>
      <w:r>
        <w:rPr>
          <w:rStyle w:val="FootnoteReference"/>
        </w:rPr>
        <w:footnoteRef/>
      </w:r>
      <w:r>
        <w:t xml:space="preserve"> </w:t>
      </w:r>
      <w:r w:rsidRPr="002C4EC1">
        <w:rPr>
          <w:rFonts w:asciiTheme="majorBidi" w:hAnsiTheme="majorBidi" w:cstheme="majorBidi"/>
          <w:sz w:val="18"/>
          <w:szCs w:val="18"/>
        </w:rPr>
        <w:t xml:space="preserve">Annex 13 to </w:t>
      </w:r>
      <w:r w:rsidR="002D3D2A">
        <w:rPr>
          <w:rFonts w:asciiTheme="majorBidi" w:hAnsiTheme="majorBidi" w:cstheme="majorBidi"/>
          <w:sz w:val="18"/>
          <w:szCs w:val="18"/>
        </w:rPr>
        <w:t>response to communication by Party concerned</w:t>
      </w:r>
      <w:r w:rsidRPr="002C4EC1">
        <w:rPr>
          <w:rFonts w:asciiTheme="majorBidi" w:hAnsiTheme="majorBidi" w:cstheme="majorBidi"/>
          <w:sz w:val="18"/>
          <w:szCs w:val="18"/>
        </w:rPr>
        <w:t>.</w:t>
      </w:r>
    </w:p>
  </w:footnote>
  <w:footnote w:id="29">
    <w:p w14:paraId="4E01386C" w14:textId="11550E4D" w:rsidR="00543742" w:rsidRPr="009604B4" w:rsidRDefault="00543742" w:rsidP="009604B4">
      <w:pPr>
        <w:pStyle w:val="FootnoteText"/>
        <w:ind w:firstLine="567"/>
      </w:pPr>
      <w:r>
        <w:rPr>
          <w:rStyle w:val="FootnoteReference"/>
        </w:rPr>
        <w:footnoteRef/>
      </w:r>
      <w:r>
        <w:t xml:space="preserve"> </w:t>
      </w:r>
      <w:r w:rsidRPr="002C4EC1">
        <w:rPr>
          <w:rFonts w:asciiTheme="majorBidi" w:hAnsiTheme="majorBidi" w:cstheme="majorBidi"/>
          <w:sz w:val="18"/>
          <w:szCs w:val="18"/>
        </w:rPr>
        <w:t xml:space="preserve">Annex 13 to </w:t>
      </w:r>
      <w:r w:rsidR="002D3D2A">
        <w:rPr>
          <w:rFonts w:asciiTheme="majorBidi" w:hAnsiTheme="majorBidi" w:cstheme="majorBidi"/>
          <w:sz w:val="18"/>
          <w:szCs w:val="18"/>
        </w:rPr>
        <w:t>response to communication by Party concerned</w:t>
      </w:r>
      <w:r>
        <w:rPr>
          <w:rFonts w:asciiTheme="majorBidi" w:hAnsiTheme="majorBidi" w:cstheme="majorBidi"/>
          <w:sz w:val="18"/>
          <w:szCs w:val="18"/>
        </w:rPr>
        <w:t>, pp. 122-149</w:t>
      </w:r>
      <w:r w:rsidRPr="002C4EC1">
        <w:rPr>
          <w:rFonts w:asciiTheme="majorBidi" w:hAnsiTheme="majorBidi" w:cstheme="majorBidi"/>
          <w:sz w:val="18"/>
          <w:szCs w:val="18"/>
        </w:rPr>
        <w:t>.</w:t>
      </w:r>
    </w:p>
  </w:footnote>
  <w:footnote w:id="30">
    <w:p w14:paraId="27D669D6" w14:textId="156B7A42" w:rsidR="00543742" w:rsidRPr="00217AD1"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w:t>
      </w:r>
      <w:r>
        <w:rPr>
          <w:rFonts w:asciiTheme="majorBidi" w:hAnsiTheme="majorBidi" w:cstheme="majorBidi"/>
          <w:sz w:val="18"/>
          <w:szCs w:val="18"/>
        </w:rPr>
        <w:t>14(viii)</w:t>
      </w:r>
      <w:r w:rsidRPr="002C4EC1">
        <w:rPr>
          <w:rFonts w:asciiTheme="majorBidi" w:hAnsiTheme="majorBidi" w:cstheme="majorBidi"/>
          <w:sz w:val="18"/>
          <w:szCs w:val="18"/>
        </w:rPr>
        <w:t xml:space="preserve"> to </w:t>
      </w:r>
      <w:r w:rsidR="00444FB4">
        <w:rPr>
          <w:rFonts w:asciiTheme="majorBidi" w:hAnsiTheme="majorBidi" w:cstheme="majorBidi"/>
          <w:sz w:val="18"/>
          <w:szCs w:val="18"/>
        </w:rPr>
        <w:t>response to communication by Party concerned</w:t>
      </w:r>
      <w:r w:rsidRPr="00217AD1">
        <w:rPr>
          <w:rFonts w:asciiTheme="majorBidi" w:hAnsiTheme="majorBidi"/>
          <w:sz w:val="18"/>
        </w:rPr>
        <w:t>.</w:t>
      </w:r>
    </w:p>
  </w:footnote>
  <w:footnote w:id="31">
    <w:p w14:paraId="006B5151" w14:textId="049D37CC" w:rsidR="00543742" w:rsidRPr="00217AD1"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217AD1">
        <w:rPr>
          <w:rFonts w:asciiTheme="majorBidi" w:hAnsiTheme="majorBidi"/>
          <w:sz w:val="18"/>
        </w:rPr>
        <w:t xml:space="preserve"> </w:t>
      </w:r>
      <w:r w:rsidR="00444FB4">
        <w:rPr>
          <w:rFonts w:asciiTheme="majorBidi" w:hAnsiTheme="majorBidi"/>
          <w:sz w:val="18"/>
        </w:rPr>
        <w:t>Response to communication by Party concerned</w:t>
      </w:r>
      <w:r w:rsidRPr="00217AD1">
        <w:rPr>
          <w:rFonts w:asciiTheme="majorBidi" w:hAnsiTheme="majorBidi"/>
          <w:sz w:val="18"/>
        </w:rPr>
        <w:t>, paras. 44-45.</w:t>
      </w:r>
    </w:p>
  </w:footnote>
  <w:footnote w:id="32">
    <w:p w14:paraId="4C3DB0B8" w14:textId="6A02554E"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9604B4">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sidRPr="009604B4">
        <w:rPr>
          <w:rFonts w:asciiTheme="majorBidi" w:hAnsiTheme="majorBidi" w:cstheme="majorBidi"/>
          <w:sz w:val="18"/>
          <w:szCs w:val="18"/>
        </w:rPr>
        <w:t xml:space="preserve">, para. </w:t>
      </w:r>
      <w:r w:rsidRPr="002C4EC1">
        <w:rPr>
          <w:rFonts w:asciiTheme="majorBidi" w:hAnsiTheme="majorBidi" w:cstheme="majorBidi"/>
          <w:sz w:val="18"/>
          <w:szCs w:val="18"/>
        </w:rPr>
        <w:t>46</w:t>
      </w:r>
      <w:r>
        <w:rPr>
          <w:rFonts w:asciiTheme="majorBidi" w:hAnsiTheme="majorBidi" w:cstheme="majorBidi"/>
          <w:sz w:val="18"/>
          <w:szCs w:val="18"/>
        </w:rPr>
        <w:t>,</w:t>
      </w:r>
      <w:r w:rsidRPr="002C4EC1">
        <w:rPr>
          <w:rFonts w:asciiTheme="majorBidi" w:hAnsiTheme="majorBidi" w:cstheme="majorBidi"/>
          <w:sz w:val="18"/>
          <w:szCs w:val="18"/>
        </w:rPr>
        <w:t xml:space="preserve"> and annexes 17</w:t>
      </w:r>
      <w:r>
        <w:rPr>
          <w:rFonts w:asciiTheme="majorBidi" w:hAnsiTheme="majorBidi" w:cstheme="majorBidi"/>
          <w:sz w:val="18"/>
          <w:szCs w:val="18"/>
        </w:rPr>
        <w:t>-</w:t>
      </w:r>
      <w:r w:rsidRPr="002C4EC1">
        <w:rPr>
          <w:rFonts w:asciiTheme="majorBidi" w:hAnsiTheme="majorBidi" w:cstheme="majorBidi"/>
          <w:sz w:val="18"/>
          <w:szCs w:val="18"/>
        </w:rPr>
        <w:t xml:space="preserve">23 to </w:t>
      </w:r>
      <w:r w:rsidR="002D3D2A">
        <w:rPr>
          <w:rFonts w:asciiTheme="majorBidi" w:hAnsiTheme="majorBidi" w:cstheme="majorBidi"/>
          <w:sz w:val="18"/>
          <w:szCs w:val="18"/>
        </w:rPr>
        <w:t>the response</w:t>
      </w:r>
      <w:r w:rsidRPr="002C4EC1">
        <w:rPr>
          <w:rFonts w:asciiTheme="majorBidi" w:hAnsiTheme="majorBidi" w:cstheme="majorBidi"/>
          <w:sz w:val="18"/>
          <w:szCs w:val="18"/>
        </w:rPr>
        <w:t>.</w:t>
      </w:r>
    </w:p>
  </w:footnote>
  <w:footnote w:id="33">
    <w:p w14:paraId="31E9D682" w14:textId="6FF2E604" w:rsidR="00543742" w:rsidRPr="002C4EC1" w:rsidRDefault="00543742" w:rsidP="006068D9">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A to additional </w:t>
      </w:r>
      <w:r>
        <w:rPr>
          <w:rFonts w:asciiTheme="majorBidi" w:hAnsiTheme="majorBidi" w:cstheme="majorBidi"/>
          <w:sz w:val="18"/>
          <w:szCs w:val="18"/>
        </w:rPr>
        <w:t>i</w:t>
      </w:r>
      <w:r w:rsidRPr="002C4EC1">
        <w:rPr>
          <w:rFonts w:asciiTheme="majorBidi" w:hAnsiTheme="majorBidi" w:cstheme="majorBidi"/>
          <w:sz w:val="18"/>
          <w:szCs w:val="18"/>
        </w:rPr>
        <w:t>nformation provided by the Party concerned</w:t>
      </w:r>
      <w:r>
        <w:rPr>
          <w:rFonts w:asciiTheme="majorBidi" w:hAnsiTheme="majorBidi" w:cstheme="majorBidi"/>
          <w:sz w:val="18"/>
          <w:szCs w:val="18"/>
        </w:rPr>
        <w:t xml:space="preserve">, </w:t>
      </w:r>
      <w:r w:rsidRPr="002C4EC1">
        <w:rPr>
          <w:rFonts w:asciiTheme="majorBidi" w:hAnsiTheme="majorBidi" w:cstheme="majorBidi"/>
          <w:sz w:val="18"/>
          <w:szCs w:val="18"/>
        </w:rPr>
        <w:t>25 February 2016, pp. 9</w:t>
      </w:r>
      <w:r>
        <w:rPr>
          <w:rFonts w:asciiTheme="majorBidi" w:hAnsiTheme="majorBidi" w:cstheme="majorBidi"/>
          <w:sz w:val="18"/>
          <w:szCs w:val="18"/>
        </w:rPr>
        <w:t>-</w:t>
      </w:r>
      <w:r w:rsidRPr="002C4EC1">
        <w:rPr>
          <w:rFonts w:asciiTheme="majorBidi" w:hAnsiTheme="majorBidi" w:cstheme="majorBidi"/>
          <w:sz w:val="18"/>
          <w:szCs w:val="18"/>
        </w:rPr>
        <w:t>10.</w:t>
      </w:r>
    </w:p>
  </w:footnote>
  <w:footnote w:id="34">
    <w:p w14:paraId="59BD5BB4" w14:textId="4573FF3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lang w:val="en-US"/>
        </w:rPr>
        <w:t xml:space="preserve"> Communication, para. 7(5)</w:t>
      </w:r>
      <w:r>
        <w:rPr>
          <w:rFonts w:asciiTheme="majorBidi" w:hAnsiTheme="majorBidi" w:cstheme="majorBidi"/>
          <w:sz w:val="18"/>
          <w:lang w:val="en-US"/>
        </w:rPr>
        <w:t>,</w:t>
      </w:r>
      <w:r w:rsidRPr="002C4EC1">
        <w:rPr>
          <w:rFonts w:asciiTheme="majorBidi" w:hAnsiTheme="majorBidi" w:cstheme="majorBidi"/>
          <w:sz w:val="18"/>
          <w:lang w:val="en-US"/>
        </w:rPr>
        <w:t xml:space="preserve"> and annex 3</w:t>
      </w:r>
      <w:r>
        <w:rPr>
          <w:rFonts w:asciiTheme="majorBidi" w:hAnsiTheme="majorBidi" w:cstheme="majorBidi"/>
          <w:sz w:val="18"/>
          <w:lang w:val="en-US"/>
        </w:rPr>
        <w:t xml:space="preserve"> to the communication</w:t>
      </w:r>
      <w:r w:rsidRPr="002C4EC1">
        <w:rPr>
          <w:rFonts w:asciiTheme="majorBidi" w:hAnsiTheme="majorBidi" w:cstheme="majorBidi"/>
          <w:sz w:val="18"/>
          <w:lang w:val="en-US"/>
        </w:rPr>
        <w:t xml:space="preserve">, paras. </w:t>
      </w:r>
      <w:r w:rsidRPr="002C4EC1">
        <w:rPr>
          <w:rFonts w:asciiTheme="majorBidi" w:hAnsiTheme="majorBidi" w:cstheme="majorBidi"/>
          <w:sz w:val="18"/>
          <w:szCs w:val="18"/>
        </w:rPr>
        <w:t>45-46.</w:t>
      </w:r>
    </w:p>
  </w:footnote>
  <w:footnote w:id="35">
    <w:p w14:paraId="26034D93" w14:textId="0245E28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3 to the communication, para. 59.</w:t>
      </w:r>
    </w:p>
  </w:footnote>
  <w:footnote w:id="36">
    <w:p w14:paraId="5D4F2822" w14:textId="2D5C728D" w:rsidR="00543742" w:rsidRPr="000F4DAD" w:rsidRDefault="00543742" w:rsidP="00F21315">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0F4DAD">
        <w:rPr>
          <w:rFonts w:asciiTheme="majorBidi" w:hAnsiTheme="majorBidi"/>
          <w:sz w:val="18"/>
        </w:rPr>
        <w:t xml:space="preserve"> </w:t>
      </w:r>
      <w:r w:rsidR="00444FB4">
        <w:rPr>
          <w:rFonts w:asciiTheme="majorBidi" w:hAnsiTheme="majorBidi" w:cstheme="majorBidi"/>
          <w:sz w:val="18"/>
          <w:szCs w:val="18"/>
        </w:rPr>
        <w:t>Response to communication by Party concerned</w:t>
      </w:r>
      <w:r w:rsidRPr="000F4DAD">
        <w:rPr>
          <w:rFonts w:asciiTheme="majorBidi" w:hAnsiTheme="majorBidi"/>
          <w:sz w:val="18"/>
        </w:rPr>
        <w:t xml:space="preserve">, para. 50. </w:t>
      </w:r>
    </w:p>
  </w:footnote>
  <w:footnote w:id="37">
    <w:p w14:paraId="7DA00621" w14:textId="768F8CF7"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0F4DAD">
        <w:rPr>
          <w:rFonts w:asciiTheme="majorBidi" w:hAnsiTheme="majorBidi"/>
          <w:sz w:val="18"/>
        </w:rPr>
        <w:t xml:space="preserve"> </w:t>
      </w:r>
      <w:r w:rsidR="00444FB4">
        <w:rPr>
          <w:rFonts w:asciiTheme="majorBidi" w:hAnsiTheme="majorBidi" w:cstheme="majorBidi"/>
          <w:sz w:val="18"/>
          <w:szCs w:val="18"/>
        </w:rPr>
        <w:t>Response to communication by Party concerned</w:t>
      </w:r>
      <w:r w:rsidRPr="000F4DAD">
        <w:rPr>
          <w:rFonts w:asciiTheme="majorBidi" w:hAnsiTheme="majorBidi"/>
          <w:sz w:val="18"/>
        </w:rPr>
        <w:t xml:space="preserve">, para. </w:t>
      </w:r>
      <w:r w:rsidRPr="002C4EC1">
        <w:rPr>
          <w:rFonts w:asciiTheme="majorBidi" w:hAnsiTheme="majorBidi" w:cstheme="majorBidi"/>
          <w:sz w:val="18"/>
          <w:szCs w:val="18"/>
        </w:rPr>
        <w:t xml:space="preserve">50. </w:t>
      </w:r>
      <w:r>
        <w:rPr>
          <w:rFonts w:asciiTheme="majorBidi" w:hAnsiTheme="majorBidi" w:cstheme="majorBidi"/>
          <w:sz w:val="18"/>
          <w:szCs w:val="18"/>
        </w:rPr>
        <w:t>For the summary of submissions received, s</w:t>
      </w:r>
      <w:r w:rsidRPr="002C4EC1">
        <w:rPr>
          <w:rFonts w:asciiTheme="majorBidi" w:hAnsiTheme="majorBidi" w:cstheme="majorBidi"/>
          <w:sz w:val="18"/>
          <w:szCs w:val="18"/>
        </w:rPr>
        <w:t xml:space="preserve">ee annex 29 to </w:t>
      </w:r>
      <w:r w:rsidR="002D3D2A">
        <w:rPr>
          <w:rFonts w:asciiTheme="majorBidi" w:hAnsiTheme="majorBidi" w:cstheme="majorBidi"/>
          <w:sz w:val="18"/>
          <w:szCs w:val="18"/>
        </w:rPr>
        <w:t>the response</w:t>
      </w:r>
      <w:r w:rsidRPr="002C4EC1">
        <w:rPr>
          <w:rFonts w:asciiTheme="majorBidi" w:hAnsiTheme="majorBidi" w:cstheme="majorBidi"/>
          <w:sz w:val="18"/>
          <w:szCs w:val="18"/>
        </w:rPr>
        <w:t>.</w:t>
      </w:r>
    </w:p>
  </w:footnote>
  <w:footnote w:id="38">
    <w:p w14:paraId="353D9FA3" w14:textId="511BF75D"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“High Speed Rail</w:t>
      </w:r>
      <w:r>
        <w:rPr>
          <w:rFonts w:asciiTheme="majorBidi" w:hAnsiTheme="majorBidi" w:cstheme="majorBidi"/>
          <w:sz w:val="18"/>
          <w:szCs w:val="18"/>
        </w:rPr>
        <w:t>:</w:t>
      </w:r>
      <w:r w:rsidRPr="002C4EC1">
        <w:rPr>
          <w:rFonts w:asciiTheme="majorBidi" w:hAnsiTheme="majorBidi" w:cstheme="majorBidi"/>
          <w:sz w:val="18"/>
          <w:szCs w:val="18"/>
        </w:rPr>
        <w:t xml:space="preserve"> Investing in Britain's Future-Phase Two: The route to Leeds, Manchester and beyond”</w:t>
      </w:r>
      <w:r>
        <w:rPr>
          <w:rFonts w:asciiTheme="majorBidi" w:hAnsiTheme="majorBidi" w:cstheme="majorBidi"/>
          <w:sz w:val="18"/>
          <w:szCs w:val="18"/>
        </w:rPr>
        <w:t>.</w:t>
      </w:r>
    </w:p>
  </w:footnote>
  <w:footnote w:id="39">
    <w:p w14:paraId="25CC123F" w14:textId="5D2F1C46"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“Options for Phase 2 of the </w:t>
      </w:r>
      <w:proofErr w:type="gramStart"/>
      <w:r w:rsidRPr="002C4EC1">
        <w:rPr>
          <w:rFonts w:asciiTheme="majorBidi" w:hAnsiTheme="majorBidi" w:cstheme="majorBidi"/>
          <w:sz w:val="18"/>
          <w:szCs w:val="18"/>
        </w:rPr>
        <w:t>high speed</w:t>
      </w:r>
      <w:proofErr w:type="gramEnd"/>
      <w:r w:rsidRPr="002C4EC1">
        <w:rPr>
          <w:rFonts w:asciiTheme="majorBidi" w:hAnsiTheme="majorBidi" w:cstheme="majorBidi"/>
          <w:sz w:val="18"/>
          <w:szCs w:val="18"/>
        </w:rPr>
        <w:t xml:space="preserve"> network</w:t>
      </w:r>
      <w:r>
        <w:rPr>
          <w:rFonts w:asciiTheme="majorBidi" w:hAnsiTheme="majorBidi" w:cstheme="majorBidi"/>
          <w:sz w:val="18"/>
          <w:szCs w:val="18"/>
        </w:rPr>
        <w:t>:</w:t>
      </w:r>
      <w:r w:rsidRPr="002C4EC1">
        <w:rPr>
          <w:rFonts w:asciiTheme="majorBidi" w:hAnsiTheme="majorBidi" w:cstheme="majorBidi"/>
          <w:sz w:val="18"/>
          <w:szCs w:val="18"/>
        </w:rPr>
        <w:t xml:space="preserve"> Appraisal of Sustainability”</w:t>
      </w:r>
      <w:r>
        <w:rPr>
          <w:rFonts w:asciiTheme="majorBidi" w:hAnsiTheme="majorBidi" w:cstheme="majorBidi"/>
          <w:sz w:val="18"/>
          <w:szCs w:val="18"/>
        </w:rPr>
        <w:t>.</w:t>
      </w:r>
    </w:p>
  </w:footnote>
  <w:footnote w:id="40">
    <w:p w14:paraId="0AA3E99A" w14:textId="35FB47D1"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3 to communication, para. 49.</w:t>
      </w:r>
    </w:p>
  </w:footnote>
  <w:footnote w:id="41">
    <w:p w14:paraId="446032C8" w14:textId="122889B4"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“Consultation on the route from the West Midlands to Manchester, Leeds and beyond".</w:t>
      </w:r>
    </w:p>
  </w:footnote>
  <w:footnote w:id="42">
    <w:p w14:paraId="1D82D14A" w14:textId="11A5CF50"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3 to communication, para. 50.</w:t>
      </w:r>
    </w:p>
  </w:footnote>
  <w:footnote w:id="43">
    <w:p w14:paraId="275A1D5C" w14:textId="75CA8C52"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para. 54</w:t>
      </w:r>
      <w:r>
        <w:rPr>
          <w:rFonts w:asciiTheme="majorBidi" w:hAnsiTheme="majorBidi" w:cstheme="majorBidi"/>
          <w:sz w:val="18"/>
          <w:szCs w:val="18"/>
        </w:rPr>
        <w:t>,</w:t>
      </w:r>
      <w:r w:rsidRPr="002C4EC1">
        <w:rPr>
          <w:rFonts w:asciiTheme="majorBidi" w:hAnsiTheme="majorBidi" w:cstheme="majorBidi"/>
          <w:sz w:val="18"/>
          <w:szCs w:val="18"/>
        </w:rPr>
        <w:t xml:space="preserve"> and annex A to the additional information from the Party concerned, </w:t>
      </w:r>
      <w:r>
        <w:rPr>
          <w:rFonts w:asciiTheme="majorBidi" w:hAnsiTheme="majorBidi" w:cstheme="majorBidi"/>
          <w:sz w:val="18"/>
          <w:szCs w:val="18"/>
        </w:rPr>
        <w:t xml:space="preserve">25 February, </w:t>
      </w:r>
      <w:r w:rsidRPr="002C4EC1">
        <w:rPr>
          <w:rFonts w:asciiTheme="majorBidi" w:hAnsiTheme="majorBidi" w:cstheme="majorBidi"/>
          <w:sz w:val="18"/>
          <w:szCs w:val="18"/>
        </w:rPr>
        <w:t>p.11.</w:t>
      </w:r>
    </w:p>
  </w:footnote>
  <w:footnote w:id="44">
    <w:p w14:paraId="60C6EC8A" w14:textId="2AB6B463" w:rsidR="00543742" w:rsidRPr="0041245D" w:rsidRDefault="00543742" w:rsidP="00E3169D">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0F4DAD">
        <w:rPr>
          <w:rFonts w:asciiTheme="majorBidi" w:hAnsiTheme="majorBidi"/>
          <w:sz w:val="18"/>
        </w:rPr>
        <w:t xml:space="preserve"> </w:t>
      </w:r>
      <w:r w:rsidR="00444FB4">
        <w:rPr>
          <w:rFonts w:asciiTheme="majorBidi" w:hAnsiTheme="majorBidi" w:cstheme="majorBidi"/>
          <w:sz w:val="18"/>
          <w:szCs w:val="18"/>
        </w:rPr>
        <w:t>Response to communication by Party concerned</w:t>
      </w:r>
      <w:r w:rsidRPr="000F4DAD">
        <w:rPr>
          <w:rFonts w:asciiTheme="majorBidi" w:hAnsiTheme="majorBidi"/>
          <w:sz w:val="18"/>
        </w:rPr>
        <w:t xml:space="preserve">, para. </w:t>
      </w:r>
      <w:r w:rsidRPr="0041245D">
        <w:rPr>
          <w:rFonts w:asciiTheme="majorBidi" w:hAnsiTheme="majorBidi" w:cstheme="majorBidi"/>
          <w:sz w:val="18"/>
          <w:szCs w:val="18"/>
        </w:rPr>
        <w:t>52.</w:t>
      </w:r>
    </w:p>
  </w:footnote>
  <w:footnote w:id="45">
    <w:p w14:paraId="22DDCC9A" w14:textId="4387EE5D"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4F2D82">
        <w:rPr>
          <w:rFonts w:asciiTheme="majorBidi" w:hAnsiTheme="majorBidi"/>
          <w:sz w:val="18"/>
        </w:rPr>
        <w:t xml:space="preserve"> </w:t>
      </w:r>
      <w:r w:rsidR="00444FB4">
        <w:rPr>
          <w:rFonts w:asciiTheme="majorBidi" w:hAnsiTheme="majorBidi"/>
          <w:sz w:val="18"/>
        </w:rPr>
        <w:t>Response to communication by Party concerned</w:t>
      </w:r>
      <w:r w:rsidRPr="004F2D82">
        <w:rPr>
          <w:rFonts w:asciiTheme="majorBidi" w:hAnsiTheme="majorBidi"/>
          <w:sz w:val="18"/>
        </w:rPr>
        <w:t xml:space="preserve">, para. </w:t>
      </w:r>
      <w:r w:rsidRPr="002C4EC1">
        <w:rPr>
          <w:rFonts w:asciiTheme="majorBidi" w:hAnsiTheme="majorBidi" w:cstheme="majorBidi"/>
          <w:sz w:val="18"/>
          <w:szCs w:val="18"/>
        </w:rPr>
        <w:t>54</w:t>
      </w:r>
      <w:r>
        <w:rPr>
          <w:rFonts w:asciiTheme="majorBidi" w:hAnsiTheme="majorBidi" w:cstheme="majorBidi"/>
          <w:sz w:val="18"/>
          <w:szCs w:val="18"/>
        </w:rPr>
        <w:t>,</w:t>
      </w:r>
      <w:r w:rsidRPr="002C4EC1">
        <w:rPr>
          <w:rFonts w:asciiTheme="majorBidi" w:hAnsiTheme="majorBidi" w:cstheme="majorBidi"/>
          <w:sz w:val="18"/>
          <w:szCs w:val="18"/>
        </w:rPr>
        <w:t xml:space="preserve"> and annex A to additional information from the Party concerned, </w:t>
      </w:r>
      <w:r>
        <w:rPr>
          <w:rFonts w:asciiTheme="majorBidi" w:hAnsiTheme="majorBidi" w:cstheme="majorBidi"/>
          <w:sz w:val="18"/>
          <w:szCs w:val="18"/>
        </w:rPr>
        <w:t>25 February 2016</w:t>
      </w:r>
      <w:r w:rsidRPr="002C4EC1">
        <w:rPr>
          <w:rFonts w:asciiTheme="majorBidi" w:hAnsiTheme="majorBidi" w:cstheme="majorBidi"/>
          <w:sz w:val="18"/>
          <w:szCs w:val="18"/>
        </w:rPr>
        <w:t xml:space="preserve">. </w:t>
      </w:r>
    </w:p>
  </w:footnote>
  <w:footnote w:id="46">
    <w:p w14:paraId="767B81FF" w14:textId="08050470"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A to additional information from the Party concerned, </w:t>
      </w:r>
      <w:r>
        <w:rPr>
          <w:rFonts w:asciiTheme="majorBidi" w:hAnsiTheme="majorBidi" w:cstheme="majorBidi"/>
          <w:sz w:val="18"/>
          <w:szCs w:val="18"/>
        </w:rPr>
        <w:t xml:space="preserve">25 February 2016, </w:t>
      </w:r>
      <w:r w:rsidRPr="002C4EC1">
        <w:rPr>
          <w:rFonts w:asciiTheme="majorBidi" w:hAnsiTheme="majorBidi" w:cstheme="majorBidi"/>
          <w:sz w:val="18"/>
          <w:szCs w:val="18"/>
        </w:rPr>
        <w:t xml:space="preserve">p. 12. See annex 36 to </w:t>
      </w:r>
      <w:r w:rsidR="002D3D2A">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xml:space="preserve"> for the report.</w:t>
      </w:r>
    </w:p>
  </w:footnote>
  <w:footnote w:id="47">
    <w:p w14:paraId="6079BD44" w14:textId="2F97BA18"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A to additional information from the Party concerned, </w:t>
      </w:r>
      <w:r>
        <w:rPr>
          <w:rFonts w:asciiTheme="majorBidi" w:hAnsiTheme="majorBidi" w:cstheme="majorBidi"/>
          <w:sz w:val="18"/>
          <w:szCs w:val="18"/>
        </w:rPr>
        <w:t xml:space="preserve">25 February 2016, </w:t>
      </w:r>
      <w:r w:rsidRPr="002C4EC1">
        <w:rPr>
          <w:rFonts w:asciiTheme="majorBidi" w:hAnsiTheme="majorBidi" w:cstheme="majorBidi"/>
          <w:sz w:val="18"/>
          <w:szCs w:val="18"/>
        </w:rPr>
        <w:t>p. 13.</w:t>
      </w:r>
    </w:p>
  </w:footnote>
  <w:footnote w:id="48">
    <w:p w14:paraId="170B3000" w14:textId="5630F79A"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A to additional information provided by the Party concerned, </w:t>
      </w:r>
      <w:r>
        <w:rPr>
          <w:rFonts w:asciiTheme="majorBidi" w:hAnsiTheme="majorBidi" w:cstheme="majorBidi"/>
          <w:sz w:val="18"/>
          <w:szCs w:val="18"/>
        </w:rPr>
        <w:t xml:space="preserve">25 February 2016, </w:t>
      </w:r>
      <w:r w:rsidRPr="002C4EC1">
        <w:rPr>
          <w:rFonts w:asciiTheme="majorBidi" w:hAnsiTheme="majorBidi" w:cstheme="majorBidi"/>
          <w:sz w:val="18"/>
          <w:szCs w:val="18"/>
        </w:rPr>
        <w:t>p. 13</w:t>
      </w:r>
      <w:r>
        <w:rPr>
          <w:rFonts w:asciiTheme="majorBidi" w:hAnsiTheme="majorBidi" w:cstheme="majorBidi"/>
          <w:sz w:val="18"/>
          <w:szCs w:val="18"/>
        </w:rPr>
        <w:t>,</w:t>
      </w:r>
      <w:r w:rsidRPr="002C4EC1">
        <w:rPr>
          <w:rFonts w:asciiTheme="majorBidi" w:hAnsiTheme="majorBidi" w:cstheme="majorBidi"/>
          <w:sz w:val="18"/>
          <w:szCs w:val="18"/>
        </w:rPr>
        <w:t xml:space="preserve"> and annexes 33 (i)</w:t>
      </w:r>
      <w:r>
        <w:rPr>
          <w:rFonts w:asciiTheme="majorBidi" w:hAnsiTheme="majorBidi" w:cstheme="majorBidi"/>
          <w:sz w:val="18"/>
          <w:szCs w:val="18"/>
        </w:rPr>
        <w:t>-</w:t>
      </w:r>
      <w:r w:rsidRPr="002C4EC1">
        <w:rPr>
          <w:rFonts w:asciiTheme="majorBidi" w:hAnsiTheme="majorBidi" w:cstheme="majorBidi"/>
          <w:sz w:val="18"/>
          <w:szCs w:val="18"/>
        </w:rPr>
        <w:t xml:space="preserve">(ii)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w:t>
      </w:r>
    </w:p>
  </w:footnote>
  <w:footnote w:id="49">
    <w:p w14:paraId="076A8E62" w14:textId="302562DD"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para. 54.</w:t>
      </w:r>
    </w:p>
  </w:footnote>
  <w:footnote w:id="50">
    <w:p w14:paraId="24D871B4" w14:textId="5C58D003"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A to additional information provided by the Party concerned, </w:t>
      </w:r>
      <w:r>
        <w:rPr>
          <w:rFonts w:asciiTheme="majorBidi" w:hAnsiTheme="majorBidi" w:cstheme="majorBidi"/>
          <w:sz w:val="18"/>
          <w:szCs w:val="18"/>
        </w:rPr>
        <w:t xml:space="preserve">25 February 2016, </w:t>
      </w:r>
      <w:r w:rsidRPr="002C4EC1">
        <w:rPr>
          <w:rFonts w:asciiTheme="majorBidi" w:hAnsiTheme="majorBidi" w:cstheme="majorBidi"/>
          <w:sz w:val="18"/>
          <w:szCs w:val="18"/>
        </w:rPr>
        <w:t>pp. 14-16.</w:t>
      </w:r>
    </w:p>
  </w:footnote>
  <w:footnote w:id="51">
    <w:p w14:paraId="35F7971A" w14:textId="6DE74541" w:rsidR="00543742" w:rsidRPr="002C4EC1" w:rsidRDefault="00543742" w:rsidP="003D00DA">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A to additional information provided by the Party concerned, </w:t>
      </w:r>
      <w:r>
        <w:rPr>
          <w:rFonts w:asciiTheme="majorBidi" w:hAnsiTheme="majorBidi" w:cstheme="majorBidi"/>
          <w:sz w:val="18"/>
          <w:szCs w:val="18"/>
        </w:rPr>
        <w:t xml:space="preserve">25 February 2016, </w:t>
      </w:r>
      <w:r w:rsidRPr="002C4EC1">
        <w:rPr>
          <w:rFonts w:asciiTheme="majorBidi" w:hAnsiTheme="majorBidi" w:cstheme="majorBidi"/>
          <w:sz w:val="18"/>
          <w:szCs w:val="18"/>
        </w:rPr>
        <w:t xml:space="preserve">pp. </w:t>
      </w:r>
      <w:r>
        <w:rPr>
          <w:rFonts w:asciiTheme="majorBidi" w:hAnsiTheme="majorBidi" w:cstheme="majorBidi"/>
          <w:sz w:val="18"/>
          <w:szCs w:val="18"/>
        </w:rPr>
        <w:t>15</w:t>
      </w:r>
      <w:r w:rsidRPr="002C4EC1">
        <w:rPr>
          <w:rFonts w:asciiTheme="majorBidi" w:hAnsiTheme="majorBidi" w:cstheme="majorBidi"/>
          <w:sz w:val="18"/>
          <w:szCs w:val="18"/>
        </w:rPr>
        <w:t>-16.</w:t>
      </w:r>
    </w:p>
  </w:footnote>
  <w:footnote w:id="52">
    <w:p w14:paraId="02D3EDD2" w14:textId="7C1FE027" w:rsidR="00543742" w:rsidRPr="002C4EC1" w:rsidRDefault="00543742" w:rsidP="00302991">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w:t>
      </w:r>
      <w:r>
        <w:rPr>
          <w:rFonts w:asciiTheme="majorBidi" w:hAnsiTheme="majorBidi" w:cstheme="majorBidi"/>
          <w:sz w:val="18"/>
          <w:szCs w:val="18"/>
        </w:rPr>
        <w:t xml:space="preserve">1 to </w:t>
      </w:r>
      <w:r w:rsidR="002D3D2A">
        <w:rPr>
          <w:rFonts w:asciiTheme="majorBidi" w:hAnsiTheme="majorBidi" w:cstheme="majorBidi"/>
          <w:sz w:val="18"/>
          <w:szCs w:val="18"/>
        </w:rPr>
        <w:t>response to communication by Party concerned</w:t>
      </w:r>
      <w:r>
        <w:rPr>
          <w:rFonts w:asciiTheme="majorBidi" w:hAnsiTheme="majorBidi" w:cstheme="majorBidi"/>
          <w:sz w:val="18"/>
          <w:szCs w:val="18"/>
        </w:rPr>
        <w:t>, paras. 9-10</w:t>
      </w:r>
      <w:r w:rsidRPr="002C4EC1">
        <w:rPr>
          <w:rFonts w:asciiTheme="majorBidi" w:hAnsiTheme="majorBidi" w:cstheme="majorBidi"/>
          <w:sz w:val="18"/>
          <w:szCs w:val="18"/>
        </w:rPr>
        <w:t>.</w:t>
      </w:r>
    </w:p>
  </w:footnote>
  <w:footnote w:id="53">
    <w:p w14:paraId="7BF1B276" w14:textId="23C082E6" w:rsidR="00543742" w:rsidRPr="00FD13A4"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FD13A4">
        <w:rPr>
          <w:rFonts w:asciiTheme="majorBidi" w:hAnsiTheme="majorBidi"/>
          <w:sz w:val="18"/>
        </w:rPr>
        <w:t xml:space="preserve"> Communication, para. 13</w:t>
      </w:r>
      <w:r>
        <w:rPr>
          <w:rFonts w:asciiTheme="majorBidi" w:hAnsiTheme="majorBidi" w:cstheme="majorBidi"/>
          <w:sz w:val="18"/>
        </w:rPr>
        <w:t>,</w:t>
      </w:r>
      <w:r w:rsidRPr="00FD13A4">
        <w:rPr>
          <w:rFonts w:asciiTheme="majorBidi" w:hAnsiTheme="majorBidi"/>
          <w:sz w:val="18"/>
        </w:rPr>
        <w:t xml:space="preserve"> and annex 5</w:t>
      </w:r>
      <w:r w:rsidRPr="006432DC">
        <w:rPr>
          <w:rFonts w:asciiTheme="majorBidi" w:hAnsiTheme="majorBidi" w:cstheme="majorBidi"/>
          <w:sz w:val="18"/>
        </w:rPr>
        <w:t xml:space="preserve"> to the communication</w:t>
      </w:r>
      <w:r w:rsidRPr="00FD13A4">
        <w:rPr>
          <w:rFonts w:asciiTheme="majorBidi" w:hAnsiTheme="majorBidi"/>
          <w:sz w:val="18"/>
        </w:rPr>
        <w:t xml:space="preserve">. </w:t>
      </w:r>
    </w:p>
  </w:footnote>
  <w:footnote w:id="54">
    <w:p w14:paraId="41CB3C4D" w14:textId="18F3674B" w:rsidR="00543742" w:rsidRPr="00FD13A4"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FD13A4">
        <w:rPr>
          <w:rFonts w:asciiTheme="majorBidi" w:hAnsiTheme="majorBidi"/>
          <w:sz w:val="18"/>
        </w:rPr>
        <w:t xml:space="preserve"> Communication, para. 15</w:t>
      </w:r>
      <w:r>
        <w:rPr>
          <w:rFonts w:asciiTheme="majorBidi" w:hAnsiTheme="majorBidi" w:cstheme="majorBidi"/>
          <w:sz w:val="18"/>
          <w:szCs w:val="18"/>
        </w:rPr>
        <w:t>,</w:t>
      </w:r>
      <w:r w:rsidRPr="00FD13A4">
        <w:rPr>
          <w:rFonts w:asciiTheme="majorBidi" w:hAnsiTheme="majorBidi"/>
          <w:sz w:val="18"/>
        </w:rPr>
        <w:t xml:space="preserve"> and annex 6</w:t>
      </w:r>
      <w:r w:rsidRPr="006432DC">
        <w:rPr>
          <w:rFonts w:asciiTheme="majorBidi" w:hAnsiTheme="majorBidi" w:cstheme="majorBidi"/>
          <w:sz w:val="18"/>
          <w:szCs w:val="18"/>
        </w:rPr>
        <w:t xml:space="preserve"> to the communication</w:t>
      </w:r>
      <w:r w:rsidRPr="00FD13A4">
        <w:rPr>
          <w:rFonts w:asciiTheme="majorBidi" w:hAnsiTheme="majorBidi"/>
          <w:sz w:val="18"/>
        </w:rPr>
        <w:t>, paras</w:t>
      </w:r>
      <w:r w:rsidRPr="006432DC">
        <w:rPr>
          <w:rFonts w:asciiTheme="majorBidi" w:hAnsiTheme="majorBidi" w:cstheme="majorBidi"/>
          <w:sz w:val="18"/>
          <w:szCs w:val="18"/>
        </w:rPr>
        <w:t>.</w:t>
      </w:r>
      <w:r w:rsidRPr="00FD13A4">
        <w:rPr>
          <w:rFonts w:asciiTheme="majorBidi" w:hAnsiTheme="majorBidi"/>
          <w:sz w:val="18"/>
        </w:rPr>
        <w:t xml:space="preserve"> 160-172. </w:t>
      </w:r>
    </w:p>
  </w:footnote>
  <w:footnote w:id="55">
    <w:p w14:paraId="53F2D833" w14:textId="1C663B08" w:rsidR="00543742" w:rsidRPr="00EA096F" w:rsidRDefault="00543742" w:rsidP="006432DC">
      <w:pPr>
        <w:pStyle w:val="FootnoteText"/>
        <w:ind w:firstLine="567"/>
      </w:pPr>
      <w:r>
        <w:rPr>
          <w:rStyle w:val="FootnoteReference"/>
        </w:rPr>
        <w:footnoteRef/>
      </w:r>
      <w:r w:rsidRPr="00EA096F">
        <w:t xml:space="preserve"> </w:t>
      </w:r>
      <w:r w:rsidRPr="006432DC">
        <w:rPr>
          <w:rFonts w:asciiTheme="majorBidi" w:hAnsiTheme="majorBidi" w:cstheme="majorBidi"/>
          <w:sz w:val="18"/>
          <w:szCs w:val="18"/>
        </w:rPr>
        <w:t>Communication, para. 15</w:t>
      </w:r>
      <w:r>
        <w:rPr>
          <w:rFonts w:asciiTheme="majorBidi" w:hAnsiTheme="majorBidi" w:cstheme="majorBidi"/>
          <w:sz w:val="18"/>
          <w:szCs w:val="18"/>
        </w:rPr>
        <w:t>,</w:t>
      </w:r>
      <w:r w:rsidRPr="006432DC">
        <w:rPr>
          <w:rFonts w:asciiTheme="majorBidi" w:hAnsiTheme="majorBidi" w:cstheme="majorBidi"/>
          <w:sz w:val="18"/>
          <w:szCs w:val="18"/>
        </w:rPr>
        <w:t xml:space="preserve"> and annex 6 to the communication.</w:t>
      </w:r>
    </w:p>
  </w:footnote>
  <w:footnote w:id="56">
    <w:p w14:paraId="79F9BBA1" w14:textId="2109D85A" w:rsidR="00543742" w:rsidRPr="00FD13A4"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FD13A4">
        <w:rPr>
          <w:rFonts w:asciiTheme="majorBidi" w:hAnsiTheme="majorBidi"/>
          <w:sz w:val="18"/>
        </w:rPr>
        <w:t xml:space="preserve"> Communication, paras. 17-18</w:t>
      </w:r>
      <w:r>
        <w:rPr>
          <w:rFonts w:asciiTheme="majorBidi" w:hAnsiTheme="majorBidi" w:cstheme="majorBidi"/>
          <w:sz w:val="18"/>
        </w:rPr>
        <w:t>,</w:t>
      </w:r>
      <w:r w:rsidRPr="00FD13A4">
        <w:rPr>
          <w:rFonts w:asciiTheme="majorBidi" w:hAnsiTheme="majorBidi"/>
          <w:sz w:val="18"/>
        </w:rPr>
        <w:t xml:space="preserve"> and annex 7</w:t>
      </w:r>
      <w:r w:rsidRPr="006432DC">
        <w:rPr>
          <w:rFonts w:asciiTheme="majorBidi" w:hAnsiTheme="majorBidi" w:cstheme="majorBidi"/>
          <w:sz w:val="18"/>
        </w:rPr>
        <w:t xml:space="preserve"> to the communication</w:t>
      </w:r>
      <w:r w:rsidRPr="00FD13A4">
        <w:rPr>
          <w:rFonts w:asciiTheme="majorBidi" w:hAnsiTheme="majorBidi"/>
          <w:sz w:val="18"/>
        </w:rPr>
        <w:t xml:space="preserve">. </w:t>
      </w:r>
    </w:p>
  </w:footnote>
  <w:footnote w:id="57">
    <w:p w14:paraId="1B9E4469" w14:textId="11BDB3F1" w:rsidR="00543742" w:rsidRPr="00FD13A4"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FD13A4">
        <w:rPr>
          <w:rFonts w:asciiTheme="majorBidi" w:hAnsiTheme="majorBidi"/>
          <w:sz w:val="18"/>
        </w:rPr>
        <w:t xml:space="preserve"> Communication, para. 20</w:t>
      </w:r>
      <w:r>
        <w:rPr>
          <w:rFonts w:asciiTheme="majorBidi" w:hAnsiTheme="majorBidi" w:cstheme="majorBidi"/>
          <w:sz w:val="18"/>
        </w:rPr>
        <w:t>,</w:t>
      </w:r>
      <w:r w:rsidRPr="00FD13A4">
        <w:rPr>
          <w:rFonts w:asciiTheme="majorBidi" w:hAnsiTheme="majorBidi"/>
          <w:sz w:val="18"/>
        </w:rPr>
        <w:t xml:space="preserve"> and annex 8</w:t>
      </w:r>
      <w:r w:rsidRPr="006432DC">
        <w:rPr>
          <w:rFonts w:asciiTheme="majorBidi" w:hAnsiTheme="majorBidi" w:cstheme="majorBidi"/>
          <w:sz w:val="18"/>
        </w:rPr>
        <w:t xml:space="preserve"> to the communication. </w:t>
      </w:r>
    </w:p>
  </w:footnote>
  <w:footnote w:id="58">
    <w:p w14:paraId="6E0978FF" w14:textId="3C10ED58" w:rsidR="00543742" w:rsidRPr="000F4DAD" w:rsidRDefault="00543742" w:rsidP="00B4788E">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FD13A4">
        <w:rPr>
          <w:rFonts w:asciiTheme="majorBidi" w:hAnsiTheme="majorBidi"/>
          <w:sz w:val="18"/>
        </w:rPr>
        <w:t xml:space="preserve"> Communication</w:t>
      </w:r>
      <w:r w:rsidRPr="002C4EC1">
        <w:rPr>
          <w:rFonts w:asciiTheme="majorBidi" w:hAnsiTheme="majorBidi" w:cstheme="majorBidi"/>
          <w:sz w:val="18"/>
          <w:lang w:val="en-US"/>
        </w:rPr>
        <w:t xml:space="preserve"> at</w:t>
      </w:r>
      <w:r w:rsidRPr="006432DC">
        <w:rPr>
          <w:rFonts w:asciiTheme="majorBidi" w:hAnsiTheme="majorBidi" w:cstheme="majorBidi"/>
          <w:sz w:val="18"/>
        </w:rPr>
        <w:t>,</w:t>
      </w:r>
      <w:r w:rsidRPr="00FD13A4">
        <w:rPr>
          <w:rFonts w:asciiTheme="majorBidi" w:hAnsiTheme="majorBidi"/>
          <w:sz w:val="18"/>
        </w:rPr>
        <w:t xml:space="preserve"> para. </w:t>
      </w:r>
      <w:r w:rsidRPr="002C4EC1">
        <w:rPr>
          <w:rFonts w:asciiTheme="majorBidi" w:hAnsiTheme="majorBidi" w:cstheme="majorBidi"/>
          <w:sz w:val="18"/>
          <w:szCs w:val="18"/>
        </w:rPr>
        <w:t>24 as well as</w:t>
      </w:r>
      <w:r>
        <w:rPr>
          <w:rFonts w:asciiTheme="majorBidi" w:hAnsiTheme="majorBidi" w:cstheme="majorBidi"/>
          <w:sz w:val="18"/>
          <w:szCs w:val="18"/>
        </w:rPr>
        <w:t xml:space="preserve">, and </w:t>
      </w:r>
      <w:r w:rsidRPr="002C4EC1">
        <w:rPr>
          <w:rFonts w:asciiTheme="majorBidi" w:hAnsiTheme="majorBidi" w:cstheme="majorBidi"/>
          <w:sz w:val="18"/>
          <w:szCs w:val="18"/>
        </w:rPr>
        <w:t>comments</w:t>
      </w:r>
      <w:r w:rsidR="003D00DA">
        <w:rPr>
          <w:rFonts w:asciiTheme="majorBidi" w:hAnsiTheme="majorBidi" w:cstheme="majorBidi"/>
          <w:sz w:val="18"/>
          <w:szCs w:val="18"/>
        </w:rPr>
        <w:t xml:space="preserve"> by the communicant dated 17 March 2015</w:t>
      </w:r>
      <w:r w:rsidRPr="002C4EC1">
        <w:rPr>
          <w:rFonts w:asciiTheme="majorBidi" w:hAnsiTheme="majorBidi" w:cstheme="majorBidi"/>
          <w:sz w:val="18"/>
          <w:szCs w:val="18"/>
        </w:rPr>
        <w:t xml:space="preserve"> on </w:t>
      </w:r>
      <w:r w:rsidR="002D3D2A">
        <w:rPr>
          <w:rFonts w:asciiTheme="majorBidi" w:hAnsiTheme="majorBidi" w:cstheme="majorBidi"/>
          <w:sz w:val="18"/>
          <w:szCs w:val="18"/>
        </w:rPr>
        <w:t>response to communication by Party concerned</w:t>
      </w:r>
      <w:r>
        <w:rPr>
          <w:rFonts w:asciiTheme="majorBidi" w:hAnsiTheme="majorBidi" w:cstheme="majorBidi"/>
          <w:sz w:val="18"/>
          <w:szCs w:val="18"/>
        </w:rPr>
        <w:t xml:space="preserve">, </w:t>
      </w:r>
      <w:r w:rsidRPr="002C4EC1">
        <w:rPr>
          <w:rFonts w:asciiTheme="majorBidi" w:hAnsiTheme="majorBidi" w:cstheme="majorBidi"/>
          <w:sz w:val="18"/>
          <w:szCs w:val="18"/>
        </w:rPr>
        <w:t xml:space="preserve">para. </w:t>
      </w:r>
      <w:r w:rsidRPr="000F4DAD">
        <w:rPr>
          <w:rFonts w:asciiTheme="majorBidi" w:hAnsiTheme="majorBidi"/>
          <w:sz w:val="18"/>
        </w:rPr>
        <w:t>14</w:t>
      </w:r>
      <w:r w:rsidRPr="002C4EC1">
        <w:rPr>
          <w:rFonts w:asciiTheme="majorBidi" w:hAnsiTheme="majorBidi" w:cstheme="majorBidi"/>
          <w:sz w:val="18"/>
          <w:szCs w:val="18"/>
        </w:rPr>
        <w:t xml:space="preserve"> </w:t>
      </w:r>
      <w:r w:rsidRPr="000F4DAD">
        <w:rPr>
          <w:rFonts w:asciiTheme="majorBidi" w:hAnsiTheme="majorBidi"/>
          <w:sz w:val="18"/>
        </w:rPr>
        <w:t>(2).</w:t>
      </w:r>
    </w:p>
  </w:footnote>
  <w:footnote w:id="59">
    <w:p w14:paraId="7EFB0F3F" w14:textId="52096A24" w:rsidR="00543742" w:rsidRPr="000F4DAD" w:rsidRDefault="00543742" w:rsidP="003A7A56">
      <w:pPr>
        <w:pStyle w:val="FootnoteText"/>
        <w:ind w:left="567" w:right="1109"/>
        <w:jc w:val="both"/>
        <w:rPr>
          <w:rFonts w:asciiTheme="majorBidi" w:hAnsiTheme="majorBidi"/>
          <w:sz w:val="18"/>
        </w:rPr>
      </w:pPr>
      <w:r w:rsidRPr="002C4EC1">
        <w:rPr>
          <w:rStyle w:val="FootnoteReference"/>
          <w:rFonts w:asciiTheme="majorBidi" w:hAnsiTheme="majorBidi" w:cstheme="majorBidi"/>
          <w:szCs w:val="18"/>
        </w:rPr>
        <w:footnoteRef/>
      </w:r>
      <w:r w:rsidRPr="000F4DAD">
        <w:rPr>
          <w:rFonts w:asciiTheme="majorBidi" w:hAnsiTheme="majorBidi"/>
          <w:sz w:val="18"/>
        </w:rPr>
        <w:t xml:space="preserve"> </w:t>
      </w:r>
      <w:r w:rsidR="00444FB4">
        <w:rPr>
          <w:rFonts w:asciiTheme="majorBidi" w:hAnsiTheme="majorBidi"/>
          <w:sz w:val="18"/>
        </w:rPr>
        <w:t>Response to communication by Party concerned</w:t>
      </w:r>
      <w:r w:rsidRPr="000F4DAD">
        <w:rPr>
          <w:rFonts w:asciiTheme="majorBidi" w:hAnsiTheme="majorBidi"/>
          <w:sz w:val="18"/>
        </w:rPr>
        <w:t>, paras. 21-23.</w:t>
      </w:r>
    </w:p>
  </w:footnote>
  <w:footnote w:id="60">
    <w:p w14:paraId="60CBAED6" w14:textId="1AB031C4" w:rsidR="00543742" w:rsidRPr="000F4DAD"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0F4DAD">
        <w:rPr>
          <w:rFonts w:asciiTheme="majorBidi" w:hAnsiTheme="majorBidi"/>
          <w:sz w:val="18"/>
        </w:rPr>
        <w:t xml:space="preserve"> </w:t>
      </w:r>
      <w:r w:rsidR="00444FB4">
        <w:rPr>
          <w:rFonts w:asciiTheme="majorBidi" w:hAnsiTheme="majorBidi"/>
          <w:sz w:val="18"/>
        </w:rPr>
        <w:t>Response to communication by Party concerned</w:t>
      </w:r>
      <w:r w:rsidRPr="000F4DAD">
        <w:rPr>
          <w:rFonts w:asciiTheme="majorBidi" w:hAnsiTheme="majorBidi"/>
          <w:sz w:val="18"/>
        </w:rPr>
        <w:t>, para. 24.</w:t>
      </w:r>
    </w:p>
  </w:footnote>
  <w:footnote w:id="61">
    <w:p w14:paraId="3E4D1AB1" w14:textId="535EFCB0" w:rsidR="00543742" w:rsidRPr="0041245D" w:rsidRDefault="00543742" w:rsidP="003A7A56">
      <w:pPr>
        <w:pStyle w:val="FootnoteText"/>
        <w:ind w:left="567" w:right="1109"/>
        <w:jc w:val="both"/>
        <w:rPr>
          <w:rFonts w:asciiTheme="majorBidi" w:hAnsiTheme="majorBidi"/>
          <w:sz w:val="18"/>
        </w:rPr>
      </w:pPr>
      <w:r w:rsidRPr="002C4EC1">
        <w:rPr>
          <w:rStyle w:val="FootnoteReference"/>
          <w:rFonts w:asciiTheme="majorBidi" w:hAnsiTheme="majorBidi" w:cstheme="majorBidi"/>
          <w:szCs w:val="18"/>
        </w:rPr>
        <w:footnoteRef/>
      </w:r>
      <w:r w:rsidRPr="000F4DAD">
        <w:rPr>
          <w:rFonts w:asciiTheme="majorBidi" w:hAnsiTheme="majorBidi"/>
          <w:sz w:val="18"/>
        </w:rPr>
        <w:t xml:space="preserve"> </w:t>
      </w:r>
      <w:r w:rsidR="00444FB4">
        <w:rPr>
          <w:rFonts w:asciiTheme="majorBidi" w:hAnsiTheme="majorBidi" w:cstheme="majorBidi"/>
          <w:sz w:val="18"/>
          <w:szCs w:val="18"/>
        </w:rPr>
        <w:t>Response to communication by Party concerned</w:t>
      </w:r>
      <w:r w:rsidRPr="000F4DAD">
        <w:rPr>
          <w:rFonts w:asciiTheme="majorBidi" w:hAnsiTheme="majorBidi"/>
          <w:sz w:val="18"/>
        </w:rPr>
        <w:t xml:space="preserve">, para. </w:t>
      </w:r>
      <w:r w:rsidRPr="0041245D">
        <w:rPr>
          <w:rFonts w:asciiTheme="majorBidi" w:hAnsiTheme="majorBidi"/>
          <w:sz w:val="18"/>
        </w:rPr>
        <w:t>65.</w:t>
      </w:r>
    </w:p>
  </w:footnote>
  <w:footnote w:id="62">
    <w:p w14:paraId="3D6F6E1B" w14:textId="65212DB8"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0F4DAD">
        <w:rPr>
          <w:rFonts w:asciiTheme="majorBidi" w:hAnsiTheme="majorBidi"/>
          <w:sz w:val="18"/>
        </w:rPr>
        <w:t xml:space="preserve"> </w:t>
      </w:r>
      <w:r w:rsidR="00444FB4">
        <w:rPr>
          <w:rFonts w:asciiTheme="majorBidi" w:hAnsiTheme="majorBidi" w:cstheme="majorBidi"/>
          <w:sz w:val="18"/>
          <w:szCs w:val="18"/>
        </w:rPr>
        <w:t>Response to communication by Party concerned</w:t>
      </w:r>
      <w:r w:rsidRPr="000F4DAD">
        <w:rPr>
          <w:rFonts w:asciiTheme="majorBidi" w:hAnsiTheme="majorBidi"/>
          <w:sz w:val="18"/>
        </w:rPr>
        <w:t xml:space="preserve">, para. </w:t>
      </w:r>
      <w:r w:rsidRPr="002C4EC1">
        <w:rPr>
          <w:rFonts w:asciiTheme="majorBidi" w:hAnsiTheme="majorBidi" w:cstheme="majorBidi"/>
          <w:sz w:val="18"/>
          <w:szCs w:val="18"/>
        </w:rPr>
        <w:t>67.</w:t>
      </w:r>
    </w:p>
  </w:footnote>
  <w:footnote w:id="63">
    <w:p w14:paraId="2F05C7E0" w14:textId="47B3B2A4" w:rsidR="00543742" w:rsidRPr="002C4EC1" w:rsidRDefault="00543742" w:rsidP="003A7A56">
      <w:pPr>
        <w:pStyle w:val="FootnoteText"/>
        <w:ind w:left="567" w:right="1109"/>
        <w:jc w:val="both"/>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comments on the response</w:t>
      </w:r>
      <w:r w:rsidR="003D00DA">
        <w:rPr>
          <w:rFonts w:asciiTheme="majorBidi" w:hAnsiTheme="majorBidi" w:cstheme="majorBidi"/>
          <w:sz w:val="18"/>
          <w:szCs w:val="18"/>
        </w:rPr>
        <w:t xml:space="preserve"> to communication by Party concerned</w:t>
      </w:r>
      <w:r w:rsidRPr="002C4EC1">
        <w:rPr>
          <w:rFonts w:asciiTheme="majorBidi" w:hAnsiTheme="majorBidi" w:cstheme="majorBidi"/>
          <w:sz w:val="18"/>
          <w:szCs w:val="18"/>
        </w:rPr>
        <w:t>, 17 March 2015, para. 19(1).</w:t>
      </w:r>
    </w:p>
  </w:footnote>
  <w:footnote w:id="64">
    <w:p w14:paraId="1281A542" w14:textId="1461F188" w:rsidR="00543742" w:rsidRPr="0041245D"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comments on response</w:t>
      </w:r>
      <w:r w:rsidR="003D00DA">
        <w:rPr>
          <w:rFonts w:asciiTheme="majorBidi" w:hAnsiTheme="majorBidi" w:cstheme="majorBidi"/>
          <w:sz w:val="18"/>
          <w:szCs w:val="18"/>
        </w:rPr>
        <w:t xml:space="preserve"> to communication by Party concerned</w:t>
      </w:r>
      <w:r w:rsidRPr="002C4EC1">
        <w:rPr>
          <w:rFonts w:asciiTheme="majorBidi" w:hAnsiTheme="majorBidi" w:cstheme="majorBidi"/>
          <w:sz w:val="18"/>
          <w:szCs w:val="18"/>
        </w:rPr>
        <w:t xml:space="preserve">, 17 March 2015, para. </w:t>
      </w:r>
      <w:r w:rsidRPr="0041245D">
        <w:rPr>
          <w:rFonts w:asciiTheme="majorBidi" w:hAnsiTheme="majorBidi"/>
          <w:sz w:val="18"/>
        </w:rPr>
        <w:t>20.</w:t>
      </w:r>
    </w:p>
  </w:footnote>
  <w:footnote w:id="65">
    <w:p w14:paraId="6CFEA83F" w14:textId="71D8C6F4" w:rsidR="00543742" w:rsidRPr="0041245D" w:rsidRDefault="00543742" w:rsidP="003A7A56">
      <w:pPr>
        <w:pStyle w:val="FootnoteText"/>
        <w:ind w:left="567" w:right="1109"/>
        <w:rPr>
          <w:rFonts w:asciiTheme="majorBidi" w:hAnsiTheme="majorBidi" w:cstheme="majorBidi"/>
          <w:sz w:val="18"/>
        </w:rPr>
      </w:pPr>
      <w:r w:rsidRPr="002C4EC1">
        <w:rPr>
          <w:rStyle w:val="FootnoteReference"/>
          <w:rFonts w:asciiTheme="majorBidi" w:hAnsiTheme="majorBidi" w:cstheme="majorBidi"/>
          <w:szCs w:val="18"/>
        </w:rPr>
        <w:footnoteRef/>
      </w:r>
      <w:r w:rsidRPr="0041245D">
        <w:rPr>
          <w:rFonts w:asciiTheme="majorBidi" w:hAnsiTheme="majorBidi"/>
          <w:sz w:val="18"/>
        </w:rPr>
        <w:t xml:space="preserve"> Communication, para. </w:t>
      </w:r>
      <w:r w:rsidRPr="0041245D">
        <w:rPr>
          <w:rFonts w:asciiTheme="majorBidi" w:hAnsiTheme="majorBidi" w:cstheme="majorBidi"/>
          <w:sz w:val="18"/>
        </w:rPr>
        <w:t>31.</w:t>
      </w:r>
    </w:p>
  </w:footnote>
  <w:footnote w:id="66">
    <w:p w14:paraId="7C89D709" w14:textId="24557901" w:rsidR="00543742" w:rsidRPr="0041245D" w:rsidRDefault="00543742" w:rsidP="003A7A56">
      <w:pPr>
        <w:pStyle w:val="FootnoteText"/>
        <w:ind w:left="567" w:right="1109"/>
        <w:rPr>
          <w:rFonts w:asciiTheme="majorBidi" w:hAnsiTheme="majorBidi" w:cstheme="majorBidi"/>
          <w:sz w:val="18"/>
        </w:rPr>
      </w:pPr>
      <w:r w:rsidRPr="002C4EC1">
        <w:rPr>
          <w:rStyle w:val="FootnoteReference"/>
          <w:rFonts w:asciiTheme="majorBidi" w:hAnsiTheme="majorBidi" w:cstheme="majorBidi"/>
          <w:szCs w:val="18"/>
        </w:rPr>
        <w:footnoteRef/>
      </w:r>
      <w:r w:rsidRPr="0041245D">
        <w:rPr>
          <w:rFonts w:asciiTheme="majorBidi" w:hAnsiTheme="majorBidi" w:cstheme="majorBidi"/>
          <w:sz w:val="18"/>
        </w:rPr>
        <w:t xml:space="preserve"> Communication, para. 8.</w:t>
      </w:r>
    </w:p>
  </w:footnote>
  <w:footnote w:id="67">
    <w:p w14:paraId="5B3842D6" w14:textId="76C0DB95" w:rsidR="00543742" w:rsidRPr="0041245D" w:rsidRDefault="00543742" w:rsidP="003A7A56">
      <w:pPr>
        <w:pStyle w:val="FootnoteText"/>
        <w:ind w:left="567" w:right="1109"/>
        <w:rPr>
          <w:rFonts w:asciiTheme="majorBidi" w:hAnsiTheme="majorBidi" w:cstheme="majorBidi"/>
          <w:sz w:val="18"/>
        </w:rPr>
      </w:pPr>
      <w:r w:rsidRPr="002C4EC1">
        <w:rPr>
          <w:rStyle w:val="FootnoteReference"/>
          <w:rFonts w:asciiTheme="majorBidi" w:hAnsiTheme="majorBidi" w:cstheme="majorBidi"/>
          <w:szCs w:val="18"/>
        </w:rPr>
        <w:footnoteRef/>
      </w:r>
      <w:r w:rsidRPr="000F4DAD">
        <w:rPr>
          <w:rFonts w:asciiTheme="majorBidi" w:hAnsiTheme="majorBidi"/>
          <w:sz w:val="18"/>
        </w:rPr>
        <w:t xml:space="preserve"> </w:t>
      </w:r>
      <w:r w:rsidR="00444FB4">
        <w:rPr>
          <w:rFonts w:asciiTheme="majorBidi" w:hAnsiTheme="majorBidi" w:cstheme="majorBidi"/>
          <w:sz w:val="18"/>
        </w:rPr>
        <w:t>Response to communication by Party concerned</w:t>
      </w:r>
      <w:r w:rsidRPr="000F4DAD">
        <w:rPr>
          <w:rFonts w:asciiTheme="majorBidi" w:hAnsiTheme="majorBidi"/>
          <w:sz w:val="18"/>
        </w:rPr>
        <w:t xml:space="preserve">, para. </w:t>
      </w:r>
      <w:r w:rsidRPr="0041245D">
        <w:rPr>
          <w:rFonts w:asciiTheme="majorBidi" w:hAnsiTheme="majorBidi" w:cstheme="majorBidi"/>
          <w:sz w:val="18"/>
        </w:rPr>
        <w:t xml:space="preserve">60. </w:t>
      </w:r>
    </w:p>
  </w:footnote>
  <w:footnote w:id="68">
    <w:p w14:paraId="23434691" w14:textId="444BD71D" w:rsidR="00543742" w:rsidRPr="00FD13A4"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41245D">
        <w:rPr>
          <w:rFonts w:asciiTheme="majorBidi" w:hAnsiTheme="majorBidi" w:cstheme="majorBidi"/>
          <w:sz w:val="18"/>
        </w:rPr>
        <w:t xml:space="preserve"> Communication, para. </w:t>
      </w:r>
      <w:r w:rsidRPr="00FD13A4">
        <w:rPr>
          <w:rFonts w:asciiTheme="majorBidi" w:hAnsiTheme="majorBidi"/>
          <w:sz w:val="18"/>
        </w:rPr>
        <w:t>5.</w:t>
      </w:r>
    </w:p>
  </w:footnote>
  <w:footnote w:id="69">
    <w:p w14:paraId="66F6EC09" w14:textId="4A617A59" w:rsidR="00543742" w:rsidRPr="00FD13A4"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FD13A4">
        <w:rPr>
          <w:rFonts w:asciiTheme="majorBidi" w:hAnsiTheme="majorBidi"/>
          <w:sz w:val="18"/>
        </w:rPr>
        <w:t xml:space="preserve"> Communicant’s comments on </w:t>
      </w:r>
      <w:r w:rsidR="003D00DA">
        <w:rPr>
          <w:rFonts w:asciiTheme="majorBidi" w:hAnsiTheme="majorBidi"/>
          <w:sz w:val="18"/>
        </w:rPr>
        <w:t>r</w:t>
      </w:r>
      <w:r w:rsidR="00444FB4">
        <w:rPr>
          <w:rFonts w:asciiTheme="majorBidi" w:hAnsiTheme="majorBidi"/>
          <w:sz w:val="18"/>
        </w:rPr>
        <w:t>esponse to communication by Party concerned</w:t>
      </w:r>
      <w:r w:rsidRPr="00FD13A4">
        <w:rPr>
          <w:rFonts w:asciiTheme="majorBidi" w:hAnsiTheme="majorBidi"/>
          <w:sz w:val="18"/>
        </w:rPr>
        <w:t>, 17 March 2015, para. 18.</w:t>
      </w:r>
    </w:p>
  </w:footnote>
  <w:footnote w:id="70">
    <w:p w14:paraId="640CAFBB" w14:textId="0B599322" w:rsidR="00543742" w:rsidRPr="002C4EC1" w:rsidRDefault="00543742" w:rsidP="003A7A56">
      <w:pPr>
        <w:pStyle w:val="FootnoteText"/>
        <w:ind w:left="567" w:right="1109"/>
        <w:jc w:val="both"/>
        <w:rPr>
          <w:rFonts w:asciiTheme="majorBidi" w:hAnsiTheme="majorBidi" w:cstheme="majorBidi"/>
          <w:sz w:val="18"/>
          <w:lang w:val="en-US"/>
        </w:rPr>
      </w:pPr>
      <w:r w:rsidRPr="002C4EC1">
        <w:rPr>
          <w:rStyle w:val="FootnoteReference"/>
          <w:rFonts w:asciiTheme="majorBidi" w:hAnsiTheme="majorBidi" w:cstheme="majorBidi"/>
          <w:szCs w:val="18"/>
        </w:rPr>
        <w:footnoteRef/>
      </w:r>
      <w:r w:rsidRPr="00FD13A4">
        <w:rPr>
          <w:rFonts w:asciiTheme="majorBidi" w:hAnsiTheme="majorBidi"/>
          <w:sz w:val="18"/>
        </w:rPr>
        <w:t xml:space="preserve"> </w:t>
      </w:r>
      <w:r w:rsidR="00444FB4">
        <w:rPr>
          <w:rFonts w:asciiTheme="majorBidi" w:hAnsiTheme="majorBidi" w:cstheme="majorBidi"/>
          <w:sz w:val="18"/>
        </w:rPr>
        <w:t>Response to communication by Party concerned</w:t>
      </w:r>
      <w:r w:rsidRPr="00FD13A4">
        <w:rPr>
          <w:rFonts w:asciiTheme="majorBidi" w:hAnsiTheme="majorBidi"/>
          <w:sz w:val="18"/>
        </w:rPr>
        <w:t xml:space="preserve">, paras. </w:t>
      </w:r>
      <w:r w:rsidRPr="002C4EC1">
        <w:rPr>
          <w:rFonts w:asciiTheme="majorBidi" w:hAnsiTheme="majorBidi" w:cstheme="majorBidi"/>
          <w:sz w:val="18"/>
          <w:lang w:val="en-US"/>
        </w:rPr>
        <w:t>27 and 60.</w:t>
      </w:r>
    </w:p>
  </w:footnote>
  <w:footnote w:id="71">
    <w:p w14:paraId="7D335C4B" w14:textId="4A5EFAA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lang w:val="en-US"/>
        </w:rPr>
        <w:t xml:space="preserve"> </w:t>
      </w:r>
      <w:r w:rsidR="00444FB4">
        <w:rPr>
          <w:rFonts w:asciiTheme="majorBidi" w:hAnsiTheme="majorBidi" w:cstheme="majorBidi"/>
          <w:sz w:val="18"/>
          <w:lang w:val="en-US"/>
        </w:rPr>
        <w:t>Response to communication by Party concerned</w:t>
      </w:r>
      <w:r w:rsidRPr="002C4EC1">
        <w:rPr>
          <w:rFonts w:asciiTheme="majorBidi" w:hAnsiTheme="majorBidi" w:cstheme="majorBidi"/>
          <w:sz w:val="18"/>
          <w:lang w:val="en-US"/>
        </w:rPr>
        <w:t xml:space="preserve">, paras. </w:t>
      </w:r>
      <w:r w:rsidRPr="002C4EC1">
        <w:rPr>
          <w:rFonts w:asciiTheme="majorBidi" w:hAnsiTheme="majorBidi" w:cstheme="majorBidi"/>
          <w:sz w:val="18"/>
          <w:szCs w:val="18"/>
        </w:rPr>
        <w:t>62-66</w:t>
      </w:r>
      <w:r>
        <w:rPr>
          <w:rFonts w:asciiTheme="majorBidi" w:hAnsiTheme="majorBidi" w:cstheme="majorBidi"/>
          <w:sz w:val="18"/>
          <w:szCs w:val="18"/>
        </w:rPr>
        <w:t>,</w:t>
      </w:r>
      <w:r w:rsidRPr="002C4EC1">
        <w:rPr>
          <w:rFonts w:asciiTheme="majorBidi" w:hAnsiTheme="majorBidi" w:cstheme="majorBidi"/>
          <w:sz w:val="18"/>
          <w:szCs w:val="18"/>
        </w:rPr>
        <w:t xml:space="preserve"> referring to paras. 2-5, 46-53, 303-306 and 13-18 respectively.</w:t>
      </w:r>
    </w:p>
  </w:footnote>
  <w:footnote w:id="72">
    <w:p w14:paraId="22E7270C" w14:textId="2145D317"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comments on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 17 March 2015, para. 22.</w:t>
      </w:r>
    </w:p>
  </w:footnote>
  <w:footnote w:id="73">
    <w:p w14:paraId="51A9E671" w14:textId="189F8BC4"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Communication, para. 11(3)</w:t>
      </w:r>
      <w:r>
        <w:rPr>
          <w:rFonts w:asciiTheme="majorBidi" w:hAnsiTheme="majorBidi" w:cstheme="majorBidi"/>
          <w:sz w:val="18"/>
          <w:szCs w:val="18"/>
        </w:rPr>
        <w:t xml:space="preserve"> and </w:t>
      </w:r>
      <w:r w:rsidRPr="002C4EC1">
        <w:rPr>
          <w:rFonts w:asciiTheme="majorBidi" w:hAnsiTheme="majorBidi" w:cstheme="majorBidi"/>
          <w:sz w:val="18"/>
          <w:szCs w:val="18"/>
        </w:rPr>
        <w:t>communicant’s opening statement at the hearing at the Committee’s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para. 19(5). See annex 9 to </w:t>
      </w:r>
      <w:r w:rsidR="002D3D2A">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pp.17 and 72-78 for the sections referred to.</w:t>
      </w:r>
    </w:p>
  </w:footnote>
  <w:footnote w:id="74">
    <w:p w14:paraId="634EF4EC" w14:textId="75579558" w:rsidR="00543742" w:rsidRPr="002C4EC1" w:rsidRDefault="00543742" w:rsidP="00E1084D">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See annex 13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 paras. 2.32-2.33 for the sections referred to.</w:t>
      </w:r>
    </w:p>
  </w:footnote>
  <w:footnote w:id="75">
    <w:p w14:paraId="0CF2F481" w14:textId="4BFA7CA0"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See annex 13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 p. 113</w:t>
      </w:r>
      <w:r>
        <w:rPr>
          <w:rFonts w:asciiTheme="majorBidi" w:hAnsiTheme="majorBidi" w:cstheme="majorBidi"/>
          <w:sz w:val="18"/>
          <w:szCs w:val="18"/>
        </w:rPr>
        <w:t>,</w:t>
      </w:r>
      <w:r w:rsidRPr="002C4EC1">
        <w:rPr>
          <w:rFonts w:asciiTheme="majorBidi" w:hAnsiTheme="majorBidi" w:cstheme="majorBidi"/>
          <w:sz w:val="18"/>
          <w:szCs w:val="18"/>
        </w:rPr>
        <w:t xml:space="preserve"> for the questions.</w:t>
      </w:r>
    </w:p>
  </w:footnote>
  <w:footnote w:id="76">
    <w:p w14:paraId="71531DE8" w14:textId="7E7985F4" w:rsidR="00543742" w:rsidRPr="002C4EC1" w:rsidRDefault="00543742" w:rsidP="003A7A56">
      <w:pPr>
        <w:pStyle w:val="FootnoteText"/>
        <w:ind w:left="567" w:right="1109"/>
        <w:rPr>
          <w:rFonts w:asciiTheme="majorBidi" w:hAnsiTheme="majorBidi" w:cstheme="majorBidi"/>
          <w:sz w:val="18"/>
          <w:szCs w:val="18"/>
        </w:rPr>
      </w:pPr>
      <w:r w:rsidRPr="002C4EC1">
        <w:rPr>
          <w:rFonts w:asciiTheme="majorBidi" w:hAnsiTheme="majorBidi" w:cstheme="majorBidi"/>
          <w:sz w:val="18"/>
          <w:szCs w:val="18"/>
          <w:vertAlign w:val="superscript"/>
        </w:rPr>
        <w:footnoteRef/>
      </w:r>
      <w:r w:rsidRPr="002C4EC1">
        <w:rPr>
          <w:rFonts w:asciiTheme="majorBidi" w:hAnsiTheme="majorBidi" w:cstheme="majorBidi"/>
          <w:sz w:val="18"/>
          <w:szCs w:val="18"/>
        </w:rPr>
        <w:t xml:space="preserve"> Communicant’s opening statement at the hearing at the Committee’s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para. 19(5).</w:t>
      </w:r>
    </w:p>
  </w:footnote>
  <w:footnote w:id="77">
    <w:p w14:paraId="6FDF79F8" w14:textId="092CEC1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14 (i)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w:t>
      </w:r>
    </w:p>
  </w:footnote>
  <w:footnote w:id="78">
    <w:p w14:paraId="03C11A3E" w14:textId="070C100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comments on the reply of the Party concerned to questions, 11 November 2016, p. 1.</w:t>
      </w:r>
    </w:p>
  </w:footnote>
  <w:footnote w:id="79">
    <w:p w14:paraId="5195D819" w14:textId="21B0256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comments on the reply of the Party concerned to questions, 11 November 2016, p. 2.</w:t>
      </w:r>
    </w:p>
  </w:footnote>
  <w:footnote w:id="80">
    <w:p w14:paraId="49749284" w14:textId="136D2353"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Reply to questions by the Party concerned, 31 October 2016, pp. 1-2.</w:t>
      </w:r>
    </w:p>
  </w:footnote>
  <w:footnote w:id="81">
    <w:p w14:paraId="333A22A6" w14:textId="3A663981" w:rsidR="00543742" w:rsidRPr="002C4EC1" w:rsidRDefault="00543742" w:rsidP="003A7A56">
      <w:pPr>
        <w:pStyle w:val="FootnoteText"/>
        <w:ind w:left="567" w:right="1109"/>
        <w:rPr>
          <w:rFonts w:asciiTheme="majorBidi" w:hAnsiTheme="majorBidi" w:cstheme="majorBidi"/>
          <w:sz w:val="18"/>
          <w:szCs w:val="18"/>
          <w:lang w:val="en-US"/>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Comments from the Party concerned on communicant’s reply to questions, 11 November 2016, pp. 1-2.</w:t>
      </w:r>
    </w:p>
  </w:footnote>
  <w:footnote w:id="82">
    <w:p w14:paraId="0A89AA01" w14:textId="77777777"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Reply to Committee’s questions by the Party concerned, 31 October 2016, p. 6. </w:t>
      </w:r>
    </w:p>
  </w:footnote>
  <w:footnote w:id="83">
    <w:p w14:paraId="77869B63" w14:textId="74C856A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Reply to questions by the Party concerned, 31 October 2016, p. 2. See annex 30 to </w:t>
      </w:r>
      <w:r w:rsidR="002D3D2A">
        <w:rPr>
          <w:rFonts w:asciiTheme="majorBidi" w:hAnsiTheme="majorBidi" w:cstheme="majorBidi"/>
          <w:sz w:val="18"/>
          <w:szCs w:val="18"/>
        </w:rPr>
        <w:t>the response to communication by Party concerned</w:t>
      </w:r>
      <w:r w:rsidRPr="002C4EC1">
        <w:rPr>
          <w:rFonts w:asciiTheme="majorBidi" w:hAnsiTheme="majorBidi" w:cstheme="majorBidi"/>
          <w:sz w:val="18"/>
          <w:szCs w:val="18"/>
        </w:rPr>
        <w:t xml:space="preserve"> for the “Alternatives Report” and annex 31 (iv) for the “Community Forum Area Report – Colne Valley / No 7”.</w:t>
      </w:r>
    </w:p>
  </w:footnote>
  <w:footnote w:id="84">
    <w:p w14:paraId="42EFEFAD" w14:textId="4DDA0CDD" w:rsidR="00543742" w:rsidRPr="002C4EC1" w:rsidRDefault="00543742" w:rsidP="00134957">
      <w:pPr>
        <w:pStyle w:val="FootnoteText"/>
        <w:ind w:firstLine="567"/>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statement for hearing at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para. 8. </w:t>
      </w:r>
    </w:p>
  </w:footnote>
  <w:footnote w:id="85">
    <w:p w14:paraId="6162F8E7" w14:textId="48957566" w:rsidR="00543742" w:rsidRPr="002C4EC1" w:rsidRDefault="00543742" w:rsidP="00EE6602">
      <w:pPr>
        <w:pStyle w:val="FootnoteText"/>
        <w:ind w:firstLine="567"/>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statement for hearing at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para. 9. </w:t>
      </w:r>
    </w:p>
  </w:footnote>
  <w:footnote w:id="86">
    <w:p w14:paraId="7C32DFA9" w14:textId="7BA7BAE1" w:rsidR="00543742" w:rsidRPr="002C4EC1" w:rsidRDefault="00543742" w:rsidP="00134957">
      <w:pPr>
        <w:pStyle w:val="FootnoteText"/>
        <w:ind w:firstLine="567"/>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statement for hearing at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para. 10. </w:t>
      </w:r>
    </w:p>
  </w:footnote>
  <w:footnote w:id="87">
    <w:p w14:paraId="3ACB6DB2" w14:textId="47B03F78" w:rsidR="00543742" w:rsidRPr="002C4EC1" w:rsidRDefault="00543742" w:rsidP="00F034F7">
      <w:pPr>
        <w:pStyle w:val="FootnoteText"/>
        <w:ind w:firstLine="567"/>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statement for hearing at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para. 11. </w:t>
      </w:r>
    </w:p>
  </w:footnote>
  <w:footnote w:id="88">
    <w:p w14:paraId="014399A3" w14:textId="493464B8" w:rsidR="00543742" w:rsidRPr="002C4EC1" w:rsidRDefault="00543742" w:rsidP="00F034F7">
      <w:pPr>
        <w:pStyle w:val="FootnoteText"/>
        <w:ind w:firstLine="567"/>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statement for hearing at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paras. 12-14. </w:t>
      </w:r>
    </w:p>
  </w:footnote>
  <w:footnote w:id="89">
    <w:p w14:paraId="0B70A495" w14:textId="506FC059" w:rsidR="00543742" w:rsidRPr="002C4EC1" w:rsidRDefault="00543742" w:rsidP="00673D80">
      <w:pPr>
        <w:pStyle w:val="FootnoteText"/>
        <w:ind w:firstLine="567"/>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statement for hearing at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para. 16. </w:t>
      </w:r>
    </w:p>
  </w:footnote>
  <w:footnote w:id="90">
    <w:p w14:paraId="07EDA84B" w14:textId="77777777" w:rsidR="00543742" w:rsidRPr="002C4EC1" w:rsidRDefault="00543742" w:rsidP="00D3504E">
      <w:pPr>
        <w:pStyle w:val="FootnoteText"/>
        <w:ind w:firstLine="567"/>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statement for hearing at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para. 16. </w:t>
      </w:r>
    </w:p>
  </w:footnote>
  <w:footnote w:id="91">
    <w:p w14:paraId="211F0261" w14:textId="04040D62"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comments on the response of the Party concerned, 17 March 2015, paras. 22 and 23(3).</w:t>
      </w:r>
    </w:p>
  </w:footnote>
  <w:footnote w:id="92">
    <w:p w14:paraId="2C8F9BEE" w14:textId="0C352F6E" w:rsidR="00543742" w:rsidRPr="002C4EC1" w:rsidRDefault="00543742" w:rsidP="00876525">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Opening </w:t>
      </w:r>
      <w:r w:rsidR="003D00DA">
        <w:rPr>
          <w:rFonts w:asciiTheme="majorBidi" w:hAnsiTheme="majorBidi" w:cstheme="majorBidi"/>
          <w:sz w:val="18"/>
          <w:szCs w:val="18"/>
        </w:rPr>
        <w:t>s</w:t>
      </w:r>
      <w:r w:rsidRPr="002C4EC1">
        <w:rPr>
          <w:rFonts w:asciiTheme="majorBidi" w:hAnsiTheme="majorBidi" w:cstheme="majorBidi"/>
          <w:sz w:val="18"/>
          <w:szCs w:val="18"/>
        </w:rPr>
        <w:t>tatement to the hearing at the Committee’s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by the Party concerned, p</w:t>
      </w:r>
      <w:r>
        <w:rPr>
          <w:rFonts w:asciiTheme="majorBidi" w:hAnsiTheme="majorBidi" w:cstheme="majorBidi"/>
          <w:sz w:val="18"/>
          <w:szCs w:val="18"/>
        </w:rPr>
        <w:t>ara. 22</w:t>
      </w:r>
      <w:r w:rsidRPr="002C4EC1">
        <w:rPr>
          <w:rFonts w:asciiTheme="majorBidi" w:hAnsiTheme="majorBidi" w:cstheme="majorBidi"/>
          <w:sz w:val="18"/>
          <w:szCs w:val="18"/>
        </w:rPr>
        <w:t>.</w:t>
      </w:r>
    </w:p>
  </w:footnote>
  <w:footnote w:id="93">
    <w:p w14:paraId="1C5DBE8C" w14:textId="33D8F7DA" w:rsidR="00543742" w:rsidRPr="002C4EC1" w:rsidRDefault="00543742" w:rsidP="00876525">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Opening </w:t>
      </w:r>
      <w:r w:rsidR="003D00DA">
        <w:rPr>
          <w:rFonts w:asciiTheme="majorBidi" w:hAnsiTheme="majorBidi" w:cstheme="majorBidi"/>
          <w:sz w:val="18"/>
          <w:szCs w:val="18"/>
        </w:rPr>
        <w:t>s</w:t>
      </w:r>
      <w:r w:rsidRPr="002C4EC1">
        <w:rPr>
          <w:rFonts w:asciiTheme="majorBidi" w:hAnsiTheme="majorBidi" w:cstheme="majorBidi"/>
          <w:sz w:val="18"/>
          <w:szCs w:val="18"/>
        </w:rPr>
        <w:t>tatement to the hearing at the Committee’s 52</w:t>
      </w:r>
      <w:r w:rsidRPr="002C4EC1">
        <w:rPr>
          <w:rFonts w:asciiTheme="majorBidi" w:hAnsiTheme="majorBidi" w:cstheme="majorBidi"/>
          <w:sz w:val="18"/>
          <w:szCs w:val="18"/>
          <w:vertAlign w:val="superscript"/>
        </w:rPr>
        <w:t>nd</w:t>
      </w:r>
      <w:r w:rsidRPr="002C4EC1">
        <w:rPr>
          <w:rFonts w:asciiTheme="majorBidi" w:hAnsiTheme="majorBidi" w:cstheme="majorBidi"/>
          <w:sz w:val="18"/>
          <w:szCs w:val="18"/>
        </w:rPr>
        <w:t xml:space="preserve"> meeting by the Party concerned, p</w:t>
      </w:r>
      <w:r>
        <w:rPr>
          <w:rFonts w:asciiTheme="majorBidi" w:hAnsiTheme="majorBidi" w:cstheme="majorBidi"/>
          <w:sz w:val="18"/>
          <w:szCs w:val="18"/>
        </w:rPr>
        <w:t>ara. 24</w:t>
      </w:r>
      <w:r w:rsidRPr="002C4EC1">
        <w:rPr>
          <w:rFonts w:asciiTheme="majorBidi" w:hAnsiTheme="majorBidi" w:cstheme="majorBidi"/>
          <w:sz w:val="18"/>
          <w:szCs w:val="18"/>
        </w:rPr>
        <w:t>.</w:t>
      </w:r>
    </w:p>
  </w:footnote>
  <w:footnote w:id="94">
    <w:p w14:paraId="2A6F71AA" w14:textId="683E6134" w:rsidR="00543742" w:rsidRPr="000F4DAD" w:rsidRDefault="00543742" w:rsidP="003A7A56">
      <w:pPr>
        <w:pStyle w:val="FootnoteText"/>
        <w:ind w:left="567" w:right="1109"/>
        <w:jc w:val="both"/>
        <w:rPr>
          <w:rFonts w:asciiTheme="majorBidi" w:hAnsiTheme="majorBidi"/>
          <w:sz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Communication, para. </w:t>
      </w:r>
      <w:r w:rsidRPr="000F4DAD">
        <w:rPr>
          <w:rFonts w:asciiTheme="majorBidi" w:hAnsiTheme="majorBidi"/>
          <w:sz w:val="18"/>
        </w:rPr>
        <w:t>11(1).</w:t>
      </w:r>
    </w:p>
  </w:footnote>
  <w:footnote w:id="95">
    <w:p w14:paraId="5FAAEE11" w14:textId="4BDAE0FC" w:rsidR="00543742" w:rsidRPr="000F4DAD" w:rsidRDefault="00543742" w:rsidP="003A7A56">
      <w:pPr>
        <w:pStyle w:val="FootnoteText"/>
        <w:ind w:left="567" w:right="1109"/>
        <w:jc w:val="both"/>
        <w:rPr>
          <w:rFonts w:asciiTheme="majorBidi" w:hAnsiTheme="majorBidi"/>
          <w:sz w:val="18"/>
        </w:rPr>
      </w:pPr>
      <w:r w:rsidRPr="002C4EC1">
        <w:rPr>
          <w:rStyle w:val="FootnoteReference"/>
          <w:rFonts w:asciiTheme="majorBidi" w:hAnsiTheme="majorBidi" w:cstheme="majorBidi"/>
          <w:szCs w:val="18"/>
        </w:rPr>
        <w:footnoteRef/>
      </w:r>
      <w:r w:rsidRPr="000F4DAD">
        <w:rPr>
          <w:rFonts w:asciiTheme="majorBidi" w:hAnsiTheme="majorBidi"/>
          <w:sz w:val="18"/>
        </w:rPr>
        <w:t xml:space="preserve"> </w:t>
      </w:r>
      <w:r w:rsidR="00444FB4">
        <w:rPr>
          <w:rFonts w:asciiTheme="majorBidi" w:hAnsiTheme="majorBidi" w:cstheme="majorBidi"/>
          <w:sz w:val="18"/>
          <w:szCs w:val="18"/>
        </w:rPr>
        <w:t>Response to communication by Party concerned</w:t>
      </w:r>
      <w:r w:rsidRPr="000F4DAD">
        <w:rPr>
          <w:rFonts w:asciiTheme="majorBidi" w:hAnsiTheme="majorBidi"/>
          <w:sz w:val="18"/>
        </w:rPr>
        <w:t>, para. 68.</w:t>
      </w:r>
    </w:p>
  </w:footnote>
  <w:footnote w:id="96">
    <w:p w14:paraId="106848FF" w14:textId="62B61861" w:rsidR="00543742" w:rsidRPr="002C4EC1" w:rsidRDefault="00543742" w:rsidP="003A7A56">
      <w:pPr>
        <w:pStyle w:val="FootnoteText"/>
        <w:ind w:left="567" w:right="1109"/>
        <w:jc w:val="both"/>
        <w:rPr>
          <w:rFonts w:asciiTheme="majorBidi" w:hAnsiTheme="majorBidi" w:cstheme="majorBidi"/>
          <w:sz w:val="18"/>
          <w:szCs w:val="18"/>
        </w:rPr>
      </w:pPr>
      <w:r w:rsidRPr="002C4EC1">
        <w:rPr>
          <w:rStyle w:val="FootnoteReference"/>
          <w:rFonts w:asciiTheme="majorBidi" w:hAnsiTheme="majorBidi" w:cstheme="majorBidi"/>
          <w:szCs w:val="18"/>
        </w:rPr>
        <w:footnoteRef/>
      </w:r>
      <w:r w:rsidRPr="000F4DAD">
        <w:rPr>
          <w:rFonts w:asciiTheme="majorBidi" w:hAnsiTheme="majorBidi"/>
          <w:sz w:val="18"/>
        </w:rPr>
        <w:t xml:space="preserve"> </w:t>
      </w:r>
      <w:r w:rsidR="00444FB4">
        <w:rPr>
          <w:rFonts w:asciiTheme="majorBidi" w:hAnsiTheme="majorBidi" w:cstheme="majorBidi"/>
          <w:sz w:val="18"/>
          <w:szCs w:val="18"/>
        </w:rPr>
        <w:t>Response to communication by Party concerned</w:t>
      </w:r>
      <w:r w:rsidRPr="000F4DAD">
        <w:rPr>
          <w:rFonts w:asciiTheme="majorBidi" w:hAnsiTheme="majorBidi"/>
          <w:sz w:val="18"/>
        </w:rPr>
        <w:t xml:space="preserve">, para. </w:t>
      </w:r>
      <w:r>
        <w:rPr>
          <w:rFonts w:asciiTheme="majorBidi" w:hAnsiTheme="majorBidi" w:cstheme="majorBidi"/>
          <w:sz w:val="18"/>
          <w:szCs w:val="18"/>
        </w:rPr>
        <w:t>68,</w:t>
      </w:r>
      <w:r w:rsidRPr="002C4EC1">
        <w:rPr>
          <w:rFonts w:asciiTheme="majorBidi" w:hAnsiTheme="majorBidi" w:cstheme="majorBidi"/>
          <w:sz w:val="18"/>
          <w:szCs w:val="18"/>
        </w:rPr>
        <w:t xml:space="preserve"> referring to annex 31 (iii) to the response, paras. 7.4.8-7.4.10.</w:t>
      </w:r>
    </w:p>
  </w:footnote>
  <w:footnote w:id="97">
    <w:p w14:paraId="50B730EA" w14:textId="7ED23693"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Pr>
          <w:rFonts w:asciiTheme="majorBidi" w:hAnsiTheme="majorBidi" w:cstheme="majorBidi"/>
          <w:sz w:val="18"/>
          <w:szCs w:val="18"/>
        </w:rPr>
        <w:t xml:space="preserve">, para. 68, </w:t>
      </w:r>
      <w:r w:rsidRPr="002C4EC1">
        <w:rPr>
          <w:rFonts w:asciiTheme="majorBidi" w:hAnsiTheme="majorBidi" w:cstheme="majorBidi"/>
          <w:sz w:val="18"/>
          <w:szCs w:val="18"/>
        </w:rPr>
        <w:t xml:space="preserve">referring to annex 30 to </w:t>
      </w:r>
      <w:r w:rsidR="002D3D2A">
        <w:rPr>
          <w:rFonts w:asciiTheme="majorBidi" w:hAnsiTheme="majorBidi" w:cstheme="majorBidi"/>
          <w:sz w:val="18"/>
          <w:szCs w:val="18"/>
        </w:rPr>
        <w:t>the response</w:t>
      </w:r>
      <w:r w:rsidRPr="002C4EC1">
        <w:rPr>
          <w:rFonts w:asciiTheme="majorBidi" w:hAnsiTheme="majorBidi" w:cstheme="majorBidi"/>
          <w:sz w:val="18"/>
          <w:szCs w:val="18"/>
        </w:rPr>
        <w:t>.</w:t>
      </w:r>
    </w:p>
  </w:footnote>
  <w:footnote w:id="98">
    <w:p w14:paraId="7DF4D359" w14:textId="27B0057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Pr>
          <w:rFonts w:asciiTheme="majorBidi" w:hAnsiTheme="majorBidi" w:cstheme="majorBidi"/>
          <w:sz w:val="18"/>
          <w:szCs w:val="18"/>
        </w:rPr>
        <w:t>,</w:t>
      </w:r>
      <w:r w:rsidRPr="002C4EC1">
        <w:rPr>
          <w:rFonts w:asciiTheme="majorBidi" w:hAnsiTheme="majorBidi" w:cstheme="majorBidi"/>
          <w:sz w:val="18"/>
          <w:szCs w:val="18"/>
        </w:rPr>
        <w:t xml:space="preserve"> </w:t>
      </w:r>
      <w:r>
        <w:rPr>
          <w:rFonts w:asciiTheme="majorBidi" w:hAnsiTheme="majorBidi" w:cstheme="majorBidi"/>
          <w:sz w:val="18"/>
          <w:szCs w:val="18"/>
        </w:rPr>
        <w:t xml:space="preserve">para. 68, </w:t>
      </w:r>
      <w:r w:rsidRPr="002C4EC1">
        <w:rPr>
          <w:rFonts w:asciiTheme="majorBidi" w:hAnsiTheme="majorBidi" w:cstheme="majorBidi"/>
          <w:sz w:val="18"/>
          <w:szCs w:val="18"/>
        </w:rPr>
        <w:t xml:space="preserve">referring to annex 37 (ii) to </w:t>
      </w:r>
      <w:r w:rsidR="003D00DA">
        <w:rPr>
          <w:rFonts w:asciiTheme="majorBidi" w:hAnsiTheme="majorBidi" w:cstheme="majorBidi"/>
          <w:sz w:val="18"/>
          <w:szCs w:val="18"/>
        </w:rPr>
        <w:t>the response</w:t>
      </w:r>
      <w:r>
        <w:rPr>
          <w:rFonts w:asciiTheme="majorBidi" w:hAnsiTheme="majorBidi" w:cstheme="majorBidi"/>
          <w:sz w:val="18"/>
          <w:szCs w:val="18"/>
        </w:rPr>
        <w:t xml:space="preserve">, </w:t>
      </w:r>
      <w:r w:rsidRPr="002C4EC1">
        <w:rPr>
          <w:rFonts w:asciiTheme="majorBidi" w:hAnsiTheme="majorBidi" w:cstheme="majorBidi"/>
          <w:sz w:val="18"/>
          <w:szCs w:val="18"/>
        </w:rPr>
        <w:t>section 7.</w:t>
      </w:r>
    </w:p>
  </w:footnote>
  <w:footnote w:id="99">
    <w:p w14:paraId="44A218F8" w14:textId="6288274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Communication, para. 11(2).</w:t>
      </w:r>
    </w:p>
  </w:footnote>
  <w:footnote w:id="100">
    <w:p w14:paraId="19E65AB3" w14:textId="1D718F39"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para. 68.</w:t>
      </w:r>
    </w:p>
  </w:footnote>
  <w:footnote w:id="101">
    <w:p w14:paraId="7B2F63E6" w14:textId="5884C5B0"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xml:space="preserve">, referring to annex 11(iv) to </w:t>
      </w:r>
      <w:r w:rsidR="002D3D2A">
        <w:rPr>
          <w:rFonts w:asciiTheme="majorBidi" w:hAnsiTheme="majorBidi" w:cstheme="majorBidi"/>
          <w:sz w:val="18"/>
          <w:szCs w:val="18"/>
        </w:rPr>
        <w:t xml:space="preserve">the </w:t>
      </w:r>
      <w:r w:rsidR="003D00DA">
        <w:rPr>
          <w:rFonts w:asciiTheme="majorBidi" w:hAnsiTheme="majorBidi" w:cstheme="majorBidi"/>
          <w:sz w:val="18"/>
          <w:szCs w:val="18"/>
        </w:rPr>
        <w:t>response</w:t>
      </w:r>
      <w:r w:rsidRPr="002C4EC1">
        <w:rPr>
          <w:rFonts w:asciiTheme="majorBidi" w:hAnsiTheme="majorBidi" w:cstheme="majorBidi"/>
          <w:sz w:val="18"/>
          <w:szCs w:val="18"/>
        </w:rPr>
        <w:t>, section 4.</w:t>
      </w:r>
    </w:p>
  </w:footnote>
  <w:footnote w:id="102">
    <w:p w14:paraId="1EB14EF3" w14:textId="78A0D94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Pr>
          <w:rFonts w:asciiTheme="majorBidi" w:hAnsiTheme="majorBidi" w:cstheme="majorBidi"/>
          <w:sz w:val="18"/>
          <w:szCs w:val="18"/>
        </w:rPr>
        <w:t xml:space="preserve">, p.15, </w:t>
      </w:r>
      <w:r w:rsidRPr="002C4EC1">
        <w:rPr>
          <w:rFonts w:asciiTheme="majorBidi" w:hAnsiTheme="majorBidi" w:cstheme="majorBidi"/>
          <w:sz w:val="18"/>
          <w:szCs w:val="18"/>
        </w:rPr>
        <w:t xml:space="preserve">referring to annexes 18, 19 and 20 to </w:t>
      </w:r>
      <w:r w:rsidR="002D3D2A">
        <w:rPr>
          <w:rFonts w:asciiTheme="majorBidi" w:hAnsiTheme="majorBidi" w:cstheme="majorBidi"/>
          <w:sz w:val="18"/>
          <w:szCs w:val="18"/>
        </w:rPr>
        <w:t>the response</w:t>
      </w:r>
      <w:r w:rsidRPr="002C4EC1">
        <w:rPr>
          <w:rFonts w:asciiTheme="majorBidi" w:hAnsiTheme="majorBidi" w:cstheme="majorBidi"/>
          <w:sz w:val="18"/>
          <w:szCs w:val="18"/>
        </w:rPr>
        <w:t>.</w:t>
      </w:r>
    </w:p>
  </w:footnote>
  <w:footnote w:id="103">
    <w:p w14:paraId="259C0E72" w14:textId="4DBDACE0" w:rsidR="00543742" w:rsidRPr="002C4EC1" w:rsidRDefault="00543742" w:rsidP="003A7A56">
      <w:pPr>
        <w:pStyle w:val="FootnoteText"/>
        <w:ind w:left="567" w:right="1109"/>
        <w:jc w:val="both"/>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xml:space="preserve">, </w:t>
      </w:r>
      <w:r>
        <w:rPr>
          <w:rFonts w:asciiTheme="majorBidi" w:hAnsiTheme="majorBidi" w:cstheme="majorBidi"/>
          <w:sz w:val="18"/>
          <w:szCs w:val="18"/>
        </w:rPr>
        <w:t xml:space="preserve">p. 19, </w:t>
      </w:r>
      <w:r w:rsidRPr="002C4EC1">
        <w:rPr>
          <w:rFonts w:asciiTheme="majorBidi" w:hAnsiTheme="majorBidi" w:cstheme="majorBidi"/>
          <w:sz w:val="18"/>
          <w:szCs w:val="18"/>
        </w:rPr>
        <w:t xml:space="preserve">referring to annex 30 to </w:t>
      </w:r>
      <w:r w:rsidR="002D3D2A">
        <w:rPr>
          <w:rFonts w:asciiTheme="majorBidi" w:hAnsiTheme="majorBidi" w:cstheme="majorBidi"/>
          <w:sz w:val="18"/>
          <w:szCs w:val="18"/>
        </w:rPr>
        <w:t>the response</w:t>
      </w:r>
      <w:r w:rsidRPr="002C4EC1">
        <w:rPr>
          <w:rFonts w:asciiTheme="majorBidi" w:hAnsiTheme="majorBidi" w:cstheme="majorBidi"/>
          <w:sz w:val="18"/>
          <w:szCs w:val="18"/>
        </w:rPr>
        <w:t>.</w:t>
      </w:r>
    </w:p>
  </w:footnote>
  <w:footnote w:id="104">
    <w:p w14:paraId="256B1CF9" w14:textId="04C2C074"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Communication, para. 11(3), communicant’s reply to questions, 28 October 2016, paras. 1.</w:t>
      </w:r>
      <w:r>
        <w:rPr>
          <w:rFonts w:asciiTheme="majorBidi" w:hAnsiTheme="majorBidi" w:cstheme="majorBidi"/>
          <w:sz w:val="18"/>
          <w:szCs w:val="18"/>
        </w:rPr>
        <w:t>1</w:t>
      </w:r>
      <w:r w:rsidRPr="002C4EC1">
        <w:rPr>
          <w:rFonts w:asciiTheme="majorBidi" w:hAnsiTheme="majorBidi" w:cstheme="majorBidi"/>
          <w:sz w:val="18"/>
          <w:szCs w:val="18"/>
        </w:rPr>
        <w:t>-1.4 and communicant’s opening statement at the hearing, 10 March 2016, para. 19.</w:t>
      </w:r>
    </w:p>
  </w:footnote>
  <w:footnote w:id="105">
    <w:p w14:paraId="18F4BF42" w14:textId="3E5DCDC0" w:rsidR="00543742" w:rsidRPr="002C4EC1" w:rsidRDefault="00543742" w:rsidP="006068D9">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opening statement at the hearing, 10 March 2016, para. 19.</w:t>
      </w:r>
    </w:p>
  </w:footnote>
  <w:footnote w:id="106">
    <w:p w14:paraId="141FB961" w14:textId="2FAB24A5" w:rsidR="00543742" w:rsidRPr="002C4EC1" w:rsidRDefault="00543742" w:rsidP="003A7A56">
      <w:pPr>
        <w:pStyle w:val="FootnoteText"/>
        <w:ind w:left="567" w:right="1109"/>
        <w:jc w:val="both"/>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opening statement at the hearing, 10 March 2016</w:t>
      </w:r>
      <w:r>
        <w:rPr>
          <w:rFonts w:asciiTheme="majorBidi" w:hAnsiTheme="majorBidi" w:cstheme="majorBidi"/>
          <w:sz w:val="18"/>
          <w:szCs w:val="18"/>
        </w:rPr>
        <w:t>,</w:t>
      </w:r>
      <w:r w:rsidRPr="002C4EC1">
        <w:rPr>
          <w:rFonts w:asciiTheme="majorBidi" w:hAnsiTheme="majorBidi" w:cstheme="majorBidi"/>
          <w:sz w:val="18"/>
          <w:szCs w:val="18"/>
        </w:rPr>
        <w:t xml:space="preserve"> </w:t>
      </w:r>
      <w:r>
        <w:rPr>
          <w:rFonts w:asciiTheme="majorBidi" w:hAnsiTheme="majorBidi" w:cstheme="majorBidi"/>
          <w:sz w:val="18"/>
          <w:szCs w:val="18"/>
        </w:rPr>
        <w:t xml:space="preserve">para. 19, </w:t>
      </w:r>
      <w:r w:rsidRPr="002C4EC1">
        <w:rPr>
          <w:rFonts w:asciiTheme="majorBidi" w:hAnsiTheme="majorBidi" w:cstheme="majorBidi"/>
          <w:sz w:val="18"/>
          <w:szCs w:val="18"/>
        </w:rPr>
        <w:t xml:space="preserve">referring to </w:t>
      </w:r>
      <w:r>
        <w:rPr>
          <w:rFonts w:asciiTheme="majorBidi" w:hAnsiTheme="majorBidi" w:cstheme="majorBidi"/>
          <w:sz w:val="18"/>
          <w:szCs w:val="18"/>
        </w:rPr>
        <w:t xml:space="preserve">annex 6 of the communication, </w:t>
      </w:r>
      <w:r w:rsidRPr="002C4EC1">
        <w:rPr>
          <w:rFonts w:asciiTheme="majorBidi" w:hAnsiTheme="majorBidi" w:cstheme="majorBidi"/>
          <w:sz w:val="18"/>
          <w:szCs w:val="18"/>
        </w:rPr>
        <w:t xml:space="preserve">para. 165. </w:t>
      </w:r>
    </w:p>
  </w:footnote>
  <w:footnote w:id="107">
    <w:p w14:paraId="7DAF34BA" w14:textId="076B84FE" w:rsidR="00543742" w:rsidRPr="002C4EC1" w:rsidRDefault="00543742" w:rsidP="003A7A56">
      <w:pPr>
        <w:pStyle w:val="FootnoteText"/>
        <w:ind w:left="567" w:right="1109"/>
        <w:jc w:val="both"/>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Communicant’s opening statement at the hearing, 10 March 2016</w:t>
      </w:r>
      <w:r>
        <w:rPr>
          <w:rFonts w:asciiTheme="majorBidi" w:hAnsiTheme="majorBidi" w:cstheme="majorBidi"/>
          <w:sz w:val="18"/>
          <w:szCs w:val="18"/>
        </w:rPr>
        <w:t>,</w:t>
      </w:r>
      <w:r w:rsidRPr="002C4EC1">
        <w:rPr>
          <w:rFonts w:asciiTheme="majorBidi" w:hAnsiTheme="majorBidi" w:cstheme="majorBidi"/>
          <w:sz w:val="18"/>
          <w:szCs w:val="18"/>
        </w:rPr>
        <w:t xml:space="preserve"> </w:t>
      </w:r>
      <w:r>
        <w:rPr>
          <w:rFonts w:asciiTheme="majorBidi" w:hAnsiTheme="majorBidi" w:cstheme="majorBidi"/>
          <w:sz w:val="18"/>
          <w:szCs w:val="18"/>
        </w:rPr>
        <w:t xml:space="preserve">para. 19(1) </w:t>
      </w:r>
      <w:r w:rsidRPr="002C4EC1">
        <w:rPr>
          <w:rFonts w:asciiTheme="majorBidi" w:hAnsiTheme="majorBidi" w:cstheme="majorBidi"/>
          <w:sz w:val="18"/>
          <w:szCs w:val="18"/>
        </w:rPr>
        <w:t xml:space="preserve">referring to </w:t>
      </w:r>
      <w:r>
        <w:rPr>
          <w:rFonts w:asciiTheme="majorBidi" w:hAnsiTheme="majorBidi" w:cstheme="majorBidi"/>
          <w:sz w:val="18"/>
          <w:szCs w:val="18"/>
        </w:rPr>
        <w:t xml:space="preserve">annex 6 of the communication, </w:t>
      </w:r>
      <w:r w:rsidRPr="002C4EC1">
        <w:rPr>
          <w:rFonts w:asciiTheme="majorBidi" w:hAnsiTheme="majorBidi" w:cstheme="majorBidi"/>
          <w:sz w:val="18"/>
          <w:szCs w:val="18"/>
        </w:rPr>
        <w:t>para. 165</w:t>
      </w:r>
      <w:r>
        <w:rPr>
          <w:rFonts w:asciiTheme="majorBidi" w:hAnsiTheme="majorBidi" w:cstheme="majorBidi"/>
          <w:sz w:val="18"/>
          <w:szCs w:val="18"/>
        </w:rPr>
        <w:t xml:space="preserve"> and c</w:t>
      </w:r>
      <w:r w:rsidRPr="002C4EC1">
        <w:rPr>
          <w:rFonts w:asciiTheme="majorBidi" w:hAnsiTheme="majorBidi" w:cstheme="majorBidi"/>
          <w:sz w:val="18"/>
          <w:szCs w:val="18"/>
        </w:rPr>
        <w:t xml:space="preserve">omments </w:t>
      </w:r>
      <w:r w:rsidR="003D00DA" w:rsidRPr="002C4EC1">
        <w:rPr>
          <w:rFonts w:asciiTheme="majorBidi" w:hAnsiTheme="majorBidi" w:cstheme="majorBidi"/>
          <w:sz w:val="18"/>
          <w:szCs w:val="18"/>
        </w:rPr>
        <w:t xml:space="preserve">by the communicant dated 17 March 2015 </w:t>
      </w:r>
      <w:r w:rsidRPr="002C4EC1">
        <w:rPr>
          <w:rFonts w:asciiTheme="majorBidi" w:hAnsiTheme="majorBidi" w:cstheme="majorBidi"/>
          <w:sz w:val="18"/>
          <w:szCs w:val="18"/>
        </w:rPr>
        <w:t xml:space="preserve">on </w:t>
      </w:r>
      <w:r w:rsidR="002D3D2A">
        <w:rPr>
          <w:rFonts w:asciiTheme="majorBidi" w:hAnsiTheme="majorBidi" w:cstheme="majorBidi"/>
          <w:sz w:val="18"/>
          <w:szCs w:val="18"/>
        </w:rPr>
        <w:t>the response to communication by Party concerned</w:t>
      </w:r>
      <w:r w:rsidR="003D00DA">
        <w:rPr>
          <w:rFonts w:asciiTheme="majorBidi" w:hAnsiTheme="majorBidi" w:cstheme="majorBidi"/>
          <w:sz w:val="18"/>
          <w:szCs w:val="18"/>
        </w:rPr>
        <w:t>,</w:t>
      </w:r>
      <w:r w:rsidRPr="002C4EC1">
        <w:rPr>
          <w:rFonts w:asciiTheme="majorBidi" w:hAnsiTheme="majorBidi" w:cstheme="majorBidi"/>
          <w:sz w:val="18"/>
          <w:szCs w:val="18"/>
        </w:rPr>
        <w:t xml:space="preserve"> para. 23(3).</w:t>
      </w:r>
    </w:p>
  </w:footnote>
  <w:footnote w:id="108">
    <w:p w14:paraId="7B73B251" w14:textId="6253274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para. 68</w:t>
      </w:r>
      <w:r>
        <w:rPr>
          <w:rFonts w:asciiTheme="majorBidi" w:hAnsiTheme="majorBidi" w:cstheme="majorBidi"/>
          <w:sz w:val="18"/>
          <w:szCs w:val="18"/>
        </w:rPr>
        <w:t>,</w:t>
      </w:r>
      <w:r w:rsidRPr="002C4EC1">
        <w:rPr>
          <w:rFonts w:asciiTheme="majorBidi" w:hAnsiTheme="majorBidi" w:cstheme="majorBidi"/>
          <w:sz w:val="18"/>
          <w:szCs w:val="18"/>
        </w:rPr>
        <w:t xml:space="preserve"> referring to annex 8 to </w:t>
      </w:r>
      <w:r w:rsidR="003D00DA">
        <w:rPr>
          <w:rFonts w:asciiTheme="majorBidi" w:hAnsiTheme="majorBidi" w:cstheme="majorBidi"/>
          <w:sz w:val="18"/>
          <w:szCs w:val="18"/>
        </w:rPr>
        <w:t>the response</w:t>
      </w:r>
      <w:r w:rsidRPr="002C4EC1">
        <w:rPr>
          <w:rFonts w:asciiTheme="majorBidi" w:hAnsiTheme="majorBidi" w:cstheme="majorBidi"/>
          <w:sz w:val="18"/>
          <w:szCs w:val="18"/>
        </w:rPr>
        <w:t>, chapter 6.</w:t>
      </w:r>
    </w:p>
  </w:footnote>
  <w:footnote w:id="109">
    <w:p w14:paraId="208CBA86" w14:textId="07C238F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Pr>
          <w:rFonts w:asciiTheme="majorBidi" w:hAnsiTheme="majorBidi" w:cstheme="majorBidi"/>
          <w:sz w:val="18"/>
          <w:szCs w:val="18"/>
        </w:rPr>
        <w:t>, para. 68</w:t>
      </w:r>
      <w:r w:rsidRPr="002C4EC1">
        <w:rPr>
          <w:rFonts w:asciiTheme="majorBidi" w:hAnsiTheme="majorBidi" w:cstheme="majorBidi"/>
          <w:sz w:val="18"/>
          <w:szCs w:val="18"/>
        </w:rPr>
        <w:t>,</w:t>
      </w:r>
      <w:r w:rsidRPr="002C4EC1" w:rsidDel="00B71D52">
        <w:rPr>
          <w:rFonts w:asciiTheme="majorBidi" w:hAnsiTheme="majorBidi" w:cstheme="majorBidi"/>
          <w:sz w:val="18"/>
          <w:szCs w:val="18"/>
        </w:rPr>
        <w:t xml:space="preserve"> </w:t>
      </w:r>
      <w:r w:rsidRPr="002C4EC1">
        <w:rPr>
          <w:rFonts w:asciiTheme="majorBidi" w:hAnsiTheme="majorBidi" w:cstheme="majorBidi"/>
          <w:sz w:val="18"/>
          <w:szCs w:val="18"/>
        </w:rPr>
        <w:t xml:space="preserve">referring to annex 10 to </w:t>
      </w:r>
      <w:r w:rsidR="002D3D2A">
        <w:rPr>
          <w:rFonts w:asciiTheme="majorBidi" w:hAnsiTheme="majorBidi" w:cstheme="majorBidi"/>
          <w:sz w:val="18"/>
          <w:szCs w:val="18"/>
        </w:rPr>
        <w:t>the response</w:t>
      </w:r>
      <w:r w:rsidRPr="002C4EC1">
        <w:rPr>
          <w:rFonts w:asciiTheme="majorBidi" w:hAnsiTheme="majorBidi" w:cstheme="majorBidi"/>
          <w:sz w:val="18"/>
          <w:szCs w:val="18"/>
        </w:rPr>
        <w:t>.</w:t>
      </w:r>
    </w:p>
  </w:footnote>
  <w:footnote w:id="110">
    <w:p w14:paraId="51DC6C23" w14:textId="411148DB"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Pr>
          <w:rFonts w:asciiTheme="majorBidi" w:hAnsiTheme="majorBidi" w:cstheme="majorBidi"/>
          <w:sz w:val="18"/>
          <w:szCs w:val="18"/>
        </w:rPr>
        <w:t>, para. 68</w:t>
      </w:r>
      <w:r w:rsidRPr="002C4EC1">
        <w:rPr>
          <w:rFonts w:asciiTheme="majorBidi" w:hAnsiTheme="majorBidi" w:cstheme="majorBidi"/>
          <w:sz w:val="18"/>
          <w:szCs w:val="18"/>
        </w:rPr>
        <w:t xml:space="preserve">, referring to annex 12 to </w:t>
      </w:r>
      <w:r w:rsidR="002D3D2A">
        <w:rPr>
          <w:rFonts w:asciiTheme="majorBidi" w:hAnsiTheme="majorBidi" w:cstheme="majorBidi"/>
          <w:sz w:val="18"/>
          <w:szCs w:val="18"/>
        </w:rPr>
        <w:t>the response</w:t>
      </w:r>
      <w:r w:rsidRPr="002C4EC1">
        <w:rPr>
          <w:rFonts w:asciiTheme="majorBidi" w:hAnsiTheme="majorBidi" w:cstheme="majorBidi"/>
          <w:sz w:val="18"/>
          <w:szCs w:val="18"/>
        </w:rPr>
        <w:t xml:space="preserve">, para 4.2. </w:t>
      </w:r>
    </w:p>
  </w:footnote>
  <w:footnote w:id="111">
    <w:p w14:paraId="4B91664A" w14:textId="32BE3A49"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Opening </w:t>
      </w:r>
      <w:r w:rsidR="00533899">
        <w:rPr>
          <w:rFonts w:asciiTheme="majorBidi" w:hAnsiTheme="majorBidi" w:cstheme="majorBidi"/>
          <w:sz w:val="18"/>
          <w:szCs w:val="18"/>
        </w:rPr>
        <w:t>s</w:t>
      </w:r>
      <w:r w:rsidRPr="002C4EC1">
        <w:rPr>
          <w:rFonts w:asciiTheme="majorBidi" w:hAnsiTheme="majorBidi" w:cstheme="majorBidi"/>
          <w:sz w:val="18"/>
          <w:szCs w:val="18"/>
        </w:rPr>
        <w:t>tatement to the hearing by the Party concerned, para. 25(2)</w:t>
      </w:r>
      <w:r>
        <w:rPr>
          <w:rFonts w:asciiTheme="majorBidi" w:hAnsiTheme="majorBidi" w:cstheme="majorBidi"/>
          <w:sz w:val="18"/>
          <w:szCs w:val="18"/>
        </w:rPr>
        <w:t>,</w:t>
      </w:r>
      <w:r w:rsidRPr="002C4EC1">
        <w:rPr>
          <w:rFonts w:asciiTheme="majorBidi" w:hAnsiTheme="majorBidi" w:cstheme="majorBidi"/>
          <w:sz w:val="18"/>
          <w:szCs w:val="18"/>
        </w:rPr>
        <w:t xml:space="preserve"> referring to annex 13</w:t>
      </w:r>
      <w:r>
        <w:rPr>
          <w:rFonts w:asciiTheme="majorBidi" w:hAnsiTheme="majorBidi" w:cstheme="majorBidi"/>
          <w:sz w:val="18"/>
          <w:szCs w:val="18"/>
        </w:rPr>
        <w:t xml:space="preserve"> </w:t>
      </w:r>
      <w:r w:rsidR="00533899">
        <w:rPr>
          <w:rFonts w:asciiTheme="majorBidi" w:hAnsiTheme="majorBidi" w:cstheme="majorBidi"/>
          <w:sz w:val="18"/>
          <w:szCs w:val="18"/>
        </w:rPr>
        <w:t>of its</w:t>
      </w:r>
      <w:r w:rsidR="002D3D2A">
        <w:rPr>
          <w:rFonts w:asciiTheme="majorBidi" w:hAnsiTheme="majorBidi" w:cstheme="majorBidi"/>
          <w:sz w:val="18"/>
          <w:szCs w:val="18"/>
        </w:rPr>
        <w:t xml:space="preserve"> response to communication</w:t>
      </w:r>
      <w:r w:rsidRPr="002C4EC1">
        <w:rPr>
          <w:rFonts w:asciiTheme="majorBidi" w:hAnsiTheme="majorBidi" w:cstheme="majorBidi"/>
          <w:sz w:val="18"/>
          <w:szCs w:val="18"/>
        </w:rPr>
        <w:t>, pp. 15-16, 47, 57-61</w:t>
      </w:r>
      <w:r>
        <w:rPr>
          <w:rFonts w:asciiTheme="majorBidi" w:hAnsiTheme="majorBidi" w:cstheme="majorBidi"/>
          <w:sz w:val="18"/>
          <w:szCs w:val="18"/>
        </w:rPr>
        <w:t xml:space="preserve"> </w:t>
      </w:r>
      <w:r w:rsidRPr="002C4EC1">
        <w:rPr>
          <w:rFonts w:asciiTheme="majorBidi" w:hAnsiTheme="majorBidi" w:cstheme="majorBidi"/>
          <w:sz w:val="18"/>
          <w:szCs w:val="18"/>
        </w:rPr>
        <w:t>and annex B, pp. 122-149.</w:t>
      </w:r>
    </w:p>
  </w:footnote>
  <w:footnote w:id="112">
    <w:p w14:paraId="4405500C" w14:textId="201D914F"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Opening </w:t>
      </w:r>
      <w:r>
        <w:rPr>
          <w:rFonts w:asciiTheme="majorBidi" w:hAnsiTheme="majorBidi" w:cstheme="majorBidi"/>
          <w:sz w:val="18"/>
          <w:szCs w:val="18"/>
        </w:rPr>
        <w:t>s</w:t>
      </w:r>
      <w:r w:rsidRPr="002C4EC1">
        <w:rPr>
          <w:rFonts w:asciiTheme="majorBidi" w:hAnsiTheme="majorBidi" w:cstheme="majorBidi"/>
          <w:sz w:val="18"/>
          <w:szCs w:val="18"/>
        </w:rPr>
        <w:t>tatement to the hearing by the Party concerned, para. 25(3)</w:t>
      </w:r>
      <w:r>
        <w:rPr>
          <w:rFonts w:asciiTheme="majorBidi" w:hAnsiTheme="majorBidi" w:cstheme="majorBidi"/>
          <w:sz w:val="18"/>
          <w:szCs w:val="18"/>
        </w:rPr>
        <w:t>,</w:t>
      </w:r>
      <w:r w:rsidRPr="002C4EC1">
        <w:rPr>
          <w:rFonts w:asciiTheme="majorBidi" w:hAnsiTheme="majorBidi" w:cstheme="majorBidi"/>
          <w:sz w:val="18"/>
          <w:szCs w:val="18"/>
        </w:rPr>
        <w:t xml:space="preserve"> referring to chapter 5 and annex 6 of the Appraisal of Sustainability (annex 14 (i), pp. 35-36 and annex 14 (viii) to the response).</w:t>
      </w:r>
    </w:p>
  </w:footnote>
  <w:footnote w:id="113">
    <w:p w14:paraId="12CA39B8" w14:textId="06A0ABB0"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Opening </w:t>
      </w:r>
      <w:r>
        <w:rPr>
          <w:rFonts w:asciiTheme="majorBidi" w:hAnsiTheme="majorBidi" w:cstheme="majorBidi"/>
          <w:sz w:val="18"/>
          <w:szCs w:val="18"/>
        </w:rPr>
        <w:t>s</w:t>
      </w:r>
      <w:r w:rsidRPr="002C4EC1">
        <w:rPr>
          <w:rFonts w:asciiTheme="majorBidi" w:hAnsiTheme="majorBidi" w:cstheme="majorBidi"/>
          <w:sz w:val="18"/>
          <w:szCs w:val="18"/>
        </w:rPr>
        <w:t>tatement to the hearing by the Party concerned, para. 25 (4)</w:t>
      </w:r>
      <w:r>
        <w:rPr>
          <w:rFonts w:asciiTheme="majorBidi" w:hAnsiTheme="majorBidi" w:cstheme="majorBidi"/>
          <w:sz w:val="18"/>
          <w:szCs w:val="18"/>
        </w:rPr>
        <w:t>,</w:t>
      </w:r>
      <w:r w:rsidRPr="002C4EC1">
        <w:rPr>
          <w:rFonts w:asciiTheme="majorBidi" w:hAnsiTheme="majorBidi" w:cstheme="majorBidi"/>
          <w:sz w:val="18"/>
          <w:szCs w:val="18"/>
        </w:rPr>
        <w:t xml:space="preserve"> referring to annex 45 to </w:t>
      </w:r>
      <w:r w:rsidR="00444FB4">
        <w:rPr>
          <w:rFonts w:asciiTheme="majorBidi" w:hAnsiTheme="majorBidi" w:cstheme="majorBidi"/>
          <w:sz w:val="18"/>
          <w:szCs w:val="18"/>
        </w:rPr>
        <w:t>its</w:t>
      </w:r>
      <w:r w:rsidRPr="002C4EC1">
        <w:rPr>
          <w:rFonts w:asciiTheme="majorBidi" w:hAnsiTheme="majorBidi" w:cstheme="majorBidi"/>
          <w:sz w:val="18"/>
          <w:szCs w:val="18"/>
        </w:rPr>
        <w:t xml:space="preserve"> response</w:t>
      </w:r>
      <w:r w:rsidR="00444FB4">
        <w:rPr>
          <w:rFonts w:asciiTheme="majorBidi" w:hAnsiTheme="majorBidi" w:cstheme="majorBidi"/>
          <w:sz w:val="18"/>
          <w:szCs w:val="18"/>
        </w:rPr>
        <w:t xml:space="preserve"> to communication</w:t>
      </w:r>
      <w:r w:rsidRPr="002C4EC1">
        <w:rPr>
          <w:rFonts w:asciiTheme="majorBidi" w:hAnsiTheme="majorBidi" w:cstheme="majorBidi"/>
          <w:sz w:val="18"/>
          <w:szCs w:val="18"/>
        </w:rPr>
        <w:t>.</w:t>
      </w:r>
    </w:p>
  </w:footnote>
  <w:footnote w:id="114">
    <w:p w14:paraId="531F9C75" w14:textId="7EFB599E" w:rsidR="00543742" w:rsidRPr="00FD13A4"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Pr>
          <w:rFonts w:asciiTheme="majorBidi" w:hAnsiTheme="majorBidi" w:cstheme="majorBidi"/>
          <w:sz w:val="18"/>
          <w:szCs w:val="18"/>
        </w:rPr>
        <w:t>, para. 68,</w:t>
      </w:r>
      <w:r w:rsidRPr="002C4EC1">
        <w:rPr>
          <w:rFonts w:asciiTheme="majorBidi" w:hAnsiTheme="majorBidi" w:cstheme="majorBidi"/>
          <w:sz w:val="18"/>
          <w:szCs w:val="18"/>
        </w:rPr>
        <w:t xml:space="preserve"> referring to annex 6, paras. </w:t>
      </w:r>
      <w:r w:rsidRPr="00FD13A4">
        <w:rPr>
          <w:rFonts w:asciiTheme="majorBidi" w:hAnsiTheme="majorBidi"/>
          <w:sz w:val="18"/>
        </w:rPr>
        <w:t>41</w:t>
      </w:r>
      <w:r>
        <w:rPr>
          <w:rFonts w:asciiTheme="majorBidi" w:hAnsiTheme="majorBidi" w:cstheme="majorBidi"/>
          <w:sz w:val="18"/>
        </w:rPr>
        <w:t>-</w:t>
      </w:r>
      <w:r w:rsidRPr="00FD13A4">
        <w:rPr>
          <w:rFonts w:asciiTheme="majorBidi" w:hAnsiTheme="majorBidi"/>
          <w:sz w:val="18"/>
        </w:rPr>
        <w:t>68, annex 30 and annex 38</w:t>
      </w:r>
      <w:r w:rsidR="00444FB4">
        <w:rPr>
          <w:rFonts w:asciiTheme="majorBidi" w:hAnsiTheme="majorBidi"/>
          <w:sz w:val="18"/>
        </w:rPr>
        <w:t xml:space="preserve"> of that response</w:t>
      </w:r>
      <w:r w:rsidRPr="00FD13A4">
        <w:rPr>
          <w:rFonts w:asciiTheme="majorBidi" w:hAnsiTheme="majorBidi"/>
          <w:sz w:val="18"/>
        </w:rPr>
        <w:t>.</w:t>
      </w:r>
    </w:p>
  </w:footnote>
  <w:footnote w:id="115">
    <w:p w14:paraId="1C49EBFC" w14:textId="20137B28" w:rsidR="00543742" w:rsidRPr="00FD13A4" w:rsidRDefault="00543742" w:rsidP="003A7A56">
      <w:pPr>
        <w:pStyle w:val="FootnoteText"/>
        <w:ind w:left="567" w:right="1109"/>
        <w:rPr>
          <w:rFonts w:asciiTheme="majorBidi" w:hAnsiTheme="majorBidi"/>
          <w:sz w:val="18"/>
        </w:rPr>
      </w:pPr>
      <w:r w:rsidRPr="002C4EC1">
        <w:rPr>
          <w:rStyle w:val="FootnoteReference"/>
          <w:rFonts w:asciiTheme="majorBidi" w:hAnsiTheme="majorBidi" w:cstheme="majorBidi"/>
          <w:szCs w:val="18"/>
        </w:rPr>
        <w:footnoteRef/>
      </w:r>
      <w:r w:rsidRPr="00FD13A4">
        <w:rPr>
          <w:rFonts w:asciiTheme="majorBidi" w:hAnsiTheme="majorBidi"/>
          <w:sz w:val="18"/>
        </w:rPr>
        <w:t xml:space="preserve"> Communication, para. 11(4).</w:t>
      </w:r>
    </w:p>
  </w:footnote>
  <w:footnote w:id="116">
    <w:p w14:paraId="249B0B4A" w14:textId="14C2593B"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FD13A4">
        <w:rPr>
          <w:rFonts w:asciiTheme="majorBidi" w:hAnsiTheme="majorBidi"/>
          <w:sz w:val="18"/>
        </w:rPr>
        <w:t xml:space="preserve"> </w:t>
      </w:r>
      <w:r w:rsidR="00444FB4">
        <w:rPr>
          <w:rFonts w:asciiTheme="majorBidi" w:hAnsiTheme="majorBidi" w:cstheme="majorBidi"/>
          <w:sz w:val="18"/>
        </w:rPr>
        <w:t>Response to communication by Party concerned</w:t>
      </w:r>
      <w:r w:rsidRPr="00FD13A4">
        <w:rPr>
          <w:rFonts w:asciiTheme="majorBidi" w:hAnsiTheme="majorBidi"/>
          <w:sz w:val="18"/>
        </w:rPr>
        <w:t xml:space="preserve">, para. </w:t>
      </w:r>
      <w:r w:rsidRPr="002C4EC1">
        <w:rPr>
          <w:rFonts w:asciiTheme="majorBidi" w:hAnsiTheme="majorBidi" w:cstheme="majorBidi"/>
          <w:sz w:val="18"/>
          <w:szCs w:val="18"/>
        </w:rPr>
        <w:t>68.</w:t>
      </w:r>
    </w:p>
  </w:footnote>
  <w:footnote w:id="117">
    <w:p w14:paraId="6C331C48" w14:textId="52A3ACA3"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Pr>
          <w:rFonts w:asciiTheme="majorBidi" w:hAnsiTheme="majorBidi" w:cstheme="majorBidi"/>
          <w:sz w:val="18"/>
          <w:szCs w:val="18"/>
        </w:rPr>
        <w:t>,</w:t>
      </w:r>
      <w:r w:rsidRPr="002C4EC1">
        <w:rPr>
          <w:rFonts w:asciiTheme="majorBidi" w:hAnsiTheme="majorBidi" w:cstheme="majorBidi"/>
          <w:sz w:val="18"/>
          <w:szCs w:val="18"/>
        </w:rPr>
        <w:t xml:space="preserve"> referring to, annex 30, chapters 9 and 10.</w:t>
      </w:r>
    </w:p>
  </w:footnote>
  <w:footnote w:id="118">
    <w:p w14:paraId="7FD0F588" w14:textId="0CF23E24"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00444FB4">
        <w:rPr>
          <w:rFonts w:asciiTheme="majorBidi" w:hAnsiTheme="majorBidi" w:cstheme="majorBidi"/>
          <w:sz w:val="18"/>
          <w:szCs w:val="18"/>
        </w:rPr>
        <w:t>Response to communication by Party concerned</w:t>
      </w:r>
      <w:r>
        <w:rPr>
          <w:rFonts w:asciiTheme="majorBidi" w:hAnsiTheme="majorBidi" w:cstheme="majorBidi"/>
          <w:sz w:val="18"/>
          <w:szCs w:val="18"/>
        </w:rPr>
        <w:t>,</w:t>
      </w:r>
      <w:r w:rsidRPr="002C4EC1">
        <w:rPr>
          <w:rFonts w:asciiTheme="majorBidi" w:hAnsiTheme="majorBidi" w:cstheme="majorBidi"/>
          <w:sz w:val="18"/>
          <w:szCs w:val="18"/>
        </w:rPr>
        <w:t xml:space="preserve"> referring to annex 37 (ii), chapter 3. </w:t>
      </w:r>
    </w:p>
  </w:footnote>
  <w:footnote w:id="119">
    <w:p w14:paraId="7AC7B374" w14:textId="77777777" w:rsidR="00543742" w:rsidRPr="002C4EC1" w:rsidRDefault="00543742" w:rsidP="00E846D4">
      <w:pPr>
        <w:pStyle w:val="FootnoteText"/>
        <w:ind w:firstLine="567"/>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Pr="002C4EC1">
        <w:rPr>
          <w:rFonts w:asciiTheme="majorBidi" w:eastAsia="Times New Roman" w:hAnsiTheme="majorBidi" w:cstheme="majorBidi"/>
          <w:sz w:val="18"/>
          <w:szCs w:val="18"/>
        </w:rPr>
        <w:t>ECE/</w:t>
      </w:r>
      <w:proofErr w:type="gramStart"/>
      <w:r w:rsidRPr="002C4EC1">
        <w:rPr>
          <w:rFonts w:asciiTheme="majorBidi" w:eastAsia="Times New Roman" w:hAnsiTheme="majorBidi" w:cstheme="majorBidi"/>
          <w:sz w:val="18"/>
          <w:szCs w:val="18"/>
        </w:rPr>
        <w:t>MP.PP</w:t>
      </w:r>
      <w:proofErr w:type="gramEnd"/>
      <w:r w:rsidRPr="002C4EC1">
        <w:rPr>
          <w:rFonts w:asciiTheme="majorBidi" w:eastAsia="Times New Roman" w:hAnsiTheme="majorBidi" w:cstheme="majorBidi"/>
          <w:sz w:val="18"/>
          <w:szCs w:val="18"/>
        </w:rPr>
        <w:t>/2009/4/Add.1, paragraph 38.</w:t>
      </w:r>
    </w:p>
  </w:footnote>
  <w:footnote w:id="120">
    <w:p w14:paraId="23BDB03B" w14:textId="003ECD9D" w:rsidR="00543742" w:rsidRPr="002C4EC1" w:rsidRDefault="00543742" w:rsidP="00E846D4">
      <w:pPr>
        <w:pStyle w:val="FootnoteText"/>
        <w:ind w:left="567" w:right="1109"/>
        <w:rPr>
          <w:rFonts w:asciiTheme="majorBidi" w:hAnsiTheme="majorBidi" w:cstheme="majorBidi"/>
          <w:sz w:val="18"/>
          <w:szCs w:val="18"/>
          <w:lang w:val="en-US"/>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Annex 9 to </w:t>
      </w:r>
      <w:r w:rsidR="002D3D2A">
        <w:rPr>
          <w:rFonts w:asciiTheme="majorBidi" w:hAnsiTheme="majorBidi" w:cstheme="majorBidi"/>
          <w:sz w:val="18"/>
          <w:szCs w:val="18"/>
        </w:rPr>
        <w:t>response to communication by Party concerned</w:t>
      </w:r>
      <w:r w:rsidRPr="002C4EC1">
        <w:rPr>
          <w:rFonts w:asciiTheme="majorBidi" w:hAnsiTheme="majorBidi" w:cstheme="majorBidi"/>
          <w:sz w:val="18"/>
          <w:szCs w:val="18"/>
        </w:rPr>
        <w:t>, especially pp. 68-78.</w:t>
      </w:r>
    </w:p>
  </w:footnote>
  <w:footnote w:id="121">
    <w:p w14:paraId="3F1E7B22" w14:textId="0462A760" w:rsidR="00543742" w:rsidRPr="002C4EC1" w:rsidRDefault="00543742" w:rsidP="00E846D4">
      <w:pPr>
        <w:pStyle w:val="FootnoteText"/>
        <w:ind w:left="567" w:right="1109"/>
        <w:rPr>
          <w:rFonts w:asciiTheme="majorBidi" w:hAnsiTheme="majorBidi" w:cstheme="majorBidi"/>
          <w:sz w:val="18"/>
          <w:szCs w:val="18"/>
          <w:lang w:val="en-US"/>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w:t>
      </w:r>
      <w:r w:rsidRPr="002C4EC1">
        <w:rPr>
          <w:rFonts w:asciiTheme="majorBidi" w:hAnsiTheme="majorBidi" w:cstheme="majorBidi"/>
          <w:sz w:val="18"/>
          <w:szCs w:val="18"/>
          <w:lang w:val="en-US"/>
        </w:rPr>
        <w:t xml:space="preserve">Annex 13 to </w:t>
      </w:r>
      <w:r w:rsidR="002D3D2A">
        <w:rPr>
          <w:rFonts w:asciiTheme="majorBidi" w:hAnsiTheme="majorBidi" w:cstheme="majorBidi"/>
          <w:sz w:val="18"/>
          <w:szCs w:val="18"/>
          <w:lang w:val="en-US"/>
        </w:rPr>
        <w:t>response to communication by Party concerned</w:t>
      </w:r>
      <w:r w:rsidRPr="002C4EC1">
        <w:rPr>
          <w:rFonts w:asciiTheme="majorBidi" w:hAnsiTheme="majorBidi" w:cstheme="majorBidi"/>
          <w:sz w:val="18"/>
          <w:szCs w:val="18"/>
          <w:lang w:val="en-US"/>
        </w:rPr>
        <w:t>, especially pp. 81-97.</w:t>
      </w:r>
    </w:p>
  </w:footnote>
  <w:footnote w:id="122">
    <w:p w14:paraId="75CF331D" w14:textId="108DBF89" w:rsidR="00543742" w:rsidRPr="002C4EC1" w:rsidRDefault="00543742" w:rsidP="003A7A56">
      <w:pPr>
        <w:pStyle w:val="FootnoteText"/>
        <w:ind w:left="567" w:right="1109"/>
        <w:rPr>
          <w:rFonts w:asciiTheme="majorBidi" w:hAnsiTheme="majorBidi" w:cstheme="majorBidi"/>
          <w:sz w:val="18"/>
          <w:szCs w:val="18"/>
        </w:rPr>
      </w:pPr>
      <w:r w:rsidRPr="002C4EC1">
        <w:rPr>
          <w:rStyle w:val="FootnoteReference"/>
          <w:rFonts w:asciiTheme="majorBidi" w:hAnsiTheme="majorBidi" w:cstheme="majorBidi"/>
          <w:szCs w:val="18"/>
        </w:rPr>
        <w:footnoteRef/>
      </w:r>
      <w:r w:rsidRPr="002C4EC1">
        <w:rPr>
          <w:rFonts w:asciiTheme="majorBidi" w:hAnsiTheme="majorBidi" w:cstheme="majorBidi"/>
          <w:sz w:val="18"/>
          <w:szCs w:val="18"/>
        </w:rPr>
        <w:t xml:space="preserve"> See also </w:t>
      </w:r>
      <w:r w:rsidRPr="002C4EC1">
        <w:rPr>
          <w:rFonts w:asciiTheme="majorBidi" w:hAnsiTheme="majorBidi" w:cstheme="majorBidi"/>
          <w:i/>
          <w:sz w:val="18"/>
          <w:szCs w:val="18"/>
        </w:rPr>
        <w:t xml:space="preserve">The Aarhus Convention: An Implementation Guide </w:t>
      </w:r>
      <w:r w:rsidRPr="002C4EC1">
        <w:rPr>
          <w:rFonts w:asciiTheme="majorBidi" w:hAnsiTheme="majorBidi" w:cstheme="majorBidi"/>
          <w:sz w:val="18"/>
          <w:szCs w:val="18"/>
        </w:rPr>
        <w:t>(Implementation Guide), United Nations publication, Sales No. E.13.II.E.3, p. 179.</w:t>
      </w:r>
    </w:p>
  </w:footnote>
  <w:footnote w:id="123">
    <w:p w14:paraId="119EA352" w14:textId="68325BE2" w:rsidR="00543742" w:rsidRPr="000F4DAD" w:rsidRDefault="00543742" w:rsidP="00E47C6E">
      <w:pPr>
        <w:pStyle w:val="FootnoteText"/>
        <w:ind w:firstLine="567"/>
        <w:rPr>
          <w:rFonts w:ascii="Times New Roman" w:hAnsi="Times New Roman"/>
          <w:sz w:val="18"/>
        </w:rPr>
      </w:pPr>
      <w:r w:rsidRPr="002C4EC1">
        <w:rPr>
          <w:rStyle w:val="FootnoteReference"/>
          <w:rFonts w:asciiTheme="majorBidi" w:hAnsiTheme="majorBidi" w:cstheme="majorBidi"/>
        </w:rPr>
        <w:footnoteRef/>
      </w:r>
      <w:r w:rsidRPr="00FD13A4">
        <w:rPr>
          <w:rFonts w:asciiTheme="majorBidi" w:hAnsiTheme="majorBidi"/>
          <w:lang w:val="es-ES"/>
        </w:rPr>
        <w:t xml:space="preserve"> </w:t>
      </w:r>
      <w:r w:rsidRPr="006432DC">
        <w:rPr>
          <w:rFonts w:ascii="Times New Roman" w:eastAsia="Times New Roman" w:hAnsi="Times New Roman" w:cs="Times New Roman"/>
          <w:sz w:val="18"/>
          <w:szCs w:val="18"/>
          <w:lang w:val="es-ES" w:eastAsia="en-US"/>
        </w:rPr>
        <w:t>ECE/</w:t>
      </w:r>
      <w:proofErr w:type="gramStart"/>
      <w:r w:rsidRPr="006432DC">
        <w:rPr>
          <w:rFonts w:ascii="Times New Roman" w:eastAsia="Times New Roman" w:hAnsi="Times New Roman" w:cs="Times New Roman"/>
          <w:sz w:val="18"/>
          <w:szCs w:val="18"/>
          <w:lang w:val="es-ES" w:eastAsia="en-US"/>
        </w:rPr>
        <w:t>MP.PP</w:t>
      </w:r>
      <w:proofErr w:type="gramEnd"/>
      <w:r w:rsidRPr="006432DC">
        <w:rPr>
          <w:rFonts w:ascii="Times New Roman" w:eastAsia="Times New Roman" w:hAnsi="Times New Roman" w:cs="Times New Roman"/>
          <w:sz w:val="18"/>
          <w:szCs w:val="18"/>
          <w:lang w:val="es-ES" w:eastAsia="en-US"/>
        </w:rPr>
        <w:t xml:space="preserve">/2008/5/Add.6, </w:t>
      </w:r>
      <w:r w:rsidRPr="006432DC">
        <w:rPr>
          <w:rFonts w:ascii="Times New Roman" w:hAnsi="Times New Roman" w:cs="Times New Roman"/>
          <w:sz w:val="18"/>
          <w:szCs w:val="18"/>
          <w:lang w:val="es-ES"/>
        </w:rPr>
        <w:t>para.</w:t>
      </w:r>
      <w:r w:rsidRPr="00FD13A4">
        <w:rPr>
          <w:rFonts w:ascii="Times New Roman" w:hAnsi="Times New Roman"/>
          <w:sz w:val="18"/>
          <w:lang w:val="es-ES"/>
        </w:rPr>
        <w:t xml:space="preserve"> </w:t>
      </w:r>
      <w:r w:rsidRPr="000F4DAD">
        <w:rPr>
          <w:rFonts w:ascii="Times New Roman" w:hAnsi="Times New Roman"/>
          <w:sz w:val="18"/>
        </w:rPr>
        <w:t>79.</w:t>
      </w:r>
    </w:p>
  </w:footnote>
  <w:footnote w:id="124">
    <w:p w14:paraId="07B391AE" w14:textId="16B00F35" w:rsidR="00543742" w:rsidRPr="00FD13A4" w:rsidRDefault="00543742" w:rsidP="00E47C6E">
      <w:pPr>
        <w:widowControl w:val="0"/>
        <w:autoSpaceDE w:val="0"/>
        <w:autoSpaceDN w:val="0"/>
        <w:adjustRightInd w:val="0"/>
        <w:spacing w:after="240" w:line="240" w:lineRule="auto"/>
        <w:ind w:firstLine="567"/>
        <w:rPr>
          <w:rFonts w:ascii="Times New Roman" w:hAnsi="Times New Roman"/>
          <w:i/>
          <w:sz w:val="18"/>
          <w:lang w:val="en-US"/>
        </w:rPr>
      </w:pPr>
      <w:r w:rsidRPr="00FD13A4">
        <w:rPr>
          <w:rStyle w:val="FootnoteReference"/>
        </w:rPr>
        <w:footnoteRef/>
      </w:r>
      <w:r w:rsidRPr="006432DC">
        <w:rPr>
          <w:rFonts w:ascii="Times New Roman" w:hAnsi="Times New Roman" w:cs="Times New Roman"/>
          <w:sz w:val="18"/>
          <w:szCs w:val="18"/>
        </w:rPr>
        <w:t xml:space="preserve"> </w:t>
      </w:r>
      <w:r w:rsidRPr="006432DC">
        <w:rPr>
          <w:rFonts w:ascii="Times New Roman" w:hAnsi="Times New Roman" w:cs="Times New Roman"/>
          <w:sz w:val="18"/>
          <w:szCs w:val="18"/>
          <w:lang w:val="en-US"/>
        </w:rPr>
        <w:t xml:space="preserve">See findings on </w:t>
      </w:r>
      <w:r w:rsidRPr="006432DC">
        <w:rPr>
          <w:rFonts w:ascii="Times New Roman" w:hAnsi="Times New Roman" w:cs="Times New Roman"/>
          <w:iCs/>
          <w:sz w:val="18"/>
          <w:szCs w:val="18"/>
          <w:lang w:val="en-US"/>
        </w:rPr>
        <w:t>ACCC/C/2009/38 (United Kingdom), (ECE/</w:t>
      </w:r>
      <w:proofErr w:type="gramStart"/>
      <w:r w:rsidRPr="006432DC">
        <w:rPr>
          <w:rFonts w:ascii="Times New Roman" w:hAnsi="Times New Roman" w:cs="Times New Roman"/>
          <w:iCs/>
          <w:sz w:val="18"/>
          <w:szCs w:val="18"/>
          <w:lang w:val="en-US"/>
        </w:rPr>
        <w:t>MP.PP</w:t>
      </w:r>
      <w:proofErr w:type="gramEnd"/>
      <w:r w:rsidRPr="006432DC">
        <w:rPr>
          <w:rFonts w:ascii="Times New Roman" w:hAnsi="Times New Roman" w:cs="Times New Roman"/>
          <w:iCs/>
          <w:sz w:val="18"/>
          <w:szCs w:val="18"/>
          <w:lang w:val="en-US"/>
        </w:rPr>
        <w:t>/C.1/2011/2/Add.10), para. 82</w:t>
      </w:r>
      <w:r>
        <w:rPr>
          <w:rFonts w:ascii="Times New Roman" w:hAnsi="Times New Roman" w:cs="Times New Roman"/>
          <w:iCs/>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8128" w14:textId="0B3077FC" w:rsidR="00543742" w:rsidRPr="006A6955" w:rsidRDefault="009B13E1" w:rsidP="00A57D45">
    <w:pPr>
      <w:pStyle w:val="Header"/>
      <w:jc w:val="right"/>
    </w:pPr>
    <w:r>
      <w:t>ACCC/C/2014</w:t>
    </w:r>
    <w:r w:rsidR="00543742" w:rsidRPr="006A6955">
      <w:t>/</w:t>
    </w:r>
    <w:r w:rsidR="00543742">
      <w:t xml:space="preserve">100 </w:t>
    </w:r>
    <w:r>
      <w:t>(United Kingdom)</w:t>
    </w:r>
  </w:p>
  <w:p w14:paraId="2F8EAF4A" w14:textId="3C09E487" w:rsidR="00543742" w:rsidRDefault="00543742" w:rsidP="00512C04">
    <w:pPr>
      <w:pStyle w:val="Header"/>
      <w:jc w:val="right"/>
    </w:pPr>
    <w:r>
      <w:t xml:space="preserve">Draft findings </w:t>
    </w:r>
    <w:r w:rsidR="009B13E1">
      <w:t>for parties’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1804"/>
    <w:multiLevelType w:val="hybridMultilevel"/>
    <w:tmpl w:val="1DDA9884"/>
    <w:lvl w:ilvl="0" w:tplc="88E4FE6A">
      <w:start w:val="1"/>
      <w:numFmt w:val="lowerLetter"/>
      <w:lvlText w:val="(%1)"/>
      <w:lvlJc w:val="left"/>
      <w:pPr>
        <w:ind w:left="1882" w:hanging="360"/>
      </w:pPr>
      <w:rPr>
        <w:rFonts w:hint="default"/>
        <w:sz w:val="20"/>
        <w:szCs w:val="20"/>
      </w:r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1" w15:restartNumberingAfterBreak="0">
    <w:nsid w:val="48313E0D"/>
    <w:multiLevelType w:val="hybridMultilevel"/>
    <w:tmpl w:val="E6CEF61C"/>
    <w:lvl w:ilvl="0" w:tplc="07605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3" w15:restartNumberingAfterBreak="0">
    <w:nsid w:val="5E732D6A"/>
    <w:multiLevelType w:val="hybridMultilevel"/>
    <w:tmpl w:val="C8E46A18"/>
    <w:lvl w:ilvl="0" w:tplc="B96848F0">
      <w:start w:val="1"/>
      <w:numFmt w:val="decimal"/>
      <w:lvlText w:val="%1."/>
      <w:lvlJc w:val="left"/>
      <w:pPr>
        <w:tabs>
          <w:tab w:val="num" w:pos="1144"/>
        </w:tabs>
        <w:ind w:left="1144" w:hanging="576"/>
      </w:pPr>
      <w:rPr>
        <w:i w:val="0"/>
        <w:color w:val="auto"/>
        <w:lang w:val="en-GB"/>
      </w:rPr>
    </w:lvl>
    <w:lvl w:ilvl="1" w:tplc="88E4FE6A">
      <w:start w:val="1"/>
      <w:numFmt w:val="lowerLetter"/>
      <w:lvlText w:val="(%2)"/>
      <w:lvlJc w:val="left"/>
      <w:pPr>
        <w:tabs>
          <w:tab w:val="num" w:pos="2242"/>
        </w:tabs>
        <w:ind w:left="2242" w:hanging="720"/>
      </w:pPr>
      <w:rPr>
        <w:rFonts w:hint="default"/>
        <w:sz w:val="20"/>
        <w:szCs w:val="20"/>
      </w:rPr>
    </w:lvl>
    <w:lvl w:ilvl="2" w:tplc="0409001B">
      <w:start w:val="1"/>
      <w:numFmt w:val="lowerRoman"/>
      <w:lvlText w:val="%3."/>
      <w:lvlJc w:val="right"/>
      <w:pPr>
        <w:tabs>
          <w:tab w:val="num" w:pos="2602"/>
        </w:tabs>
        <w:ind w:left="2602" w:hanging="180"/>
      </w:pPr>
    </w:lvl>
    <w:lvl w:ilvl="3" w:tplc="0409000F">
      <w:start w:val="1"/>
      <w:numFmt w:val="decimal"/>
      <w:lvlText w:val="%4."/>
      <w:lvlJc w:val="left"/>
      <w:pPr>
        <w:tabs>
          <w:tab w:val="num" w:pos="3322"/>
        </w:tabs>
        <w:ind w:left="3322" w:hanging="360"/>
      </w:pPr>
    </w:lvl>
    <w:lvl w:ilvl="4" w:tplc="04090019">
      <w:start w:val="1"/>
      <w:numFmt w:val="lowerLetter"/>
      <w:lvlText w:val="%5."/>
      <w:lvlJc w:val="left"/>
      <w:pPr>
        <w:tabs>
          <w:tab w:val="num" w:pos="4042"/>
        </w:tabs>
        <w:ind w:left="4042" w:hanging="360"/>
      </w:pPr>
    </w:lvl>
    <w:lvl w:ilvl="5" w:tplc="0409001B">
      <w:start w:val="1"/>
      <w:numFmt w:val="lowerRoman"/>
      <w:lvlText w:val="%6."/>
      <w:lvlJc w:val="right"/>
      <w:pPr>
        <w:tabs>
          <w:tab w:val="num" w:pos="4762"/>
        </w:tabs>
        <w:ind w:left="4762" w:hanging="180"/>
      </w:pPr>
    </w:lvl>
    <w:lvl w:ilvl="6" w:tplc="0409000F">
      <w:start w:val="1"/>
      <w:numFmt w:val="decimal"/>
      <w:lvlText w:val="%7."/>
      <w:lvlJc w:val="left"/>
      <w:pPr>
        <w:tabs>
          <w:tab w:val="num" w:pos="5482"/>
        </w:tabs>
        <w:ind w:left="5482" w:hanging="360"/>
      </w:pPr>
    </w:lvl>
    <w:lvl w:ilvl="7" w:tplc="04090019">
      <w:start w:val="1"/>
      <w:numFmt w:val="lowerLetter"/>
      <w:lvlText w:val="%8."/>
      <w:lvlJc w:val="left"/>
      <w:pPr>
        <w:tabs>
          <w:tab w:val="num" w:pos="6202"/>
        </w:tabs>
        <w:ind w:left="6202" w:hanging="360"/>
      </w:pPr>
    </w:lvl>
    <w:lvl w:ilvl="8" w:tplc="0409001B">
      <w:start w:val="1"/>
      <w:numFmt w:val="lowerRoman"/>
      <w:lvlText w:val="%9."/>
      <w:lvlJc w:val="right"/>
      <w:pPr>
        <w:tabs>
          <w:tab w:val="num" w:pos="6922"/>
        </w:tabs>
        <w:ind w:left="6922" w:hanging="180"/>
      </w:pPr>
    </w:lvl>
  </w:abstractNum>
  <w:abstractNum w:abstractNumId="4" w15:restartNumberingAfterBreak="0">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5" w15:restartNumberingAfterBreak="0">
    <w:nsid w:val="63190374"/>
    <w:multiLevelType w:val="hybridMultilevel"/>
    <w:tmpl w:val="E6CEF61C"/>
    <w:lvl w:ilvl="0" w:tplc="07605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A25BB"/>
    <w:multiLevelType w:val="hybridMultilevel"/>
    <w:tmpl w:val="C5B405B6"/>
    <w:lvl w:ilvl="0" w:tplc="B96848F0">
      <w:start w:val="1"/>
      <w:numFmt w:val="decimal"/>
      <w:lvlText w:val="%1."/>
      <w:lvlJc w:val="left"/>
      <w:pPr>
        <w:tabs>
          <w:tab w:val="num" w:pos="1144"/>
        </w:tabs>
        <w:ind w:left="1144" w:hanging="576"/>
      </w:pPr>
      <w:rPr>
        <w:i w:val="0"/>
        <w:color w:val="auto"/>
        <w:lang w:val="en-GB"/>
      </w:rPr>
    </w:lvl>
    <w:lvl w:ilvl="1" w:tplc="74D0F156">
      <w:start w:val="1"/>
      <w:numFmt w:val="lowerRoman"/>
      <w:lvlText w:val="(%2)"/>
      <w:lvlJc w:val="left"/>
      <w:pPr>
        <w:tabs>
          <w:tab w:val="num" w:pos="1980"/>
        </w:tabs>
        <w:ind w:left="1980" w:hanging="720"/>
      </w:pPr>
      <w:rPr>
        <w:rFonts w:ascii="Times New Roman" w:eastAsia="Times New Roman" w:hAnsi="Times New Roman" w:cs="Times New Roman"/>
        <w:sz w:val="20"/>
        <w:szCs w:val="20"/>
      </w:rPr>
    </w:lvl>
    <w:lvl w:ilvl="2" w:tplc="0409001B">
      <w:start w:val="1"/>
      <w:numFmt w:val="lowerRoman"/>
      <w:lvlText w:val="%3."/>
      <w:lvlJc w:val="right"/>
      <w:pPr>
        <w:tabs>
          <w:tab w:val="num" w:pos="2602"/>
        </w:tabs>
        <w:ind w:left="2602" w:hanging="180"/>
      </w:pPr>
    </w:lvl>
    <w:lvl w:ilvl="3" w:tplc="0409000F">
      <w:start w:val="1"/>
      <w:numFmt w:val="decimal"/>
      <w:lvlText w:val="%4."/>
      <w:lvlJc w:val="left"/>
      <w:pPr>
        <w:tabs>
          <w:tab w:val="num" w:pos="3322"/>
        </w:tabs>
        <w:ind w:left="3322" w:hanging="360"/>
      </w:pPr>
    </w:lvl>
    <w:lvl w:ilvl="4" w:tplc="04090019">
      <w:start w:val="1"/>
      <w:numFmt w:val="lowerLetter"/>
      <w:lvlText w:val="%5."/>
      <w:lvlJc w:val="left"/>
      <w:pPr>
        <w:tabs>
          <w:tab w:val="num" w:pos="4042"/>
        </w:tabs>
        <w:ind w:left="4042" w:hanging="360"/>
      </w:pPr>
    </w:lvl>
    <w:lvl w:ilvl="5" w:tplc="0409001B">
      <w:start w:val="1"/>
      <w:numFmt w:val="lowerRoman"/>
      <w:lvlText w:val="%6."/>
      <w:lvlJc w:val="right"/>
      <w:pPr>
        <w:tabs>
          <w:tab w:val="num" w:pos="4762"/>
        </w:tabs>
        <w:ind w:left="4762" w:hanging="180"/>
      </w:pPr>
    </w:lvl>
    <w:lvl w:ilvl="6" w:tplc="0409000F">
      <w:start w:val="1"/>
      <w:numFmt w:val="decimal"/>
      <w:lvlText w:val="%7."/>
      <w:lvlJc w:val="left"/>
      <w:pPr>
        <w:tabs>
          <w:tab w:val="num" w:pos="5482"/>
        </w:tabs>
        <w:ind w:left="5482" w:hanging="360"/>
      </w:pPr>
    </w:lvl>
    <w:lvl w:ilvl="7" w:tplc="04090019">
      <w:start w:val="1"/>
      <w:numFmt w:val="lowerLetter"/>
      <w:lvlText w:val="%8."/>
      <w:lvlJc w:val="left"/>
      <w:pPr>
        <w:tabs>
          <w:tab w:val="num" w:pos="6202"/>
        </w:tabs>
        <w:ind w:left="6202" w:hanging="360"/>
      </w:pPr>
    </w:lvl>
    <w:lvl w:ilvl="8" w:tplc="0409001B">
      <w:start w:val="1"/>
      <w:numFmt w:val="lowerRoman"/>
      <w:lvlText w:val="%9."/>
      <w:lvlJc w:val="right"/>
      <w:pPr>
        <w:tabs>
          <w:tab w:val="num" w:pos="6922"/>
        </w:tabs>
        <w:ind w:left="692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ar-SA" w:vendorID="64" w:dllVersion="0" w:nlCheck="1" w:checkStyle="0"/>
  <w:activeWritingStyle w:appName="MSWord" w:lang="ar-SA" w:vendorID="64" w:dllVersion="6" w:nlCheck="1" w:checkStyle="0"/>
  <w:activeWritingStyle w:appName="MSWord" w:lang="de-AT" w:vendorID="64" w:dllVersion="6" w:nlCheck="1" w:checkStyle="0"/>
  <w:activeWritingStyle w:appName="MSWord" w:lang="fr-FR" w:vendorID="64" w:dllVersion="6" w:nlCheck="1" w:checkStyle="0"/>
  <w:activeWritingStyle w:appName="MSWord" w:lang="fr-FR" w:vendorID="64" w:dllVersion="0" w:nlCheck="1" w:checkStyle="0"/>
  <w:proofState w:spelling="clean" w:grammar="clean"/>
  <w:defaultTabStop w:val="720"/>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7D"/>
    <w:rsid w:val="00003089"/>
    <w:rsid w:val="00003159"/>
    <w:rsid w:val="00004909"/>
    <w:rsid w:val="000063D8"/>
    <w:rsid w:val="00010E2E"/>
    <w:rsid w:val="00010EE3"/>
    <w:rsid w:val="0001192B"/>
    <w:rsid w:val="00011AB3"/>
    <w:rsid w:val="00012045"/>
    <w:rsid w:val="00012813"/>
    <w:rsid w:val="0001734E"/>
    <w:rsid w:val="00022295"/>
    <w:rsid w:val="0002377F"/>
    <w:rsid w:val="00024449"/>
    <w:rsid w:val="000256A7"/>
    <w:rsid w:val="0002597C"/>
    <w:rsid w:val="00025A8D"/>
    <w:rsid w:val="00025C27"/>
    <w:rsid w:val="00025EF0"/>
    <w:rsid w:val="00026537"/>
    <w:rsid w:val="0003031B"/>
    <w:rsid w:val="00032380"/>
    <w:rsid w:val="00032AFE"/>
    <w:rsid w:val="00033D3C"/>
    <w:rsid w:val="00036A43"/>
    <w:rsid w:val="00037D59"/>
    <w:rsid w:val="000400BB"/>
    <w:rsid w:val="00040C4C"/>
    <w:rsid w:val="000410BD"/>
    <w:rsid w:val="00042EA9"/>
    <w:rsid w:val="000438DD"/>
    <w:rsid w:val="00043ED9"/>
    <w:rsid w:val="0004464D"/>
    <w:rsid w:val="000450DE"/>
    <w:rsid w:val="00046032"/>
    <w:rsid w:val="00053A4F"/>
    <w:rsid w:val="00054787"/>
    <w:rsid w:val="0006075C"/>
    <w:rsid w:val="00060AC2"/>
    <w:rsid w:val="00061172"/>
    <w:rsid w:val="0006684E"/>
    <w:rsid w:val="00067975"/>
    <w:rsid w:val="00067A2C"/>
    <w:rsid w:val="00067A7F"/>
    <w:rsid w:val="00070152"/>
    <w:rsid w:val="000701C4"/>
    <w:rsid w:val="0007262D"/>
    <w:rsid w:val="00072A1A"/>
    <w:rsid w:val="000760D0"/>
    <w:rsid w:val="0007617D"/>
    <w:rsid w:val="000762CE"/>
    <w:rsid w:val="00077039"/>
    <w:rsid w:val="000774BB"/>
    <w:rsid w:val="0007779B"/>
    <w:rsid w:val="000805ED"/>
    <w:rsid w:val="00081D67"/>
    <w:rsid w:val="00081ED6"/>
    <w:rsid w:val="0008222F"/>
    <w:rsid w:val="00085FEB"/>
    <w:rsid w:val="00086D74"/>
    <w:rsid w:val="00086E5B"/>
    <w:rsid w:val="000876D8"/>
    <w:rsid w:val="00090238"/>
    <w:rsid w:val="000903B4"/>
    <w:rsid w:val="00091845"/>
    <w:rsid w:val="000933AF"/>
    <w:rsid w:val="00093902"/>
    <w:rsid w:val="0009657C"/>
    <w:rsid w:val="00096A23"/>
    <w:rsid w:val="000976CE"/>
    <w:rsid w:val="00097918"/>
    <w:rsid w:val="000A084C"/>
    <w:rsid w:val="000A0FC7"/>
    <w:rsid w:val="000A1A5B"/>
    <w:rsid w:val="000A217E"/>
    <w:rsid w:val="000A3381"/>
    <w:rsid w:val="000A377D"/>
    <w:rsid w:val="000A6227"/>
    <w:rsid w:val="000A6814"/>
    <w:rsid w:val="000A7062"/>
    <w:rsid w:val="000A75D2"/>
    <w:rsid w:val="000B047F"/>
    <w:rsid w:val="000B17B6"/>
    <w:rsid w:val="000B26AE"/>
    <w:rsid w:val="000B36A9"/>
    <w:rsid w:val="000B4574"/>
    <w:rsid w:val="000B4648"/>
    <w:rsid w:val="000B4D16"/>
    <w:rsid w:val="000B6102"/>
    <w:rsid w:val="000C0D80"/>
    <w:rsid w:val="000C183E"/>
    <w:rsid w:val="000C1C15"/>
    <w:rsid w:val="000C21EA"/>
    <w:rsid w:val="000C25EB"/>
    <w:rsid w:val="000C2EAF"/>
    <w:rsid w:val="000C302F"/>
    <w:rsid w:val="000C3C78"/>
    <w:rsid w:val="000C6798"/>
    <w:rsid w:val="000C686A"/>
    <w:rsid w:val="000C6AFE"/>
    <w:rsid w:val="000C76EC"/>
    <w:rsid w:val="000C7BFF"/>
    <w:rsid w:val="000D0178"/>
    <w:rsid w:val="000D0A99"/>
    <w:rsid w:val="000D10B5"/>
    <w:rsid w:val="000D2A98"/>
    <w:rsid w:val="000D3315"/>
    <w:rsid w:val="000D38AB"/>
    <w:rsid w:val="000D4429"/>
    <w:rsid w:val="000D554A"/>
    <w:rsid w:val="000D606E"/>
    <w:rsid w:val="000D7A28"/>
    <w:rsid w:val="000E0423"/>
    <w:rsid w:val="000E1310"/>
    <w:rsid w:val="000E3F4A"/>
    <w:rsid w:val="000E4027"/>
    <w:rsid w:val="000E42FB"/>
    <w:rsid w:val="000E4966"/>
    <w:rsid w:val="000E4BC1"/>
    <w:rsid w:val="000E4DF4"/>
    <w:rsid w:val="000E501E"/>
    <w:rsid w:val="000F1CBD"/>
    <w:rsid w:val="000F1DCB"/>
    <w:rsid w:val="000F1F50"/>
    <w:rsid w:val="000F27F9"/>
    <w:rsid w:val="000F38FF"/>
    <w:rsid w:val="000F3DC4"/>
    <w:rsid w:val="000F40BB"/>
    <w:rsid w:val="000F40EF"/>
    <w:rsid w:val="000F45DB"/>
    <w:rsid w:val="000F4DAD"/>
    <w:rsid w:val="000F540D"/>
    <w:rsid w:val="000F7DFA"/>
    <w:rsid w:val="001003A2"/>
    <w:rsid w:val="00101CEF"/>
    <w:rsid w:val="0010216E"/>
    <w:rsid w:val="001023BD"/>
    <w:rsid w:val="00103167"/>
    <w:rsid w:val="001034F2"/>
    <w:rsid w:val="0010368D"/>
    <w:rsid w:val="00105D0B"/>
    <w:rsid w:val="00107DD8"/>
    <w:rsid w:val="0011192C"/>
    <w:rsid w:val="00111F28"/>
    <w:rsid w:val="00112E16"/>
    <w:rsid w:val="00113EA2"/>
    <w:rsid w:val="0011444B"/>
    <w:rsid w:val="00115582"/>
    <w:rsid w:val="001158CB"/>
    <w:rsid w:val="001158D1"/>
    <w:rsid w:val="00115E8E"/>
    <w:rsid w:val="001168C1"/>
    <w:rsid w:val="00117238"/>
    <w:rsid w:val="00117B41"/>
    <w:rsid w:val="001239BC"/>
    <w:rsid w:val="001257BA"/>
    <w:rsid w:val="00125EB5"/>
    <w:rsid w:val="00127490"/>
    <w:rsid w:val="00130424"/>
    <w:rsid w:val="00131B5D"/>
    <w:rsid w:val="00133C4B"/>
    <w:rsid w:val="00134689"/>
    <w:rsid w:val="00134957"/>
    <w:rsid w:val="00134BCC"/>
    <w:rsid w:val="0013555D"/>
    <w:rsid w:val="0013566B"/>
    <w:rsid w:val="001366FE"/>
    <w:rsid w:val="0013796C"/>
    <w:rsid w:val="001433E2"/>
    <w:rsid w:val="00144F7C"/>
    <w:rsid w:val="00146C4C"/>
    <w:rsid w:val="00151295"/>
    <w:rsid w:val="001516CA"/>
    <w:rsid w:val="00151EC4"/>
    <w:rsid w:val="0015239C"/>
    <w:rsid w:val="00152547"/>
    <w:rsid w:val="00153148"/>
    <w:rsid w:val="00154783"/>
    <w:rsid w:val="001547AE"/>
    <w:rsid w:val="001548C0"/>
    <w:rsid w:val="0015524A"/>
    <w:rsid w:val="00155355"/>
    <w:rsid w:val="00155C1C"/>
    <w:rsid w:val="0015690C"/>
    <w:rsid w:val="00157DE4"/>
    <w:rsid w:val="00162C6C"/>
    <w:rsid w:val="00162D1A"/>
    <w:rsid w:val="00163411"/>
    <w:rsid w:val="00163D6F"/>
    <w:rsid w:val="00164C24"/>
    <w:rsid w:val="0016588B"/>
    <w:rsid w:val="00165EF5"/>
    <w:rsid w:val="001666B3"/>
    <w:rsid w:val="0016682C"/>
    <w:rsid w:val="0017168A"/>
    <w:rsid w:val="00173D51"/>
    <w:rsid w:val="001742B1"/>
    <w:rsid w:val="00176BF3"/>
    <w:rsid w:val="0017761A"/>
    <w:rsid w:val="00181016"/>
    <w:rsid w:val="00181789"/>
    <w:rsid w:val="00183137"/>
    <w:rsid w:val="00183543"/>
    <w:rsid w:val="00183923"/>
    <w:rsid w:val="00183961"/>
    <w:rsid w:val="00183FE5"/>
    <w:rsid w:val="001840ED"/>
    <w:rsid w:val="001846C9"/>
    <w:rsid w:val="00184DCA"/>
    <w:rsid w:val="00185970"/>
    <w:rsid w:val="00185B8B"/>
    <w:rsid w:val="001864F6"/>
    <w:rsid w:val="00186C06"/>
    <w:rsid w:val="001877E0"/>
    <w:rsid w:val="00187D58"/>
    <w:rsid w:val="0019022D"/>
    <w:rsid w:val="00190BA5"/>
    <w:rsid w:val="00191511"/>
    <w:rsid w:val="00192A82"/>
    <w:rsid w:val="001948D3"/>
    <w:rsid w:val="00194F7E"/>
    <w:rsid w:val="00195A86"/>
    <w:rsid w:val="00196490"/>
    <w:rsid w:val="0019666D"/>
    <w:rsid w:val="0019789E"/>
    <w:rsid w:val="00197AEB"/>
    <w:rsid w:val="001A00C7"/>
    <w:rsid w:val="001A14CB"/>
    <w:rsid w:val="001A334E"/>
    <w:rsid w:val="001A435B"/>
    <w:rsid w:val="001A4EE8"/>
    <w:rsid w:val="001A5D73"/>
    <w:rsid w:val="001B260D"/>
    <w:rsid w:val="001B2BE9"/>
    <w:rsid w:val="001B6412"/>
    <w:rsid w:val="001B75F4"/>
    <w:rsid w:val="001B7713"/>
    <w:rsid w:val="001B7A63"/>
    <w:rsid w:val="001B7B80"/>
    <w:rsid w:val="001C0442"/>
    <w:rsid w:val="001C0D6A"/>
    <w:rsid w:val="001C1857"/>
    <w:rsid w:val="001C1C9F"/>
    <w:rsid w:val="001C3262"/>
    <w:rsid w:val="001C34C0"/>
    <w:rsid w:val="001C396F"/>
    <w:rsid w:val="001C423B"/>
    <w:rsid w:val="001C6519"/>
    <w:rsid w:val="001C6C2F"/>
    <w:rsid w:val="001D0426"/>
    <w:rsid w:val="001D086B"/>
    <w:rsid w:val="001D1961"/>
    <w:rsid w:val="001D1F05"/>
    <w:rsid w:val="001D22FF"/>
    <w:rsid w:val="001D5934"/>
    <w:rsid w:val="001D67CC"/>
    <w:rsid w:val="001E077D"/>
    <w:rsid w:val="001E15DA"/>
    <w:rsid w:val="001E21B8"/>
    <w:rsid w:val="001E2CBC"/>
    <w:rsid w:val="001E369E"/>
    <w:rsid w:val="001E371F"/>
    <w:rsid w:val="001F3332"/>
    <w:rsid w:val="001F3466"/>
    <w:rsid w:val="001F3E19"/>
    <w:rsid w:val="001F4F05"/>
    <w:rsid w:val="001F51E8"/>
    <w:rsid w:val="001F6146"/>
    <w:rsid w:val="001F656D"/>
    <w:rsid w:val="001F6AAB"/>
    <w:rsid w:val="00200EBB"/>
    <w:rsid w:val="00201CE4"/>
    <w:rsid w:val="00202475"/>
    <w:rsid w:val="00202D1A"/>
    <w:rsid w:val="0020330F"/>
    <w:rsid w:val="00205A7F"/>
    <w:rsid w:val="00205FE4"/>
    <w:rsid w:val="002065C7"/>
    <w:rsid w:val="00206924"/>
    <w:rsid w:val="00206E03"/>
    <w:rsid w:val="0021007C"/>
    <w:rsid w:val="00210E37"/>
    <w:rsid w:val="00211E21"/>
    <w:rsid w:val="00211E8B"/>
    <w:rsid w:val="00212534"/>
    <w:rsid w:val="002137E0"/>
    <w:rsid w:val="0021499A"/>
    <w:rsid w:val="00214A26"/>
    <w:rsid w:val="00215361"/>
    <w:rsid w:val="00216B6D"/>
    <w:rsid w:val="00217AD1"/>
    <w:rsid w:val="00217D9E"/>
    <w:rsid w:val="00220170"/>
    <w:rsid w:val="00220808"/>
    <w:rsid w:val="002211A2"/>
    <w:rsid w:val="00221FE4"/>
    <w:rsid w:val="00222BE5"/>
    <w:rsid w:val="00222CF6"/>
    <w:rsid w:val="00222CF7"/>
    <w:rsid w:val="00222CF8"/>
    <w:rsid w:val="00223A13"/>
    <w:rsid w:val="00224CF8"/>
    <w:rsid w:val="00231067"/>
    <w:rsid w:val="002338CD"/>
    <w:rsid w:val="00233BB0"/>
    <w:rsid w:val="00234568"/>
    <w:rsid w:val="002375C9"/>
    <w:rsid w:val="00237891"/>
    <w:rsid w:val="002419DF"/>
    <w:rsid w:val="0024270F"/>
    <w:rsid w:val="00243AA4"/>
    <w:rsid w:val="00244906"/>
    <w:rsid w:val="00244DF7"/>
    <w:rsid w:val="00245266"/>
    <w:rsid w:val="002457E3"/>
    <w:rsid w:val="002462EB"/>
    <w:rsid w:val="00247881"/>
    <w:rsid w:val="0025095C"/>
    <w:rsid w:val="00251835"/>
    <w:rsid w:val="00251981"/>
    <w:rsid w:val="0025364C"/>
    <w:rsid w:val="00254BC7"/>
    <w:rsid w:val="00254D15"/>
    <w:rsid w:val="00257F3C"/>
    <w:rsid w:val="0026024C"/>
    <w:rsid w:val="00260D38"/>
    <w:rsid w:val="002611C8"/>
    <w:rsid w:val="00261EC4"/>
    <w:rsid w:val="00263B83"/>
    <w:rsid w:val="00263EC1"/>
    <w:rsid w:val="002654B0"/>
    <w:rsid w:val="0026738D"/>
    <w:rsid w:val="00270D86"/>
    <w:rsid w:val="00270DC7"/>
    <w:rsid w:val="00270FA8"/>
    <w:rsid w:val="002718B8"/>
    <w:rsid w:val="00271B7E"/>
    <w:rsid w:val="002736DD"/>
    <w:rsid w:val="00276D4E"/>
    <w:rsid w:val="00277242"/>
    <w:rsid w:val="002806D4"/>
    <w:rsid w:val="00280CF9"/>
    <w:rsid w:val="002821E0"/>
    <w:rsid w:val="002846A4"/>
    <w:rsid w:val="00286079"/>
    <w:rsid w:val="00286CFF"/>
    <w:rsid w:val="00286FC3"/>
    <w:rsid w:val="00287286"/>
    <w:rsid w:val="00290701"/>
    <w:rsid w:val="00290C99"/>
    <w:rsid w:val="00290E18"/>
    <w:rsid w:val="002912B1"/>
    <w:rsid w:val="0029417C"/>
    <w:rsid w:val="00297AE3"/>
    <w:rsid w:val="002A0142"/>
    <w:rsid w:val="002A0DFA"/>
    <w:rsid w:val="002A18B3"/>
    <w:rsid w:val="002A2D3E"/>
    <w:rsid w:val="002A3221"/>
    <w:rsid w:val="002A5F82"/>
    <w:rsid w:val="002A6D65"/>
    <w:rsid w:val="002A70AE"/>
    <w:rsid w:val="002A75FE"/>
    <w:rsid w:val="002A7F78"/>
    <w:rsid w:val="002B074E"/>
    <w:rsid w:val="002B075C"/>
    <w:rsid w:val="002B0BEB"/>
    <w:rsid w:val="002B12E2"/>
    <w:rsid w:val="002B175F"/>
    <w:rsid w:val="002B2202"/>
    <w:rsid w:val="002B2BA7"/>
    <w:rsid w:val="002B32F0"/>
    <w:rsid w:val="002B37FE"/>
    <w:rsid w:val="002B47BB"/>
    <w:rsid w:val="002B49BD"/>
    <w:rsid w:val="002B50FA"/>
    <w:rsid w:val="002B558A"/>
    <w:rsid w:val="002B5FAB"/>
    <w:rsid w:val="002B659B"/>
    <w:rsid w:val="002B6887"/>
    <w:rsid w:val="002B7034"/>
    <w:rsid w:val="002B7555"/>
    <w:rsid w:val="002B7DDD"/>
    <w:rsid w:val="002C1C9E"/>
    <w:rsid w:val="002C2846"/>
    <w:rsid w:val="002C29D3"/>
    <w:rsid w:val="002C3234"/>
    <w:rsid w:val="002C3DC6"/>
    <w:rsid w:val="002C4EC1"/>
    <w:rsid w:val="002C6BF8"/>
    <w:rsid w:val="002C70EE"/>
    <w:rsid w:val="002C772E"/>
    <w:rsid w:val="002D092E"/>
    <w:rsid w:val="002D0A4F"/>
    <w:rsid w:val="002D2F62"/>
    <w:rsid w:val="002D3D2A"/>
    <w:rsid w:val="002D439C"/>
    <w:rsid w:val="002D51F4"/>
    <w:rsid w:val="002D5517"/>
    <w:rsid w:val="002D6024"/>
    <w:rsid w:val="002D6D81"/>
    <w:rsid w:val="002D75BB"/>
    <w:rsid w:val="002E0173"/>
    <w:rsid w:val="002E0C92"/>
    <w:rsid w:val="002E0E49"/>
    <w:rsid w:val="002E2406"/>
    <w:rsid w:val="002E2F27"/>
    <w:rsid w:val="002E4616"/>
    <w:rsid w:val="002E4669"/>
    <w:rsid w:val="002E50CE"/>
    <w:rsid w:val="002E6C50"/>
    <w:rsid w:val="002F1BA2"/>
    <w:rsid w:val="002F2A30"/>
    <w:rsid w:val="002F68C8"/>
    <w:rsid w:val="002F6FD1"/>
    <w:rsid w:val="002F7BF2"/>
    <w:rsid w:val="0030015E"/>
    <w:rsid w:val="00301385"/>
    <w:rsid w:val="00302991"/>
    <w:rsid w:val="00303790"/>
    <w:rsid w:val="00305ED5"/>
    <w:rsid w:val="00306387"/>
    <w:rsid w:val="00307084"/>
    <w:rsid w:val="003070DA"/>
    <w:rsid w:val="00307821"/>
    <w:rsid w:val="0030784C"/>
    <w:rsid w:val="00307E7F"/>
    <w:rsid w:val="003101C7"/>
    <w:rsid w:val="003105C9"/>
    <w:rsid w:val="003108B4"/>
    <w:rsid w:val="003129C7"/>
    <w:rsid w:val="0031396C"/>
    <w:rsid w:val="00314868"/>
    <w:rsid w:val="00317F7B"/>
    <w:rsid w:val="00320F7A"/>
    <w:rsid w:val="00321B9A"/>
    <w:rsid w:val="00322D78"/>
    <w:rsid w:val="00322E48"/>
    <w:rsid w:val="00323093"/>
    <w:rsid w:val="00324C6A"/>
    <w:rsid w:val="003259AF"/>
    <w:rsid w:val="00325B36"/>
    <w:rsid w:val="00326404"/>
    <w:rsid w:val="00327971"/>
    <w:rsid w:val="003306F6"/>
    <w:rsid w:val="00333E27"/>
    <w:rsid w:val="00334E98"/>
    <w:rsid w:val="00336AFC"/>
    <w:rsid w:val="00337C4E"/>
    <w:rsid w:val="003414AD"/>
    <w:rsid w:val="00341B8C"/>
    <w:rsid w:val="00341D75"/>
    <w:rsid w:val="00341E4A"/>
    <w:rsid w:val="00342AAF"/>
    <w:rsid w:val="00342BCE"/>
    <w:rsid w:val="00343244"/>
    <w:rsid w:val="00343F86"/>
    <w:rsid w:val="0034468D"/>
    <w:rsid w:val="0034501C"/>
    <w:rsid w:val="003451AD"/>
    <w:rsid w:val="0034537A"/>
    <w:rsid w:val="0034701F"/>
    <w:rsid w:val="00347057"/>
    <w:rsid w:val="003514BB"/>
    <w:rsid w:val="0035657D"/>
    <w:rsid w:val="0035670D"/>
    <w:rsid w:val="0035748C"/>
    <w:rsid w:val="003613CA"/>
    <w:rsid w:val="0036234C"/>
    <w:rsid w:val="00362628"/>
    <w:rsid w:val="003638FD"/>
    <w:rsid w:val="00363961"/>
    <w:rsid w:val="00364635"/>
    <w:rsid w:val="00364D56"/>
    <w:rsid w:val="00364FF7"/>
    <w:rsid w:val="00365C50"/>
    <w:rsid w:val="00367363"/>
    <w:rsid w:val="0036745D"/>
    <w:rsid w:val="00367A91"/>
    <w:rsid w:val="0037148D"/>
    <w:rsid w:val="00371770"/>
    <w:rsid w:val="0037264E"/>
    <w:rsid w:val="003734B6"/>
    <w:rsid w:val="00373AF1"/>
    <w:rsid w:val="00375974"/>
    <w:rsid w:val="003759FC"/>
    <w:rsid w:val="00376D49"/>
    <w:rsid w:val="00377517"/>
    <w:rsid w:val="00380B8E"/>
    <w:rsid w:val="003819D2"/>
    <w:rsid w:val="003822E7"/>
    <w:rsid w:val="00383AD7"/>
    <w:rsid w:val="003843BF"/>
    <w:rsid w:val="003848C9"/>
    <w:rsid w:val="00385AB2"/>
    <w:rsid w:val="00385F78"/>
    <w:rsid w:val="0038713E"/>
    <w:rsid w:val="00387FCA"/>
    <w:rsid w:val="00390961"/>
    <w:rsid w:val="00393914"/>
    <w:rsid w:val="00396C41"/>
    <w:rsid w:val="00397CDC"/>
    <w:rsid w:val="003A1838"/>
    <w:rsid w:val="003A2D8A"/>
    <w:rsid w:val="003A3627"/>
    <w:rsid w:val="003A3977"/>
    <w:rsid w:val="003A3D1E"/>
    <w:rsid w:val="003A49CE"/>
    <w:rsid w:val="003A4A45"/>
    <w:rsid w:val="003A4A9E"/>
    <w:rsid w:val="003A7262"/>
    <w:rsid w:val="003A7A56"/>
    <w:rsid w:val="003B0597"/>
    <w:rsid w:val="003B0E59"/>
    <w:rsid w:val="003B20F2"/>
    <w:rsid w:val="003B281B"/>
    <w:rsid w:val="003B29A4"/>
    <w:rsid w:val="003B40FA"/>
    <w:rsid w:val="003B554E"/>
    <w:rsid w:val="003C1A4A"/>
    <w:rsid w:val="003C220C"/>
    <w:rsid w:val="003C2264"/>
    <w:rsid w:val="003C42AF"/>
    <w:rsid w:val="003C48A1"/>
    <w:rsid w:val="003C5121"/>
    <w:rsid w:val="003C7C89"/>
    <w:rsid w:val="003C7F52"/>
    <w:rsid w:val="003D00DA"/>
    <w:rsid w:val="003D3DA5"/>
    <w:rsid w:val="003D4A4B"/>
    <w:rsid w:val="003D6877"/>
    <w:rsid w:val="003D7601"/>
    <w:rsid w:val="003D7C51"/>
    <w:rsid w:val="003D7CB9"/>
    <w:rsid w:val="003E05DE"/>
    <w:rsid w:val="003E170C"/>
    <w:rsid w:val="003E1C9C"/>
    <w:rsid w:val="003E2CF0"/>
    <w:rsid w:val="003E4913"/>
    <w:rsid w:val="003E4D1C"/>
    <w:rsid w:val="003E5333"/>
    <w:rsid w:val="003E5FF0"/>
    <w:rsid w:val="003E6255"/>
    <w:rsid w:val="003E6874"/>
    <w:rsid w:val="003E7541"/>
    <w:rsid w:val="003F2AA2"/>
    <w:rsid w:val="003F51FE"/>
    <w:rsid w:val="003F545F"/>
    <w:rsid w:val="003F6A83"/>
    <w:rsid w:val="003F7457"/>
    <w:rsid w:val="003F7EC7"/>
    <w:rsid w:val="003F7FD7"/>
    <w:rsid w:val="00402019"/>
    <w:rsid w:val="00402685"/>
    <w:rsid w:val="00403C9A"/>
    <w:rsid w:val="00404259"/>
    <w:rsid w:val="00404A34"/>
    <w:rsid w:val="00404F05"/>
    <w:rsid w:val="0040544A"/>
    <w:rsid w:val="004054BA"/>
    <w:rsid w:val="00407D36"/>
    <w:rsid w:val="00410E9B"/>
    <w:rsid w:val="00411097"/>
    <w:rsid w:val="00411539"/>
    <w:rsid w:val="0041245D"/>
    <w:rsid w:val="00413D70"/>
    <w:rsid w:val="0041477E"/>
    <w:rsid w:val="00415054"/>
    <w:rsid w:val="00415410"/>
    <w:rsid w:val="00420A67"/>
    <w:rsid w:val="00420A95"/>
    <w:rsid w:val="0042306F"/>
    <w:rsid w:val="0042449E"/>
    <w:rsid w:val="00424914"/>
    <w:rsid w:val="00424918"/>
    <w:rsid w:val="00426315"/>
    <w:rsid w:val="004266D8"/>
    <w:rsid w:val="00426719"/>
    <w:rsid w:val="004278A4"/>
    <w:rsid w:val="004301E2"/>
    <w:rsid w:val="00430454"/>
    <w:rsid w:val="004306A4"/>
    <w:rsid w:val="00430EB6"/>
    <w:rsid w:val="00431EFF"/>
    <w:rsid w:val="004324D0"/>
    <w:rsid w:val="0043251B"/>
    <w:rsid w:val="0043272D"/>
    <w:rsid w:val="004353CD"/>
    <w:rsid w:val="004378D0"/>
    <w:rsid w:val="00437D5F"/>
    <w:rsid w:val="004403A1"/>
    <w:rsid w:val="004419EC"/>
    <w:rsid w:val="00442C0C"/>
    <w:rsid w:val="00443235"/>
    <w:rsid w:val="0044341B"/>
    <w:rsid w:val="00444FB4"/>
    <w:rsid w:val="00446EDA"/>
    <w:rsid w:val="004473A2"/>
    <w:rsid w:val="004510B9"/>
    <w:rsid w:val="004518EF"/>
    <w:rsid w:val="00454087"/>
    <w:rsid w:val="00454500"/>
    <w:rsid w:val="004551B9"/>
    <w:rsid w:val="00456743"/>
    <w:rsid w:val="00456BEF"/>
    <w:rsid w:val="00456F27"/>
    <w:rsid w:val="00460D26"/>
    <w:rsid w:val="00461F07"/>
    <w:rsid w:val="00462388"/>
    <w:rsid w:val="004638A3"/>
    <w:rsid w:val="00464E81"/>
    <w:rsid w:val="00465883"/>
    <w:rsid w:val="0046607B"/>
    <w:rsid w:val="00466A68"/>
    <w:rsid w:val="00467718"/>
    <w:rsid w:val="004703A9"/>
    <w:rsid w:val="00470D33"/>
    <w:rsid w:val="004718A1"/>
    <w:rsid w:val="00471D7D"/>
    <w:rsid w:val="00471E1B"/>
    <w:rsid w:val="00471F89"/>
    <w:rsid w:val="00472BEB"/>
    <w:rsid w:val="00473BC5"/>
    <w:rsid w:val="004746A5"/>
    <w:rsid w:val="004747CB"/>
    <w:rsid w:val="00474B5C"/>
    <w:rsid w:val="0047507B"/>
    <w:rsid w:val="004803D9"/>
    <w:rsid w:val="00481B47"/>
    <w:rsid w:val="004837D0"/>
    <w:rsid w:val="0048618E"/>
    <w:rsid w:val="00486CF7"/>
    <w:rsid w:val="004875A4"/>
    <w:rsid w:val="00487A5F"/>
    <w:rsid w:val="004900B9"/>
    <w:rsid w:val="004901BF"/>
    <w:rsid w:val="004907AC"/>
    <w:rsid w:val="00490E47"/>
    <w:rsid w:val="00491780"/>
    <w:rsid w:val="00491AE8"/>
    <w:rsid w:val="00491D7A"/>
    <w:rsid w:val="00492A97"/>
    <w:rsid w:val="0049326F"/>
    <w:rsid w:val="0049489C"/>
    <w:rsid w:val="004953BE"/>
    <w:rsid w:val="00495E83"/>
    <w:rsid w:val="004968A8"/>
    <w:rsid w:val="004A1408"/>
    <w:rsid w:val="004A171C"/>
    <w:rsid w:val="004A21FB"/>
    <w:rsid w:val="004A27BD"/>
    <w:rsid w:val="004A29F4"/>
    <w:rsid w:val="004A2CE2"/>
    <w:rsid w:val="004A2DE9"/>
    <w:rsid w:val="004A3C35"/>
    <w:rsid w:val="004A3C40"/>
    <w:rsid w:val="004A475D"/>
    <w:rsid w:val="004A4FDA"/>
    <w:rsid w:val="004A5279"/>
    <w:rsid w:val="004A6CA4"/>
    <w:rsid w:val="004A7A6A"/>
    <w:rsid w:val="004A7B06"/>
    <w:rsid w:val="004B1C6E"/>
    <w:rsid w:val="004B216C"/>
    <w:rsid w:val="004B284F"/>
    <w:rsid w:val="004B2AFB"/>
    <w:rsid w:val="004B2E23"/>
    <w:rsid w:val="004B3F40"/>
    <w:rsid w:val="004B494B"/>
    <w:rsid w:val="004B4D50"/>
    <w:rsid w:val="004B5973"/>
    <w:rsid w:val="004C0224"/>
    <w:rsid w:val="004C0395"/>
    <w:rsid w:val="004C09ED"/>
    <w:rsid w:val="004C32FE"/>
    <w:rsid w:val="004C3B86"/>
    <w:rsid w:val="004C4375"/>
    <w:rsid w:val="004C455D"/>
    <w:rsid w:val="004C47D7"/>
    <w:rsid w:val="004C5D98"/>
    <w:rsid w:val="004C5F95"/>
    <w:rsid w:val="004C6481"/>
    <w:rsid w:val="004C790C"/>
    <w:rsid w:val="004D0F18"/>
    <w:rsid w:val="004D1A3A"/>
    <w:rsid w:val="004D1E3A"/>
    <w:rsid w:val="004D2480"/>
    <w:rsid w:val="004D25C7"/>
    <w:rsid w:val="004D31C5"/>
    <w:rsid w:val="004D37D3"/>
    <w:rsid w:val="004D6466"/>
    <w:rsid w:val="004E0C57"/>
    <w:rsid w:val="004E2CB5"/>
    <w:rsid w:val="004E5046"/>
    <w:rsid w:val="004F0CD7"/>
    <w:rsid w:val="004F1B70"/>
    <w:rsid w:val="004F2C4D"/>
    <w:rsid w:val="004F2D82"/>
    <w:rsid w:val="004F3124"/>
    <w:rsid w:val="004F48C2"/>
    <w:rsid w:val="004F5573"/>
    <w:rsid w:val="004F5D5E"/>
    <w:rsid w:val="004F5F94"/>
    <w:rsid w:val="004F6F32"/>
    <w:rsid w:val="004F7A14"/>
    <w:rsid w:val="004F7EE9"/>
    <w:rsid w:val="005002B8"/>
    <w:rsid w:val="00501816"/>
    <w:rsid w:val="00502E26"/>
    <w:rsid w:val="00503D33"/>
    <w:rsid w:val="00504528"/>
    <w:rsid w:val="005055BE"/>
    <w:rsid w:val="005061FC"/>
    <w:rsid w:val="00507129"/>
    <w:rsid w:val="00507A3C"/>
    <w:rsid w:val="00507B08"/>
    <w:rsid w:val="005106A4"/>
    <w:rsid w:val="0051130E"/>
    <w:rsid w:val="00512C04"/>
    <w:rsid w:val="00512E27"/>
    <w:rsid w:val="00513358"/>
    <w:rsid w:val="00513BB2"/>
    <w:rsid w:val="00514549"/>
    <w:rsid w:val="00514E4A"/>
    <w:rsid w:val="005204FF"/>
    <w:rsid w:val="00520712"/>
    <w:rsid w:val="00521D83"/>
    <w:rsid w:val="005224CA"/>
    <w:rsid w:val="0052265A"/>
    <w:rsid w:val="00523081"/>
    <w:rsid w:val="0052314E"/>
    <w:rsid w:val="00524416"/>
    <w:rsid w:val="00525674"/>
    <w:rsid w:val="005257B6"/>
    <w:rsid w:val="00525ED9"/>
    <w:rsid w:val="0052609D"/>
    <w:rsid w:val="00526A3D"/>
    <w:rsid w:val="00526B76"/>
    <w:rsid w:val="00533899"/>
    <w:rsid w:val="00533E20"/>
    <w:rsid w:val="005360F1"/>
    <w:rsid w:val="00537076"/>
    <w:rsid w:val="005371D7"/>
    <w:rsid w:val="00540F2B"/>
    <w:rsid w:val="0054182B"/>
    <w:rsid w:val="00542B49"/>
    <w:rsid w:val="00543721"/>
    <w:rsid w:val="00543742"/>
    <w:rsid w:val="00543CA3"/>
    <w:rsid w:val="0054578E"/>
    <w:rsid w:val="005475CC"/>
    <w:rsid w:val="00551624"/>
    <w:rsid w:val="005531C0"/>
    <w:rsid w:val="00553541"/>
    <w:rsid w:val="00553F9E"/>
    <w:rsid w:val="005541EF"/>
    <w:rsid w:val="00555615"/>
    <w:rsid w:val="00555B46"/>
    <w:rsid w:val="005564A3"/>
    <w:rsid w:val="005564E7"/>
    <w:rsid w:val="00556AEF"/>
    <w:rsid w:val="00560B61"/>
    <w:rsid w:val="00562A3B"/>
    <w:rsid w:val="00563CD8"/>
    <w:rsid w:val="00564FDA"/>
    <w:rsid w:val="00565138"/>
    <w:rsid w:val="00566A9F"/>
    <w:rsid w:val="00566E37"/>
    <w:rsid w:val="00567378"/>
    <w:rsid w:val="005675F7"/>
    <w:rsid w:val="0057035F"/>
    <w:rsid w:val="00571225"/>
    <w:rsid w:val="00573C28"/>
    <w:rsid w:val="00574CE0"/>
    <w:rsid w:val="00576294"/>
    <w:rsid w:val="00576332"/>
    <w:rsid w:val="00576F92"/>
    <w:rsid w:val="00580094"/>
    <w:rsid w:val="00585079"/>
    <w:rsid w:val="00585BCF"/>
    <w:rsid w:val="005867F6"/>
    <w:rsid w:val="00586D14"/>
    <w:rsid w:val="00587935"/>
    <w:rsid w:val="005902C0"/>
    <w:rsid w:val="005906B0"/>
    <w:rsid w:val="00590AAD"/>
    <w:rsid w:val="00592A30"/>
    <w:rsid w:val="00593C06"/>
    <w:rsid w:val="00593DB0"/>
    <w:rsid w:val="0059603F"/>
    <w:rsid w:val="005A05CB"/>
    <w:rsid w:val="005A0C93"/>
    <w:rsid w:val="005A22DA"/>
    <w:rsid w:val="005A2416"/>
    <w:rsid w:val="005A2FC2"/>
    <w:rsid w:val="005A46A0"/>
    <w:rsid w:val="005A498C"/>
    <w:rsid w:val="005B11FD"/>
    <w:rsid w:val="005B2429"/>
    <w:rsid w:val="005B2C45"/>
    <w:rsid w:val="005B30F6"/>
    <w:rsid w:val="005B40D9"/>
    <w:rsid w:val="005B7F20"/>
    <w:rsid w:val="005C0101"/>
    <w:rsid w:val="005C14A3"/>
    <w:rsid w:val="005C330E"/>
    <w:rsid w:val="005C430E"/>
    <w:rsid w:val="005C50A5"/>
    <w:rsid w:val="005C5F5E"/>
    <w:rsid w:val="005C6734"/>
    <w:rsid w:val="005C7706"/>
    <w:rsid w:val="005D1947"/>
    <w:rsid w:val="005D3082"/>
    <w:rsid w:val="005D4A2E"/>
    <w:rsid w:val="005D584F"/>
    <w:rsid w:val="005D7A78"/>
    <w:rsid w:val="005E01A9"/>
    <w:rsid w:val="005E0223"/>
    <w:rsid w:val="005E03A2"/>
    <w:rsid w:val="005E198A"/>
    <w:rsid w:val="005E2F54"/>
    <w:rsid w:val="005E44FC"/>
    <w:rsid w:val="005E6899"/>
    <w:rsid w:val="005E7485"/>
    <w:rsid w:val="005E79D9"/>
    <w:rsid w:val="005F05F3"/>
    <w:rsid w:val="005F1529"/>
    <w:rsid w:val="005F2941"/>
    <w:rsid w:val="005F470B"/>
    <w:rsid w:val="005F5250"/>
    <w:rsid w:val="005F55E6"/>
    <w:rsid w:val="005F7A79"/>
    <w:rsid w:val="005F7F9D"/>
    <w:rsid w:val="00601CB8"/>
    <w:rsid w:val="00601D81"/>
    <w:rsid w:val="00602512"/>
    <w:rsid w:val="00602DE3"/>
    <w:rsid w:val="00603558"/>
    <w:rsid w:val="0060381A"/>
    <w:rsid w:val="00604A58"/>
    <w:rsid w:val="00604DF4"/>
    <w:rsid w:val="00605AF6"/>
    <w:rsid w:val="0060631A"/>
    <w:rsid w:val="006068D9"/>
    <w:rsid w:val="0060705A"/>
    <w:rsid w:val="00607985"/>
    <w:rsid w:val="006101AE"/>
    <w:rsid w:val="00612658"/>
    <w:rsid w:val="00612896"/>
    <w:rsid w:val="006143B6"/>
    <w:rsid w:val="006144E3"/>
    <w:rsid w:val="0061544B"/>
    <w:rsid w:val="00615BE0"/>
    <w:rsid w:val="00616260"/>
    <w:rsid w:val="00617798"/>
    <w:rsid w:val="00623023"/>
    <w:rsid w:val="00624D7B"/>
    <w:rsid w:val="00625D26"/>
    <w:rsid w:val="00630352"/>
    <w:rsid w:val="006303DA"/>
    <w:rsid w:val="00630EF8"/>
    <w:rsid w:val="00634800"/>
    <w:rsid w:val="0063490A"/>
    <w:rsid w:val="00634DB9"/>
    <w:rsid w:val="00635CEF"/>
    <w:rsid w:val="00636230"/>
    <w:rsid w:val="00636296"/>
    <w:rsid w:val="006369AE"/>
    <w:rsid w:val="00637931"/>
    <w:rsid w:val="00637CF1"/>
    <w:rsid w:val="006400E8"/>
    <w:rsid w:val="00641FEE"/>
    <w:rsid w:val="0064329C"/>
    <w:rsid w:val="006432DC"/>
    <w:rsid w:val="00645669"/>
    <w:rsid w:val="0064794E"/>
    <w:rsid w:val="00652617"/>
    <w:rsid w:val="006529F9"/>
    <w:rsid w:val="0065304A"/>
    <w:rsid w:val="0065453C"/>
    <w:rsid w:val="00655909"/>
    <w:rsid w:val="00656621"/>
    <w:rsid w:val="00656830"/>
    <w:rsid w:val="006608D6"/>
    <w:rsid w:val="00660DBF"/>
    <w:rsid w:val="00660FD2"/>
    <w:rsid w:val="00661223"/>
    <w:rsid w:val="00661290"/>
    <w:rsid w:val="00661531"/>
    <w:rsid w:val="00662080"/>
    <w:rsid w:val="00662207"/>
    <w:rsid w:val="00663638"/>
    <w:rsid w:val="00664486"/>
    <w:rsid w:val="00664780"/>
    <w:rsid w:val="00664B4D"/>
    <w:rsid w:val="00664CC9"/>
    <w:rsid w:val="00665910"/>
    <w:rsid w:val="00665F48"/>
    <w:rsid w:val="00666BA6"/>
    <w:rsid w:val="00666E4D"/>
    <w:rsid w:val="00667B7A"/>
    <w:rsid w:val="00671D6E"/>
    <w:rsid w:val="00673208"/>
    <w:rsid w:val="006733CD"/>
    <w:rsid w:val="00673843"/>
    <w:rsid w:val="00673D80"/>
    <w:rsid w:val="00676F24"/>
    <w:rsid w:val="00681537"/>
    <w:rsid w:val="006816D6"/>
    <w:rsid w:val="00682361"/>
    <w:rsid w:val="00685976"/>
    <w:rsid w:val="00687133"/>
    <w:rsid w:val="00690FB2"/>
    <w:rsid w:val="00692504"/>
    <w:rsid w:val="00692CD6"/>
    <w:rsid w:val="00693C7F"/>
    <w:rsid w:val="0069555C"/>
    <w:rsid w:val="0069713B"/>
    <w:rsid w:val="006972B6"/>
    <w:rsid w:val="0069734E"/>
    <w:rsid w:val="00697512"/>
    <w:rsid w:val="006A003B"/>
    <w:rsid w:val="006A032D"/>
    <w:rsid w:val="006A11C2"/>
    <w:rsid w:val="006A5280"/>
    <w:rsid w:val="006A5B14"/>
    <w:rsid w:val="006A672F"/>
    <w:rsid w:val="006A6A2B"/>
    <w:rsid w:val="006A7136"/>
    <w:rsid w:val="006A7C9B"/>
    <w:rsid w:val="006B20A9"/>
    <w:rsid w:val="006B3476"/>
    <w:rsid w:val="006B3D2E"/>
    <w:rsid w:val="006B4924"/>
    <w:rsid w:val="006B75D3"/>
    <w:rsid w:val="006B766E"/>
    <w:rsid w:val="006B78A5"/>
    <w:rsid w:val="006C21A3"/>
    <w:rsid w:val="006C2305"/>
    <w:rsid w:val="006C28BA"/>
    <w:rsid w:val="006C48F9"/>
    <w:rsid w:val="006C4B0A"/>
    <w:rsid w:val="006C55B2"/>
    <w:rsid w:val="006C6A8E"/>
    <w:rsid w:val="006C6E24"/>
    <w:rsid w:val="006D19F2"/>
    <w:rsid w:val="006D5D23"/>
    <w:rsid w:val="006D66D9"/>
    <w:rsid w:val="006D6711"/>
    <w:rsid w:val="006E14C2"/>
    <w:rsid w:val="006E4514"/>
    <w:rsid w:val="006E49B8"/>
    <w:rsid w:val="006E4F0C"/>
    <w:rsid w:val="006E66C2"/>
    <w:rsid w:val="006F10B0"/>
    <w:rsid w:val="006F20F8"/>
    <w:rsid w:val="006F2ECB"/>
    <w:rsid w:val="006F3522"/>
    <w:rsid w:val="006F3D2A"/>
    <w:rsid w:val="006F4380"/>
    <w:rsid w:val="006F7476"/>
    <w:rsid w:val="006F765D"/>
    <w:rsid w:val="006F788D"/>
    <w:rsid w:val="007011BD"/>
    <w:rsid w:val="00701870"/>
    <w:rsid w:val="007026C5"/>
    <w:rsid w:val="007045A3"/>
    <w:rsid w:val="00704D31"/>
    <w:rsid w:val="00705C92"/>
    <w:rsid w:val="00706C9B"/>
    <w:rsid w:val="00707EEE"/>
    <w:rsid w:val="00712F41"/>
    <w:rsid w:val="00713F0A"/>
    <w:rsid w:val="007144B2"/>
    <w:rsid w:val="00714826"/>
    <w:rsid w:val="00714C59"/>
    <w:rsid w:val="00715A19"/>
    <w:rsid w:val="00715C93"/>
    <w:rsid w:val="00717193"/>
    <w:rsid w:val="00717F58"/>
    <w:rsid w:val="00721F96"/>
    <w:rsid w:val="00723221"/>
    <w:rsid w:val="00723536"/>
    <w:rsid w:val="0072359B"/>
    <w:rsid w:val="0072460D"/>
    <w:rsid w:val="00724F6F"/>
    <w:rsid w:val="007255A3"/>
    <w:rsid w:val="007257C9"/>
    <w:rsid w:val="00726068"/>
    <w:rsid w:val="0073130C"/>
    <w:rsid w:val="007337ED"/>
    <w:rsid w:val="00734374"/>
    <w:rsid w:val="00735475"/>
    <w:rsid w:val="00735BC7"/>
    <w:rsid w:val="00736769"/>
    <w:rsid w:val="00737216"/>
    <w:rsid w:val="0073785B"/>
    <w:rsid w:val="00740030"/>
    <w:rsid w:val="00740061"/>
    <w:rsid w:val="00741D63"/>
    <w:rsid w:val="00743162"/>
    <w:rsid w:val="00743EF3"/>
    <w:rsid w:val="0074480A"/>
    <w:rsid w:val="00744880"/>
    <w:rsid w:val="0074522A"/>
    <w:rsid w:val="0074634C"/>
    <w:rsid w:val="007465FB"/>
    <w:rsid w:val="007474AA"/>
    <w:rsid w:val="007478E0"/>
    <w:rsid w:val="00747B6D"/>
    <w:rsid w:val="00750182"/>
    <w:rsid w:val="00753CCC"/>
    <w:rsid w:val="00755965"/>
    <w:rsid w:val="00755BE1"/>
    <w:rsid w:val="007565C2"/>
    <w:rsid w:val="00756962"/>
    <w:rsid w:val="0075706E"/>
    <w:rsid w:val="00757119"/>
    <w:rsid w:val="00761352"/>
    <w:rsid w:val="00762403"/>
    <w:rsid w:val="00763AFA"/>
    <w:rsid w:val="007646FD"/>
    <w:rsid w:val="00765C3F"/>
    <w:rsid w:val="00765CA4"/>
    <w:rsid w:val="00766158"/>
    <w:rsid w:val="00767DCC"/>
    <w:rsid w:val="007700F7"/>
    <w:rsid w:val="00770913"/>
    <w:rsid w:val="00771858"/>
    <w:rsid w:val="00772096"/>
    <w:rsid w:val="007728F8"/>
    <w:rsid w:val="00772AE6"/>
    <w:rsid w:val="007751A4"/>
    <w:rsid w:val="007769AE"/>
    <w:rsid w:val="007779DE"/>
    <w:rsid w:val="00777CB1"/>
    <w:rsid w:val="007804DE"/>
    <w:rsid w:val="00780734"/>
    <w:rsid w:val="007834FE"/>
    <w:rsid w:val="007835AA"/>
    <w:rsid w:val="007848AF"/>
    <w:rsid w:val="00784AD7"/>
    <w:rsid w:val="00787E78"/>
    <w:rsid w:val="00790336"/>
    <w:rsid w:val="007905A9"/>
    <w:rsid w:val="00790AAC"/>
    <w:rsid w:val="00791151"/>
    <w:rsid w:val="007920B8"/>
    <w:rsid w:val="007923DD"/>
    <w:rsid w:val="007938C4"/>
    <w:rsid w:val="00795482"/>
    <w:rsid w:val="00795EB2"/>
    <w:rsid w:val="007965D2"/>
    <w:rsid w:val="00797B37"/>
    <w:rsid w:val="007A1E64"/>
    <w:rsid w:val="007A59F2"/>
    <w:rsid w:val="007A7687"/>
    <w:rsid w:val="007B1C65"/>
    <w:rsid w:val="007B1F24"/>
    <w:rsid w:val="007B3A40"/>
    <w:rsid w:val="007B4D1A"/>
    <w:rsid w:val="007B4D3C"/>
    <w:rsid w:val="007B656E"/>
    <w:rsid w:val="007C16E0"/>
    <w:rsid w:val="007C22B0"/>
    <w:rsid w:val="007C3409"/>
    <w:rsid w:val="007C5ED1"/>
    <w:rsid w:val="007C6CAE"/>
    <w:rsid w:val="007D052E"/>
    <w:rsid w:val="007D3D72"/>
    <w:rsid w:val="007D48E6"/>
    <w:rsid w:val="007D6AE6"/>
    <w:rsid w:val="007E010F"/>
    <w:rsid w:val="007E0EDE"/>
    <w:rsid w:val="007E1275"/>
    <w:rsid w:val="007E19E4"/>
    <w:rsid w:val="007E1DFA"/>
    <w:rsid w:val="007E3B06"/>
    <w:rsid w:val="007E3CEB"/>
    <w:rsid w:val="007E4E7A"/>
    <w:rsid w:val="007E5E8A"/>
    <w:rsid w:val="007E7934"/>
    <w:rsid w:val="007F0228"/>
    <w:rsid w:val="007F05EA"/>
    <w:rsid w:val="007F0C20"/>
    <w:rsid w:val="007F1A1B"/>
    <w:rsid w:val="007F2007"/>
    <w:rsid w:val="007F29F3"/>
    <w:rsid w:val="007F2E2C"/>
    <w:rsid w:val="007F4215"/>
    <w:rsid w:val="007F4773"/>
    <w:rsid w:val="007F6F0E"/>
    <w:rsid w:val="0080011A"/>
    <w:rsid w:val="00800B8C"/>
    <w:rsid w:val="00800EAB"/>
    <w:rsid w:val="008019DD"/>
    <w:rsid w:val="00801A24"/>
    <w:rsid w:val="00801D86"/>
    <w:rsid w:val="00801F9D"/>
    <w:rsid w:val="00802ABF"/>
    <w:rsid w:val="00802B9C"/>
    <w:rsid w:val="00802D55"/>
    <w:rsid w:val="00803A50"/>
    <w:rsid w:val="00804446"/>
    <w:rsid w:val="0080477C"/>
    <w:rsid w:val="00807378"/>
    <w:rsid w:val="008112DC"/>
    <w:rsid w:val="0081303D"/>
    <w:rsid w:val="00813425"/>
    <w:rsid w:val="00815E47"/>
    <w:rsid w:val="00816897"/>
    <w:rsid w:val="008168D4"/>
    <w:rsid w:val="00816C16"/>
    <w:rsid w:val="00817BC1"/>
    <w:rsid w:val="00821268"/>
    <w:rsid w:val="00821E7E"/>
    <w:rsid w:val="0082202E"/>
    <w:rsid w:val="00822441"/>
    <w:rsid w:val="00822D63"/>
    <w:rsid w:val="00823943"/>
    <w:rsid w:val="00823D62"/>
    <w:rsid w:val="00824ADE"/>
    <w:rsid w:val="008301D8"/>
    <w:rsid w:val="0083072B"/>
    <w:rsid w:val="00831942"/>
    <w:rsid w:val="00833283"/>
    <w:rsid w:val="00835CE1"/>
    <w:rsid w:val="00837EF9"/>
    <w:rsid w:val="00842913"/>
    <w:rsid w:val="008429EB"/>
    <w:rsid w:val="00843C3C"/>
    <w:rsid w:val="00844041"/>
    <w:rsid w:val="0084495A"/>
    <w:rsid w:val="00844A9F"/>
    <w:rsid w:val="00845A4A"/>
    <w:rsid w:val="00846325"/>
    <w:rsid w:val="00847773"/>
    <w:rsid w:val="00847B10"/>
    <w:rsid w:val="00850445"/>
    <w:rsid w:val="00851871"/>
    <w:rsid w:val="008525DC"/>
    <w:rsid w:val="00854A16"/>
    <w:rsid w:val="008573B6"/>
    <w:rsid w:val="008602DE"/>
    <w:rsid w:val="00860361"/>
    <w:rsid w:val="008634D0"/>
    <w:rsid w:val="008635AA"/>
    <w:rsid w:val="00863E80"/>
    <w:rsid w:val="0086517C"/>
    <w:rsid w:val="008667B5"/>
    <w:rsid w:val="008672FD"/>
    <w:rsid w:val="008673EF"/>
    <w:rsid w:val="00867C02"/>
    <w:rsid w:val="00870488"/>
    <w:rsid w:val="0087189C"/>
    <w:rsid w:val="00871A6D"/>
    <w:rsid w:val="00872CF8"/>
    <w:rsid w:val="008736DF"/>
    <w:rsid w:val="00873F2C"/>
    <w:rsid w:val="00874CA9"/>
    <w:rsid w:val="00874D8B"/>
    <w:rsid w:val="00876525"/>
    <w:rsid w:val="008766EB"/>
    <w:rsid w:val="00876B8B"/>
    <w:rsid w:val="008770B2"/>
    <w:rsid w:val="00880C41"/>
    <w:rsid w:val="00881015"/>
    <w:rsid w:val="00881C0F"/>
    <w:rsid w:val="00881D90"/>
    <w:rsid w:val="00882ADC"/>
    <w:rsid w:val="00883A12"/>
    <w:rsid w:val="00883C1E"/>
    <w:rsid w:val="00883DE5"/>
    <w:rsid w:val="00886C83"/>
    <w:rsid w:val="00890D45"/>
    <w:rsid w:val="00891793"/>
    <w:rsid w:val="00891D1B"/>
    <w:rsid w:val="00893D14"/>
    <w:rsid w:val="0089522D"/>
    <w:rsid w:val="00897159"/>
    <w:rsid w:val="008A0ED3"/>
    <w:rsid w:val="008A2451"/>
    <w:rsid w:val="008A302A"/>
    <w:rsid w:val="008A3976"/>
    <w:rsid w:val="008A4632"/>
    <w:rsid w:val="008A7DC8"/>
    <w:rsid w:val="008B1719"/>
    <w:rsid w:val="008B2064"/>
    <w:rsid w:val="008B27F3"/>
    <w:rsid w:val="008B2C38"/>
    <w:rsid w:val="008B3476"/>
    <w:rsid w:val="008B504D"/>
    <w:rsid w:val="008B642D"/>
    <w:rsid w:val="008B6BE9"/>
    <w:rsid w:val="008C23AD"/>
    <w:rsid w:val="008C3244"/>
    <w:rsid w:val="008C3382"/>
    <w:rsid w:val="008C6315"/>
    <w:rsid w:val="008D3676"/>
    <w:rsid w:val="008D38CA"/>
    <w:rsid w:val="008D4448"/>
    <w:rsid w:val="008D447E"/>
    <w:rsid w:val="008D5C92"/>
    <w:rsid w:val="008D63A8"/>
    <w:rsid w:val="008D6F94"/>
    <w:rsid w:val="008E087C"/>
    <w:rsid w:val="008E3751"/>
    <w:rsid w:val="008E4B35"/>
    <w:rsid w:val="008E550E"/>
    <w:rsid w:val="008E7177"/>
    <w:rsid w:val="008E78CB"/>
    <w:rsid w:val="008E7E6D"/>
    <w:rsid w:val="008F0659"/>
    <w:rsid w:val="008F1A04"/>
    <w:rsid w:val="008F2462"/>
    <w:rsid w:val="008F42AD"/>
    <w:rsid w:val="008F5392"/>
    <w:rsid w:val="009007EB"/>
    <w:rsid w:val="00901C6D"/>
    <w:rsid w:val="0090269D"/>
    <w:rsid w:val="0090442B"/>
    <w:rsid w:val="00904A54"/>
    <w:rsid w:val="00904EAA"/>
    <w:rsid w:val="00905772"/>
    <w:rsid w:val="00905E42"/>
    <w:rsid w:val="0090626D"/>
    <w:rsid w:val="0091196A"/>
    <w:rsid w:val="00912D54"/>
    <w:rsid w:val="00913F7D"/>
    <w:rsid w:val="00914C3D"/>
    <w:rsid w:val="00915A86"/>
    <w:rsid w:val="009165A8"/>
    <w:rsid w:val="009165B1"/>
    <w:rsid w:val="00916BB3"/>
    <w:rsid w:val="009216CA"/>
    <w:rsid w:val="00921BDE"/>
    <w:rsid w:val="00922B53"/>
    <w:rsid w:val="0092323E"/>
    <w:rsid w:val="009243CD"/>
    <w:rsid w:val="00924618"/>
    <w:rsid w:val="009247ED"/>
    <w:rsid w:val="00925964"/>
    <w:rsid w:val="00927E0C"/>
    <w:rsid w:val="0093116A"/>
    <w:rsid w:val="00931497"/>
    <w:rsid w:val="00933268"/>
    <w:rsid w:val="00933A53"/>
    <w:rsid w:val="00934A26"/>
    <w:rsid w:val="0093594B"/>
    <w:rsid w:val="00935E5B"/>
    <w:rsid w:val="0093658E"/>
    <w:rsid w:val="00936FF6"/>
    <w:rsid w:val="009376A6"/>
    <w:rsid w:val="00937C09"/>
    <w:rsid w:val="00937C99"/>
    <w:rsid w:val="009410C3"/>
    <w:rsid w:val="009414B1"/>
    <w:rsid w:val="009419AA"/>
    <w:rsid w:val="00941E85"/>
    <w:rsid w:val="00942647"/>
    <w:rsid w:val="00945890"/>
    <w:rsid w:val="009463F2"/>
    <w:rsid w:val="00951CF8"/>
    <w:rsid w:val="00952E49"/>
    <w:rsid w:val="00954170"/>
    <w:rsid w:val="00954B91"/>
    <w:rsid w:val="00957797"/>
    <w:rsid w:val="00957B33"/>
    <w:rsid w:val="00957DAB"/>
    <w:rsid w:val="00957DD9"/>
    <w:rsid w:val="009604B4"/>
    <w:rsid w:val="009619B9"/>
    <w:rsid w:val="00961CCC"/>
    <w:rsid w:val="00963129"/>
    <w:rsid w:val="00963CCB"/>
    <w:rsid w:val="009644FA"/>
    <w:rsid w:val="009648E0"/>
    <w:rsid w:val="009650E9"/>
    <w:rsid w:val="00965122"/>
    <w:rsid w:val="00965429"/>
    <w:rsid w:val="009659DA"/>
    <w:rsid w:val="00965D20"/>
    <w:rsid w:val="009664F1"/>
    <w:rsid w:val="00966711"/>
    <w:rsid w:val="00966E80"/>
    <w:rsid w:val="009670FD"/>
    <w:rsid w:val="00967746"/>
    <w:rsid w:val="00970E8A"/>
    <w:rsid w:val="00972790"/>
    <w:rsid w:val="00972BCA"/>
    <w:rsid w:val="00972F87"/>
    <w:rsid w:val="00973C59"/>
    <w:rsid w:val="00973FBB"/>
    <w:rsid w:val="009741ED"/>
    <w:rsid w:val="00974C98"/>
    <w:rsid w:val="009751D4"/>
    <w:rsid w:val="00976703"/>
    <w:rsid w:val="00976F2D"/>
    <w:rsid w:val="009810E6"/>
    <w:rsid w:val="009814B2"/>
    <w:rsid w:val="00981D80"/>
    <w:rsid w:val="009827B0"/>
    <w:rsid w:val="0098299C"/>
    <w:rsid w:val="00984D1F"/>
    <w:rsid w:val="00986B87"/>
    <w:rsid w:val="00986C06"/>
    <w:rsid w:val="00987474"/>
    <w:rsid w:val="009875FE"/>
    <w:rsid w:val="0099001B"/>
    <w:rsid w:val="00991255"/>
    <w:rsid w:val="009914BE"/>
    <w:rsid w:val="009921D2"/>
    <w:rsid w:val="00992CDA"/>
    <w:rsid w:val="009942E5"/>
    <w:rsid w:val="00994557"/>
    <w:rsid w:val="00994D52"/>
    <w:rsid w:val="00995E85"/>
    <w:rsid w:val="009A149D"/>
    <w:rsid w:val="009A1971"/>
    <w:rsid w:val="009A23E4"/>
    <w:rsid w:val="009A46B2"/>
    <w:rsid w:val="009A5DF2"/>
    <w:rsid w:val="009A66B7"/>
    <w:rsid w:val="009A6C10"/>
    <w:rsid w:val="009A724D"/>
    <w:rsid w:val="009A77A4"/>
    <w:rsid w:val="009A7C0C"/>
    <w:rsid w:val="009B04EF"/>
    <w:rsid w:val="009B13E1"/>
    <w:rsid w:val="009B270D"/>
    <w:rsid w:val="009B2D4E"/>
    <w:rsid w:val="009B4AFD"/>
    <w:rsid w:val="009B4E0C"/>
    <w:rsid w:val="009B52A9"/>
    <w:rsid w:val="009B5521"/>
    <w:rsid w:val="009C0A00"/>
    <w:rsid w:val="009C11ED"/>
    <w:rsid w:val="009C1276"/>
    <w:rsid w:val="009C179D"/>
    <w:rsid w:val="009C4F74"/>
    <w:rsid w:val="009C50F1"/>
    <w:rsid w:val="009C53DA"/>
    <w:rsid w:val="009C626C"/>
    <w:rsid w:val="009C6BC5"/>
    <w:rsid w:val="009D193C"/>
    <w:rsid w:val="009D1DBA"/>
    <w:rsid w:val="009D20B4"/>
    <w:rsid w:val="009D2C38"/>
    <w:rsid w:val="009D30B0"/>
    <w:rsid w:val="009D31B4"/>
    <w:rsid w:val="009D32BC"/>
    <w:rsid w:val="009D5170"/>
    <w:rsid w:val="009D5745"/>
    <w:rsid w:val="009D57F3"/>
    <w:rsid w:val="009D5BC4"/>
    <w:rsid w:val="009D60E0"/>
    <w:rsid w:val="009D6C78"/>
    <w:rsid w:val="009E16B6"/>
    <w:rsid w:val="009E16D3"/>
    <w:rsid w:val="009E45FD"/>
    <w:rsid w:val="009E4BD1"/>
    <w:rsid w:val="009E614E"/>
    <w:rsid w:val="009E687A"/>
    <w:rsid w:val="009F0A50"/>
    <w:rsid w:val="009F2CF0"/>
    <w:rsid w:val="009F49D2"/>
    <w:rsid w:val="009F685E"/>
    <w:rsid w:val="009F6AA5"/>
    <w:rsid w:val="009F6C5E"/>
    <w:rsid w:val="009F6E79"/>
    <w:rsid w:val="009F6FE7"/>
    <w:rsid w:val="009F76AF"/>
    <w:rsid w:val="009F7D61"/>
    <w:rsid w:val="00A00DF9"/>
    <w:rsid w:val="00A01939"/>
    <w:rsid w:val="00A026B7"/>
    <w:rsid w:val="00A029EB"/>
    <w:rsid w:val="00A04384"/>
    <w:rsid w:val="00A0499B"/>
    <w:rsid w:val="00A04BA0"/>
    <w:rsid w:val="00A04BFA"/>
    <w:rsid w:val="00A059D1"/>
    <w:rsid w:val="00A0669B"/>
    <w:rsid w:val="00A06914"/>
    <w:rsid w:val="00A109B4"/>
    <w:rsid w:val="00A11624"/>
    <w:rsid w:val="00A1348C"/>
    <w:rsid w:val="00A13679"/>
    <w:rsid w:val="00A139A8"/>
    <w:rsid w:val="00A140F6"/>
    <w:rsid w:val="00A14994"/>
    <w:rsid w:val="00A1608A"/>
    <w:rsid w:val="00A16267"/>
    <w:rsid w:val="00A16A6B"/>
    <w:rsid w:val="00A173E0"/>
    <w:rsid w:val="00A20521"/>
    <w:rsid w:val="00A207C7"/>
    <w:rsid w:val="00A20D66"/>
    <w:rsid w:val="00A215C4"/>
    <w:rsid w:val="00A21832"/>
    <w:rsid w:val="00A24348"/>
    <w:rsid w:val="00A244F5"/>
    <w:rsid w:val="00A25458"/>
    <w:rsid w:val="00A2637A"/>
    <w:rsid w:val="00A31312"/>
    <w:rsid w:val="00A31C70"/>
    <w:rsid w:val="00A32B7B"/>
    <w:rsid w:val="00A33BED"/>
    <w:rsid w:val="00A34E36"/>
    <w:rsid w:val="00A35164"/>
    <w:rsid w:val="00A36DC6"/>
    <w:rsid w:val="00A4260B"/>
    <w:rsid w:val="00A4430A"/>
    <w:rsid w:val="00A447EA"/>
    <w:rsid w:val="00A45549"/>
    <w:rsid w:val="00A51EB6"/>
    <w:rsid w:val="00A52C9B"/>
    <w:rsid w:val="00A536CE"/>
    <w:rsid w:val="00A53AE6"/>
    <w:rsid w:val="00A53BB9"/>
    <w:rsid w:val="00A54298"/>
    <w:rsid w:val="00A55C1A"/>
    <w:rsid w:val="00A57D45"/>
    <w:rsid w:val="00A62543"/>
    <w:rsid w:val="00A63F48"/>
    <w:rsid w:val="00A66674"/>
    <w:rsid w:val="00A67428"/>
    <w:rsid w:val="00A72761"/>
    <w:rsid w:val="00A76C58"/>
    <w:rsid w:val="00A773CA"/>
    <w:rsid w:val="00A77B4A"/>
    <w:rsid w:val="00A82D8E"/>
    <w:rsid w:val="00A84426"/>
    <w:rsid w:val="00A848E2"/>
    <w:rsid w:val="00A858CC"/>
    <w:rsid w:val="00A86824"/>
    <w:rsid w:val="00A86C08"/>
    <w:rsid w:val="00A86C85"/>
    <w:rsid w:val="00A87520"/>
    <w:rsid w:val="00A87CD3"/>
    <w:rsid w:val="00A9042C"/>
    <w:rsid w:val="00A9131F"/>
    <w:rsid w:val="00A9168F"/>
    <w:rsid w:val="00A9299D"/>
    <w:rsid w:val="00A92B53"/>
    <w:rsid w:val="00A93675"/>
    <w:rsid w:val="00A93B03"/>
    <w:rsid w:val="00A941A0"/>
    <w:rsid w:val="00A948B5"/>
    <w:rsid w:val="00A95C5F"/>
    <w:rsid w:val="00AA01B2"/>
    <w:rsid w:val="00AA071E"/>
    <w:rsid w:val="00AA23E2"/>
    <w:rsid w:val="00AA33D4"/>
    <w:rsid w:val="00AA374C"/>
    <w:rsid w:val="00AA4042"/>
    <w:rsid w:val="00AA5E75"/>
    <w:rsid w:val="00AA6493"/>
    <w:rsid w:val="00AB0377"/>
    <w:rsid w:val="00AB1308"/>
    <w:rsid w:val="00AB2D16"/>
    <w:rsid w:val="00AB4154"/>
    <w:rsid w:val="00AB4541"/>
    <w:rsid w:val="00AB526A"/>
    <w:rsid w:val="00AB5372"/>
    <w:rsid w:val="00AB5AE9"/>
    <w:rsid w:val="00AC2DF8"/>
    <w:rsid w:val="00AC50C9"/>
    <w:rsid w:val="00AC7463"/>
    <w:rsid w:val="00AC75E6"/>
    <w:rsid w:val="00AD04F8"/>
    <w:rsid w:val="00AD1466"/>
    <w:rsid w:val="00AD2199"/>
    <w:rsid w:val="00AD4864"/>
    <w:rsid w:val="00AE0978"/>
    <w:rsid w:val="00AE109B"/>
    <w:rsid w:val="00AE1D4E"/>
    <w:rsid w:val="00AE5813"/>
    <w:rsid w:val="00AE595B"/>
    <w:rsid w:val="00AE6508"/>
    <w:rsid w:val="00AF1863"/>
    <w:rsid w:val="00AF19E1"/>
    <w:rsid w:val="00AF1E13"/>
    <w:rsid w:val="00AF2C3A"/>
    <w:rsid w:val="00AF446B"/>
    <w:rsid w:val="00AF47A7"/>
    <w:rsid w:val="00AF4D7C"/>
    <w:rsid w:val="00AF6458"/>
    <w:rsid w:val="00AF64DF"/>
    <w:rsid w:val="00AF6CAE"/>
    <w:rsid w:val="00AF715B"/>
    <w:rsid w:val="00AF73B2"/>
    <w:rsid w:val="00B03073"/>
    <w:rsid w:val="00B04ED2"/>
    <w:rsid w:val="00B11758"/>
    <w:rsid w:val="00B1205A"/>
    <w:rsid w:val="00B123D9"/>
    <w:rsid w:val="00B13808"/>
    <w:rsid w:val="00B139C2"/>
    <w:rsid w:val="00B15873"/>
    <w:rsid w:val="00B15B53"/>
    <w:rsid w:val="00B16072"/>
    <w:rsid w:val="00B16B89"/>
    <w:rsid w:val="00B17FDA"/>
    <w:rsid w:val="00B21C43"/>
    <w:rsid w:val="00B21EB5"/>
    <w:rsid w:val="00B22498"/>
    <w:rsid w:val="00B224AA"/>
    <w:rsid w:val="00B24AA3"/>
    <w:rsid w:val="00B301BD"/>
    <w:rsid w:val="00B306AB"/>
    <w:rsid w:val="00B31E90"/>
    <w:rsid w:val="00B3279B"/>
    <w:rsid w:val="00B330A5"/>
    <w:rsid w:val="00B330DC"/>
    <w:rsid w:val="00B34598"/>
    <w:rsid w:val="00B36A4D"/>
    <w:rsid w:val="00B374C5"/>
    <w:rsid w:val="00B37721"/>
    <w:rsid w:val="00B37CF3"/>
    <w:rsid w:val="00B4013A"/>
    <w:rsid w:val="00B40CA2"/>
    <w:rsid w:val="00B42C59"/>
    <w:rsid w:val="00B4364C"/>
    <w:rsid w:val="00B4383A"/>
    <w:rsid w:val="00B44226"/>
    <w:rsid w:val="00B45CBD"/>
    <w:rsid w:val="00B46768"/>
    <w:rsid w:val="00B474DD"/>
    <w:rsid w:val="00B4788E"/>
    <w:rsid w:val="00B503B1"/>
    <w:rsid w:val="00B51042"/>
    <w:rsid w:val="00B5247C"/>
    <w:rsid w:val="00B535D7"/>
    <w:rsid w:val="00B5456C"/>
    <w:rsid w:val="00B54AC3"/>
    <w:rsid w:val="00B54F56"/>
    <w:rsid w:val="00B55303"/>
    <w:rsid w:val="00B577EB"/>
    <w:rsid w:val="00B61043"/>
    <w:rsid w:val="00B6115D"/>
    <w:rsid w:val="00B67AB3"/>
    <w:rsid w:val="00B67ED4"/>
    <w:rsid w:val="00B717E5"/>
    <w:rsid w:val="00B71D52"/>
    <w:rsid w:val="00B73187"/>
    <w:rsid w:val="00B74BB6"/>
    <w:rsid w:val="00B769BE"/>
    <w:rsid w:val="00B8088D"/>
    <w:rsid w:val="00B8138B"/>
    <w:rsid w:val="00B81907"/>
    <w:rsid w:val="00B81AEB"/>
    <w:rsid w:val="00B81F30"/>
    <w:rsid w:val="00B82C92"/>
    <w:rsid w:val="00B83B23"/>
    <w:rsid w:val="00B84C73"/>
    <w:rsid w:val="00B854EF"/>
    <w:rsid w:val="00B8594F"/>
    <w:rsid w:val="00B86203"/>
    <w:rsid w:val="00B87950"/>
    <w:rsid w:val="00B87E53"/>
    <w:rsid w:val="00B90539"/>
    <w:rsid w:val="00B915F2"/>
    <w:rsid w:val="00B91F43"/>
    <w:rsid w:val="00B931BA"/>
    <w:rsid w:val="00B9358B"/>
    <w:rsid w:val="00B96624"/>
    <w:rsid w:val="00B96F12"/>
    <w:rsid w:val="00B9715C"/>
    <w:rsid w:val="00BA0403"/>
    <w:rsid w:val="00BA05EE"/>
    <w:rsid w:val="00BA16E3"/>
    <w:rsid w:val="00BA1E1E"/>
    <w:rsid w:val="00BA4F0B"/>
    <w:rsid w:val="00BA4F6F"/>
    <w:rsid w:val="00BA796D"/>
    <w:rsid w:val="00BB0772"/>
    <w:rsid w:val="00BB1122"/>
    <w:rsid w:val="00BB17F0"/>
    <w:rsid w:val="00BB2B79"/>
    <w:rsid w:val="00BB2DEA"/>
    <w:rsid w:val="00BB3765"/>
    <w:rsid w:val="00BB4BC0"/>
    <w:rsid w:val="00BB6081"/>
    <w:rsid w:val="00BB74FC"/>
    <w:rsid w:val="00BB7B59"/>
    <w:rsid w:val="00BC1C98"/>
    <w:rsid w:val="00BC35DD"/>
    <w:rsid w:val="00BC39AC"/>
    <w:rsid w:val="00BC3AFD"/>
    <w:rsid w:val="00BC493A"/>
    <w:rsid w:val="00BC6A01"/>
    <w:rsid w:val="00BC7F7B"/>
    <w:rsid w:val="00BD381C"/>
    <w:rsid w:val="00BD492F"/>
    <w:rsid w:val="00BD6ACD"/>
    <w:rsid w:val="00BD7A87"/>
    <w:rsid w:val="00BD7BDF"/>
    <w:rsid w:val="00BD7DC3"/>
    <w:rsid w:val="00BE095C"/>
    <w:rsid w:val="00BE1714"/>
    <w:rsid w:val="00BE24E0"/>
    <w:rsid w:val="00BE26AB"/>
    <w:rsid w:val="00BE66B5"/>
    <w:rsid w:val="00BE714A"/>
    <w:rsid w:val="00BE78A2"/>
    <w:rsid w:val="00BF0240"/>
    <w:rsid w:val="00BF16D6"/>
    <w:rsid w:val="00BF34A6"/>
    <w:rsid w:val="00BF3CF6"/>
    <w:rsid w:val="00BF3E3D"/>
    <w:rsid w:val="00BF5F4F"/>
    <w:rsid w:val="00BF6313"/>
    <w:rsid w:val="00BF661F"/>
    <w:rsid w:val="00BF7B36"/>
    <w:rsid w:val="00C0204C"/>
    <w:rsid w:val="00C02377"/>
    <w:rsid w:val="00C025B6"/>
    <w:rsid w:val="00C0378C"/>
    <w:rsid w:val="00C05DD3"/>
    <w:rsid w:val="00C06950"/>
    <w:rsid w:val="00C071FE"/>
    <w:rsid w:val="00C11FF8"/>
    <w:rsid w:val="00C14D0C"/>
    <w:rsid w:val="00C157C4"/>
    <w:rsid w:val="00C15F12"/>
    <w:rsid w:val="00C168E1"/>
    <w:rsid w:val="00C17759"/>
    <w:rsid w:val="00C17955"/>
    <w:rsid w:val="00C235BB"/>
    <w:rsid w:val="00C23820"/>
    <w:rsid w:val="00C23CED"/>
    <w:rsid w:val="00C24D2E"/>
    <w:rsid w:val="00C25E8A"/>
    <w:rsid w:val="00C267D1"/>
    <w:rsid w:val="00C2740D"/>
    <w:rsid w:val="00C27F6E"/>
    <w:rsid w:val="00C30F30"/>
    <w:rsid w:val="00C31E2B"/>
    <w:rsid w:val="00C32B10"/>
    <w:rsid w:val="00C32F07"/>
    <w:rsid w:val="00C347D0"/>
    <w:rsid w:val="00C35EBF"/>
    <w:rsid w:val="00C36AFA"/>
    <w:rsid w:val="00C36B24"/>
    <w:rsid w:val="00C439E2"/>
    <w:rsid w:val="00C43A78"/>
    <w:rsid w:val="00C43E03"/>
    <w:rsid w:val="00C45B62"/>
    <w:rsid w:val="00C46FCC"/>
    <w:rsid w:val="00C47D10"/>
    <w:rsid w:val="00C47E2D"/>
    <w:rsid w:val="00C504D6"/>
    <w:rsid w:val="00C53868"/>
    <w:rsid w:val="00C5491D"/>
    <w:rsid w:val="00C55C68"/>
    <w:rsid w:val="00C56B4E"/>
    <w:rsid w:val="00C576B2"/>
    <w:rsid w:val="00C5776F"/>
    <w:rsid w:val="00C60269"/>
    <w:rsid w:val="00C631CD"/>
    <w:rsid w:val="00C64261"/>
    <w:rsid w:val="00C6725F"/>
    <w:rsid w:val="00C7195C"/>
    <w:rsid w:val="00C72329"/>
    <w:rsid w:val="00C72D2C"/>
    <w:rsid w:val="00C72D71"/>
    <w:rsid w:val="00C743BB"/>
    <w:rsid w:val="00C758E3"/>
    <w:rsid w:val="00C7691A"/>
    <w:rsid w:val="00C77596"/>
    <w:rsid w:val="00C77AB0"/>
    <w:rsid w:val="00C80BDD"/>
    <w:rsid w:val="00C80DEE"/>
    <w:rsid w:val="00C821CC"/>
    <w:rsid w:val="00C858FE"/>
    <w:rsid w:val="00C866C7"/>
    <w:rsid w:val="00C87638"/>
    <w:rsid w:val="00C87C7C"/>
    <w:rsid w:val="00C87CA8"/>
    <w:rsid w:val="00C90540"/>
    <w:rsid w:val="00C90E54"/>
    <w:rsid w:val="00C93284"/>
    <w:rsid w:val="00C93393"/>
    <w:rsid w:val="00C936BB"/>
    <w:rsid w:val="00C93F5F"/>
    <w:rsid w:val="00C95267"/>
    <w:rsid w:val="00CA046E"/>
    <w:rsid w:val="00CA138A"/>
    <w:rsid w:val="00CA1E0A"/>
    <w:rsid w:val="00CA24A2"/>
    <w:rsid w:val="00CA34E9"/>
    <w:rsid w:val="00CA3953"/>
    <w:rsid w:val="00CA4A7F"/>
    <w:rsid w:val="00CA4F8B"/>
    <w:rsid w:val="00CA5189"/>
    <w:rsid w:val="00CA5522"/>
    <w:rsid w:val="00CA62A3"/>
    <w:rsid w:val="00CB0D21"/>
    <w:rsid w:val="00CB11AE"/>
    <w:rsid w:val="00CB1869"/>
    <w:rsid w:val="00CB28B7"/>
    <w:rsid w:val="00CB41A6"/>
    <w:rsid w:val="00CB607D"/>
    <w:rsid w:val="00CB76AE"/>
    <w:rsid w:val="00CC0CC9"/>
    <w:rsid w:val="00CC1F7E"/>
    <w:rsid w:val="00CC21AC"/>
    <w:rsid w:val="00CC2E00"/>
    <w:rsid w:val="00CC3CB4"/>
    <w:rsid w:val="00CC4F28"/>
    <w:rsid w:val="00CC63B6"/>
    <w:rsid w:val="00CC75AB"/>
    <w:rsid w:val="00CC7618"/>
    <w:rsid w:val="00CC7ED9"/>
    <w:rsid w:val="00CC7F9D"/>
    <w:rsid w:val="00CD0758"/>
    <w:rsid w:val="00CD4FF3"/>
    <w:rsid w:val="00CD5C7D"/>
    <w:rsid w:val="00CD5D61"/>
    <w:rsid w:val="00CD64E3"/>
    <w:rsid w:val="00CD6860"/>
    <w:rsid w:val="00CD7405"/>
    <w:rsid w:val="00CE0BA2"/>
    <w:rsid w:val="00CE3E42"/>
    <w:rsid w:val="00CE410D"/>
    <w:rsid w:val="00CE480C"/>
    <w:rsid w:val="00CF0B3A"/>
    <w:rsid w:val="00CF11ED"/>
    <w:rsid w:val="00CF127B"/>
    <w:rsid w:val="00CF1D8B"/>
    <w:rsid w:val="00CF2FE7"/>
    <w:rsid w:val="00CF3E44"/>
    <w:rsid w:val="00CF70AE"/>
    <w:rsid w:val="00CF7AC2"/>
    <w:rsid w:val="00D00F30"/>
    <w:rsid w:val="00D02D6B"/>
    <w:rsid w:val="00D034C8"/>
    <w:rsid w:val="00D0415F"/>
    <w:rsid w:val="00D045EF"/>
    <w:rsid w:val="00D0528A"/>
    <w:rsid w:val="00D05FD9"/>
    <w:rsid w:val="00D068E4"/>
    <w:rsid w:val="00D06BF7"/>
    <w:rsid w:val="00D11B1F"/>
    <w:rsid w:val="00D11C36"/>
    <w:rsid w:val="00D12736"/>
    <w:rsid w:val="00D129A4"/>
    <w:rsid w:val="00D13805"/>
    <w:rsid w:val="00D14987"/>
    <w:rsid w:val="00D14D7D"/>
    <w:rsid w:val="00D14E5E"/>
    <w:rsid w:val="00D16569"/>
    <w:rsid w:val="00D166CF"/>
    <w:rsid w:val="00D17CB4"/>
    <w:rsid w:val="00D216AB"/>
    <w:rsid w:val="00D21964"/>
    <w:rsid w:val="00D22E55"/>
    <w:rsid w:val="00D2362B"/>
    <w:rsid w:val="00D23D70"/>
    <w:rsid w:val="00D2432B"/>
    <w:rsid w:val="00D24ACE"/>
    <w:rsid w:val="00D24E5E"/>
    <w:rsid w:val="00D26901"/>
    <w:rsid w:val="00D26FF1"/>
    <w:rsid w:val="00D2705E"/>
    <w:rsid w:val="00D300D1"/>
    <w:rsid w:val="00D30585"/>
    <w:rsid w:val="00D319A0"/>
    <w:rsid w:val="00D31A0C"/>
    <w:rsid w:val="00D32D38"/>
    <w:rsid w:val="00D3370C"/>
    <w:rsid w:val="00D34AF3"/>
    <w:rsid w:val="00D34F27"/>
    <w:rsid w:val="00D3504E"/>
    <w:rsid w:val="00D4039A"/>
    <w:rsid w:val="00D40B75"/>
    <w:rsid w:val="00D41F0E"/>
    <w:rsid w:val="00D4254E"/>
    <w:rsid w:val="00D426AB"/>
    <w:rsid w:val="00D42D3D"/>
    <w:rsid w:val="00D43FF6"/>
    <w:rsid w:val="00D446ED"/>
    <w:rsid w:val="00D44BB6"/>
    <w:rsid w:val="00D45987"/>
    <w:rsid w:val="00D4625B"/>
    <w:rsid w:val="00D474B2"/>
    <w:rsid w:val="00D474DB"/>
    <w:rsid w:val="00D47880"/>
    <w:rsid w:val="00D52078"/>
    <w:rsid w:val="00D52744"/>
    <w:rsid w:val="00D563BB"/>
    <w:rsid w:val="00D569B3"/>
    <w:rsid w:val="00D570EF"/>
    <w:rsid w:val="00D61C88"/>
    <w:rsid w:val="00D61ECC"/>
    <w:rsid w:val="00D621B9"/>
    <w:rsid w:val="00D6222E"/>
    <w:rsid w:val="00D62DA1"/>
    <w:rsid w:val="00D638C4"/>
    <w:rsid w:val="00D63F9D"/>
    <w:rsid w:val="00D641C8"/>
    <w:rsid w:val="00D65955"/>
    <w:rsid w:val="00D668EC"/>
    <w:rsid w:val="00D67770"/>
    <w:rsid w:val="00D67F3A"/>
    <w:rsid w:val="00D705D8"/>
    <w:rsid w:val="00D73E42"/>
    <w:rsid w:val="00D74183"/>
    <w:rsid w:val="00D74A69"/>
    <w:rsid w:val="00D74EF9"/>
    <w:rsid w:val="00D75223"/>
    <w:rsid w:val="00D77258"/>
    <w:rsid w:val="00D77F87"/>
    <w:rsid w:val="00D80369"/>
    <w:rsid w:val="00D821B7"/>
    <w:rsid w:val="00D837A5"/>
    <w:rsid w:val="00D83C5A"/>
    <w:rsid w:val="00D841C1"/>
    <w:rsid w:val="00D85143"/>
    <w:rsid w:val="00D855C5"/>
    <w:rsid w:val="00D857D3"/>
    <w:rsid w:val="00D863AB"/>
    <w:rsid w:val="00D87C1D"/>
    <w:rsid w:val="00D905E1"/>
    <w:rsid w:val="00D915A8"/>
    <w:rsid w:val="00D930C5"/>
    <w:rsid w:val="00D965D7"/>
    <w:rsid w:val="00D96AB4"/>
    <w:rsid w:val="00DA1B44"/>
    <w:rsid w:val="00DA235B"/>
    <w:rsid w:val="00DA2368"/>
    <w:rsid w:val="00DA2D0D"/>
    <w:rsid w:val="00DA3094"/>
    <w:rsid w:val="00DA3710"/>
    <w:rsid w:val="00DA4424"/>
    <w:rsid w:val="00DA47CD"/>
    <w:rsid w:val="00DA49B7"/>
    <w:rsid w:val="00DA610C"/>
    <w:rsid w:val="00DA6C37"/>
    <w:rsid w:val="00DA6D45"/>
    <w:rsid w:val="00DB0486"/>
    <w:rsid w:val="00DB06D4"/>
    <w:rsid w:val="00DB073C"/>
    <w:rsid w:val="00DB12CF"/>
    <w:rsid w:val="00DB1B45"/>
    <w:rsid w:val="00DB2150"/>
    <w:rsid w:val="00DB22D7"/>
    <w:rsid w:val="00DB2B02"/>
    <w:rsid w:val="00DB3BDA"/>
    <w:rsid w:val="00DB4172"/>
    <w:rsid w:val="00DB49F9"/>
    <w:rsid w:val="00DB4AAA"/>
    <w:rsid w:val="00DB5549"/>
    <w:rsid w:val="00DB6131"/>
    <w:rsid w:val="00DB64E1"/>
    <w:rsid w:val="00DB6FB1"/>
    <w:rsid w:val="00DC13D4"/>
    <w:rsid w:val="00DC1AAD"/>
    <w:rsid w:val="00DC2980"/>
    <w:rsid w:val="00DC3BD8"/>
    <w:rsid w:val="00DC4700"/>
    <w:rsid w:val="00DD04CB"/>
    <w:rsid w:val="00DD0975"/>
    <w:rsid w:val="00DD14A6"/>
    <w:rsid w:val="00DD16AD"/>
    <w:rsid w:val="00DD2E36"/>
    <w:rsid w:val="00DD3284"/>
    <w:rsid w:val="00DD3AA1"/>
    <w:rsid w:val="00DD63FE"/>
    <w:rsid w:val="00DD7A95"/>
    <w:rsid w:val="00DE066B"/>
    <w:rsid w:val="00DE155C"/>
    <w:rsid w:val="00DE1710"/>
    <w:rsid w:val="00DE2036"/>
    <w:rsid w:val="00DE2A41"/>
    <w:rsid w:val="00DE3455"/>
    <w:rsid w:val="00DE34CA"/>
    <w:rsid w:val="00DE39F4"/>
    <w:rsid w:val="00DE67C8"/>
    <w:rsid w:val="00DE6D5E"/>
    <w:rsid w:val="00DF0668"/>
    <w:rsid w:val="00DF20BF"/>
    <w:rsid w:val="00DF2D40"/>
    <w:rsid w:val="00DF3407"/>
    <w:rsid w:val="00DF3597"/>
    <w:rsid w:val="00DF3C51"/>
    <w:rsid w:val="00DF577D"/>
    <w:rsid w:val="00DF626A"/>
    <w:rsid w:val="00DF66D1"/>
    <w:rsid w:val="00DF677E"/>
    <w:rsid w:val="00E003B5"/>
    <w:rsid w:val="00E0098A"/>
    <w:rsid w:val="00E014BE"/>
    <w:rsid w:val="00E02598"/>
    <w:rsid w:val="00E030E3"/>
    <w:rsid w:val="00E03123"/>
    <w:rsid w:val="00E0351C"/>
    <w:rsid w:val="00E05348"/>
    <w:rsid w:val="00E06040"/>
    <w:rsid w:val="00E07968"/>
    <w:rsid w:val="00E07C3D"/>
    <w:rsid w:val="00E102EB"/>
    <w:rsid w:val="00E1084D"/>
    <w:rsid w:val="00E112DF"/>
    <w:rsid w:val="00E11E4B"/>
    <w:rsid w:val="00E124ED"/>
    <w:rsid w:val="00E12575"/>
    <w:rsid w:val="00E17348"/>
    <w:rsid w:val="00E17405"/>
    <w:rsid w:val="00E179E4"/>
    <w:rsid w:val="00E208CE"/>
    <w:rsid w:val="00E20E69"/>
    <w:rsid w:val="00E250CA"/>
    <w:rsid w:val="00E25700"/>
    <w:rsid w:val="00E3169D"/>
    <w:rsid w:val="00E316A2"/>
    <w:rsid w:val="00E317DF"/>
    <w:rsid w:val="00E320E5"/>
    <w:rsid w:val="00E328FD"/>
    <w:rsid w:val="00E338BC"/>
    <w:rsid w:val="00E33C4A"/>
    <w:rsid w:val="00E33CED"/>
    <w:rsid w:val="00E33D8F"/>
    <w:rsid w:val="00E3540E"/>
    <w:rsid w:val="00E41D4C"/>
    <w:rsid w:val="00E4278B"/>
    <w:rsid w:val="00E43B6C"/>
    <w:rsid w:val="00E43EDD"/>
    <w:rsid w:val="00E446DB"/>
    <w:rsid w:val="00E44B2E"/>
    <w:rsid w:val="00E44DFF"/>
    <w:rsid w:val="00E46C73"/>
    <w:rsid w:val="00E47C6E"/>
    <w:rsid w:val="00E47FC4"/>
    <w:rsid w:val="00E509A0"/>
    <w:rsid w:val="00E50D16"/>
    <w:rsid w:val="00E51C85"/>
    <w:rsid w:val="00E52139"/>
    <w:rsid w:val="00E5380E"/>
    <w:rsid w:val="00E54BC7"/>
    <w:rsid w:val="00E54C53"/>
    <w:rsid w:val="00E54FC1"/>
    <w:rsid w:val="00E54FCC"/>
    <w:rsid w:val="00E55B7B"/>
    <w:rsid w:val="00E57086"/>
    <w:rsid w:val="00E61616"/>
    <w:rsid w:val="00E62879"/>
    <w:rsid w:val="00E62A7C"/>
    <w:rsid w:val="00E63002"/>
    <w:rsid w:val="00E67B1B"/>
    <w:rsid w:val="00E67FD3"/>
    <w:rsid w:val="00E70799"/>
    <w:rsid w:val="00E70DF0"/>
    <w:rsid w:val="00E71226"/>
    <w:rsid w:val="00E7174A"/>
    <w:rsid w:val="00E729E3"/>
    <w:rsid w:val="00E72BBC"/>
    <w:rsid w:val="00E74AC9"/>
    <w:rsid w:val="00E752E0"/>
    <w:rsid w:val="00E76CF2"/>
    <w:rsid w:val="00E77476"/>
    <w:rsid w:val="00E77546"/>
    <w:rsid w:val="00E839CC"/>
    <w:rsid w:val="00E83F9C"/>
    <w:rsid w:val="00E84078"/>
    <w:rsid w:val="00E846D4"/>
    <w:rsid w:val="00E85324"/>
    <w:rsid w:val="00E85505"/>
    <w:rsid w:val="00E85C4B"/>
    <w:rsid w:val="00E87171"/>
    <w:rsid w:val="00E873CB"/>
    <w:rsid w:val="00E90715"/>
    <w:rsid w:val="00E91138"/>
    <w:rsid w:val="00E91A2E"/>
    <w:rsid w:val="00E92E04"/>
    <w:rsid w:val="00E9315C"/>
    <w:rsid w:val="00E947C8"/>
    <w:rsid w:val="00E95222"/>
    <w:rsid w:val="00E957FF"/>
    <w:rsid w:val="00E95C4B"/>
    <w:rsid w:val="00E962CD"/>
    <w:rsid w:val="00E9709A"/>
    <w:rsid w:val="00EA096F"/>
    <w:rsid w:val="00EA27AE"/>
    <w:rsid w:val="00EA3410"/>
    <w:rsid w:val="00EA3461"/>
    <w:rsid w:val="00EA6C0D"/>
    <w:rsid w:val="00EA70B2"/>
    <w:rsid w:val="00EB03FE"/>
    <w:rsid w:val="00EB110F"/>
    <w:rsid w:val="00EB193C"/>
    <w:rsid w:val="00EB204E"/>
    <w:rsid w:val="00EB3201"/>
    <w:rsid w:val="00EB4464"/>
    <w:rsid w:val="00EB44ED"/>
    <w:rsid w:val="00EB4CD2"/>
    <w:rsid w:val="00EB6C39"/>
    <w:rsid w:val="00EC1A04"/>
    <w:rsid w:val="00EC2823"/>
    <w:rsid w:val="00EC317D"/>
    <w:rsid w:val="00EC4514"/>
    <w:rsid w:val="00EC4FA8"/>
    <w:rsid w:val="00EC5649"/>
    <w:rsid w:val="00EC62CC"/>
    <w:rsid w:val="00EC6944"/>
    <w:rsid w:val="00EC6B0C"/>
    <w:rsid w:val="00EC6EF3"/>
    <w:rsid w:val="00EC7461"/>
    <w:rsid w:val="00ED03B6"/>
    <w:rsid w:val="00ED0EBE"/>
    <w:rsid w:val="00ED0F1B"/>
    <w:rsid w:val="00ED20FB"/>
    <w:rsid w:val="00EE056B"/>
    <w:rsid w:val="00EE1188"/>
    <w:rsid w:val="00EE2DD2"/>
    <w:rsid w:val="00EE3027"/>
    <w:rsid w:val="00EE4BEE"/>
    <w:rsid w:val="00EE4D3E"/>
    <w:rsid w:val="00EE561C"/>
    <w:rsid w:val="00EE59FB"/>
    <w:rsid w:val="00EE6602"/>
    <w:rsid w:val="00EE6924"/>
    <w:rsid w:val="00EE6CD0"/>
    <w:rsid w:val="00EE7232"/>
    <w:rsid w:val="00EE78F7"/>
    <w:rsid w:val="00EF0E7E"/>
    <w:rsid w:val="00EF11C8"/>
    <w:rsid w:val="00EF3A74"/>
    <w:rsid w:val="00EF4E51"/>
    <w:rsid w:val="00EF5052"/>
    <w:rsid w:val="00EF63C9"/>
    <w:rsid w:val="00EF779D"/>
    <w:rsid w:val="00EF7A5A"/>
    <w:rsid w:val="00F001CA"/>
    <w:rsid w:val="00F01058"/>
    <w:rsid w:val="00F01468"/>
    <w:rsid w:val="00F01826"/>
    <w:rsid w:val="00F0233D"/>
    <w:rsid w:val="00F02A5C"/>
    <w:rsid w:val="00F02FD4"/>
    <w:rsid w:val="00F034F7"/>
    <w:rsid w:val="00F0433E"/>
    <w:rsid w:val="00F04640"/>
    <w:rsid w:val="00F071E0"/>
    <w:rsid w:val="00F104E0"/>
    <w:rsid w:val="00F106CF"/>
    <w:rsid w:val="00F1233A"/>
    <w:rsid w:val="00F1235A"/>
    <w:rsid w:val="00F1264E"/>
    <w:rsid w:val="00F128F2"/>
    <w:rsid w:val="00F1425D"/>
    <w:rsid w:val="00F17317"/>
    <w:rsid w:val="00F20230"/>
    <w:rsid w:val="00F21315"/>
    <w:rsid w:val="00F217D5"/>
    <w:rsid w:val="00F225CD"/>
    <w:rsid w:val="00F2286C"/>
    <w:rsid w:val="00F23343"/>
    <w:rsid w:val="00F23F7D"/>
    <w:rsid w:val="00F24971"/>
    <w:rsid w:val="00F2604E"/>
    <w:rsid w:val="00F30048"/>
    <w:rsid w:val="00F34CDF"/>
    <w:rsid w:val="00F35578"/>
    <w:rsid w:val="00F36EFF"/>
    <w:rsid w:val="00F374D0"/>
    <w:rsid w:val="00F41A01"/>
    <w:rsid w:val="00F42F7F"/>
    <w:rsid w:val="00F44988"/>
    <w:rsid w:val="00F44CB6"/>
    <w:rsid w:val="00F45745"/>
    <w:rsid w:val="00F458DA"/>
    <w:rsid w:val="00F46D1C"/>
    <w:rsid w:val="00F47176"/>
    <w:rsid w:val="00F505F0"/>
    <w:rsid w:val="00F50DC1"/>
    <w:rsid w:val="00F50EEA"/>
    <w:rsid w:val="00F51282"/>
    <w:rsid w:val="00F53ADE"/>
    <w:rsid w:val="00F53C06"/>
    <w:rsid w:val="00F60472"/>
    <w:rsid w:val="00F60B49"/>
    <w:rsid w:val="00F6274D"/>
    <w:rsid w:val="00F62962"/>
    <w:rsid w:val="00F63AD5"/>
    <w:rsid w:val="00F64423"/>
    <w:rsid w:val="00F65547"/>
    <w:rsid w:val="00F667E0"/>
    <w:rsid w:val="00F66F90"/>
    <w:rsid w:val="00F71052"/>
    <w:rsid w:val="00F71122"/>
    <w:rsid w:val="00F71AB6"/>
    <w:rsid w:val="00F750A2"/>
    <w:rsid w:val="00F75804"/>
    <w:rsid w:val="00F76EB5"/>
    <w:rsid w:val="00F77D06"/>
    <w:rsid w:val="00F8221F"/>
    <w:rsid w:val="00F83434"/>
    <w:rsid w:val="00F8361A"/>
    <w:rsid w:val="00F83666"/>
    <w:rsid w:val="00F83D77"/>
    <w:rsid w:val="00F857AB"/>
    <w:rsid w:val="00F869F9"/>
    <w:rsid w:val="00F87AD8"/>
    <w:rsid w:val="00F911D0"/>
    <w:rsid w:val="00F9177C"/>
    <w:rsid w:val="00F934FE"/>
    <w:rsid w:val="00F93B4D"/>
    <w:rsid w:val="00F9615F"/>
    <w:rsid w:val="00F97887"/>
    <w:rsid w:val="00F97C1A"/>
    <w:rsid w:val="00F97D72"/>
    <w:rsid w:val="00FA1AC9"/>
    <w:rsid w:val="00FA1F09"/>
    <w:rsid w:val="00FA3643"/>
    <w:rsid w:val="00FA3E7B"/>
    <w:rsid w:val="00FA6421"/>
    <w:rsid w:val="00FB152A"/>
    <w:rsid w:val="00FB28F5"/>
    <w:rsid w:val="00FB29B4"/>
    <w:rsid w:val="00FB2C7F"/>
    <w:rsid w:val="00FB34DD"/>
    <w:rsid w:val="00FB4623"/>
    <w:rsid w:val="00FB4A21"/>
    <w:rsid w:val="00FB5078"/>
    <w:rsid w:val="00FB6C5D"/>
    <w:rsid w:val="00FB6FD2"/>
    <w:rsid w:val="00FC01D3"/>
    <w:rsid w:val="00FC05F2"/>
    <w:rsid w:val="00FC0AF1"/>
    <w:rsid w:val="00FC469B"/>
    <w:rsid w:val="00FC521E"/>
    <w:rsid w:val="00FC638E"/>
    <w:rsid w:val="00FC6D96"/>
    <w:rsid w:val="00FD13A4"/>
    <w:rsid w:val="00FD2BA5"/>
    <w:rsid w:val="00FD511D"/>
    <w:rsid w:val="00FD5CF8"/>
    <w:rsid w:val="00FD7092"/>
    <w:rsid w:val="00FE0804"/>
    <w:rsid w:val="00FE1939"/>
    <w:rsid w:val="00FE2715"/>
    <w:rsid w:val="00FE2AB6"/>
    <w:rsid w:val="00FE5103"/>
    <w:rsid w:val="00FE5476"/>
    <w:rsid w:val="00FE667A"/>
    <w:rsid w:val="00FE78E9"/>
    <w:rsid w:val="00FF1CBF"/>
    <w:rsid w:val="00FF25DD"/>
    <w:rsid w:val="00FF2901"/>
    <w:rsid w:val="00FF4681"/>
    <w:rsid w:val="00FF4972"/>
    <w:rsid w:val="00FF7256"/>
    <w:rsid w:val="00FF74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F1A821"/>
  <w15:docId w15:val="{AF15DC78-C799-460E-B5BF-D3F7D539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A24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D14D7D"/>
    <w:pPr>
      <w:spacing w:after="0" w:line="240" w:lineRule="auto"/>
    </w:pPr>
    <w:rPr>
      <w:sz w:val="20"/>
      <w:szCs w:val="20"/>
    </w:rPr>
  </w:style>
  <w:style w:type="character" w:customStyle="1" w:styleId="FootnoteTextChar">
    <w:name w:val="Footnote Text Char"/>
    <w:aliases w:val="5_G Char"/>
    <w:basedOn w:val="DefaultParagraphFont"/>
    <w:link w:val="FootnoteText"/>
    <w:rsid w:val="00D14D7D"/>
    <w:rPr>
      <w:sz w:val="20"/>
      <w:szCs w:val="20"/>
    </w:rPr>
  </w:style>
  <w:style w:type="character" w:styleId="FootnoteReference">
    <w:name w:val="footnote reference"/>
    <w:aliases w:val="4_G"/>
    <w:uiPriority w:val="99"/>
    <w:unhideWhenUsed/>
    <w:rsid w:val="00D14D7D"/>
    <w:rPr>
      <w:rFonts w:ascii="Times New Roman" w:hAnsi="Times New Roman" w:cs="Times New Roman" w:hint="default"/>
      <w:sz w:val="18"/>
      <w:vertAlign w:val="superscript"/>
    </w:rPr>
  </w:style>
  <w:style w:type="paragraph" w:styleId="Header">
    <w:name w:val="header"/>
    <w:basedOn w:val="Normal"/>
    <w:link w:val="HeaderChar"/>
    <w:uiPriority w:val="99"/>
    <w:unhideWhenUsed/>
    <w:rsid w:val="00D14D7D"/>
    <w:pPr>
      <w:tabs>
        <w:tab w:val="center" w:pos="4513"/>
        <w:tab w:val="right" w:pos="9026"/>
      </w:tabs>
      <w:suppressAutoHyphen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4D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D7D"/>
  </w:style>
  <w:style w:type="paragraph" w:styleId="ListParagraph">
    <w:name w:val="List Paragraph"/>
    <w:basedOn w:val="Normal"/>
    <w:uiPriority w:val="34"/>
    <w:qFormat/>
    <w:rsid w:val="00B854EF"/>
    <w:pPr>
      <w:ind w:left="720"/>
      <w:contextualSpacing/>
    </w:pPr>
  </w:style>
  <w:style w:type="paragraph" w:styleId="BalloonText">
    <w:name w:val="Balloon Text"/>
    <w:basedOn w:val="Normal"/>
    <w:link w:val="BalloonTextChar"/>
    <w:uiPriority w:val="99"/>
    <w:semiHidden/>
    <w:unhideWhenUsed/>
    <w:rsid w:val="004F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32"/>
    <w:rPr>
      <w:rFonts w:ascii="Tahoma" w:hAnsi="Tahoma" w:cs="Tahoma"/>
      <w:sz w:val="16"/>
      <w:szCs w:val="16"/>
    </w:rPr>
  </w:style>
  <w:style w:type="character" w:styleId="CommentReference">
    <w:name w:val="annotation reference"/>
    <w:basedOn w:val="DefaultParagraphFont"/>
    <w:uiPriority w:val="99"/>
    <w:semiHidden/>
    <w:unhideWhenUsed/>
    <w:rsid w:val="004F6F32"/>
    <w:rPr>
      <w:sz w:val="16"/>
      <w:szCs w:val="16"/>
    </w:rPr>
  </w:style>
  <w:style w:type="paragraph" w:styleId="CommentText">
    <w:name w:val="annotation text"/>
    <w:basedOn w:val="Normal"/>
    <w:link w:val="CommentTextChar"/>
    <w:uiPriority w:val="99"/>
    <w:unhideWhenUsed/>
    <w:rsid w:val="004F6F32"/>
    <w:pPr>
      <w:spacing w:line="240" w:lineRule="auto"/>
    </w:pPr>
    <w:rPr>
      <w:sz w:val="20"/>
      <w:szCs w:val="20"/>
    </w:rPr>
  </w:style>
  <w:style w:type="character" w:customStyle="1" w:styleId="CommentTextChar">
    <w:name w:val="Comment Text Char"/>
    <w:basedOn w:val="DefaultParagraphFont"/>
    <w:link w:val="CommentText"/>
    <w:uiPriority w:val="99"/>
    <w:rsid w:val="004F6F32"/>
    <w:rPr>
      <w:sz w:val="20"/>
      <w:szCs w:val="20"/>
    </w:rPr>
  </w:style>
  <w:style w:type="paragraph" w:styleId="CommentSubject">
    <w:name w:val="annotation subject"/>
    <w:basedOn w:val="CommentText"/>
    <w:next w:val="CommentText"/>
    <w:link w:val="CommentSubjectChar"/>
    <w:uiPriority w:val="99"/>
    <w:semiHidden/>
    <w:unhideWhenUsed/>
    <w:rsid w:val="004F6F32"/>
    <w:rPr>
      <w:b/>
      <w:bCs/>
    </w:rPr>
  </w:style>
  <w:style w:type="character" w:customStyle="1" w:styleId="CommentSubjectChar">
    <w:name w:val="Comment Subject Char"/>
    <w:basedOn w:val="CommentTextChar"/>
    <w:link w:val="CommentSubject"/>
    <w:uiPriority w:val="99"/>
    <w:semiHidden/>
    <w:rsid w:val="004F6F32"/>
    <w:rPr>
      <w:b/>
      <w:bCs/>
      <w:sz w:val="20"/>
      <w:szCs w:val="20"/>
    </w:rPr>
  </w:style>
  <w:style w:type="paragraph" w:customStyle="1" w:styleId="Default">
    <w:name w:val="Default"/>
    <w:rsid w:val="00B474D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57D45"/>
    <w:pPr>
      <w:spacing w:after="0" w:line="240" w:lineRule="auto"/>
    </w:pPr>
  </w:style>
  <w:style w:type="character" w:customStyle="1" w:styleId="a">
    <w:name w:val="Основной текст_"/>
    <w:link w:val="3"/>
    <w:locked/>
    <w:rsid w:val="00D22E55"/>
    <w:rPr>
      <w:rFonts w:ascii="Times New Roman" w:hAnsi="Times New Roman" w:cs="Times New Roman"/>
      <w:sz w:val="8"/>
      <w:szCs w:val="8"/>
      <w:shd w:val="clear" w:color="auto" w:fill="FFFFFF"/>
    </w:rPr>
  </w:style>
  <w:style w:type="paragraph" w:customStyle="1" w:styleId="3">
    <w:name w:val="Основной текст3"/>
    <w:basedOn w:val="Normal"/>
    <w:link w:val="a"/>
    <w:rsid w:val="00D22E55"/>
    <w:pPr>
      <w:widowControl w:val="0"/>
      <w:shd w:val="clear" w:color="auto" w:fill="FFFFFF"/>
      <w:spacing w:after="0" w:line="107" w:lineRule="exact"/>
    </w:pPr>
    <w:rPr>
      <w:rFonts w:ascii="Times New Roman" w:hAnsi="Times New Roman" w:cs="Times New Roman"/>
      <w:sz w:val="8"/>
      <w:szCs w:val="8"/>
    </w:rPr>
  </w:style>
  <w:style w:type="character" w:customStyle="1" w:styleId="Heading2Char">
    <w:name w:val="Heading 2 Char"/>
    <w:basedOn w:val="DefaultParagraphFont"/>
    <w:link w:val="Heading2"/>
    <w:uiPriority w:val="9"/>
    <w:rsid w:val="005A2416"/>
    <w:rPr>
      <w:rFonts w:asciiTheme="majorHAnsi" w:eastAsiaTheme="majorEastAsia" w:hAnsiTheme="majorHAnsi" w:cstheme="majorBidi"/>
      <w:b/>
      <w:bCs/>
      <w:color w:val="4F81BD" w:themeColor="accent1"/>
      <w:sz w:val="26"/>
      <w:szCs w:val="26"/>
    </w:rPr>
  </w:style>
  <w:style w:type="character" w:styleId="Hyperlink">
    <w:name w:val="Hyperlink"/>
    <w:rsid w:val="00B81F30"/>
    <w:rPr>
      <w:rFonts w:ascii="Times New Roman" w:hAnsi="Times New Roman" w:cs="Times New Roman" w:hint="default"/>
      <w:color w:val="333399"/>
      <w:u w:val="single"/>
    </w:rPr>
  </w:style>
  <w:style w:type="character" w:customStyle="1" w:styleId="s0">
    <w:name w:val="s0"/>
    <w:rsid w:val="00B81F30"/>
    <w:rPr>
      <w:rFonts w:ascii="Times New Roman" w:hAnsi="Times New Roman" w:cs="Times New Roman" w:hint="default"/>
      <w:b w:val="0"/>
      <w:bCs w:val="0"/>
      <w:i w:val="0"/>
      <w:iCs w:val="0"/>
      <w:color w:val="000000"/>
    </w:rPr>
  </w:style>
  <w:style w:type="table" w:styleId="TableGrid">
    <w:name w:val="Table Grid"/>
    <w:basedOn w:val="TableNormal"/>
    <w:uiPriority w:val="59"/>
    <w:rsid w:val="002345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3869">
      <w:bodyDiv w:val="1"/>
      <w:marLeft w:val="0"/>
      <w:marRight w:val="0"/>
      <w:marTop w:val="0"/>
      <w:marBottom w:val="0"/>
      <w:divBdr>
        <w:top w:val="none" w:sz="0" w:space="0" w:color="auto"/>
        <w:left w:val="none" w:sz="0" w:space="0" w:color="auto"/>
        <w:bottom w:val="none" w:sz="0" w:space="0" w:color="auto"/>
        <w:right w:val="none" w:sz="0" w:space="0" w:color="auto"/>
      </w:divBdr>
      <w:divsChild>
        <w:div w:id="372005709">
          <w:marLeft w:val="0"/>
          <w:marRight w:val="0"/>
          <w:marTop w:val="0"/>
          <w:marBottom w:val="0"/>
          <w:divBdr>
            <w:top w:val="none" w:sz="0" w:space="0" w:color="auto"/>
            <w:left w:val="none" w:sz="0" w:space="0" w:color="auto"/>
            <w:bottom w:val="none" w:sz="0" w:space="0" w:color="auto"/>
            <w:right w:val="none" w:sz="0" w:space="0" w:color="auto"/>
          </w:divBdr>
        </w:div>
        <w:div w:id="901595781">
          <w:marLeft w:val="0"/>
          <w:marRight w:val="0"/>
          <w:marTop w:val="0"/>
          <w:marBottom w:val="0"/>
          <w:divBdr>
            <w:top w:val="none" w:sz="0" w:space="0" w:color="auto"/>
            <w:left w:val="none" w:sz="0" w:space="0" w:color="auto"/>
            <w:bottom w:val="none" w:sz="0" w:space="0" w:color="auto"/>
            <w:right w:val="none" w:sz="0" w:space="0" w:color="auto"/>
          </w:divBdr>
        </w:div>
        <w:div w:id="2129735699">
          <w:marLeft w:val="0"/>
          <w:marRight w:val="0"/>
          <w:marTop w:val="0"/>
          <w:marBottom w:val="0"/>
          <w:divBdr>
            <w:top w:val="none" w:sz="0" w:space="0" w:color="auto"/>
            <w:left w:val="none" w:sz="0" w:space="0" w:color="auto"/>
            <w:bottom w:val="none" w:sz="0" w:space="0" w:color="auto"/>
            <w:right w:val="none" w:sz="0" w:space="0" w:color="auto"/>
          </w:divBdr>
        </w:div>
        <w:div w:id="1396782270">
          <w:marLeft w:val="0"/>
          <w:marRight w:val="0"/>
          <w:marTop w:val="0"/>
          <w:marBottom w:val="0"/>
          <w:divBdr>
            <w:top w:val="none" w:sz="0" w:space="0" w:color="auto"/>
            <w:left w:val="none" w:sz="0" w:space="0" w:color="auto"/>
            <w:bottom w:val="none" w:sz="0" w:space="0" w:color="auto"/>
            <w:right w:val="none" w:sz="0" w:space="0" w:color="auto"/>
          </w:divBdr>
        </w:div>
        <w:div w:id="2081903177">
          <w:marLeft w:val="0"/>
          <w:marRight w:val="0"/>
          <w:marTop w:val="0"/>
          <w:marBottom w:val="0"/>
          <w:divBdr>
            <w:top w:val="none" w:sz="0" w:space="0" w:color="auto"/>
            <w:left w:val="none" w:sz="0" w:space="0" w:color="auto"/>
            <w:bottom w:val="none" w:sz="0" w:space="0" w:color="auto"/>
            <w:right w:val="none" w:sz="0" w:space="0" w:color="auto"/>
          </w:divBdr>
        </w:div>
        <w:div w:id="1262227670">
          <w:marLeft w:val="0"/>
          <w:marRight w:val="0"/>
          <w:marTop w:val="0"/>
          <w:marBottom w:val="0"/>
          <w:divBdr>
            <w:top w:val="none" w:sz="0" w:space="0" w:color="auto"/>
            <w:left w:val="none" w:sz="0" w:space="0" w:color="auto"/>
            <w:bottom w:val="none" w:sz="0" w:space="0" w:color="auto"/>
            <w:right w:val="none" w:sz="0" w:space="0" w:color="auto"/>
          </w:divBdr>
        </w:div>
        <w:div w:id="1792817995">
          <w:marLeft w:val="0"/>
          <w:marRight w:val="0"/>
          <w:marTop w:val="0"/>
          <w:marBottom w:val="0"/>
          <w:divBdr>
            <w:top w:val="none" w:sz="0" w:space="0" w:color="auto"/>
            <w:left w:val="none" w:sz="0" w:space="0" w:color="auto"/>
            <w:bottom w:val="none" w:sz="0" w:space="0" w:color="auto"/>
            <w:right w:val="none" w:sz="0" w:space="0" w:color="auto"/>
          </w:divBdr>
        </w:div>
        <w:div w:id="1314065820">
          <w:marLeft w:val="0"/>
          <w:marRight w:val="0"/>
          <w:marTop w:val="0"/>
          <w:marBottom w:val="0"/>
          <w:divBdr>
            <w:top w:val="none" w:sz="0" w:space="0" w:color="auto"/>
            <w:left w:val="none" w:sz="0" w:space="0" w:color="auto"/>
            <w:bottom w:val="none" w:sz="0" w:space="0" w:color="auto"/>
            <w:right w:val="none" w:sz="0" w:space="0" w:color="auto"/>
          </w:divBdr>
        </w:div>
        <w:div w:id="594558282">
          <w:marLeft w:val="0"/>
          <w:marRight w:val="0"/>
          <w:marTop w:val="0"/>
          <w:marBottom w:val="0"/>
          <w:divBdr>
            <w:top w:val="none" w:sz="0" w:space="0" w:color="auto"/>
            <w:left w:val="none" w:sz="0" w:space="0" w:color="auto"/>
            <w:bottom w:val="none" w:sz="0" w:space="0" w:color="auto"/>
            <w:right w:val="none" w:sz="0" w:space="0" w:color="auto"/>
          </w:divBdr>
        </w:div>
        <w:div w:id="1742866846">
          <w:marLeft w:val="0"/>
          <w:marRight w:val="0"/>
          <w:marTop w:val="0"/>
          <w:marBottom w:val="0"/>
          <w:divBdr>
            <w:top w:val="none" w:sz="0" w:space="0" w:color="auto"/>
            <w:left w:val="none" w:sz="0" w:space="0" w:color="auto"/>
            <w:bottom w:val="none" w:sz="0" w:space="0" w:color="auto"/>
            <w:right w:val="none" w:sz="0" w:space="0" w:color="auto"/>
          </w:divBdr>
        </w:div>
        <w:div w:id="66609572">
          <w:marLeft w:val="0"/>
          <w:marRight w:val="0"/>
          <w:marTop w:val="0"/>
          <w:marBottom w:val="0"/>
          <w:divBdr>
            <w:top w:val="none" w:sz="0" w:space="0" w:color="auto"/>
            <w:left w:val="none" w:sz="0" w:space="0" w:color="auto"/>
            <w:bottom w:val="none" w:sz="0" w:space="0" w:color="auto"/>
            <w:right w:val="none" w:sz="0" w:space="0" w:color="auto"/>
          </w:divBdr>
        </w:div>
        <w:div w:id="48312796">
          <w:marLeft w:val="0"/>
          <w:marRight w:val="0"/>
          <w:marTop w:val="0"/>
          <w:marBottom w:val="0"/>
          <w:divBdr>
            <w:top w:val="none" w:sz="0" w:space="0" w:color="auto"/>
            <w:left w:val="none" w:sz="0" w:space="0" w:color="auto"/>
            <w:bottom w:val="none" w:sz="0" w:space="0" w:color="auto"/>
            <w:right w:val="none" w:sz="0" w:space="0" w:color="auto"/>
          </w:divBdr>
        </w:div>
        <w:div w:id="1494906408">
          <w:marLeft w:val="0"/>
          <w:marRight w:val="0"/>
          <w:marTop w:val="0"/>
          <w:marBottom w:val="0"/>
          <w:divBdr>
            <w:top w:val="none" w:sz="0" w:space="0" w:color="auto"/>
            <w:left w:val="none" w:sz="0" w:space="0" w:color="auto"/>
            <w:bottom w:val="none" w:sz="0" w:space="0" w:color="auto"/>
            <w:right w:val="none" w:sz="0" w:space="0" w:color="auto"/>
          </w:divBdr>
        </w:div>
        <w:div w:id="2012026272">
          <w:marLeft w:val="0"/>
          <w:marRight w:val="0"/>
          <w:marTop w:val="0"/>
          <w:marBottom w:val="0"/>
          <w:divBdr>
            <w:top w:val="none" w:sz="0" w:space="0" w:color="auto"/>
            <w:left w:val="none" w:sz="0" w:space="0" w:color="auto"/>
            <w:bottom w:val="none" w:sz="0" w:space="0" w:color="auto"/>
            <w:right w:val="none" w:sz="0" w:space="0" w:color="auto"/>
          </w:divBdr>
        </w:div>
        <w:div w:id="699742588">
          <w:marLeft w:val="0"/>
          <w:marRight w:val="0"/>
          <w:marTop w:val="0"/>
          <w:marBottom w:val="0"/>
          <w:divBdr>
            <w:top w:val="none" w:sz="0" w:space="0" w:color="auto"/>
            <w:left w:val="none" w:sz="0" w:space="0" w:color="auto"/>
            <w:bottom w:val="none" w:sz="0" w:space="0" w:color="auto"/>
            <w:right w:val="none" w:sz="0" w:space="0" w:color="auto"/>
          </w:divBdr>
        </w:div>
        <w:div w:id="1589651110">
          <w:marLeft w:val="0"/>
          <w:marRight w:val="0"/>
          <w:marTop w:val="0"/>
          <w:marBottom w:val="0"/>
          <w:divBdr>
            <w:top w:val="none" w:sz="0" w:space="0" w:color="auto"/>
            <w:left w:val="none" w:sz="0" w:space="0" w:color="auto"/>
            <w:bottom w:val="none" w:sz="0" w:space="0" w:color="auto"/>
            <w:right w:val="none" w:sz="0" w:space="0" w:color="auto"/>
          </w:divBdr>
        </w:div>
        <w:div w:id="1019887649">
          <w:marLeft w:val="0"/>
          <w:marRight w:val="0"/>
          <w:marTop w:val="0"/>
          <w:marBottom w:val="0"/>
          <w:divBdr>
            <w:top w:val="none" w:sz="0" w:space="0" w:color="auto"/>
            <w:left w:val="none" w:sz="0" w:space="0" w:color="auto"/>
            <w:bottom w:val="none" w:sz="0" w:space="0" w:color="auto"/>
            <w:right w:val="none" w:sz="0" w:space="0" w:color="auto"/>
          </w:divBdr>
        </w:div>
        <w:div w:id="1133981069">
          <w:marLeft w:val="0"/>
          <w:marRight w:val="0"/>
          <w:marTop w:val="0"/>
          <w:marBottom w:val="0"/>
          <w:divBdr>
            <w:top w:val="none" w:sz="0" w:space="0" w:color="auto"/>
            <w:left w:val="none" w:sz="0" w:space="0" w:color="auto"/>
            <w:bottom w:val="none" w:sz="0" w:space="0" w:color="auto"/>
            <w:right w:val="none" w:sz="0" w:space="0" w:color="auto"/>
          </w:divBdr>
        </w:div>
        <w:div w:id="258297104">
          <w:marLeft w:val="0"/>
          <w:marRight w:val="0"/>
          <w:marTop w:val="0"/>
          <w:marBottom w:val="0"/>
          <w:divBdr>
            <w:top w:val="none" w:sz="0" w:space="0" w:color="auto"/>
            <w:left w:val="none" w:sz="0" w:space="0" w:color="auto"/>
            <w:bottom w:val="none" w:sz="0" w:space="0" w:color="auto"/>
            <w:right w:val="none" w:sz="0" w:space="0" w:color="auto"/>
          </w:divBdr>
        </w:div>
        <w:div w:id="2019774342">
          <w:marLeft w:val="0"/>
          <w:marRight w:val="0"/>
          <w:marTop w:val="0"/>
          <w:marBottom w:val="0"/>
          <w:divBdr>
            <w:top w:val="none" w:sz="0" w:space="0" w:color="auto"/>
            <w:left w:val="none" w:sz="0" w:space="0" w:color="auto"/>
            <w:bottom w:val="none" w:sz="0" w:space="0" w:color="auto"/>
            <w:right w:val="none" w:sz="0" w:space="0" w:color="auto"/>
          </w:divBdr>
        </w:div>
        <w:div w:id="2053309577">
          <w:marLeft w:val="0"/>
          <w:marRight w:val="0"/>
          <w:marTop w:val="0"/>
          <w:marBottom w:val="0"/>
          <w:divBdr>
            <w:top w:val="none" w:sz="0" w:space="0" w:color="auto"/>
            <w:left w:val="none" w:sz="0" w:space="0" w:color="auto"/>
            <w:bottom w:val="none" w:sz="0" w:space="0" w:color="auto"/>
            <w:right w:val="none" w:sz="0" w:space="0" w:color="auto"/>
          </w:divBdr>
        </w:div>
        <w:div w:id="85228370">
          <w:marLeft w:val="0"/>
          <w:marRight w:val="0"/>
          <w:marTop w:val="0"/>
          <w:marBottom w:val="0"/>
          <w:divBdr>
            <w:top w:val="none" w:sz="0" w:space="0" w:color="auto"/>
            <w:left w:val="none" w:sz="0" w:space="0" w:color="auto"/>
            <w:bottom w:val="none" w:sz="0" w:space="0" w:color="auto"/>
            <w:right w:val="none" w:sz="0" w:space="0" w:color="auto"/>
          </w:divBdr>
        </w:div>
        <w:div w:id="566771465">
          <w:marLeft w:val="0"/>
          <w:marRight w:val="0"/>
          <w:marTop w:val="0"/>
          <w:marBottom w:val="0"/>
          <w:divBdr>
            <w:top w:val="none" w:sz="0" w:space="0" w:color="auto"/>
            <w:left w:val="none" w:sz="0" w:space="0" w:color="auto"/>
            <w:bottom w:val="none" w:sz="0" w:space="0" w:color="auto"/>
            <w:right w:val="none" w:sz="0" w:space="0" w:color="auto"/>
          </w:divBdr>
        </w:div>
        <w:div w:id="1594628315">
          <w:marLeft w:val="0"/>
          <w:marRight w:val="0"/>
          <w:marTop w:val="0"/>
          <w:marBottom w:val="0"/>
          <w:divBdr>
            <w:top w:val="none" w:sz="0" w:space="0" w:color="auto"/>
            <w:left w:val="none" w:sz="0" w:space="0" w:color="auto"/>
            <w:bottom w:val="none" w:sz="0" w:space="0" w:color="auto"/>
            <w:right w:val="none" w:sz="0" w:space="0" w:color="auto"/>
          </w:divBdr>
        </w:div>
        <w:div w:id="214897470">
          <w:marLeft w:val="0"/>
          <w:marRight w:val="0"/>
          <w:marTop w:val="0"/>
          <w:marBottom w:val="0"/>
          <w:divBdr>
            <w:top w:val="none" w:sz="0" w:space="0" w:color="auto"/>
            <w:left w:val="none" w:sz="0" w:space="0" w:color="auto"/>
            <w:bottom w:val="none" w:sz="0" w:space="0" w:color="auto"/>
            <w:right w:val="none" w:sz="0" w:space="0" w:color="auto"/>
          </w:divBdr>
        </w:div>
        <w:div w:id="1087070477">
          <w:marLeft w:val="0"/>
          <w:marRight w:val="0"/>
          <w:marTop w:val="0"/>
          <w:marBottom w:val="0"/>
          <w:divBdr>
            <w:top w:val="none" w:sz="0" w:space="0" w:color="auto"/>
            <w:left w:val="none" w:sz="0" w:space="0" w:color="auto"/>
            <w:bottom w:val="none" w:sz="0" w:space="0" w:color="auto"/>
            <w:right w:val="none" w:sz="0" w:space="0" w:color="auto"/>
          </w:divBdr>
        </w:div>
        <w:div w:id="1517380149">
          <w:marLeft w:val="0"/>
          <w:marRight w:val="0"/>
          <w:marTop w:val="0"/>
          <w:marBottom w:val="0"/>
          <w:divBdr>
            <w:top w:val="none" w:sz="0" w:space="0" w:color="auto"/>
            <w:left w:val="none" w:sz="0" w:space="0" w:color="auto"/>
            <w:bottom w:val="none" w:sz="0" w:space="0" w:color="auto"/>
            <w:right w:val="none" w:sz="0" w:space="0" w:color="auto"/>
          </w:divBdr>
        </w:div>
        <w:div w:id="678849551">
          <w:marLeft w:val="0"/>
          <w:marRight w:val="0"/>
          <w:marTop w:val="0"/>
          <w:marBottom w:val="0"/>
          <w:divBdr>
            <w:top w:val="none" w:sz="0" w:space="0" w:color="auto"/>
            <w:left w:val="none" w:sz="0" w:space="0" w:color="auto"/>
            <w:bottom w:val="none" w:sz="0" w:space="0" w:color="auto"/>
            <w:right w:val="none" w:sz="0" w:space="0" w:color="auto"/>
          </w:divBdr>
        </w:div>
        <w:div w:id="739333222">
          <w:marLeft w:val="0"/>
          <w:marRight w:val="0"/>
          <w:marTop w:val="0"/>
          <w:marBottom w:val="0"/>
          <w:divBdr>
            <w:top w:val="none" w:sz="0" w:space="0" w:color="auto"/>
            <w:left w:val="none" w:sz="0" w:space="0" w:color="auto"/>
            <w:bottom w:val="none" w:sz="0" w:space="0" w:color="auto"/>
            <w:right w:val="none" w:sz="0" w:space="0" w:color="auto"/>
          </w:divBdr>
        </w:div>
        <w:div w:id="1621691530">
          <w:marLeft w:val="0"/>
          <w:marRight w:val="0"/>
          <w:marTop w:val="0"/>
          <w:marBottom w:val="0"/>
          <w:divBdr>
            <w:top w:val="none" w:sz="0" w:space="0" w:color="auto"/>
            <w:left w:val="none" w:sz="0" w:space="0" w:color="auto"/>
            <w:bottom w:val="none" w:sz="0" w:space="0" w:color="auto"/>
            <w:right w:val="none" w:sz="0" w:space="0" w:color="auto"/>
          </w:divBdr>
        </w:div>
        <w:div w:id="425156358">
          <w:marLeft w:val="0"/>
          <w:marRight w:val="0"/>
          <w:marTop w:val="0"/>
          <w:marBottom w:val="0"/>
          <w:divBdr>
            <w:top w:val="none" w:sz="0" w:space="0" w:color="auto"/>
            <w:left w:val="none" w:sz="0" w:space="0" w:color="auto"/>
            <w:bottom w:val="none" w:sz="0" w:space="0" w:color="auto"/>
            <w:right w:val="none" w:sz="0" w:space="0" w:color="auto"/>
          </w:divBdr>
        </w:div>
        <w:div w:id="86734976">
          <w:marLeft w:val="0"/>
          <w:marRight w:val="0"/>
          <w:marTop w:val="0"/>
          <w:marBottom w:val="0"/>
          <w:divBdr>
            <w:top w:val="none" w:sz="0" w:space="0" w:color="auto"/>
            <w:left w:val="none" w:sz="0" w:space="0" w:color="auto"/>
            <w:bottom w:val="none" w:sz="0" w:space="0" w:color="auto"/>
            <w:right w:val="none" w:sz="0" w:space="0" w:color="auto"/>
          </w:divBdr>
        </w:div>
        <w:div w:id="2146198311">
          <w:marLeft w:val="0"/>
          <w:marRight w:val="0"/>
          <w:marTop w:val="0"/>
          <w:marBottom w:val="0"/>
          <w:divBdr>
            <w:top w:val="none" w:sz="0" w:space="0" w:color="auto"/>
            <w:left w:val="none" w:sz="0" w:space="0" w:color="auto"/>
            <w:bottom w:val="none" w:sz="0" w:space="0" w:color="auto"/>
            <w:right w:val="none" w:sz="0" w:space="0" w:color="auto"/>
          </w:divBdr>
        </w:div>
        <w:div w:id="1887175296">
          <w:marLeft w:val="0"/>
          <w:marRight w:val="0"/>
          <w:marTop w:val="0"/>
          <w:marBottom w:val="0"/>
          <w:divBdr>
            <w:top w:val="none" w:sz="0" w:space="0" w:color="auto"/>
            <w:left w:val="none" w:sz="0" w:space="0" w:color="auto"/>
            <w:bottom w:val="none" w:sz="0" w:space="0" w:color="auto"/>
            <w:right w:val="none" w:sz="0" w:space="0" w:color="auto"/>
          </w:divBdr>
        </w:div>
        <w:div w:id="1929383391">
          <w:marLeft w:val="0"/>
          <w:marRight w:val="0"/>
          <w:marTop w:val="0"/>
          <w:marBottom w:val="0"/>
          <w:divBdr>
            <w:top w:val="none" w:sz="0" w:space="0" w:color="auto"/>
            <w:left w:val="none" w:sz="0" w:space="0" w:color="auto"/>
            <w:bottom w:val="none" w:sz="0" w:space="0" w:color="auto"/>
            <w:right w:val="none" w:sz="0" w:space="0" w:color="auto"/>
          </w:divBdr>
        </w:div>
        <w:div w:id="532577859">
          <w:marLeft w:val="0"/>
          <w:marRight w:val="0"/>
          <w:marTop w:val="0"/>
          <w:marBottom w:val="0"/>
          <w:divBdr>
            <w:top w:val="none" w:sz="0" w:space="0" w:color="auto"/>
            <w:left w:val="none" w:sz="0" w:space="0" w:color="auto"/>
            <w:bottom w:val="none" w:sz="0" w:space="0" w:color="auto"/>
            <w:right w:val="none" w:sz="0" w:space="0" w:color="auto"/>
          </w:divBdr>
        </w:div>
      </w:divsChild>
    </w:div>
    <w:div w:id="172578391">
      <w:bodyDiv w:val="1"/>
      <w:marLeft w:val="0"/>
      <w:marRight w:val="0"/>
      <w:marTop w:val="0"/>
      <w:marBottom w:val="0"/>
      <w:divBdr>
        <w:top w:val="none" w:sz="0" w:space="0" w:color="auto"/>
        <w:left w:val="none" w:sz="0" w:space="0" w:color="auto"/>
        <w:bottom w:val="none" w:sz="0" w:space="0" w:color="auto"/>
        <w:right w:val="none" w:sz="0" w:space="0" w:color="auto"/>
      </w:divBdr>
      <w:divsChild>
        <w:div w:id="1006058303">
          <w:marLeft w:val="0"/>
          <w:marRight w:val="0"/>
          <w:marTop w:val="0"/>
          <w:marBottom w:val="0"/>
          <w:divBdr>
            <w:top w:val="none" w:sz="0" w:space="0" w:color="auto"/>
            <w:left w:val="none" w:sz="0" w:space="0" w:color="auto"/>
            <w:bottom w:val="none" w:sz="0" w:space="0" w:color="auto"/>
            <w:right w:val="none" w:sz="0" w:space="0" w:color="auto"/>
          </w:divBdr>
          <w:divsChild>
            <w:div w:id="4658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4251">
      <w:bodyDiv w:val="1"/>
      <w:marLeft w:val="0"/>
      <w:marRight w:val="0"/>
      <w:marTop w:val="0"/>
      <w:marBottom w:val="0"/>
      <w:divBdr>
        <w:top w:val="none" w:sz="0" w:space="0" w:color="auto"/>
        <w:left w:val="none" w:sz="0" w:space="0" w:color="auto"/>
        <w:bottom w:val="none" w:sz="0" w:space="0" w:color="auto"/>
        <w:right w:val="none" w:sz="0" w:space="0" w:color="auto"/>
      </w:divBdr>
      <w:divsChild>
        <w:div w:id="708139794">
          <w:marLeft w:val="0"/>
          <w:marRight w:val="0"/>
          <w:marTop w:val="0"/>
          <w:marBottom w:val="0"/>
          <w:divBdr>
            <w:top w:val="none" w:sz="0" w:space="0" w:color="auto"/>
            <w:left w:val="none" w:sz="0" w:space="0" w:color="auto"/>
            <w:bottom w:val="none" w:sz="0" w:space="0" w:color="auto"/>
            <w:right w:val="none" w:sz="0" w:space="0" w:color="auto"/>
          </w:divBdr>
        </w:div>
        <w:div w:id="1424641360">
          <w:marLeft w:val="0"/>
          <w:marRight w:val="0"/>
          <w:marTop w:val="0"/>
          <w:marBottom w:val="0"/>
          <w:divBdr>
            <w:top w:val="none" w:sz="0" w:space="0" w:color="auto"/>
            <w:left w:val="none" w:sz="0" w:space="0" w:color="auto"/>
            <w:bottom w:val="none" w:sz="0" w:space="0" w:color="auto"/>
            <w:right w:val="none" w:sz="0" w:space="0" w:color="auto"/>
          </w:divBdr>
        </w:div>
        <w:div w:id="1505852247">
          <w:marLeft w:val="0"/>
          <w:marRight w:val="0"/>
          <w:marTop w:val="0"/>
          <w:marBottom w:val="0"/>
          <w:divBdr>
            <w:top w:val="none" w:sz="0" w:space="0" w:color="auto"/>
            <w:left w:val="none" w:sz="0" w:space="0" w:color="auto"/>
            <w:bottom w:val="none" w:sz="0" w:space="0" w:color="auto"/>
            <w:right w:val="none" w:sz="0" w:space="0" w:color="auto"/>
          </w:divBdr>
        </w:div>
      </w:divsChild>
    </w:div>
    <w:div w:id="391781342">
      <w:bodyDiv w:val="1"/>
      <w:marLeft w:val="0"/>
      <w:marRight w:val="0"/>
      <w:marTop w:val="0"/>
      <w:marBottom w:val="0"/>
      <w:divBdr>
        <w:top w:val="none" w:sz="0" w:space="0" w:color="auto"/>
        <w:left w:val="none" w:sz="0" w:space="0" w:color="auto"/>
        <w:bottom w:val="none" w:sz="0" w:space="0" w:color="auto"/>
        <w:right w:val="none" w:sz="0" w:space="0" w:color="auto"/>
      </w:divBdr>
      <w:divsChild>
        <w:div w:id="1306546498">
          <w:marLeft w:val="0"/>
          <w:marRight w:val="0"/>
          <w:marTop w:val="0"/>
          <w:marBottom w:val="0"/>
          <w:divBdr>
            <w:top w:val="none" w:sz="0" w:space="0" w:color="auto"/>
            <w:left w:val="none" w:sz="0" w:space="0" w:color="auto"/>
            <w:bottom w:val="none" w:sz="0" w:space="0" w:color="auto"/>
            <w:right w:val="none" w:sz="0" w:space="0" w:color="auto"/>
          </w:divBdr>
        </w:div>
        <w:div w:id="1693144519">
          <w:marLeft w:val="0"/>
          <w:marRight w:val="0"/>
          <w:marTop w:val="0"/>
          <w:marBottom w:val="0"/>
          <w:divBdr>
            <w:top w:val="none" w:sz="0" w:space="0" w:color="auto"/>
            <w:left w:val="none" w:sz="0" w:space="0" w:color="auto"/>
            <w:bottom w:val="none" w:sz="0" w:space="0" w:color="auto"/>
            <w:right w:val="none" w:sz="0" w:space="0" w:color="auto"/>
          </w:divBdr>
        </w:div>
        <w:div w:id="1899395244">
          <w:marLeft w:val="0"/>
          <w:marRight w:val="0"/>
          <w:marTop w:val="0"/>
          <w:marBottom w:val="0"/>
          <w:divBdr>
            <w:top w:val="none" w:sz="0" w:space="0" w:color="auto"/>
            <w:left w:val="none" w:sz="0" w:space="0" w:color="auto"/>
            <w:bottom w:val="none" w:sz="0" w:space="0" w:color="auto"/>
            <w:right w:val="none" w:sz="0" w:space="0" w:color="auto"/>
          </w:divBdr>
        </w:div>
      </w:divsChild>
    </w:div>
    <w:div w:id="402144207">
      <w:bodyDiv w:val="1"/>
      <w:marLeft w:val="0"/>
      <w:marRight w:val="0"/>
      <w:marTop w:val="0"/>
      <w:marBottom w:val="0"/>
      <w:divBdr>
        <w:top w:val="none" w:sz="0" w:space="0" w:color="auto"/>
        <w:left w:val="none" w:sz="0" w:space="0" w:color="auto"/>
        <w:bottom w:val="none" w:sz="0" w:space="0" w:color="auto"/>
        <w:right w:val="none" w:sz="0" w:space="0" w:color="auto"/>
      </w:divBdr>
      <w:divsChild>
        <w:div w:id="352999695">
          <w:marLeft w:val="0"/>
          <w:marRight w:val="0"/>
          <w:marTop w:val="0"/>
          <w:marBottom w:val="0"/>
          <w:divBdr>
            <w:top w:val="none" w:sz="0" w:space="0" w:color="auto"/>
            <w:left w:val="none" w:sz="0" w:space="0" w:color="auto"/>
            <w:bottom w:val="none" w:sz="0" w:space="0" w:color="auto"/>
            <w:right w:val="none" w:sz="0" w:space="0" w:color="auto"/>
          </w:divBdr>
        </w:div>
        <w:div w:id="468740721">
          <w:marLeft w:val="0"/>
          <w:marRight w:val="0"/>
          <w:marTop w:val="0"/>
          <w:marBottom w:val="0"/>
          <w:divBdr>
            <w:top w:val="none" w:sz="0" w:space="0" w:color="auto"/>
            <w:left w:val="none" w:sz="0" w:space="0" w:color="auto"/>
            <w:bottom w:val="none" w:sz="0" w:space="0" w:color="auto"/>
            <w:right w:val="none" w:sz="0" w:space="0" w:color="auto"/>
          </w:divBdr>
        </w:div>
        <w:div w:id="693270063">
          <w:marLeft w:val="0"/>
          <w:marRight w:val="0"/>
          <w:marTop w:val="0"/>
          <w:marBottom w:val="0"/>
          <w:divBdr>
            <w:top w:val="none" w:sz="0" w:space="0" w:color="auto"/>
            <w:left w:val="none" w:sz="0" w:space="0" w:color="auto"/>
            <w:bottom w:val="none" w:sz="0" w:space="0" w:color="auto"/>
            <w:right w:val="none" w:sz="0" w:space="0" w:color="auto"/>
          </w:divBdr>
        </w:div>
      </w:divsChild>
    </w:div>
    <w:div w:id="420568222">
      <w:bodyDiv w:val="1"/>
      <w:marLeft w:val="0"/>
      <w:marRight w:val="0"/>
      <w:marTop w:val="0"/>
      <w:marBottom w:val="0"/>
      <w:divBdr>
        <w:top w:val="none" w:sz="0" w:space="0" w:color="auto"/>
        <w:left w:val="none" w:sz="0" w:space="0" w:color="auto"/>
        <w:bottom w:val="none" w:sz="0" w:space="0" w:color="auto"/>
        <w:right w:val="none" w:sz="0" w:space="0" w:color="auto"/>
      </w:divBdr>
      <w:divsChild>
        <w:div w:id="329790870">
          <w:marLeft w:val="0"/>
          <w:marRight w:val="0"/>
          <w:marTop w:val="0"/>
          <w:marBottom w:val="0"/>
          <w:divBdr>
            <w:top w:val="none" w:sz="0" w:space="0" w:color="auto"/>
            <w:left w:val="none" w:sz="0" w:space="0" w:color="auto"/>
            <w:bottom w:val="none" w:sz="0" w:space="0" w:color="auto"/>
            <w:right w:val="none" w:sz="0" w:space="0" w:color="auto"/>
          </w:divBdr>
        </w:div>
        <w:div w:id="1500342816">
          <w:marLeft w:val="0"/>
          <w:marRight w:val="0"/>
          <w:marTop w:val="0"/>
          <w:marBottom w:val="0"/>
          <w:divBdr>
            <w:top w:val="none" w:sz="0" w:space="0" w:color="auto"/>
            <w:left w:val="none" w:sz="0" w:space="0" w:color="auto"/>
            <w:bottom w:val="none" w:sz="0" w:space="0" w:color="auto"/>
            <w:right w:val="none" w:sz="0" w:space="0" w:color="auto"/>
          </w:divBdr>
        </w:div>
        <w:div w:id="1796171276">
          <w:marLeft w:val="0"/>
          <w:marRight w:val="0"/>
          <w:marTop w:val="0"/>
          <w:marBottom w:val="0"/>
          <w:divBdr>
            <w:top w:val="none" w:sz="0" w:space="0" w:color="auto"/>
            <w:left w:val="none" w:sz="0" w:space="0" w:color="auto"/>
            <w:bottom w:val="none" w:sz="0" w:space="0" w:color="auto"/>
            <w:right w:val="none" w:sz="0" w:space="0" w:color="auto"/>
          </w:divBdr>
        </w:div>
        <w:div w:id="64646912">
          <w:marLeft w:val="0"/>
          <w:marRight w:val="0"/>
          <w:marTop w:val="0"/>
          <w:marBottom w:val="0"/>
          <w:divBdr>
            <w:top w:val="none" w:sz="0" w:space="0" w:color="auto"/>
            <w:left w:val="none" w:sz="0" w:space="0" w:color="auto"/>
            <w:bottom w:val="none" w:sz="0" w:space="0" w:color="auto"/>
            <w:right w:val="none" w:sz="0" w:space="0" w:color="auto"/>
          </w:divBdr>
        </w:div>
        <w:div w:id="1884519891">
          <w:marLeft w:val="0"/>
          <w:marRight w:val="0"/>
          <w:marTop w:val="0"/>
          <w:marBottom w:val="0"/>
          <w:divBdr>
            <w:top w:val="none" w:sz="0" w:space="0" w:color="auto"/>
            <w:left w:val="none" w:sz="0" w:space="0" w:color="auto"/>
            <w:bottom w:val="none" w:sz="0" w:space="0" w:color="auto"/>
            <w:right w:val="none" w:sz="0" w:space="0" w:color="auto"/>
          </w:divBdr>
        </w:div>
        <w:div w:id="637883287">
          <w:marLeft w:val="0"/>
          <w:marRight w:val="0"/>
          <w:marTop w:val="0"/>
          <w:marBottom w:val="0"/>
          <w:divBdr>
            <w:top w:val="none" w:sz="0" w:space="0" w:color="auto"/>
            <w:left w:val="none" w:sz="0" w:space="0" w:color="auto"/>
            <w:bottom w:val="none" w:sz="0" w:space="0" w:color="auto"/>
            <w:right w:val="none" w:sz="0" w:space="0" w:color="auto"/>
          </w:divBdr>
        </w:div>
        <w:div w:id="1865899968">
          <w:marLeft w:val="0"/>
          <w:marRight w:val="0"/>
          <w:marTop w:val="0"/>
          <w:marBottom w:val="0"/>
          <w:divBdr>
            <w:top w:val="none" w:sz="0" w:space="0" w:color="auto"/>
            <w:left w:val="none" w:sz="0" w:space="0" w:color="auto"/>
            <w:bottom w:val="none" w:sz="0" w:space="0" w:color="auto"/>
            <w:right w:val="none" w:sz="0" w:space="0" w:color="auto"/>
          </w:divBdr>
        </w:div>
        <w:div w:id="1545481598">
          <w:marLeft w:val="0"/>
          <w:marRight w:val="0"/>
          <w:marTop w:val="0"/>
          <w:marBottom w:val="0"/>
          <w:divBdr>
            <w:top w:val="none" w:sz="0" w:space="0" w:color="auto"/>
            <w:left w:val="none" w:sz="0" w:space="0" w:color="auto"/>
            <w:bottom w:val="none" w:sz="0" w:space="0" w:color="auto"/>
            <w:right w:val="none" w:sz="0" w:space="0" w:color="auto"/>
          </w:divBdr>
        </w:div>
        <w:div w:id="1193112640">
          <w:marLeft w:val="0"/>
          <w:marRight w:val="0"/>
          <w:marTop w:val="0"/>
          <w:marBottom w:val="0"/>
          <w:divBdr>
            <w:top w:val="none" w:sz="0" w:space="0" w:color="auto"/>
            <w:left w:val="none" w:sz="0" w:space="0" w:color="auto"/>
            <w:bottom w:val="none" w:sz="0" w:space="0" w:color="auto"/>
            <w:right w:val="none" w:sz="0" w:space="0" w:color="auto"/>
          </w:divBdr>
        </w:div>
        <w:div w:id="1960605146">
          <w:marLeft w:val="0"/>
          <w:marRight w:val="0"/>
          <w:marTop w:val="0"/>
          <w:marBottom w:val="0"/>
          <w:divBdr>
            <w:top w:val="none" w:sz="0" w:space="0" w:color="auto"/>
            <w:left w:val="none" w:sz="0" w:space="0" w:color="auto"/>
            <w:bottom w:val="none" w:sz="0" w:space="0" w:color="auto"/>
            <w:right w:val="none" w:sz="0" w:space="0" w:color="auto"/>
          </w:divBdr>
        </w:div>
        <w:div w:id="1563904376">
          <w:marLeft w:val="0"/>
          <w:marRight w:val="0"/>
          <w:marTop w:val="0"/>
          <w:marBottom w:val="0"/>
          <w:divBdr>
            <w:top w:val="none" w:sz="0" w:space="0" w:color="auto"/>
            <w:left w:val="none" w:sz="0" w:space="0" w:color="auto"/>
            <w:bottom w:val="none" w:sz="0" w:space="0" w:color="auto"/>
            <w:right w:val="none" w:sz="0" w:space="0" w:color="auto"/>
          </w:divBdr>
        </w:div>
        <w:div w:id="522475645">
          <w:marLeft w:val="0"/>
          <w:marRight w:val="0"/>
          <w:marTop w:val="0"/>
          <w:marBottom w:val="0"/>
          <w:divBdr>
            <w:top w:val="none" w:sz="0" w:space="0" w:color="auto"/>
            <w:left w:val="none" w:sz="0" w:space="0" w:color="auto"/>
            <w:bottom w:val="none" w:sz="0" w:space="0" w:color="auto"/>
            <w:right w:val="none" w:sz="0" w:space="0" w:color="auto"/>
          </w:divBdr>
        </w:div>
        <w:div w:id="1484347468">
          <w:marLeft w:val="0"/>
          <w:marRight w:val="0"/>
          <w:marTop w:val="0"/>
          <w:marBottom w:val="0"/>
          <w:divBdr>
            <w:top w:val="none" w:sz="0" w:space="0" w:color="auto"/>
            <w:left w:val="none" w:sz="0" w:space="0" w:color="auto"/>
            <w:bottom w:val="none" w:sz="0" w:space="0" w:color="auto"/>
            <w:right w:val="none" w:sz="0" w:space="0" w:color="auto"/>
          </w:divBdr>
        </w:div>
        <w:div w:id="116262471">
          <w:marLeft w:val="0"/>
          <w:marRight w:val="0"/>
          <w:marTop w:val="0"/>
          <w:marBottom w:val="0"/>
          <w:divBdr>
            <w:top w:val="none" w:sz="0" w:space="0" w:color="auto"/>
            <w:left w:val="none" w:sz="0" w:space="0" w:color="auto"/>
            <w:bottom w:val="none" w:sz="0" w:space="0" w:color="auto"/>
            <w:right w:val="none" w:sz="0" w:space="0" w:color="auto"/>
          </w:divBdr>
        </w:div>
        <w:div w:id="1744372388">
          <w:marLeft w:val="0"/>
          <w:marRight w:val="0"/>
          <w:marTop w:val="0"/>
          <w:marBottom w:val="0"/>
          <w:divBdr>
            <w:top w:val="none" w:sz="0" w:space="0" w:color="auto"/>
            <w:left w:val="none" w:sz="0" w:space="0" w:color="auto"/>
            <w:bottom w:val="none" w:sz="0" w:space="0" w:color="auto"/>
            <w:right w:val="none" w:sz="0" w:space="0" w:color="auto"/>
          </w:divBdr>
        </w:div>
        <w:div w:id="1477643040">
          <w:marLeft w:val="0"/>
          <w:marRight w:val="0"/>
          <w:marTop w:val="0"/>
          <w:marBottom w:val="0"/>
          <w:divBdr>
            <w:top w:val="none" w:sz="0" w:space="0" w:color="auto"/>
            <w:left w:val="none" w:sz="0" w:space="0" w:color="auto"/>
            <w:bottom w:val="none" w:sz="0" w:space="0" w:color="auto"/>
            <w:right w:val="none" w:sz="0" w:space="0" w:color="auto"/>
          </w:divBdr>
        </w:div>
        <w:div w:id="1289818210">
          <w:marLeft w:val="0"/>
          <w:marRight w:val="0"/>
          <w:marTop w:val="0"/>
          <w:marBottom w:val="0"/>
          <w:divBdr>
            <w:top w:val="none" w:sz="0" w:space="0" w:color="auto"/>
            <w:left w:val="none" w:sz="0" w:space="0" w:color="auto"/>
            <w:bottom w:val="none" w:sz="0" w:space="0" w:color="auto"/>
            <w:right w:val="none" w:sz="0" w:space="0" w:color="auto"/>
          </w:divBdr>
        </w:div>
        <w:div w:id="105927496">
          <w:marLeft w:val="0"/>
          <w:marRight w:val="0"/>
          <w:marTop w:val="0"/>
          <w:marBottom w:val="0"/>
          <w:divBdr>
            <w:top w:val="none" w:sz="0" w:space="0" w:color="auto"/>
            <w:left w:val="none" w:sz="0" w:space="0" w:color="auto"/>
            <w:bottom w:val="none" w:sz="0" w:space="0" w:color="auto"/>
            <w:right w:val="none" w:sz="0" w:space="0" w:color="auto"/>
          </w:divBdr>
        </w:div>
        <w:div w:id="61953711">
          <w:marLeft w:val="0"/>
          <w:marRight w:val="0"/>
          <w:marTop w:val="0"/>
          <w:marBottom w:val="0"/>
          <w:divBdr>
            <w:top w:val="none" w:sz="0" w:space="0" w:color="auto"/>
            <w:left w:val="none" w:sz="0" w:space="0" w:color="auto"/>
            <w:bottom w:val="none" w:sz="0" w:space="0" w:color="auto"/>
            <w:right w:val="none" w:sz="0" w:space="0" w:color="auto"/>
          </w:divBdr>
        </w:div>
      </w:divsChild>
    </w:div>
    <w:div w:id="470515291">
      <w:bodyDiv w:val="1"/>
      <w:marLeft w:val="0"/>
      <w:marRight w:val="0"/>
      <w:marTop w:val="0"/>
      <w:marBottom w:val="0"/>
      <w:divBdr>
        <w:top w:val="none" w:sz="0" w:space="0" w:color="auto"/>
        <w:left w:val="none" w:sz="0" w:space="0" w:color="auto"/>
        <w:bottom w:val="none" w:sz="0" w:space="0" w:color="auto"/>
        <w:right w:val="none" w:sz="0" w:space="0" w:color="auto"/>
      </w:divBdr>
      <w:divsChild>
        <w:div w:id="85806622">
          <w:marLeft w:val="0"/>
          <w:marRight w:val="0"/>
          <w:marTop w:val="0"/>
          <w:marBottom w:val="0"/>
          <w:divBdr>
            <w:top w:val="none" w:sz="0" w:space="0" w:color="auto"/>
            <w:left w:val="none" w:sz="0" w:space="0" w:color="auto"/>
            <w:bottom w:val="none" w:sz="0" w:space="0" w:color="auto"/>
            <w:right w:val="none" w:sz="0" w:space="0" w:color="auto"/>
          </w:divBdr>
        </w:div>
        <w:div w:id="324676247">
          <w:marLeft w:val="0"/>
          <w:marRight w:val="0"/>
          <w:marTop w:val="0"/>
          <w:marBottom w:val="0"/>
          <w:divBdr>
            <w:top w:val="none" w:sz="0" w:space="0" w:color="auto"/>
            <w:left w:val="none" w:sz="0" w:space="0" w:color="auto"/>
            <w:bottom w:val="none" w:sz="0" w:space="0" w:color="auto"/>
            <w:right w:val="none" w:sz="0" w:space="0" w:color="auto"/>
          </w:divBdr>
        </w:div>
        <w:div w:id="1125584260">
          <w:marLeft w:val="0"/>
          <w:marRight w:val="0"/>
          <w:marTop w:val="0"/>
          <w:marBottom w:val="0"/>
          <w:divBdr>
            <w:top w:val="none" w:sz="0" w:space="0" w:color="auto"/>
            <w:left w:val="none" w:sz="0" w:space="0" w:color="auto"/>
            <w:bottom w:val="none" w:sz="0" w:space="0" w:color="auto"/>
            <w:right w:val="none" w:sz="0" w:space="0" w:color="auto"/>
          </w:divBdr>
        </w:div>
        <w:div w:id="1373308528">
          <w:marLeft w:val="0"/>
          <w:marRight w:val="0"/>
          <w:marTop w:val="0"/>
          <w:marBottom w:val="0"/>
          <w:divBdr>
            <w:top w:val="none" w:sz="0" w:space="0" w:color="auto"/>
            <w:left w:val="none" w:sz="0" w:space="0" w:color="auto"/>
            <w:bottom w:val="none" w:sz="0" w:space="0" w:color="auto"/>
            <w:right w:val="none" w:sz="0" w:space="0" w:color="auto"/>
          </w:divBdr>
        </w:div>
        <w:div w:id="1642347961">
          <w:marLeft w:val="0"/>
          <w:marRight w:val="0"/>
          <w:marTop w:val="0"/>
          <w:marBottom w:val="0"/>
          <w:divBdr>
            <w:top w:val="none" w:sz="0" w:space="0" w:color="auto"/>
            <w:left w:val="none" w:sz="0" w:space="0" w:color="auto"/>
            <w:bottom w:val="none" w:sz="0" w:space="0" w:color="auto"/>
            <w:right w:val="none" w:sz="0" w:space="0" w:color="auto"/>
          </w:divBdr>
        </w:div>
        <w:div w:id="1734350532">
          <w:marLeft w:val="0"/>
          <w:marRight w:val="0"/>
          <w:marTop w:val="0"/>
          <w:marBottom w:val="0"/>
          <w:divBdr>
            <w:top w:val="none" w:sz="0" w:space="0" w:color="auto"/>
            <w:left w:val="none" w:sz="0" w:space="0" w:color="auto"/>
            <w:bottom w:val="none" w:sz="0" w:space="0" w:color="auto"/>
            <w:right w:val="none" w:sz="0" w:space="0" w:color="auto"/>
          </w:divBdr>
        </w:div>
        <w:div w:id="1756824107">
          <w:marLeft w:val="0"/>
          <w:marRight w:val="0"/>
          <w:marTop w:val="0"/>
          <w:marBottom w:val="0"/>
          <w:divBdr>
            <w:top w:val="none" w:sz="0" w:space="0" w:color="auto"/>
            <w:left w:val="none" w:sz="0" w:space="0" w:color="auto"/>
            <w:bottom w:val="none" w:sz="0" w:space="0" w:color="auto"/>
            <w:right w:val="none" w:sz="0" w:space="0" w:color="auto"/>
          </w:divBdr>
        </w:div>
        <w:div w:id="1757821195">
          <w:marLeft w:val="0"/>
          <w:marRight w:val="0"/>
          <w:marTop w:val="0"/>
          <w:marBottom w:val="0"/>
          <w:divBdr>
            <w:top w:val="none" w:sz="0" w:space="0" w:color="auto"/>
            <w:left w:val="none" w:sz="0" w:space="0" w:color="auto"/>
            <w:bottom w:val="none" w:sz="0" w:space="0" w:color="auto"/>
            <w:right w:val="none" w:sz="0" w:space="0" w:color="auto"/>
          </w:divBdr>
        </w:div>
        <w:div w:id="1771968836">
          <w:marLeft w:val="0"/>
          <w:marRight w:val="0"/>
          <w:marTop w:val="0"/>
          <w:marBottom w:val="0"/>
          <w:divBdr>
            <w:top w:val="none" w:sz="0" w:space="0" w:color="auto"/>
            <w:left w:val="none" w:sz="0" w:space="0" w:color="auto"/>
            <w:bottom w:val="none" w:sz="0" w:space="0" w:color="auto"/>
            <w:right w:val="none" w:sz="0" w:space="0" w:color="auto"/>
          </w:divBdr>
        </w:div>
        <w:div w:id="1832716032">
          <w:marLeft w:val="0"/>
          <w:marRight w:val="0"/>
          <w:marTop w:val="0"/>
          <w:marBottom w:val="0"/>
          <w:divBdr>
            <w:top w:val="none" w:sz="0" w:space="0" w:color="auto"/>
            <w:left w:val="none" w:sz="0" w:space="0" w:color="auto"/>
            <w:bottom w:val="none" w:sz="0" w:space="0" w:color="auto"/>
            <w:right w:val="none" w:sz="0" w:space="0" w:color="auto"/>
          </w:divBdr>
        </w:div>
        <w:div w:id="1927498173">
          <w:marLeft w:val="0"/>
          <w:marRight w:val="0"/>
          <w:marTop w:val="0"/>
          <w:marBottom w:val="0"/>
          <w:divBdr>
            <w:top w:val="none" w:sz="0" w:space="0" w:color="auto"/>
            <w:left w:val="none" w:sz="0" w:space="0" w:color="auto"/>
            <w:bottom w:val="none" w:sz="0" w:space="0" w:color="auto"/>
            <w:right w:val="none" w:sz="0" w:space="0" w:color="auto"/>
          </w:divBdr>
        </w:div>
        <w:div w:id="2102526285">
          <w:marLeft w:val="0"/>
          <w:marRight w:val="0"/>
          <w:marTop w:val="0"/>
          <w:marBottom w:val="0"/>
          <w:divBdr>
            <w:top w:val="none" w:sz="0" w:space="0" w:color="auto"/>
            <w:left w:val="none" w:sz="0" w:space="0" w:color="auto"/>
            <w:bottom w:val="none" w:sz="0" w:space="0" w:color="auto"/>
            <w:right w:val="none" w:sz="0" w:space="0" w:color="auto"/>
          </w:divBdr>
        </w:div>
        <w:div w:id="2137406117">
          <w:marLeft w:val="0"/>
          <w:marRight w:val="0"/>
          <w:marTop w:val="0"/>
          <w:marBottom w:val="0"/>
          <w:divBdr>
            <w:top w:val="none" w:sz="0" w:space="0" w:color="auto"/>
            <w:left w:val="none" w:sz="0" w:space="0" w:color="auto"/>
            <w:bottom w:val="none" w:sz="0" w:space="0" w:color="auto"/>
            <w:right w:val="none" w:sz="0" w:space="0" w:color="auto"/>
          </w:divBdr>
        </w:div>
        <w:div w:id="2147164458">
          <w:marLeft w:val="0"/>
          <w:marRight w:val="0"/>
          <w:marTop w:val="0"/>
          <w:marBottom w:val="0"/>
          <w:divBdr>
            <w:top w:val="none" w:sz="0" w:space="0" w:color="auto"/>
            <w:left w:val="none" w:sz="0" w:space="0" w:color="auto"/>
            <w:bottom w:val="none" w:sz="0" w:space="0" w:color="auto"/>
            <w:right w:val="none" w:sz="0" w:space="0" w:color="auto"/>
          </w:divBdr>
        </w:div>
      </w:divsChild>
    </w:div>
    <w:div w:id="547913404">
      <w:bodyDiv w:val="1"/>
      <w:marLeft w:val="0"/>
      <w:marRight w:val="0"/>
      <w:marTop w:val="0"/>
      <w:marBottom w:val="0"/>
      <w:divBdr>
        <w:top w:val="none" w:sz="0" w:space="0" w:color="auto"/>
        <w:left w:val="none" w:sz="0" w:space="0" w:color="auto"/>
        <w:bottom w:val="none" w:sz="0" w:space="0" w:color="auto"/>
        <w:right w:val="none" w:sz="0" w:space="0" w:color="auto"/>
      </w:divBdr>
      <w:divsChild>
        <w:div w:id="251548054">
          <w:marLeft w:val="0"/>
          <w:marRight w:val="0"/>
          <w:marTop w:val="0"/>
          <w:marBottom w:val="0"/>
          <w:divBdr>
            <w:top w:val="none" w:sz="0" w:space="0" w:color="auto"/>
            <w:left w:val="none" w:sz="0" w:space="0" w:color="auto"/>
            <w:bottom w:val="none" w:sz="0" w:space="0" w:color="auto"/>
            <w:right w:val="none" w:sz="0" w:space="0" w:color="auto"/>
          </w:divBdr>
        </w:div>
        <w:div w:id="297225215">
          <w:marLeft w:val="0"/>
          <w:marRight w:val="0"/>
          <w:marTop w:val="0"/>
          <w:marBottom w:val="0"/>
          <w:divBdr>
            <w:top w:val="none" w:sz="0" w:space="0" w:color="auto"/>
            <w:left w:val="none" w:sz="0" w:space="0" w:color="auto"/>
            <w:bottom w:val="none" w:sz="0" w:space="0" w:color="auto"/>
            <w:right w:val="none" w:sz="0" w:space="0" w:color="auto"/>
          </w:divBdr>
        </w:div>
        <w:div w:id="1425691631">
          <w:marLeft w:val="0"/>
          <w:marRight w:val="0"/>
          <w:marTop w:val="0"/>
          <w:marBottom w:val="0"/>
          <w:divBdr>
            <w:top w:val="none" w:sz="0" w:space="0" w:color="auto"/>
            <w:left w:val="none" w:sz="0" w:space="0" w:color="auto"/>
            <w:bottom w:val="none" w:sz="0" w:space="0" w:color="auto"/>
            <w:right w:val="none" w:sz="0" w:space="0" w:color="auto"/>
          </w:divBdr>
        </w:div>
        <w:div w:id="1625426186">
          <w:marLeft w:val="0"/>
          <w:marRight w:val="0"/>
          <w:marTop w:val="0"/>
          <w:marBottom w:val="0"/>
          <w:divBdr>
            <w:top w:val="none" w:sz="0" w:space="0" w:color="auto"/>
            <w:left w:val="none" w:sz="0" w:space="0" w:color="auto"/>
            <w:bottom w:val="none" w:sz="0" w:space="0" w:color="auto"/>
            <w:right w:val="none" w:sz="0" w:space="0" w:color="auto"/>
          </w:divBdr>
        </w:div>
      </w:divsChild>
    </w:div>
    <w:div w:id="559092541">
      <w:bodyDiv w:val="1"/>
      <w:marLeft w:val="0"/>
      <w:marRight w:val="0"/>
      <w:marTop w:val="0"/>
      <w:marBottom w:val="0"/>
      <w:divBdr>
        <w:top w:val="none" w:sz="0" w:space="0" w:color="auto"/>
        <w:left w:val="none" w:sz="0" w:space="0" w:color="auto"/>
        <w:bottom w:val="none" w:sz="0" w:space="0" w:color="auto"/>
        <w:right w:val="none" w:sz="0" w:space="0" w:color="auto"/>
      </w:divBdr>
      <w:divsChild>
        <w:div w:id="469712174">
          <w:marLeft w:val="0"/>
          <w:marRight w:val="0"/>
          <w:marTop w:val="0"/>
          <w:marBottom w:val="0"/>
          <w:divBdr>
            <w:top w:val="none" w:sz="0" w:space="0" w:color="auto"/>
            <w:left w:val="none" w:sz="0" w:space="0" w:color="auto"/>
            <w:bottom w:val="none" w:sz="0" w:space="0" w:color="auto"/>
            <w:right w:val="none" w:sz="0" w:space="0" w:color="auto"/>
          </w:divBdr>
          <w:divsChild>
            <w:div w:id="17080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8204">
      <w:bodyDiv w:val="1"/>
      <w:marLeft w:val="0"/>
      <w:marRight w:val="0"/>
      <w:marTop w:val="0"/>
      <w:marBottom w:val="0"/>
      <w:divBdr>
        <w:top w:val="none" w:sz="0" w:space="0" w:color="auto"/>
        <w:left w:val="none" w:sz="0" w:space="0" w:color="auto"/>
        <w:bottom w:val="none" w:sz="0" w:space="0" w:color="auto"/>
        <w:right w:val="none" w:sz="0" w:space="0" w:color="auto"/>
      </w:divBdr>
      <w:divsChild>
        <w:div w:id="384833408">
          <w:marLeft w:val="0"/>
          <w:marRight w:val="0"/>
          <w:marTop w:val="0"/>
          <w:marBottom w:val="0"/>
          <w:divBdr>
            <w:top w:val="none" w:sz="0" w:space="0" w:color="auto"/>
            <w:left w:val="none" w:sz="0" w:space="0" w:color="auto"/>
            <w:bottom w:val="none" w:sz="0" w:space="0" w:color="auto"/>
            <w:right w:val="none" w:sz="0" w:space="0" w:color="auto"/>
          </w:divBdr>
          <w:divsChild>
            <w:div w:id="124665794">
              <w:marLeft w:val="0"/>
              <w:marRight w:val="0"/>
              <w:marTop w:val="0"/>
              <w:marBottom w:val="0"/>
              <w:divBdr>
                <w:top w:val="none" w:sz="0" w:space="0" w:color="auto"/>
                <w:left w:val="none" w:sz="0" w:space="0" w:color="auto"/>
                <w:bottom w:val="none" w:sz="0" w:space="0" w:color="auto"/>
                <w:right w:val="none" w:sz="0" w:space="0" w:color="auto"/>
              </w:divBdr>
            </w:div>
            <w:div w:id="159977692">
              <w:marLeft w:val="0"/>
              <w:marRight w:val="0"/>
              <w:marTop w:val="0"/>
              <w:marBottom w:val="0"/>
              <w:divBdr>
                <w:top w:val="none" w:sz="0" w:space="0" w:color="auto"/>
                <w:left w:val="none" w:sz="0" w:space="0" w:color="auto"/>
                <w:bottom w:val="none" w:sz="0" w:space="0" w:color="auto"/>
                <w:right w:val="none" w:sz="0" w:space="0" w:color="auto"/>
              </w:divBdr>
            </w:div>
            <w:div w:id="170528767">
              <w:marLeft w:val="0"/>
              <w:marRight w:val="0"/>
              <w:marTop w:val="0"/>
              <w:marBottom w:val="0"/>
              <w:divBdr>
                <w:top w:val="none" w:sz="0" w:space="0" w:color="auto"/>
                <w:left w:val="none" w:sz="0" w:space="0" w:color="auto"/>
                <w:bottom w:val="none" w:sz="0" w:space="0" w:color="auto"/>
                <w:right w:val="none" w:sz="0" w:space="0" w:color="auto"/>
              </w:divBdr>
            </w:div>
            <w:div w:id="238255217">
              <w:marLeft w:val="0"/>
              <w:marRight w:val="0"/>
              <w:marTop w:val="0"/>
              <w:marBottom w:val="0"/>
              <w:divBdr>
                <w:top w:val="none" w:sz="0" w:space="0" w:color="auto"/>
                <w:left w:val="none" w:sz="0" w:space="0" w:color="auto"/>
                <w:bottom w:val="none" w:sz="0" w:space="0" w:color="auto"/>
                <w:right w:val="none" w:sz="0" w:space="0" w:color="auto"/>
              </w:divBdr>
            </w:div>
            <w:div w:id="335421029">
              <w:marLeft w:val="0"/>
              <w:marRight w:val="0"/>
              <w:marTop w:val="0"/>
              <w:marBottom w:val="0"/>
              <w:divBdr>
                <w:top w:val="none" w:sz="0" w:space="0" w:color="auto"/>
                <w:left w:val="none" w:sz="0" w:space="0" w:color="auto"/>
                <w:bottom w:val="none" w:sz="0" w:space="0" w:color="auto"/>
                <w:right w:val="none" w:sz="0" w:space="0" w:color="auto"/>
              </w:divBdr>
            </w:div>
            <w:div w:id="357049213">
              <w:marLeft w:val="0"/>
              <w:marRight w:val="0"/>
              <w:marTop w:val="0"/>
              <w:marBottom w:val="0"/>
              <w:divBdr>
                <w:top w:val="none" w:sz="0" w:space="0" w:color="auto"/>
                <w:left w:val="none" w:sz="0" w:space="0" w:color="auto"/>
                <w:bottom w:val="none" w:sz="0" w:space="0" w:color="auto"/>
                <w:right w:val="none" w:sz="0" w:space="0" w:color="auto"/>
              </w:divBdr>
            </w:div>
            <w:div w:id="443351691">
              <w:marLeft w:val="0"/>
              <w:marRight w:val="0"/>
              <w:marTop w:val="0"/>
              <w:marBottom w:val="0"/>
              <w:divBdr>
                <w:top w:val="none" w:sz="0" w:space="0" w:color="auto"/>
                <w:left w:val="none" w:sz="0" w:space="0" w:color="auto"/>
                <w:bottom w:val="none" w:sz="0" w:space="0" w:color="auto"/>
                <w:right w:val="none" w:sz="0" w:space="0" w:color="auto"/>
              </w:divBdr>
            </w:div>
            <w:div w:id="486017707">
              <w:marLeft w:val="0"/>
              <w:marRight w:val="0"/>
              <w:marTop w:val="0"/>
              <w:marBottom w:val="0"/>
              <w:divBdr>
                <w:top w:val="none" w:sz="0" w:space="0" w:color="auto"/>
                <w:left w:val="none" w:sz="0" w:space="0" w:color="auto"/>
                <w:bottom w:val="none" w:sz="0" w:space="0" w:color="auto"/>
                <w:right w:val="none" w:sz="0" w:space="0" w:color="auto"/>
              </w:divBdr>
            </w:div>
            <w:div w:id="538712896">
              <w:marLeft w:val="0"/>
              <w:marRight w:val="0"/>
              <w:marTop w:val="0"/>
              <w:marBottom w:val="0"/>
              <w:divBdr>
                <w:top w:val="none" w:sz="0" w:space="0" w:color="auto"/>
                <w:left w:val="none" w:sz="0" w:space="0" w:color="auto"/>
                <w:bottom w:val="none" w:sz="0" w:space="0" w:color="auto"/>
                <w:right w:val="none" w:sz="0" w:space="0" w:color="auto"/>
              </w:divBdr>
            </w:div>
            <w:div w:id="593824726">
              <w:marLeft w:val="0"/>
              <w:marRight w:val="0"/>
              <w:marTop w:val="0"/>
              <w:marBottom w:val="0"/>
              <w:divBdr>
                <w:top w:val="none" w:sz="0" w:space="0" w:color="auto"/>
                <w:left w:val="none" w:sz="0" w:space="0" w:color="auto"/>
                <w:bottom w:val="none" w:sz="0" w:space="0" w:color="auto"/>
                <w:right w:val="none" w:sz="0" w:space="0" w:color="auto"/>
              </w:divBdr>
            </w:div>
            <w:div w:id="643655644">
              <w:marLeft w:val="0"/>
              <w:marRight w:val="0"/>
              <w:marTop w:val="0"/>
              <w:marBottom w:val="0"/>
              <w:divBdr>
                <w:top w:val="none" w:sz="0" w:space="0" w:color="auto"/>
                <w:left w:val="none" w:sz="0" w:space="0" w:color="auto"/>
                <w:bottom w:val="none" w:sz="0" w:space="0" w:color="auto"/>
                <w:right w:val="none" w:sz="0" w:space="0" w:color="auto"/>
              </w:divBdr>
            </w:div>
            <w:div w:id="649868912">
              <w:marLeft w:val="0"/>
              <w:marRight w:val="0"/>
              <w:marTop w:val="0"/>
              <w:marBottom w:val="0"/>
              <w:divBdr>
                <w:top w:val="none" w:sz="0" w:space="0" w:color="auto"/>
                <w:left w:val="none" w:sz="0" w:space="0" w:color="auto"/>
                <w:bottom w:val="none" w:sz="0" w:space="0" w:color="auto"/>
                <w:right w:val="none" w:sz="0" w:space="0" w:color="auto"/>
              </w:divBdr>
            </w:div>
            <w:div w:id="706029709">
              <w:marLeft w:val="0"/>
              <w:marRight w:val="0"/>
              <w:marTop w:val="0"/>
              <w:marBottom w:val="0"/>
              <w:divBdr>
                <w:top w:val="none" w:sz="0" w:space="0" w:color="auto"/>
                <w:left w:val="none" w:sz="0" w:space="0" w:color="auto"/>
                <w:bottom w:val="none" w:sz="0" w:space="0" w:color="auto"/>
                <w:right w:val="none" w:sz="0" w:space="0" w:color="auto"/>
              </w:divBdr>
            </w:div>
            <w:div w:id="792023202">
              <w:marLeft w:val="0"/>
              <w:marRight w:val="0"/>
              <w:marTop w:val="0"/>
              <w:marBottom w:val="0"/>
              <w:divBdr>
                <w:top w:val="none" w:sz="0" w:space="0" w:color="auto"/>
                <w:left w:val="none" w:sz="0" w:space="0" w:color="auto"/>
                <w:bottom w:val="none" w:sz="0" w:space="0" w:color="auto"/>
                <w:right w:val="none" w:sz="0" w:space="0" w:color="auto"/>
              </w:divBdr>
            </w:div>
            <w:div w:id="841973010">
              <w:marLeft w:val="0"/>
              <w:marRight w:val="0"/>
              <w:marTop w:val="0"/>
              <w:marBottom w:val="0"/>
              <w:divBdr>
                <w:top w:val="none" w:sz="0" w:space="0" w:color="auto"/>
                <w:left w:val="none" w:sz="0" w:space="0" w:color="auto"/>
                <w:bottom w:val="none" w:sz="0" w:space="0" w:color="auto"/>
                <w:right w:val="none" w:sz="0" w:space="0" w:color="auto"/>
              </w:divBdr>
            </w:div>
            <w:div w:id="950475708">
              <w:marLeft w:val="0"/>
              <w:marRight w:val="0"/>
              <w:marTop w:val="0"/>
              <w:marBottom w:val="0"/>
              <w:divBdr>
                <w:top w:val="none" w:sz="0" w:space="0" w:color="auto"/>
                <w:left w:val="none" w:sz="0" w:space="0" w:color="auto"/>
                <w:bottom w:val="none" w:sz="0" w:space="0" w:color="auto"/>
                <w:right w:val="none" w:sz="0" w:space="0" w:color="auto"/>
              </w:divBdr>
            </w:div>
            <w:div w:id="965088653">
              <w:marLeft w:val="0"/>
              <w:marRight w:val="0"/>
              <w:marTop w:val="0"/>
              <w:marBottom w:val="0"/>
              <w:divBdr>
                <w:top w:val="none" w:sz="0" w:space="0" w:color="auto"/>
                <w:left w:val="none" w:sz="0" w:space="0" w:color="auto"/>
                <w:bottom w:val="none" w:sz="0" w:space="0" w:color="auto"/>
                <w:right w:val="none" w:sz="0" w:space="0" w:color="auto"/>
              </w:divBdr>
            </w:div>
            <w:div w:id="970936618">
              <w:marLeft w:val="0"/>
              <w:marRight w:val="0"/>
              <w:marTop w:val="0"/>
              <w:marBottom w:val="0"/>
              <w:divBdr>
                <w:top w:val="none" w:sz="0" w:space="0" w:color="auto"/>
                <w:left w:val="none" w:sz="0" w:space="0" w:color="auto"/>
                <w:bottom w:val="none" w:sz="0" w:space="0" w:color="auto"/>
                <w:right w:val="none" w:sz="0" w:space="0" w:color="auto"/>
              </w:divBdr>
            </w:div>
            <w:div w:id="1104691456">
              <w:marLeft w:val="0"/>
              <w:marRight w:val="0"/>
              <w:marTop w:val="0"/>
              <w:marBottom w:val="0"/>
              <w:divBdr>
                <w:top w:val="none" w:sz="0" w:space="0" w:color="auto"/>
                <w:left w:val="none" w:sz="0" w:space="0" w:color="auto"/>
                <w:bottom w:val="none" w:sz="0" w:space="0" w:color="auto"/>
                <w:right w:val="none" w:sz="0" w:space="0" w:color="auto"/>
              </w:divBdr>
            </w:div>
            <w:div w:id="1203831797">
              <w:marLeft w:val="0"/>
              <w:marRight w:val="0"/>
              <w:marTop w:val="0"/>
              <w:marBottom w:val="0"/>
              <w:divBdr>
                <w:top w:val="none" w:sz="0" w:space="0" w:color="auto"/>
                <w:left w:val="none" w:sz="0" w:space="0" w:color="auto"/>
                <w:bottom w:val="none" w:sz="0" w:space="0" w:color="auto"/>
                <w:right w:val="none" w:sz="0" w:space="0" w:color="auto"/>
              </w:divBdr>
            </w:div>
            <w:div w:id="1255285036">
              <w:marLeft w:val="0"/>
              <w:marRight w:val="0"/>
              <w:marTop w:val="0"/>
              <w:marBottom w:val="0"/>
              <w:divBdr>
                <w:top w:val="none" w:sz="0" w:space="0" w:color="auto"/>
                <w:left w:val="none" w:sz="0" w:space="0" w:color="auto"/>
                <w:bottom w:val="none" w:sz="0" w:space="0" w:color="auto"/>
                <w:right w:val="none" w:sz="0" w:space="0" w:color="auto"/>
              </w:divBdr>
            </w:div>
            <w:div w:id="1272129880">
              <w:marLeft w:val="0"/>
              <w:marRight w:val="0"/>
              <w:marTop w:val="0"/>
              <w:marBottom w:val="0"/>
              <w:divBdr>
                <w:top w:val="none" w:sz="0" w:space="0" w:color="auto"/>
                <w:left w:val="none" w:sz="0" w:space="0" w:color="auto"/>
                <w:bottom w:val="none" w:sz="0" w:space="0" w:color="auto"/>
                <w:right w:val="none" w:sz="0" w:space="0" w:color="auto"/>
              </w:divBdr>
            </w:div>
            <w:div w:id="1407654195">
              <w:marLeft w:val="0"/>
              <w:marRight w:val="0"/>
              <w:marTop w:val="0"/>
              <w:marBottom w:val="0"/>
              <w:divBdr>
                <w:top w:val="none" w:sz="0" w:space="0" w:color="auto"/>
                <w:left w:val="none" w:sz="0" w:space="0" w:color="auto"/>
                <w:bottom w:val="none" w:sz="0" w:space="0" w:color="auto"/>
                <w:right w:val="none" w:sz="0" w:space="0" w:color="auto"/>
              </w:divBdr>
            </w:div>
            <w:div w:id="1443918305">
              <w:marLeft w:val="0"/>
              <w:marRight w:val="0"/>
              <w:marTop w:val="0"/>
              <w:marBottom w:val="0"/>
              <w:divBdr>
                <w:top w:val="none" w:sz="0" w:space="0" w:color="auto"/>
                <w:left w:val="none" w:sz="0" w:space="0" w:color="auto"/>
                <w:bottom w:val="none" w:sz="0" w:space="0" w:color="auto"/>
                <w:right w:val="none" w:sz="0" w:space="0" w:color="auto"/>
              </w:divBdr>
            </w:div>
            <w:div w:id="1530993021">
              <w:marLeft w:val="0"/>
              <w:marRight w:val="0"/>
              <w:marTop w:val="0"/>
              <w:marBottom w:val="0"/>
              <w:divBdr>
                <w:top w:val="none" w:sz="0" w:space="0" w:color="auto"/>
                <w:left w:val="none" w:sz="0" w:space="0" w:color="auto"/>
                <w:bottom w:val="none" w:sz="0" w:space="0" w:color="auto"/>
                <w:right w:val="none" w:sz="0" w:space="0" w:color="auto"/>
              </w:divBdr>
            </w:div>
            <w:div w:id="1627814412">
              <w:marLeft w:val="0"/>
              <w:marRight w:val="0"/>
              <w:marTop w:val="0"/>
              <w:marBottom w:val="0"/>
              <w:divBdr>
                <w:top w:val="none" w:sz="0" w:space="0" w:color="auto"/>
                <w:left w:val="none" w:sz="0" w:space="0" w:color="auto"/>
                <w:bottom w:val="none" w:sz="0" w:space="0" w:color="auto"/>
                <w:right w:val="none" w:sz="0" w:space="0" w:color="auto"/>
              </w:divBdr>
            </w:div>
            <w:div w:id="1705128390">
              <w:marLeft w:val="0"/>
              <w:marRight w:val="0"/>
              <w:marTop w:val="0"/>
              <w:marBottom w:val="0"/>
              <w:divBdr>
                <w:top w:val="none" w:sz="0" w:space="0" w:color="auto"/>
                <w:left w:val="none" w:sz="0" w:space="0" w:color="auto"/>
                <w:bottom w:val="none" w:sz="0" w:space="0" w:color="auto"/>
                <w:right w:val="none" w:sz="0" w:space="0" w:color="auto"/>
              </w:divBdr>
            </w:div>
            <w:div w:id="1715539835">
              <w:marLeft w:val="0"/>
              <w:marRight w:val="0"/>
              <w:marTop w:val="0"/>
              <w:marBottom w:val="0"/>
              <w:divBdr>
                <w:top w:val="none" w:sz="0" w:space="0" w:color="auto"/>
                <w:left w:val="none" w:sz="0" w:space="0" w:color="auto"/>
                <w:bottom w:val="none" w:sz="0" w:space="0" w:color="auto"/>
                <w:right w:val="none" w:sz="0" w:space="0" w:color="auto"/>
              </w:divBdr>
            </w:div>
            <w:div w:id="1721318355">
              <w:marLeft w:val="0"/>
              <w:marRight w:val="0"/>
              <w:marTop w:val="0"/>
              <w:marBottom w:val="0"/>
              <w:divBdr>
                <w:top w:val="none" w:sz="0" w:space="0" w:color="auto"/>
                <w:left w:val="none" w:sz="0" w:space="0" w:color="auto"/>
                <w:bottom w:val="none" w:sz="0" w:space="0" w:color="auto"/>
                <w:right w:val="none" w:sz="0" w:space="0" w:color="auto"/>
              </w:divBdr>
            </w:div>
            <w:div w:id="1829326931">
              <w:marLeft w:val="0"/>
              <w:marRight w:val="0"/>
              <w:marTop w:val="0"/>
              <w:marBottom w:val="0"/>
              <w:divBdr>
                <w:top w:val="none" w:sz="0" w:space="0" w:color="auto"/>
                <w:left w:val="none" w:sz="0" w:space="0" w:color="auto"/>
                <w:bottom w:val="none" w:sz="0" w:space="0" w:color="auto"/>
                <w:right w:val="none" w:sz="0" w:space="0" w:color="auto"/>
              </w:divBdr>
            </w:div>
            <w:div w:id="1836649136">
              <w:marLeft w:val="0"/>
              <w:marRight w:val="0"/>
              <w:marTop w:val="0"/>
              <w:marBottom w:val="0"/>
              <w:divBdr>
                <w:top w:val="none" w:sz="0" w:space="0" w:color="auto"/>
                <w:left w:val="none" w:sz="0" w:space="0" w:color="auto"/>
                <w:bottom w:val="none" w:sz="0" w:space="0" w:color="auto"/>
                <w:right w:val="none" w:sz="0" w:space="0" w:color="auto"/>
              </w:divBdr>
            </w:div>
            <w:div w:id="2074084672">
              <w:marLeft w:val="0"/>
              <w:marRight w:val="0"/>
              <w:marTop w:val="0"/>
              <w:marBottom w:val="0"/>
              <w:divBdr>
                <w:top w:val="none" w:sz="0" w:space="0" w:color="auto"/>
                <w:left w:val="none" w:sz="0" w:space="0" w:color="auto"/>
                <w:bottom w:val="none" w:sz="0" w:space="0" w:color="auto"/>
                <w:right w:val="none" w:sz="0" w:space="0" w:color="auto"/>
              </w:divBdr>
            </w:div>
            <w:div w:id="21389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5836">
      <w:bodyDiv w:val="1"/>
      <w:marLeft w:val="0"/>
      <w:marRight w:val="0"/>
      <w:marTop w:val="0"/>
      <w:marBottom w:val="0"/>
      <w:divBdr>
        <w:top w:val="none" w:sz="0" w:space="0" w:color="auto"/>
        <w:left w:val="none" w:sz="0" w:space="0" w:color="auto"/>
        <w:bottom w:val="none" w:sz="0" w:space="0" w:color="auto"/>
        <w:right w:val="none" w:sz="0" w:space="0" w:color="auto"/>
      </w:divBdr>
      <w:divsChild>
        <w:div w:id="408038255">
          <w:marLeft w:val="0"/>
          <w:marRight w:val="0"/>
          <w:marTop w:val="0"/>
          <w:marBottom w:val="0"/>
          <w:divBdr>
            <w:top w:val="none" w:sz="0" w:space="0" w:color="auto"/>
            <w:left w:val="none" w:sz="0" w:space="0" w:color="auto"/>
            <w:bottom w:val="none" w:sz="0" w:space="0" w:color="auto"/>
            <w:right w:val="none" w:sz="0" w:space="0" w:color="auto"/>
          </w:divBdr>
        </w:div>
        <w:div w:id="553351220">
          <w:marLeft w:val="0"/>
          <w:marRight w:val="0"/>
          <w:marTop w:val="0"/>
          <w:marBottom w:val="0"/>
          <w:divBdr>
            <w:top w:val="none" w:sz="0" w:space="0" w:color="auto"/>
            <w:left w:val="none" w:sz="0" w:space="0" w:color="auto"/>
            <w:bottom w:val="none" w:sz="0" w:space="0" w:color="auto"/>
            <w:right w:val="none" w:sz="0" w:space="0" w:color="auto"/>
          </w:divBdr>
        </w:div>
        <w:div w:id="740835443">
          <w:marLeft w:val="0"/>
          <w:marRight w:val="0"/>
          <w:marTop w:val="0"/>
          <w:marBottom w:val="0"/>
          <w:divBdr>
            <w:top w:val="none" w:sz="0" w:space="0" w:color="auto"/>
            <w:left w:val="none" w:sz="0" w:space="0" w:color="auto"/>
            <w:bottom w:val="none" w:sz="0" w:space="0" w:color="auto"/>
            <w:right w:val="none" w:sz="0" w:space="0" w:color="auto"/>
          </w:divBdr>
        </w:div>
        <w:div w:id="1186483343">
          <w:marLeft w:val="0"/>
          <w:marRight w:val="0"/>
          <w:marTop w:val="0"/>
          <w:marBottom w:val="0"/>
          <w:divBdr>
            <w:top w:val="none" w:sz="0" w:space="0" w:color="auto"/>
            <w:left w:val="none" w:sz="0" w:space="0" w:color="auto"/>
            <w:bottom w:val="none" w:sz="0" w:space="0" w:color="auto"/>
            <w:right w:val="none" w:sz="0" w:space="0" w:color="auto"/>
          </w:divBdr>
        </w:div>
      </w:divsChild>
    </w:div>
    <w:div w:id="622074131">
      <w:bodyDiv w:val="1"/>
      <w:marLeft w:val="0"/>
      <w:marRight w:val="0"/>
      <w:marTop w:val="0"/>
      <w:marBottom w:val="0"/>
      <w:divBdr>
        <w:top w:val="none" w:sz="0" w:space="0" w:color="auto"/>
        <w:left w:val="none" w:sz="0" w:space="0" w:color="auto"/>
        <w:bottom w:val="none" w:sz="0" w:space="0" w:color="auto"/>
        <w:right w:val="none" w:sz="0" w:space="0" w:color="auto"/>
      </w:divBdr>
      <w:divsChild>
        <w:div w:id="326983996">
          <w:marLeft w:val="0"/>
          <w:marRight w:val="0"/>
          <w:marTop w:val="0"/>
          <w:marBottom w:val="0"/>
          <w:divBdr>
            <w:top w:val="none" w:sz="0" w:space="0" w:color="auto"/>
            <w:left w:val="none" w:sz="0" w:space="0" w:color="auto"/>
            <w:bottom w:val="none" w:sz="0" w:space="0" w:color="auto"/>
            <w:right w:val="none" w:sz="0" w:space="0" w:color="auto"/>
          </w:divBdr>
        </w:div>
        <w:div w:id="1733239117">
          <w:marLeft w:val="0"/>
          <w:marRight w:val="0"/>
          <w:marTop w:val="0"/>
          <w:marBottom w:val="0"/>
          <w:divBdr>
            <w:top w:val="none" w:sz="0" w:space="0" w:color="auto"/>
            <w:left w:val="none" w:sz="0" w:space="0" w:color="auto"/>
            <w:bottom w:val="none" w:sz="0" w:space="0" w:color="auto"/>
            <w:right w:val="none" w:sz="0" w:space="0" w:color="auto"/>
          </w:divBdr>
        </w:div>
      </w:divsChild>
    </w:div>
    <w:div w:id="628979768">
      <w:bodyDiv w:val="1"/>
      <w:marLeft w:val="0"/>
      <w:marRight w:val="0"/>
      <w:marTop w:val="0"/>
      <w:marBottom w:val="0"/>
      <w:divBdr>
        <w:top w:val="none" w:sz="0" w:space="0" w:color="auto"/>
        <w:left w:val="none" w:sz="0" w:space="0" w:color="auto"/>
        <w:bottom w:val="none" w:sz="0" w:space="0" w:color="auto"/>
        <w:right w:val="none" w:sz="0" w:space="0" w:color="auto"/>
      </w:divBdr>
      <w:divsChild>
        <w:div w:id="206187481">
          <w:marLeft w:val="0"/>
          <w:marRight w:val="0"/>
          <w:marTop w:val="0"/>
          <w:marBottom w:val="0"/>
          <w:divBdr>
            <w:top w:val="none" w:sz="0" w:space="0" w:color="auto"/>
            <w:left w:val="none" w:sz="0" w:space="0" w:color="auto"/>
            <w:bottom w:val="none" w:sz="0" w:space="0" w:color="auto"/>
            <w:right w:val="none" w:sz="0" w:space="0" w:color="auto"/>
          </w:divBdr>
        </w:div>
        <w:div w:id="246154409">
          <w:marLeft w:val="0"/>
          <w:marRight w:val="0"/>
          <w:marTop w:val="0"/>
          <w:marBottom w:val="0"/>
          <w:divBdr>
            <w:top w:val="none" w:sz="0" w:space="0" w:color="auto"/>
            <w:left w:val="none" w:sz="0" w:space="0" w:color="auto"/>
            <w:bottom w:val="none" w:sz="0" w:space="0" w:color="auto"/>
            <w:right w:val="none" w:sz="0" w:space="0" w:color="auto"/>
          </w:divBdr>
        </w:div>
        <w:div w:id="261114536">
          <w:marLeft w:val="0"/>
          <w:marRight w:val="0"/>
          <w:marTop w:val="0"/>
          <w:marBottom w:val="0"/>
          <w:divBdr>
            <w:top w:val="none" w:sz="0" w:space="0" w:color="auto"/>
            <w:left w:val="none" w:sz="0" w:space="0" w:color="auto"/>
            <w:bottom w:val="none" w:sz="0" w:space="0" w:color="auto"/>
            <w:right w:val="none" w:sz="0" w:space="0" w:color="auto"/>
          </w:divBdr>
        </w:div>
        <w:div w:id="375472464">
          <w:marLeft w:val="0"/>
          <w:marRight w:val="0"/>
          <w:marTop w:val="0"/>
          <w:marBottom w:val="0"/>
          <w:divBdr>
            <w:top w:val="none" w:sz="0" w:space="0" w:color="auto"/>
            <w:left w:val="none" w:sz="0" w:space="0" w:color="auto"/>
            <w:bottom w:val="none" w:sz="0" w:space="0" w:color="auto"/>
            <w:right w:val="none" w:sz="0" w:space="0" w:color="auto"/>
          </w:divBdr>
        </w:div>
        <w:div w:id="488792071">
          <w:marLeft w:val="0"/>
          <w:marRight w:val="0"/>
          <w:marTop w:val="0"/>
          <w:marBottom w:val="0"/>
          <w:divBdr>
            <w:top w:val="none" w:sz="0" w:space="0" w:color="auto"/>
            <w:left w:val="none" w:sz="0" w:space="0" w:color="auto"/>
            <w:bottom w:val="none" w:sz="0" w:space="0" w:color="auto"/>
            <w:right w:val="none" w:sz="0" w:space="0" w:color="auto"/>
          </w:divBdr>
        </w:div>
        <w:div w:id="600529659">
          <w:marLeft w:val="0"/>
          <w:marRight w:val="0"/>
          <w:marTop w:val="0"/>
          <w:marBottom w:val="0"/>
          <w:divBdr>
            <w:top w:val="none" w:sz="0" w:space="0" w:color="auto"/>
            <w:left w:val="none" w:sz="0" w:space="0" w:color="auto"/>
            <w:bottom w:val="none" w:sz="0" w:space="0" w:color="auto"/>
            <w:right w:val="none" w:sz="0" w:space="0" w:color="auto"/>
          </w:divBdr>
        </w:div>
        <w:div w:id="742021060">
          <w:marLeft w:val="0"/>
          <w:marRight w:val="0"/>
          <w:marTop w:val="0"/>
          <w:marBottom w:val="0"/>
          <w:divBdr>
            <w:top w:val="none" w:sz="0" w:space="0" w:color="auto"/>
            <w:left w:val="none" w:sz="0" w:space="0" w:color="auto"/>
            <w:bottom w:val="none" w:sz="0" w:space="0" w:color="auto"/>
            <w:right w:val="none" w:sz="0" w:space="0" w:color="auto"/>
          </w:divBdr>
        </w:div>
        <w:div w:id="751657833">
          <w:marLeft w:val="0"/>
          <w:marRight w:val="0"/>
          <w:marTop w:val="0"/>
          <w:marBottom w:val="0"/>
          <w:divBdr>
            <w:top w:val="none" w:sz="0" w:space="0" w:color="auto"/>
            <w:left w:val="none" w:sz="0" w:space="0" w:color="auto"/>
            <w:bottom w:val="none" w:sz="0" w:space="0" w:color="auto"/>
            <w:right w:val="none" w:sz="0" w:space="0" w:color="auto"/>
          </w:divBdr>
        </w:div>
        <w:div w:id="851648418">
          <w:marLeft w:val="0"/>
          <w:marRight w:val="0"/>
          <w:marTop w:val="0"/>
          <w:marBottom w:val="0"/>
          <w:divBdr>
            <w:top w:val="none" w:sz="0" w:space="0" w:color="auto"/>
            <w:left w:val="none" w:sz="0" w:space="0" w:color="auto"/>
            <w:bottom w:val="none" w:sz="0" w:space="0" w:color="auto"/>
            <w:right w:val="none" w:sz="0" w:space="0" w:color="auto"/>
          </w:divBdr>
        </w:div>
        <w:div w:id="934097678">
          <w:marLeft w:val="0"/>
          <w:marRight w:val="0"/>
          <w:marTop w:val="0"/>
          <w:marBottom w:val="0"/>
          <w:divBdr>
            <w:top w:val="none" w:sz="0" w:space="0" w:color="auto"/>
            <w:left w:val="none" w:sz="0" w:space="0" w:color="auto"/>
            <w:bottom w:val="none" w:sz="0" w:space="0" w:color="auto"/>
            <w:right w:val="none" w:sz="0" w:space="0" w:color="auto"/>
          </w:divBdr>
        </w:div>
        <w:div w:id="1012759734">
          <w:marLeft w:val="0"/>
          <w:marRight w:val="0"/>
          <w:marTop w:val="0"/>
          <w:marBottom w:val="0"/>
          <w:divBdr>
            <w:top w:val="none" w:sz="0" w:space="0" w:color="auto"/>
            <w:left w:val="none" w:sz="0" w:space="0" w:color="auto"/>
            <w:bottom w:val="none" w:sz="0" w:space="0" w:color="auto"/>
            <w:right w:val="none" w:sz="0" w:space="0" w:color="auto"/>
          </w:divBdr>
        </w:div>
        <w:div w:id="1048339102">
          <w:marLeft w:val="0"/>
          <w:marRight w:val="0"/>
          <w:marTop w:val="0"/>
          <w:marBottom w:val="0"/>
          <w:divBdr>
            <w:top w:val="none" w:sz="0" w:space="0" w:color="auto"/>
            <w:left w:val="none" w:sz="0" w:space="0" w:color="auto"/>
            <w:bottom w:val="none" w:sz="0" w:space="0" w:color="auto"/>
            <w:right w:val="none" w:sz="0" w:space="0" w:color="auto"/>
          </w:divBdr>
        </w:div>
        <w:div w:id="1058170759">
          <w:marLeft w:val="0"/>
          <w:marRight w:val="0"/>
          <w:marTop w:val="0"/>
          <w:marBottom w:val="0"/>
          <w:divBdr>
            <w:top w:val="none" w:sz="0" w:space="0" w:color="auto"/>
            <w:left w:val="none" w:sz="0" w:space="0" w:color="auto"/>
            <w:bottom w:val="none" w:sz="0" w:space="0" w:color="auto"/>
            <w:right w:val="none" w:sz="0" w:space="0" w:color="auto"/>
          </w:divBdr>
        </w:div>
        <w:div w:id="1361316255">
          <w:marLeft w:val="0"/>
          <w:marRight w:val="0"/>
          <w:marTop w:val="0"/>
          <w:marBottom w:val="0"/>
          <w:divBdr>
            <w:top w:val="none" w:sz="0" w:space="0" w:color="auto"/>
            <w:left w:val="none" w:sz="0" w:space="0" w:color="auto"/>
            <w:bottom w:val="none" w:sz="0" w:space="0" w:color="auto"/>
            <w:right w:val="none" w:sz="0" w:space="0" w:color="auto"/>
          </w:divBdr>
        </w:div>
        <w:div w:id="1501316462">
          <w:marLeft w:val="0"/>
          <w:marRight w:val="0"/>
          <w:marTop w:val="0"/>
          <w:marBottom w:val="0"/>
          <w:divBdr>
            <w:top w:val="none" w:sz="0" w:space="0" w:color="auto"/>
            <w:left w:val="none" w:sz="0" w:space="0" w:color="auto"/>
            <w:bottom w:val="none" w:sz="0" w:space="0" w:color="auto"/>
            <w:right w:val="none" w:sz="0" w:space="0" w:color="auto"/>
          </w:divBdr>
        </w:div>
        <w:div w:id="1502818977">
          <w:marLeft w:val="0"/>
          <w:marRight w:val="0"/>
          <w:marTop w:val="0"/>
          <w:marBottom w:val="0"/>
          <w:divBdr>
            <w:top w:val="none" w:sz="0" w:space="0" w:color="auto"/>
            <w:left w:val="none" w:sz="0" w:space="0" w:color="auto"/>
            <w:bottom w:val="none" w:sz="0" w:space="0" w:color="auto"/>
            <w:right w:val="none" w:sz="0" w:space="0" w:color="auto"/>
          </w:divBdr>
        </w:div>
        <w:div w:id="1636643043">
          <w:marLeft w:val="0"/>
          <w:marRight w:val="0"/>
          <w:marTop w:val="0"/>
          <w:marBottom w:val="0"/>
          <w:divBdr>
            <w:top w:val="none" w:sz="0" w:space="0" w:color="auto"/>
            <w:left w:val="none" w:sz="0" w:space="0" w:color="auto"/>
            <w:bottom w:val="none" w:sz="0" w:space="0" w:color="auto"/>
            <w:right w:val="none" w:sz="0" w:space="0" w:color="auto"/>
          </w:divBdr>
        </w:div>
        <w:div w:id="1701736453">
          <w:marLeft w:val="0"/>
          <w:marRight w:val="0"/>
          <w:marTop w:val="0"/>
          <w:marBottom w:val="0"/>
          <w:divBdr>
            <w:top w:val="none" w:sz="0" w:space="0" w:color="auto"/>
            <w:left w:val="none" w:sz="0" w:space="0" w:color="auto"/>
            <w:bottom w:val="none" w:sz="0" w:space="0" w:color="auto"/>
            <w:right w:val="none" w:sz="0" w:space="0" w:color="auto"/>
          </w:divBdr>
        </w:div>
        <w:div w:id="1710062530">
          <w:marLeft w:val="0"/>
          <w:marRight w:val="0"/>
          <w:marTop w:val="0"/>
          <w:marBottom w:val="0"/>
          <w:divBdr>
            <w:top w:val="none" w:sz="0" w:space="0" w:color="auto"/>
            <w:left w:val="none" w:sz="0" w:space="0" w:color="auto"/>
            <w:bottom w:val="none" w:sz="0" w:space="0" w:color="auto"/>
            <w:right w:val="none" w:sz="0" w:space="0" w:color="auto"/>
          </w:divBdr>
        </w:div>
        <w:div w:id="1760057441">
          <w:marLeft w:val="0"/>
          <w:marRight w:val="0"/>
          <w:marTop w:val="0"/>
          <w:marBottom w:val="0"/>
          <w:divBdr>
            <w:top w:val="none" w:sz="0" w:space="0" w:color="auto"/>
            <w:left w:val="none" w:sz="0" w:space="0" w:color="auto"/>
            <w:bottom w:val="none" w:sz="0" w:space="0" w:color="auto"/>
            <w:right w:val="none" w:sz="0" w:space="0" w:color="auto"/>
          </w:divBdr>
        </w:div>
        <w:div w:id="1877352125">
          <w:marLeft w:val="0"/>
          <w:marRight w:val="0"/>
          <w:marTop w:val="0"/>
          <w:marBottom w:val="0"/>
          <w:divBdr>
            <w:top w:val="none" w:sz="0" w:space="0" w:color="auto"/>
            <w:left w:val="none" w:sz="0" w:space="0" w:color="auto"/>
            <w:bottom w:val="none" w:sz="0" w:space="0" w:color="auto"/>
            <w:right w:val="none" w:sz="0" w:space="0" w:color="auto"/>
          </w:divBdr>
        </w:div>
        <w:div w:id="1891069664">
          <w:marLeft w:val="0"/>
          <w:marRight w:val="0"/>
          <w:marTop w:val="0"/>
          <w:marBottom w:val="0"/>
          <w:divBdr>
            <w:top w:val="none" w:sz="0" w:space="0" w:color="auto"/>
            <w:left w:val="none" w:sz="0" w:space="0" w:color="auto"/>
            <w:bottom w:val="none" w:sz="0" w:space="0" w:color="auto"/>
            <w:right w:val="none" w:sz="0" w:space="0" w:color="auto"/>
          </w:divBdr>
        </w:div>
      </w:divsChild>
    </w:div>
    <w:div w:id="660474370">
      <w:bodyDiv w:val="1"/>
      <w:marLeft w:val="0"/>
      <w:marRight w:val="0"/>
      <w:marTop w:val="0"/>
      <w:marBottom w:val="0"/>
      <w:divBdr>
        <w:top w:val="none" w:sz="0" w:space="0" w:color="auto"/>
        <w:left w:val="none" w:sz="0" w:space="0" w:color="auto"/>
        <w:bottom w:val="none" w:sz="0" w:space="0" w:color="auto"/>
        <w:right w:val="none" w:sz="0" w:space="0" w:color="auto"/>
      </w:divBdr>
      <w:divsChild>
        <w:div w:id="1805196297">
          <w:marLeft w:val="0"/>
          <w:marRight w:val="0"/>
          <w:marTop w:val="0"/>
          <w:marBottom w:val="0"/>
          <w:divBdr>
            <w:top w:val="none" w:sz="0" w:space="0" w:color="auto"/>
            <w:left w:val="none" w:sz="0" w:space="0" w:color="auto"/>
            <w:bottom w:val="none" w:sz="0" w:space="0" w:color="auto"/>
            <w:right w:val="none" w:sz="0" w:space="0" w:color="auto"/>
          </w:divBdr>
          <w:divsChild>
            <w:div w:id="20645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2032">
      <w:bodyDiv w:val="1"/>
      <w:marLeft w:val="0"/>
      <w:marRight w:val="0"/>
      <w:marTop w:val="0"/>
      <w:marBottom w:val="0"/>
      <w:divBdr>
        <w:top w:val="none" w:sz="0" w:space="0" w:color="auto"/>
        <w:left w:val="none" w:sz="0" w:space="0" w:color="auto"/>
        <w:bottom w:val="none" w:sz="0" w:space="0" w:color="auto"/>
        <w:right w:val="none" w:sz="0" w:space="0" w:color="auto"/>
      </w:divBdr>
      <w:divsChild>
        <w:div w:id="31927072">
          <w:marLeft w:val="0"/>
          <w:marRight w:val="0"/>
          <w:marTop w:val="0"/>
          <w:marBottom w:val="0"/>
          <w:divBdr>
            <w:top w:val="none" w:sz="0" w:space="0" w:color="auto"/>
            <w:left w:val="none" w:sz="0" w:space="0" w:color="auto"/>
            <w:bottom w:val="none" w:sz="0" w:space="0" w:color="auto"/>
            <w:right w:val="none" w:sz="0" w:space="0" w:color="auto"/>
          </w:divBdr>
        </w:div>
        <w:div w:id="35979412">
          <w:marLeft w:val="0"/>
          <w:marRight w:val="0"/>
          <w:marTop w:val="0"/>
          <w:marBottom w:val="0"/>
          <w:divBdr>
            <w:top w:val="none" w:sz="0" w:space="0" w:color="auto"/>
            <w:left w:val="none" w:sz="0" w:space="0" w:color="auto"/>
            <w:bottom w:val="none" w:sz="0" w:space="0" w:color="auto"/>
            <w:right w:val="none" w:sz="0" w:space="0" w:color="auto"/>
          </w:divBdr>
        </w:div>
        <w:div w:id="229192073">
          <w:marLeft w:val="0"/>
          <w:marRight w:val="0"/>
          <w:marTop w:val="0"/>
          <w:marBottom w:val="0"/>
          <w:divBdr>
            <w:top w:val="none" w:sz="0" w:space="0" w:color="auto"/>
            <w:left w:val="none" w:sz="0" w:space="0" w:color="auto"/>
            <w:bottom w:val="none" w:sz="0" w:space="0" w:color="auto"/>
            <w:right w:val="none" w:sz="0" w:space="0" w:color="auto"/>
          </w:divBdr>
        </w:div>
        <w:div w:id="329336915">
          <w:marLeft w:val="0"/>
          <w:marRight w:val="0"/>
          <w:marTop w:val="0"/>
          <w:marBottom w:val="0"/>
          <w:divBdr>
            <w:top w:val="none" w:sz="0" w:space="0" w:color="auto"/>
            <w:left w:val="none" w:sz="0" w:space="0" w:color="auto"/>
            <w:bottom w:val="none" w:sz="0" w:space="0" w:color="auto"/>
            <w:right w:val="none" w:sz="0" w:space="0" w:color="auto"/>
          </w:divBdr>
        </w:div>
        <w:div w:id="332683410">
          <w:marLeft w:val="0"/>
          <w:marRight w:val="0"/>
          <w:marTop w:val="0"/>
          <w:marBottom w:val="0"/>
          <w:divBdr>
            <w:top w:val="none" w:sz="0" w:space="0" w:color="auto"/>
            <w:left w:val="none" w:sz="0" w:space="0" w:color="auto"/>
            <w:bottom w:val="none" w:sz="0" w:space="0" w:color="auto"/>
            <w:right w:val="none" w:sz="0" w:space="0" w:color="auto"/>
          </w:divBdr>
        </w:div>
        <w:div w:id="339285476">
          <w:marLeft w:val="0"/>
          <w:marRight w:val="0"/>
          <w:marTop w:val="0"/>
          <w:marBottom w:val="0"/>
          <w:divBdr>
            <w:top w:val="none" w:sz="0" w:space="0" w:color="auto"/>
            <w:left w:val="none" w:sz="0" w:space="0" w:color="auto"/>
            <w:bottom w:val="none" w:sz="0" w:space="0" w:color="auto"/>
            <w:right w:val="none" w:sz="0" w:space="0" w:color="auto"/>
          </w:divBdr>
        </w:div>
        <w:div w:id="351732074">
          <w:marLeft w:val="0"/>
          <w:marRight w:val="0"/>
          <w:marTop w:val="0"/>
          <w:marBottom w:val="0"/>
          <w:divBdr>
            <w:top w:val="none" w:sz="0" w:space="0" w:color="auto"/>
            <w:left w:val="none" w:sz="0" w:space="0" w:color="auto"/>
            <w:bottom w:val="none" w:sz="0" w:space="0" w:color="auto"/>
            <w:right w:val="none" w:sz="0" w:space="0" w:color="auto"/>
          </w:divBdr>
        </w:div>
        <w:div w:id="381901524">
          <w:marLeft w:val="0"/>
          <w:marRight w:val="0"/>
          <w:marTop w:val="0"/>
          <w:marBottom w:val="0"/>
          <w:divBdr>
            <w:top w:val="none" w:sz="0" w:space="0" w:color="auto"/>
            <w:left w:val="none" w:sz="0" w:space="0" w:color="auto"/>
            <w:bottom w:val="none" w:sz="0" w:space="0" w:color="auto"/>
            <w:right w:val="none" w:sz="0" w:space="0" w:color="auto"/>
          </w:divBdr>
        </w:div>
        <w:div w:id="397020791">
          <w:marLeft w:val="0"/>
          <w:marRight w:val="0"/>
          <w:marTop w:val="0"/>
          <w:marBottom w:val="0"/>
          <w:divBdr>
            <w:top w:val="none" w:sz="0" w:space="0" w:color="auto"/>
            <w:left w:val="none" w:sz="0" w:space="0" w:color="auto"/>
            <w:bottom w:val="none" w:sz="0" w:space="0" w:color="auto"/>
            <w:right w:val="none" w:sz="0" w:space="0" w:color="auto"/>
          </w:divBdr>
        </w:div>
        <w:div w:id="479272816">
          <w:marLeft w:val="0"/>
          <w:marRight w:val="0"/>
          <w:marTop w:val="0"/>
          <w:marBottom w:val="0"/>
          <w:divBdr>
            <w:top w:val="none" w:sz="0" w:space="0" w:color="auto"/>
            <w:left w:val="none" w:sz="0" w:space="0" w:color="auto"/>
            <w:bottom w:val="none" w:sz="0" w:space="0" w:color="auto"/>
            <w:right w:val="none" w:sz="0" w:space="0" w:color="auto"/>
          </w:divBdr>
        </w:div>
        <w:div w:id="551772822">
          <w:marLeft w:val="0"/>
          <w:marRight w:val="0"/>
          <w:marTop w:val="0"/>
          <w:marBottom w:val="0"/>
          <w:divBdr>
            <w:top w:val="none" w:sz="0" w:space="0" w:color="auto"/>
            <w:left w:val="none" w:sz="0" w:space="0" w:color="auto"/>
            <w:bottom w:val="none" w:sz="0" w:space="0" w:color="auto"/>
            <w:right w:val="none" w:sz="0" w:space="0" w:color="auto"/>
          </w:divBdr>
        </w:div>
        <w:div w:id="613445497">
          <w:marLeft w:val="0"/>
          <w:marRight w:val="0"/>
          <w:marTop w:val="0"/>
          <w:marBottom w:val="0"/>
          <w:divBdr>
            <w:top w:val="none" w:sz="0" w:space="0" w:color="auto"/>
            <w:left w:val="none" w:sz="0" w:space="0" w:color="auto"/>
            <w:bottom w:val="none" w:sz="0" w:space="0" w:color="auto"/>
            <w:right w:val="none" w:sz="0" w:space="0" w:color="auto"/>
          </w:divBdr>
        </w:div>
        <w:div w:id="858080321">
          <w:marLeft w:val="0"/>
          <w:marRight w:val="0"/>
          <w:marTop w:val="0"/>
          <w:marBottom w:val="0"/>
          <w:divBdr>
            <w:top w:val="none" w:sz="0" w:space="0" w:color="auto"/>
            <w:left w:val="none" w:sz="0" w:space="0" w:color="auto"/>
            <w:bottom w:val="none" w:sz="0" w:space="0" w:color="auto"/>
            <w:right w:val="none" w:sz="0" w:space="0" w:color="auto"/>
          </w:divBdr>
        </w:div>
        <w:div w:id="868370251">
          <w:marLeft w:val="0"/>
          <w:marRight w:val="0"/>
          <w:marTop w:val="0"/>
          <w:marBottom w:val="0"/>
          <w:divBdr>
            <w:top w:val="none" w:sz="0" w:space="0" w:color="auto"/>
            <w:left w:val="none" w:sz="0" w:space="0" w:color="auto"/>
            <w:bottom w:val="none" w:sz="0" w:space="0" w:color="auto"/>
            <w:right w:val="none" w:sz="0" w:space="0" w:color="auto"/>
          </w:divBdr>
        </w:div>
        <w:div w:id="915747552">
          <w:marLeft w:val="0"/>
          <w:marRight w:val="0"/>
          <w:marTop w:val="0"/>
          <w:marBottom w:val="0"/>
          <w:divBdr>
            <w:top w:val="none" w:sz="0" w:space="0" w:color="auto"/>
            <w:left w:val="none" w:sz="0" w:space="0" w:color="auto"/>
            <w:bottom w:val="none" w:sz="0" w:space="0" w:color="auto"/>
            <w:right w:val="none" w:sz="0" w:space="0" w:color="auto"/>
          </w:divBdr>
        </w:div>
        <w:div w:id="1042755702">
          <w:marLeft w:val="0"/>
          <w:marRight w:val="0"/>
          <w:marTop w:val="0"/>
          <w:marBottom w:val="0"/>
          <w:divBdr>
            <w:top w:val="none" w:sz="0" w:space="0" w:color="auto"/>
            <w:left w:val="none" w:sz="0" w:space="0" w:color="auto"/>
            <w:bottom w:val="none" w:sz="0" w:space="0" w:color="auto"/>
            <w:right w:val="none" w:sz="0" w:space="0" w:color="auto"/>
          </w:divBdr>
        </w:div>
        <w:div w:id="1099714671">
          <w:marLeft w:val="0"/>
          <w:marRight w:val="0"/>
          <w:marTop w:val="0"/>
          <w:marBottom w:val="0"/>
          <w:divBdr>
            <w:top w:val="none" w:sz="0" w:space="0" w:color="auto"/>
            <w:left w:val="none" w:sz="0" w:space="0" w:color="auto"/>
            <w:bottom w:val="none" w:sz="0" w:space="0" w:color="auto"/>
            <w:right w:val="none" w:sz="0" w:space="0" w:color="auto"/>
          </w:divBdr>
        </w:div>
        <w:div w:id="1109592433">
          <w:marLeft w:val="0"/>
          <w:marRight w:val="0"/>
          <w:marTop w:val="0"/>
          <w:marBottom w:val="0"/>
          <w:divBdr>
            <w:top w:val="none" w:sz="0" w:space="0" w:color="auto"/>
            <w:left w:val="none" w:sz="0" w:space="0" w:color="auto"/>
            <w:bottom w:val="none" w:sz="0" w:space="0" w:color="auto"/>
            <w:right w:val="none" w:sz="0" w:space="0" w:color="auto"/>
          </w:divBdr>
        </w:div>
        <w:div w:id="1137643034">
          <w:marLeft w:val="0"/>
          <w:marRight w:val="0"/>
          <w:marTop w:val="0"/>
          <w:marBottom w:val="0"/>
          <w:divBdr>
            <w:top w:val="none" w:sz="0" w:space="0" w:color="auto"/>
            <w:left w:val="none" w:sz="0" w:space="0" w:color="auto"/>
            <w:bottom w:val="none" w:sz="0" w:space="0" w:color="auto"/>
            <w:right w:val="none" w:sz="0" w:space="0" w:color="auto"/>
          </w:divBdr>
        </w:div>
        <w:div w:id="1206138994">
          <w:marLeft w:val="0"/>
          <w:marRight w:val="0"/>
          <w:marTop w:val="0"/>
          <w:marBottom w:val="0"/>
          <w:divBdr>
            <w:top w:val="none" w:sz="0" w:space="0" w:color="auto"/>
            <w:left w:val="none" w:sz="0" w:space="0" w:color="auto"/>
            <w:bottom w:val="none" w:sz="0" w:space="0" w:color="auto"/>
            <w:right w:val="none" w:sz="0" w:space="0" w:color="auto"/>
          </w:divBdr>
        </w:div>
        <w:div w:id="1262451883">
          <w:marLeft w:val="0"/>
          <w:marRight w:val="0"/>
          <w:marTop w:val="0"/>
          <w:marBottom w:val="0"/>
          <w:divBdr>
            <w:top w:val="none" w:sz="0" w:space="0" w:color="auto"/>
            <w:left w:val="none" w:sz="0" w:space="0" w:color="auto"/>
            <w:bottom w:val="none" w:sz="0" w:space="0" w:color="auto"/>
            <w:right w:val="none" w:sz="0" w:space="0" w:color="auto"/>
          </w:divBdr>
        </w:div>
        <w:div w:id="1279335391">
          <w:marLeft w:val="0"/>
          <w:marRight w:val="0"/>
          <w:marTop w:val="0"/>
          <w:marBottom w:val="0"/>
          <w:divBdr>
            <w:top w:val="none" w:sz="0" w:space="0" w:color="auto"/>
            <w:left w:val="none" w:sz="0" w:space="0" w:color="auto"/>
            <w:bottom w:val="none" w:sz="0" w:space="0" w:color="auto"/>
            <w:right w:val="none" w:sz="0" w:space="0" w:color="auto"/>
          </w:divBdr>
        </w:div>
        <w:div w:id="1291933476">
          <w:marLeft w:val="0"/>
          <w:marRight w:val="0"/>
          <w:marTop w:val="0"/>
          <w:marBottom w:val="0"/>
          <w:divBdr>
            <w:top w:val="none" w:sz="0" w:space="0" w:color="auto"/>
            <w:left w:val="none" w:sz="0" w:space="0" w:color="auto"/>
            <w:bottom w:val="none" w:sz="0" w:space="0" w:color="auto"/>
            <w:right w:val="none" w:sz="0" w:space="0" w:color="auto"/>
          </w:divBdr>
        </w:div>
        <w:div w:id="1340083341">
          <w:marLeft w:val="0"/>
          <w:marRight w:val="0"/>
          <w:marTop w:val="0"/>
          <w:marBottom w:val="0"/>
          <w:divBdr>
            <w:top w:val="none" w:sz="0" w:space="0" w:color="auto"/>
            <w:left w:val="none" w:sz="0" w:space="0" w:color="auto"/>
            <w:bottom w:val="none" w:sz="0" w:space="0" w:color="auto"/>
            <w:right w:val="none" w:sz="0" w:space="0" w:color="auto"/>
          </w:divBdr>
        </w:div>
        <w:div w:id="1346400520">
          <w:marLeft w:val="0"/>
          <w:marRight w:val="0"/>
          <w:marTop w:val="0"/>
          <w:marBottom w:val="0"/>
          <w:divBdr>
            <w:top w:val="none" w:sz="0" w:space="0" w:color="auto"/>
            <w:left w:val="none" w:sz="0" w:space="0" w:color="auto"/>
            <w:bottom w:val="none" w:sz="0" w:space="0" w:color="auto"/>
            <w:right w:val="none" w:sz="0" w:space="0" w:color="auto"/>
          </w:divBdr>
        </w:div>
        <w:div w:id="1419668896">
          <w:marLeft w:val="0"/>
          <w:marRight w:val="0"/>
          <w:marTop w:val="0"/>
          <w:marBottom w:val="0"/>
          <w:divBdr>
            <w:top w:val="none" w:sz="0" w:space="0" w:color="auto"/>
            <w:left w:val="none" w:sz="0" w:space="0" w:color="auto"/>
            <w:bottom w:val="none" w:sz="0" w:space="0" w:color="auto"/>
            <w:right w:val="none" w:sz="0" w:space="0" w:color="auto"/>
          </w:divBdr>
        </w:div>
        <w:div w:id="1450704996">
          <w:marLeft w:val="0"/>
          <w:marRight w:val="0"/>
          <w:marTop w:val="0"/>
          <w:marBottom w:val="0"/>
          <w:divBdr>
            <w:top w:val="none" w:sz="0" w:space="0" w:color="auto"/>
            <w:left w:val="none" w:sz="0" w:space="0" w:color="auto"/>
            <w:bottom w:val="none" w:sz="0" w:space="0" w:color="auto"/>
            <w:right w:val="none" w:sz="0" w:space="0" w:color="auto"/>
          </w:divBdr>
        </w:div>
        <w:div w:id="1465391975">
          <w:marLeft w:val="0"/>
          <w:marRight w:val="0"/>
          <w:marTop w:val="0"/>
          <w:marBottom w:val="0"/>
          <w:divBdr>
            <w:top w:val="none" w:sz="0" w:space="0" w:color="auto"/>
            <w:left w:val="none" w:sz="0" w:space="0" w:color="auto"/>
            <w:bottom w:val="none" w:sz="0" w:space="0" w:color="auto"/>
            <w:right w:val="none" w:sz="0" w:space="0" w:color="auto"/>
          </w:divBdr>
        </w:div>
        <w:div w:id="1497456475">
          <w:marLeft w:val="0"/>
          <w:marRight w:val="0"/>
          <w:marTop w:val="0"/>
          <w:marBottom w:val="0"/>
          <w:divBdr>
            <w:top w:val="none" w:sz="0" w:space="0" w:color="auto"/>
            <w:left w:val="none" w:sz="0" w:space="0" w:color="auto"/>
            <w:bottom w:val="none" w:sz="0" w:space="0" w:color="auto"/>
            <w:right w:val="none" w:sz="0" w:space="0" w:color="auto"/>
          </w:divBdr>
        </w:div>
        <w:div w:id="1613973423">
          <w:marLeft w:val="0"/>
          <w:marRight w:val="0"/>
          <w:marTop w:val="0"/>
          <w:marBottom w:val="0"/>
          <w:divBdr>
            <w:top w:val="none" w:sz="0" w:space="0" w:color="auto"/>
            <w:left w:val="none" w:sz="0" w:space="0" w:color="auto"/>
            <w:bottom w:val="none" w:sz="0" w:space="0" w:color="auto"/>
            <w:right w:val="none" w:sz="0" w:space="0" w:color="auto"/>
          </w:divBdr>
        </w:div>
        <w:div w:id="1712262964">
          <w:marLeft w:val="0"/>
          <w:marRight w:val="0"/>
          <w:marTop w:val="0"/>
          <w:marBottom w:val="0"/>
          <w:divBdr>
            <w:top w:val="none" w:sz="0" w:space="0" w:color="auto"/>
            <w:left w:val="none" w:sz="0" w:space="0" w:color="auto"/>
            <w:bottom w:val="none" w:sz="0" w:space="0" w:color="auto"/>
            <w:right w:val="none" w:sz="0" w:space="0" w:color="auto"/>
          </w:divBdr>
        </w:div>
        <w:div w:id="1712731272">
          <w:marLeft w:val="0"/>
          <w:marRight w:val="0"/>
          <w:marTop w:val="0"/>
          <w:marBottom w:val="0"/>
          <w:divBdr>
            <w:top w:val="none" w:sz="0" w:space="0" w:color="auto"/>
            <w:left w:val="none" w:sz="0" w:space="0" w:color="auto"/>
            <w:bottom w:val="none" w:sz="0" w:space="0" w:color="auto"/>
            <w:right w:val="none" w:sz="0" w:space="0" w:color="auto"/>
          </w:divBdr>
        </w:div>
        <w:div w:id="1836922445">
          <w:marLeft w:val="0"/>
          <w:marRight w:val="0"/>
          <w:marTop w:val="0"/>
          <w:marBottom w:val="0"/>
          <w:divBdr>
            <w:top w:val="none" w:sz="0" w:space="0" w:color="auto"/>
            <w:left w:val="none" w:sz="0" w:space="0" w:color="auto"/>
            <w:bottom w:val="none" w:sz="0" w:space="0" w:color="auto"/>
            <w:right w:val="none" w:sz="0" w:space="0" w:color="auto"/>
          </w:divBdr>
        </w:div>
        <w:div w:id="1893693908">
          <w:marLeft w:val="0"/>
          <w:marRight w:val="0"/>
          <w:marTop w:val="0"/>
          <w:marBottom w:val="0"/>
          <w:divBdr>
            <w:top w:val="none" w:sz="0" w:space="0" w:color="auto"/>
            <w:left w:val="none" w:sz="0" w:space="0" w:color="auto"/>
            <w:bottom w:val="none" w:sz="0" w:space="0" w:color="auto"/>
            <w:right w:val="none" w:sz="0" w:space="0" w:color="auto"/>
          </w:divBdr>
        </w:div>
        <w:div w:id="1964649710">
          <w:marLeft w:val="0"/>
          <w:marRight w:val="0"/>
          <w:marTop w:val="0"/>
          <w:marBottom w:val="0"/>
          <w:divBdr>
            <w:top w:val="none" w:sz="0" w:space="0" w:color="auto"/>
            <w:left w:val="none" w:sz="0" w:space="0" w:color="auto"/>
            <w:bottom w:val="none" w:sz="0" w:space="0" w:color="auto"/>
            <w:right w:val="none" w:sz="0" w:space="0" w:color="auto"/>
          </w:divBdr>
        </w:div>
        <w:div w:id="2072650612">
          <w:marLeft w:val="0"/>
          <w:marRight w:val="0"/>
          <w:marTop w:val="0"/>
          <w:marBottom w:val="0"/>
          <w:divBdr>
            <w:top w:val="none" w:sz="0" w:space="0" w:color="auto"/>
            <w:left w:val="none" w:sz="0" w:space="0" w:color="auto"/>
            <w:bottom w:val="none" w:sz="0" w:space="0" w:color="auto"/>
            <w:right w:val="none" w:sz="0" w:space="0" w:color="auto"/>
          </w:divBdr>
        </w:div>
        <w:div w:id="2134706995">
          <w:marLeft w:val="0"/>
          <w:marRight w:val="0"/>
          <w:marTop w:val="0"/>
          <w:marBottom w:val="0"/>
          <w:divBdr>
            <w:top w:val="none" w:sz="0" w:space="0" w:color="auto"/>
            <w:left w:val="none" w:sz="0" w:space="0" w:color="auto"/>
            <w:bottom w:val="none" w:sz="0" w:space="0" w:color="auto"/>
            <w:right w:val="none" w:sz="0" w:space="0" w:color="auto"/>
          </w:divBdr>
        </w:div>
      </w:divsChild>
    </w:div>
    <w:div w:id="819810340">
      <w:bodyDiv w:val="1"/>
      <w:marLeft w:val="0"/>
      <w:marRight w:val="0"/>
      <w:marTop w:val="0"/>
      <w:marBottom w:val="0"/>
      <w:divBdr>
        <w:top w:val="none" w:sz="0" w:space="0" w:color="auto"/>
        <w:left w:val="none" w:sz="0" w:space="0" w:color="auto"/>
        <w:bottom w:val="none" w:sz="0" w:space="0" w:color="auto"/>
        <w:right w:val="none" w:sz="0" w:space="0" w:color="auto"/>
      </w:divBdr>
      <w:divsChild>
        <w:div w:id="45763799">
          <w:marLeft w:val="0"/>
          <w:marRight w:val="0"/>
          <w:marTop w:val="0"/>
          <w:marBottom w:val="0"/>
          <w:divBdr>
            <w:top w:val="none" w:sz="0" w:space="0" w:color="auto"/>
            <w:left w:val="none" w:sz="0" w:space="0" w:color="auto"/>
            <w:bottom w:val="none" w:sz="0" w:space="0" w:color="auto"/>
            <w:right w:val="none" w:sz="0" w:space="0" w:color="auto"/>
          </w:divBdr>
        </w:div>
        <w:div w:id="88435213">
          <w:marLeft w:val="0"/>
          <w:marRight w:val="0"/>
          <w:marTop w:val="0"/>
          <w:marBottom w:val="0"/>
          <w:divBdr>
            <w:top w:val="none" w:sz="0" w:space="0" w:color="auto"/>
            <w:left w:val="none" w:sz="0" w:space="0" w:color="auto"/>
            <w:bottom w:val="none" w:sz="0" w:space="0" w:color="auto"/>
            <w:right w:val="none" w:sz="0" w:space="0" w:color="auto"/>
          </w:divBdr>
        </w:div>
        <w:div w:id="131100298">
          <w:marLeft w:val="0"/>
          <w:marRight w:val="0"/>
          <w:marTop w:val="0"/>
          <w:marBottom w:val="0"/>
          <w:divBdr>
            <w:top w:val="none" w:sz="0" w:space="0" w:color="auto"/>
            <w:left w:val="none" w:sz="0" w:space="0" w:color="auto"/>
            <w:bottom w:val="none" w:sz="0" w:space="0" w:color="auto"/>
            <w:right w:val="none" w:sz="0" w:space="0" w:color="auto"/>
          </w:divBdr>
        </w:div>
        <w:div w:id="230122844">
          <w:marLeft w:val="0"/>
          <w:marRight w:val="0"/>
          <w:marTop w:val="0"/>
          <w:marBottom w:val="0"/>
          <w:divBdr>
            <w:top w:val="none" w:sz="0" w:space="0" w:color="auto"/>
            <w:left w:val="none" w:sz="0" w:space="0" w:color="auto"/>
            <w:bottom w:val="none" w:sz="0" w:space="0" w:color="auto"/>
            <w:right w:val="none" w:sz="0" w:space="0" w:color="auto"/>
          </w:divBdr>
        </w:div>
        <w:div w:id="302319680">
          <w:marLeft w:val="0"/>
          <w:marRight w:val="0"/>
          <w:marTop w:val="0"/>
          <w:marBottom w:val="0"/>
          <w:divBdr>
            <w:top w:val="none" w:sz="0" w:space="0" w:color="auto"/>
            <w:left w:val="none" w:sz="0" w:space="0" w:color="auto"/>
            <w:bottom w:val="none" w:sz="0" w:space="0" w:color="auto"/>
            <w:right w:val="none" w:sz="0" w:space="0" w:color="auto"/>
          </w:divBdr>
        </w:div>
        <w:div w:id="497306971">
          <w:marLeft w:val="0"/>
          <w:marRight w:val="0"/>
          <w:marTop w:val="0"/>
          <w:marBottom w:val="0"/>
          <w:divBdr>
            <w:top w:val="none" w:sz="0" w:space="0" w:color="auto"/>
            <w:left w:val="none" w:sz="0" w:space="0" w:color="auto"/>
            <w:bottom w:val="none" w:sz="0" w:space="0" w:color="auto"/>
            <w:right w:val="none" w:sz="0" w:space="0" w:color="auto"/>
          </w:divBdr>
        </w:div>
        <w:div w:id="637228733">
          <w:marLeft w:val="0"/>
          <w:marRight w:val="0"/>
          <w:marTop w:val="0"/>
          <w:marBottom w:val="0"/>
          <w:divBdr>
            <w:top w:val="none" w:sz="0" w:space="0" w:color="auto"/>
            <w:left w:val="none" w:sz="0" w:space="0" w:color="auto"/>
            <w:bottom w:val="none" w:sz="0" w:space="0" w:color="auto"/>
            <w:right w:val="none" w:sz="0" w:space="0" w:color="auto"/>
          </w:divBdr>
        </w:div>
        <w:div w:id="887882291">
          <w:marLeft w:val="0"/>
          <w:marRight w:val="0"/>
          <w:marTop w:val="0"/>
          <w:marBottom w:val="0"/>
          <w:divBdr>
            <w:top w:val="none" w:sz="0" w:space="0" w:color="auto"/>
            <w:left w:val="none" w:sz="0" w:space="0" w:color="auto"/>
            <w:bottom w:val="none" w:sz="0" w:space="0" w:color="auto"/>
            <w:right w:val="none" w:sz="0" w:space="0" w:color="auto"/>
          </w:divBdr>
        </w:div>
        <w:div w:id="1026099436">
          <w:marLeft w:val="0"/>
          <w:marRight w:val="0"/>
          <w:marTop w:val="0"/>
          <w:marBottom w:val="0"/>
          <w:divBdr>
            <w:top w:val="none" w:sz="0" w:space="0" w:color="auto"/>
            <w:left w:val="none" w:sz="0" w:space="0" w:color="auto"/>
            <w:bottom w:val="none" w:sz="0" w:space="0" w:color="auto"/>
            <w:right w:val="none" w:sz="0" w:space="0" w:color="auto"/>
          </w:divBdr>
        </w:div>
        <w:div w:id="1068069875">
          <w:marLeft w:val="0"/>
          <w:marRight w:val="0"/>
          <w:marTop w:val="0"/>
          <w:marBottom w:val="0"/>
          <w:divBdr>
            <w:top w:val="none" w:sz="0" w:space="0" w:color="auto"/>
            <w:left w:val="none" w:sz="0" w:space="0" w:color="auto"/>
            <w:bottom w:val="none" w:sz="0" w:space="0" w:color="auto"/>
            <w:right w:val="none" w:sz="0" w:space="0" w:color="auto"/>
          </w:divBdr>
        </w:div>
        <w:div w:id="1295601287">
          <w:marLeft w:val="0"/>
          <w:marRight w:val="0"/>
          <w:marTop w:val="0"/>
          <w:marBottom w:val="0"/>
          <w:divBdr>
            <w:top w:val="none" w:sz="0" w:space="0" w:color="auto"/>
            <w:left w:val="none" w:sz="0" w:space="0" w:color="auto"/>
            <w:bottom w:val="none" w:sz="0" w:space="0" w:color="auto"/>
            <w:right w:val="none" w:sz="0" w:space="0" w:color="auto"/>
          </w:divBdr>
        </w:div>
        <w:div w:id="1629120736">
          <w:marLeft w:val="0"/>
          <w:marRight w:val="0"/>
          <w:marTop w:val="0"/>
          <w:marBottom w:val="0"/>
          <w:divBdr>
            <w:top w:val="none" w:sz="0" w:space="0" w:color="auto"/>
            <w:left w:val="none" w:sz="0" w:space="0" w:color="auto"/>
            <w:bottom w:val="none" w:sz="0" w:space="0" w:color="auto"/>
            <w:right w:val="none" w:sz="0" w:space="0" w:color="auto"/>
          </w:divBdr>
        </w:div>
        <w:div w:id="1642424589">
          <w:marLeft w:val="0"/>
          <w:marRight w:val="0"/>
          <w:marTop w:val="0"/>
          <w:marBottom w:val="0"/>
          <w:divBdr>
            <w:top w:val="none" w:sz="0" w:space="0" w:color="auto"/>
            <w:left w:val="none" w:sz="0" w:space="0" w:color="auto"/>
            <w:bottom w:val="none" w:sz="0" w:space="0" w:color="auto"/>
            <w:right w:val="none" w:sz="0" w:space="0" w:color="auto"/>
          </w:divBdr>
        </w:div>
        <w:div w:id="1683974034">
          <w:marLeft w:val="0"/>
          <w:marRight w:val="0"/>
          <w:marTop w:val="0"/>
          <w:marBottom w:val="0"/>
          <w:divBdr>
            <w:top w:val="none" w:sz="0" w:space="0" w:color="auto"/>
            <w:left w:val="none" w:sz="0" w:space="0" w:color="auto"/>
            <w:bottom w:val="none" w:sz="0" w:space="0" w:color="auto"/>
            <w:right w:val="none" w:sz="0" w:space="0" w:color="auto"/>
          </w:divBdr>
        </w:div>
      </w:divsChild>
    </w:div>
    <w:div w:id="873154697">
      <w:bodyDiv w:val="1"/>
      <w:marLeft w:val="0"/>
      <w:marRight w:val="0"/>
      <w:marTop w:val="0"/>
      <w:marBottom w:val="0"/>
      <w:divBdr>
        <w:top w:val="none" w:sz="0" w:space="0" w:color="auto"/>
        <w:left w:val="none" w:sz="0" w:space="0" w:color="auto"/>
        <w:bottom w:val="none" w:sz="0" w:space="0" w:color="auto"/>
        <w:right w:val="none" w:sz="0" w:space="0" w:color="auto"/>
      </w:divBdr>
    </w:div>
    <w:div w:id="892082749">
      <w:bodyDiv w:val="1"/>
      <w:marLeft w:val="0"/>
      <w:marRight w:val="0"/>
      <w:marTop w:val="0"/>
      <w:marBottom w:val="0"/>
      <w:divBdr>
        <w:top w:val="none" w:sz="0" w:space="0" w:color="auto"/>
        <w:left w:val="none" w:sz="0" w:space="0" w:color="auto"/>
        <w:bottom w:val="none" w:sz="0" w:space="0" w:color="auto"/>
        <w:right w:val="none" w:sz="0" w:space="0" w:color="auto"/>
      </w:divBdr>
      <w:divsChild>
        <w:div w:id="102188367">
          <w:marLeft w:val="0"/>
          <w:marRight w:val="0"/>
          <w:marTop w:val="0"/>
          <w:marBottom w:val="0"/>
          <w:divBdr>
            <w:top w:val="none" w:sz="0" w:space="0" w:color="auto"/>
            <w:left w:val="none" w:sz="0" w:space="0" w:color="auto"/>
            <w:bottom w:val="none" w:sz="0" w:space="0" w:color="auto"/>
            <w:right w:val="none" w:sz="0" w:space="0" w:color="auto"/>
          </w:divBdr>
        </w:div>
        <w:div w:id="1801528314">
          <w:marLeft w:val="0"/>
          <w:marRight w:val="0"/>
          <w:marTop w:val="0"/>
          <w:marBottom w:val="0"/>
          <w:divBdr>
            <w:top w:val="none" w:sz="0" w:space="0" w:color="auto"/>
            <w:left w:val="none" w:sz="0" w:space="0" w:color="auto"/>
            <w:bottom w:val="none" w:sz="0" w:space="0" w:color="auto"/>
            <w:right w:val="none" w:sz="0" w:space="0" w:color="auto"/>
          </w:divBdr>
        </w:div>
        <w:div w:id="2042431715">
          <w:marLeft w:val="0"/>
          <w:marRight w:val="0"/>
          <w:marTop w:val="0"/>
          <w:marBottom w:val="0"/>
          <w:divBdr>
            <w:top w:val="none" w:sz="0" w:space="0" w:color="auto"/>
            <w:left w:val="none" w:sz="0" w:space="0" w:color="auto"/>
            <w:bottom w:val="none" w:sz="0" w:space="0" w:color="auto"/>
            <w:right w:val="none" w:sz="0" w:space="0" w:color="auto"/>
          </w:divBdr>
        </w:div>
      </w:divsChild>
    </w:div>
    <w:div w:id="1252664772">
      <w:bodyDiv w:val="1"/>
      <w:marLeft w:val="0"/>
      <w:marRight w:val="0"/>
      <w:marTop w:val="0"/>
      <w:marBottom w:val="0"/>
      <w:divBdr>
        <w:top w:val="none" w:sz="0" w:space="0" w:color="auto"/>
        <w:left w:val="none" w:sz="0" w:space="0" w:color="auto"/>
        <w:bottom w:val="none" w:sz="0" w:space="0" w:color="auto"/>
        <w:right w:val="none" w:sz="0" w:space="0" w:color="auto"/>
      </w:divBdr>
    </w:div>
    <w:div w:id="125412195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2">
          <w:marLeft w:val="0"/>
          <w:marRight w:val="0"/>
          <w:marTop w:val="0"/>
          <w:marBottom w:val="0"/>
          <w:divBdr>
            <w:top w:val="none" w:sz="0" w:space="0" w:color="auto"/>
            <w:left w:val="none" w:sz="0" w:space="0" w:color="auto"/>
            <w:bottom w:val="none" w:sz="0" w:space="0" w:color="auto"/>
            <w:right w:val="none" w:sz="0" w:space="0" w:color="auto"/>
          </w:divBdr>
        </w:div>
        <w:div w:id="414977230">
          <w:marLeft w:val="0"/>
          <w:marRight w:val="0"/>
          <w:marTop w:val="0"/>
          <w:marBottom w:val="0"/>
          <w:divBdr>
            <w:top w:val="none" w:sz="0" w:space="0" w:color="auto"/>
            <w:left w:val="none" w:sz="0" w:space="0" w:color="auto"/>
            <w:bottom w:val="none" w:sz="0" w:space="0" w:color="auto"/>
            <w:right w:val="none" w:sz="0" w:space="0" w:color="auto"/>
          </w:divBdr>
        </w:div>
      </w:divsChild>
    </w:div>
    <w:div w:id="1329285765">
      <w:bodyDiv w:val="1"/>
      <w:marLeft w:val="0"/>
      <w:marRight w:val="0"/>
      <w:marTop w:val="0"/>
      <w:marBottom w:val="0"/>
      <w:divBdr>
        <w:top w:val="none" w:sz="0" w:space="0" w:color="auto"/>
        <w:left w:val="none" w:sz="0" w:space="0" w:color="auto"/>
        <w:bottom w:val="none" w:sz="0" w:space="0" w:color="auto"/>
        <w:right w:val="none" w:sz="0" w:space="0" w:color="auto"/>
      </w:divBdr>
      <w:divsChild>
        <w:div w:id="473183449">
          <w:marLeft w:val="0"/>
          <w:marRight w:val="0"/>
          <w:marTop w:val="0"/>
          <w:marBottom w:val="0"/>
          <w:divBdr>
            <w:top w:val="none" w:sz="0" w:space="0" w:color="auto"/>
            <w:left w:val="none" w:sz="0" w:space="0" w:color="auto"/>
            <w:bottom w:val="none" w:sz="0" w:space="0" w:color="auto"/>
            <w:right w:val="none" w:sz="0" w:space="0" w:color="auto"/>
          </w:divBdr>
          <w:divsChild>
            <w:div w:id="1894535254">
              <w:marLeft w:val="0"/>
              <w:marRight w:val="0"/>
              <w:marTop w:val="0"/>
              <w:marBottom w:val="0"/>
              <w:divBdr>
                <w:top w:val="none" w:sz="0" w:space="0" w:color="auto"/>
                <w:left w:val="none" w:sz="0" w:space="0" w:color="auto"/>
                <w:bottom w:val="none" w:sz="0" w:space="0" w:color="auto"/>
                <w:right w:val="none" w:sz="0" w:space="0" w:color="auto"/>
              </w:divBdr>
              <w:divsChild>
                <w:div w:id="56319899">
                  <w:marLeft w:val="0"/>
                  <w:marRight w:val="0"/>
                  <w:marTop w:val="0"/>
                  <w:marBottom w:val="0"/>
                  <w:divBdr>
                    <w:top w:val="none" w:sz="0" w:space="0" w:color="auto"/>
                    <w:left w:val="none" w:sz="0" w:space="0" w:color="auto"/>
                    <w:bottom w:val="none" w:sz="0" w:space="0" w:color="auto"/>
                    <w:right w:val="none" w:sz="0" w:space="0" w:color="auto"/>
                  </w:divBdr>
                </w:div>
                <w:div w:id="65694034">
                  <w:marLeft w:val="0"/>
                  <w:marRight w:val="0"/>
                  <w:marTop w:val="0"/>
                  <w:marBottom w:val="0"/>
                  <w:divBdr>
                    <w:top w:val="none" w:sz="0" w:space="0" w:color="auto"/>
                    <w:left w:val="none" w:sz="0" w:space="0" w:color="auto"/>
                    <w:bottom w:val="none" w:sz="0" w:space="0" w:color="auto"/>
                    <w:right w:val="none" w:sz="0" w:space="0" w:color="auto"/>
                  </w:divBdr>
                </w:div>
                <w:div w:id="246692247">
                  <w:marLeft w:val="0"/>
                  <w:marRight w:val="0"/>
                  <w:marTop w:val="0"/>
                  <w:marBottom w:val="0"/>
                  <w:divBdr>
                    <w:top w:val="none" w:sz="0" w:space="0" w:color="auto"/>
                    <w:left w:val="none" w:sz="0" w:space="0" w:color="auto"/>
                    <w:bottom w:val="none" w:sz="0" w:space="0" w:color="auto"/>
                    <w:right w:val="none" w:sz="0" w:space="0" w:color="auto"/>
                  </w:divBdr>
                </w:div>
                <w:div w:id="1023629718">
                  <w:marLeft w:val="0"/>
                  <w:marRight w:val="0"/>
                  <w:marTop w:val="0"/>
                  <w:marBottom w:val="0"/>
                  <w:divBdr>
                    <w:top w:val="none" w:sz="0" w:space="0" w:color="auto"/>
                    <w:left w:val="none" w:sz="0" w:space="0" w:color="auto"/>
                    <w:bottom w:val="none" w:sz="0" w:space="0" w:color="auto"/>
                    <w:right w:val="none" w:sz="0" w:space="0" w:color="auto"/>
                  </w:divBdr>
                </w:div>
                <w:div w:id="1047025850">
                  <w:marLeft w:val="0"/>
                  <w:marRight w:val="0"/>
                  <w:marTop w:val="0"/>
                  <w:marBottom w:val="0"/>
                  <w:divBdr>
                    <w:top w:val="none" w:sz="0" w:space="0" w:color="auto"/>
                    <w:left w:val="none" w:sz="0" w:space="0" w:color="auto"/>
                    <w:bottom w:val="none" w:sz="0" w:space="0" w:color="auto"/>
                    <w:right w:val="none" w:sz="0" w:space="0" w:color="auto"/>
                  </w:divBdr>
                </w:div>
                <w:div w:id="1467359120">
                  <w:marLeft w:val="0"/>
                  <w:marRight w:val="0"/>
                  <w:marTop w:val="0"/>
                  <w:marBottom w:val="0"/>
                  <w:divBdr>
                    <w:top w:val="none" w:sz="0" w:space="0" w:color="auto"/>
                    <w:left w:val="none" w:sz="0" w:space="0" w:color="auto"/>
                    <w:bottom w:val="none" w:sz="0" w:space="0" w:color="auto"/>
                    <w:right w:val="none" w:sz="0" w:space="0" w:color="auto"/>
                  </w:divBdr>
                </w:div>
                <w:div w:id="1699699213">
                  <w:marLeft w:val="0"/>
                  <w:marRight w:val="0"/>
                  <w:marTop w:val="0"/>
                  <w:marBottom w:val="0"/>
                  <w:divBdr>
                    <w:top w:val="none" w:sz="0" w:space="0" w:color="auto"/>
                    <w:left w:val="none" w:sz="0" w:space="0" w:color="auto"/>
                    <w:bottom w:val="none" w:sz="0" w:space="0" w:color="auto"/>
                    <w:right w:val="none" w:sz="0" w:space="0" w:color="auto"/>
                  </w:divBdr>
                </w:div>
                <w:div w:id="1727754666">
                  <w:marLeft w:val="0"/>
                  <w:marRight w:val="0"/>
                  <w:marTop w:val="0"/>
                  <w:marBottom w:val="0"/>
                  <w:divBdr>
                    <w:top w:val="none" w:sz="0" w:space="0" w:color="auto"/>
                    <w:left w:val="none" w:sz="0" w:space="0" w:color="auto"/>
                    <w:bottom w:val="none" w:sz="0" w:space="0" w:color="auto"/>
                    <w:right w:val="none" w:sz="0" w:space="0" w:color="auto"/>
                  </w:divBdr>
                </w:div>
                <w:div w:id="2097631737">
                  <w:marLeft w:val="0"/>
                  <w:marRight w:val="0"/>
                  <w:marTop w:val="0"/>
                  <w:marBottom w:val="0"/>
                  <w:divBdr>
                    <w:top w:val="none" w:sz="0" w:space="0" w:color="auto"/>
                    <w:left w:val="none" w:sz="0" w:space="0" w:color="auto"/>
                    <w:bottom w:val="none" w:sz="0" w:space="0" w:color="auto"/>
                    <w:right w:val="none" w:sz="0" w:space="0" w:color="auto"/>
                  </w:divBdr>
                </w:div>
                <w:div w:id="20982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104">
          <w:marLeft w:val="0"/>
          <w:marRight w:val="0"/>
          <w:marTop w:val="0"/>
          <w:marBottom w:val="0"/>
          <w:divBdr>
            <w:top w:val="none" w:sz="0" w:space="0" w:color="auto"/>
            <w:left w:val="none" w:sz="0" w:space="0" w:color="auto"/>
            <w:bottom w:val="none" w:sz="0" w:space="0" w:color="auto"/>
            <w:right w:val="none" w:sz="0" w:space="0" w:color="auto"/>
          </w:divBdr>
          <w:divsChild>
            <w:div w:id="1073891768">
              <w:marLeft w:val="0"/>
              <w:marRight w:val="0"/>
              <w:marTop w:val="0"/>
              <w:marBottom w:val="0"/>
              <w:divBdr>
                <w:top w:val="none" w:sz="0" w:space="0" w:color="auto"/>
                <w:left w:val="none" w:sz="0" w:space="0" w:color="auto"/>
                <w:bottom w:val="none" w:sz="0" w:space="0" w:color="auto"/>
                <w:right w:val="none" w:sz="0" w:space="0" w:color="auto"/>
              </w:divBdr>
              <w:divsChild>
                <w:div w:id="13843223">
                  <w:marLeft w:val="0"/>
                  <w:marRight w:val="0"/>
                  <w:marTop w:val="0"/>
                  <w:marBottom w:val="0"/>
                  <w:divBdr>
                    <w:top w:val="none" w:sz="0" w:space="0" w:color="auto"/>
                    <w:left w:val="none" w:sz="0" w:space="0" w:color="auto"/>
                    <w:bottom w:val="none" w:sz="0" w:space="0" w:color="auto"/>
                    <w:right w:val="none" w:sz="0" w:space="0" w:color="auto"/>
                  </w:divBdr>
                </w:div>
                <w:div w:id="119035724">
                  <w:marLeft w:val="0"/>
                  <w:marRight w:val="0"/>
                  <w:marTop w:val="0"/>
                  <w:marBottom w:val="0"/>
                  <w:divBdr>
                    <w:top w:val="none" w:sz="0" w:space="0" w:color="auto"/>
                    <w:left w:val="none" w:sz="0" w:space="0" w:color="auto"/>
                    <w:bottom w:val="none" w:sz="0" w:space="0" w:color="auto"/>
                    <w:right w:val="none" w:sz="0" w:space="0" w:color="auto"/>
                  </w:divBdr>
                </w:div>
                <w:div w:id="121653079">
                  <w:marLeft w:val="0"/>
                  <w:marRight w:val="0"/>
                  <w:marTop w:val="0"/>
                  <w:marBottom w:val="0"/>
                  <w:divBdr>
                    <w:top w:val="none" w:sz="0" w:space="0" w:color="auto"/>
                    <w:left w:val="none" w:sz="0" w:space="0" w:color="auto"/>
                    <w:bottom w:val="none" w:sz="0" w:space="0" w:color="auto"/>
                    <w:right w:val="none" w:sz="0" w:space="0" w:color="auto"/>
                  </w:divBdr>
                </w:div>
                <w:div w:id="240873918">
                  <w:marLeft w:val="0"/>
                  <w:marRight w:val="0"/>
                  <w:marTop w:val="0"/>
                  <w:marBottom w:val="0"/>
                  <w:divBdr>
                    <w:top w:val="none" w:sz="0" w:space="0" w:color="auto"/>
                    <w:left w:val="none" w:sz="0" w:space="0" w:color="auto"/>
                    <w:bottom w:val="none" w:sz="0" w:space="0" w:color="auto"/>
                    <w:right w:val="none" w:sz="0" w:space="0" w:color="auto"/>
                  </w:divBdr>
                </w:div>
                <w:div w:id="333076332">
                  <w:marLeft w:val="0"/>
                  <w:marRight w:val="0"/>
                  <w:marTop w:val="0"/>
                  <w:marBottom w:val="0"/>
                  <w:divBdr>
                    <w:top w:val="none" w:sz="0" w:space="0" w:color="auto"/>
                    <w:left w:val="none" w:sz="0" w:space="0" w:color="auto"/>
                    <w:bottom w:val="none" w:sz="0" w:space="0" w:color="auto"/>
                    <w:right w:val="none" w:sz="0" w:space="0" w:color="auto"/>
                  </w:divBdr>
                </w:div>
                <w:div w:id="406927626">
                  <w:marLeft w:val="0"/>
                  <w:marRight w:val="0"/>
                  <w:marTop w:val="0"/>
                  <w:marBottom w:val="0"/>
                  <w:divBdr>
                    <w:top w:val="none" w:sz="0" w:space="0" w:color="auto"/>
                    <w:left w:val="none" w:sz="0" w:space="0" w:color="auto"/>
                    <w:bottom w:val="none" w:sz="0" w:space="0" w:color="auto"/>
                    <w:right w:val="none" w:sz="0" w:space="0" w:color="auto"/>
                  </w:divBdr>
                </w:div>
                <w:div w:id="418017198">
                  <w:marLeft w:val="0"/>
                  <w:marRight w:val="0"/>
                  <w:marTop w:val="0"/>
                  <w:marBottom w:val="0"/>
                  <w:divBdr>
                    <w:top w:val="none" w:sz="0" w:space="0" w:color="auto"/>
                    <w:left w:val="none" w:sz="0" w:space="0" w:color="auto"/>
                    <w:bottom w:val="none" w:sz="0" w:space="0" w:color="auto"/>
                    <w:right w:val="none" w:sz="0" w:space="0" w:color="auto"/>
                  </w:divBdr>
                </w:div>
                <w:div w:id="517278539">
                  <w:marLeft w:val="0"/>
                  <w:marRight w:val="0"/>
                  <w:marTop w:val="0"/>
                  <w:marBottom w:val="0"/>
                  <w:divBdr>
                    <w:top w:val="none" w:sz="0" w:space="0" w:color="auto"/>
                    <w:left w:val="none" w:sz="0" w:space="0" w:color="auto"/>
                    <w:bottom w:val="none" w:sz="0" w:space="0" w:color="auto"/>
                    <w:right w:val="none" w:sz="0" w:space="0" w:color="auto"/>
                  </w:divBdr>
                </w:div>
                <w:div w:id="642542939">
                  <w:marLeft w:val="0"/>
                  <w:marRight w:val="0"/>
                  <w:marTop w:val="0"/>
                  <w:marBottom w:val="0"/>
                  <w:divBdr>
                    <w:top w:val="none" w:sz="0" w:space="0" w:color="auto"/>
                    <w:left w:val="none" w:sz="0" w:space="0" w:color="auto"/>
                    <w:bottom w:val="none" w:sz="0" w:space="0" w:color="auto"/>
                    <w:right w:val="none" w:sz="0" w:space="0" w:color="auto"/>
                  </w:divBdr>
                </w:div>
                <w:div w:id="679433068">
                  <w:marLeft w:val="0"/>
                  <w:marRight w:val="0"/>
                  <w:marTop w:val="0"/>
                  <w:marBottom w:val="0"/>
                  <w:divBdr>
                    <w:top w:val="none" w:sz="0" w:space="0" w:color="auto"/>
                    <w:left w:val="none" w:sz="0" w:space="0" w:color="auto"/>
                    <w:bottom w:val="none" w:sz="0" w:space="0" w:color="auto"/>
                    <w:right w:val="none" w:sz="0" w:space="0" w:color="auto"/>
                  </w:divBdr>
                </w:div>
                <w:div w:id="857043158">
                  <w:marLeft w:val="0"/>
                  <w:marRight w:val="0"/>
                  <w:marTop w:val="0"/>
                  <w:marBottom w:val="0"/>
                  <w:divBdr>
                    <w:top w:val="none" w:sz="0" w:space="0" w:color="auto"/>
                    <w:left w:val="none" w:sz="0" w:space="0" w:color="auto"/>
                    <w:bottom w:val="none" w:sz="0" w:space="0" w:color="auto"/>
                    <w:right w:val="none" w:sz="0" w:space="0" w:color="auto"/>
                  </w:divBdr>
                </w:div>
                <w:div w:id="992562335">
                  <w:marLeft w:val="0"/>
                  <w:marRight w:val="0"/>
                  <w:marTop w:val="0"/>
                  <w:marBottom w:val="0"/>
                  <w:divBdr>
                    <w:top w:val="none" w:sz="0" w:space="0" w:color="auto"/>
                    <w:left w:val="none" w:sz="0" w:space="0" w:color="auto"/>
                    <w:bottom w:val="none" w:sz="0" w:space="0" w:color="auto"/>
                    <w:right w:val="none" w:sz="0" w:space="0" w:color="auto"/>
                  </w:divBdr>
                </w:div>
                <w:div w:id="1018891613">
                  <w:marLeft w:val="0"/>
                  <w:marRight w:val="0"/>
                  <w:marTop w:val="0"/>
                  <w:marBottom w:val="0"/>
                  <w:divBdr>
                    <w:top w:val="none" w:sz="0" w:space="0" w:color="auto"/>
                    <w:left w:val="none" w:sz="0" w:space="0" w:color="auto"/>
                    <w:bottom w:val="none" w:sz="0" w:space="0" w:color="auto"/>
                    <w:right w:val="none" w:sz="0" w:space="0" w:color="auto"/>
                  </w:divBdr>
                </w:div>
                <w:div w:id="1041244332">
                  <w:marLeft w:val="0"/>
                  <w:marRight w:val="0"/>
                  <w:marTop w:val="0"/>
                  <w:marBottom w:val="0"/>
                  <w:divBdr>
                    <w:top w:val="none" w:sz="0" w:space="0" w:color="auto"/>
                    <w:left w:val="none" w:sz="0" w:space="0" w:color="auto"/>
                    <w:bottom w:val="none" w:sz="0" w:space="0" w:color="auto"/>
                    <w:right w:val="none" w:sz="0" w:space="0" w:color="auto"/>
                  </w:divBdr>
                </w:div>
                <w:div w:id="1585065123">
                  <w:marLeft w:val="0"/>
                  <w:marRight w:val="0"/>
                  <w:marTop w:val="0"/>
                  <w:marBottom w:val="0"/>
                  <w:divBdr>
                    <w:top w:val="none" w:sz="0" w:space="0" w:color="auto"/>
                    <w:left w:val="none" w:sz="0" w:space="0" w:color="auto"/>
                    <w:bottom w:val="none" w:sz="0" w:space="0" w:color="auto"/>
                    <w:right w:val="none" w:sz="0" w:space="0" w:color="auto"/>
                  </w:divBdr>
                </w:div>
                <w:div w:id="1774402003">
                  <w:marLeft w:val="0"/>
                  <w:marRight w:val="0"/>
                  <w:marTop w:val="0"/>
                  <w:marBottom w:val="0"/>
                  <w:divBdr>
                    <w:top w:val="none" w:sz="0" w:space="0" w:color="auto"/>
                    <w:left w:val="none" w:sz="0" w:space="0" w:color="auto"/>
                    <w:bottom w:val="none" w:sz="0" w:space="0" w:color="auto"/>
                    <w:right w:val="none" w:sz="0" w:space="0" w:color="auto"/>
                  </w:divBdr>
                </w:div>
                <w:div w:id="1794011610">
                  <w:marLeft w:val="0"/>
                  <w:marRight w:val="0"/>
                  <w:marTop w:val="0"/>
                  <w:marBottom w:val="0"/>
                  <w:divBdr>
                    <w:top w:val="none" w:sz="0" w:space="0" w:color="auto"/>
                    <w:left w:val="none" w:sz="0" w:space="0" w:color="auto"/>
                    <w:bottom w:val="none" w:sz="0" w:space="0" w:color="auto"/>
                    <w:right w:val="none" w:sz="0" w:space="0" w:color="auto"/>
                  </w:divBdr>
                </w:div>
                <w:div w:id="1828398664">
                  <w:marLeft w:val="0"/>
                  <w:marRight w:val="0"/>
                  <w:marTop w:val="0"/>
                  <w:marBottom w:val="0"/>
                  <w:divBdr>
                    <w:top w:val="none" w:sz="0" w:space="0" w:color="auto"/>
                    <w:left w:val="none" w:sz="0" w:space="0" w:color="auto"/>
                    <w:bottom w:val="none" w:sz="0" w:space="0" w:color="auto"/>
                    <w:right w:val="none" w:sz="0" w:space="0" w:color="auto"/>
                  </w:divBdr>
                </w:div>
                <w:div w:id="1939169930">
                  <w:marLeft w:val="0"/>
                  <w:marRight w:val="0"/>
                  <w:marTop w:val="0"/>
                  <w:marBottom w:val="0"/>
                  <w:divBdr>
                    <w:top w:val="none" w:sz="0" w:space="0" w:color="auto"/>
                    <w:left w:val="none" w:sz="0" w:space="0" w:color="auto"/>
                    <w:bottom w:val="none" w:sz="0" w:space="0" w:color="auto"/>
                    <w:right w:val="none" w:sz="0" w:space="0" w:color="auto"/>
                  </w:divBdr>
                </w:div>
                <w:div w:id="1979140268">
                  <w:marLeft w:val="0"/>
                  <w:marRight w:val="0"/>
                  <w:marTop w:val="0"/>
                  <w:marBottom w:val="0"/>
                  <w:divBdr>
                    <w:top w:val="none" w:sz="0" w:space="0" w:color="auto"/>
                    <w:left w:val="none" w:sz="0" w:space="0" w:color="auto"/>
                    <w:bottom w:val="none" w:sz="0" w:space="0" w:color="auto"/>
                    <w:right w:val="none" w:sz="0" w:space="0" w:color="auto"/>
                  </w:divBdr>
                </w:div>
                <w:div w:id="2046320434">
                  <w:marLeft w:val="0"/>
                  <w:marRight w:val="0"/>
                  <w:marTop w:val="0"/>
                  <w:marBottom w:val="0"/>
                  <w:divBdr>
                    <w:top w:val="none" w:sz="0" w:space="0" w:color="auto"/>
                    <w:left w:val="none" w:sz="0" w:space="0" w:color="auto"/>
                    <w:bottom w:val="none" w:sz="0" w:space="0" w:color="auto"/>
                    <w:right w:val="none" w:sz="0" w:space="0" w:color="auto"/>
                  </w:divBdr>
                </w:div>
                <w:div w:id="2083866096">
                  <w:marLeft w:val="0"/>
                  <w:marRight w:val="0"/>
                  <w:marTop w:val="0"/>
                  <w:marBottom w:val="0"/>
                  <w:divBdr>
                    <w:top w:val="none" w:sz="0" w:space="0" w:color="auto"/>
                    <w:left w:val="none" w:sz="0" w:space="0" w:color="auto"/>
                    <w:bottom w:val="none" w:sz="0" w:space="0" w:color="auto"/>
                    <w:right w:val="none" w:sz="0" w:space="0" w:color="auto"/>
                  </w:divBdr>
                </w:div>
                <w:div w:id="2104955876">
                  <w:marLeft w:val="0"/>
                  <w:marRight w:val="0"/>
                  <w:marTop w:val="0"/>
                  <w:marBottom w:val="0"/>
                  <w:divBdr>
                    <w:top w:val="none" w:sz="0" w:space="0" w:color="auto"/>
                    <w:left w:val="none" w:sz="0" w:space="0" w:color="auto"/>
                    <w:bottom w:val="none" w:sz="0" w:space="0" w:color="auto"/>
                    <w:right w:val="none" w:sz="0" w:space="0" w:color="auto"/>
                  </w:divBdr>
                </w:div>
                <w:div w:id="2114547991">
                  <w:marLeft w:val="0"/>
                  <w:marRight w:val="0"/>
                  <w:marTop w:val="0"/>
                  <w:marBottom w:val="0"/>
                  <w:divBdr>
                    <w:top w:val="none" w:sz="0" w:space="0" w:color="auto"/>
                    <w:left w:val="none" w:sz="0" w:space="0" w:color="auto"/>
                    <w:bottom w:val="none" w:sz="0" w:space="0" w:color="auto"/>
                    <w:right w:val="none" w:sz="0" w:space="0" w:color="auto"/>
                  </w:divBdr>
                </w:div>
                <w:div w:id="21193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4469">
      <w:bodyDiv w:val="1"/>
      <w:marLeft w:val="0"/>
      <w:marRight w:val="0"/>
      <w:marTop w:val="0"/>
      <w:marBottom w:val="0"/>
      <w:divBdr>
        <w:top w:val="none" w:sz="0" w:space="0" w:color="auto"/>
        <w:left w:val="none" w:sz="0" w:space="0" w:color="auto"/>
        <w:bottom w:val="none" w:sz="0" w:space="0" w:color="auto"/>
        <w:right w:val="none" w:sz="0" w:space="0" w:color="auto"/>
      </w:divBdr>
      <w:divsChild>
        <w:div w:id="1142962005">
          <w:marLeft w:val="0"/>
          <w:marRight w:val="0"/>
          <w:marTop w:val="0"/>
          <w:marBottom w:val="0"/>
          <w:divBdr>
            <w:top w:val="none" w:sz="0" w:space="0" w:color="auto"/>
            <w:left w:val="none" w:sz="0" w:space="0" w:color="auto"/>
            <w:bottom w:val="none" w:sz="0" w:space="0" w:color="auto"/>
            <w:right w:val="none" w:sz="0" w:space="0" w:color="auto"/>
          </w:divBdr>
        </w:div>
      </w:divsChild>
    </w:div>
    <w:div w:id="1415588572">
      <w:bodyDiv w:val="1"/>
      <w:marLeft w:val="0"/>
      <w:marRight w:val="0"/>
      <w:marTop w:val="0"/>
      <w:marBottom w:val="0"/>
      <w:divBdr>
        <w:top w:val="none" w:sz="0" w:space="0" w:color="auto"/>
        <w:left w:val="none" w:sz="0" w:space="0" w:color="auto"/>
        <w:bottom w:val="none" w:sz="0" w:space="0" w:color="auto"/>
        <w:right w:val="none" w:sz="0" w:space="0" w:color="auto"/>
      </w:divBdr>
      <w:divsChild>
        <w:div w:id="1667637">
          <w:marLeft w:val="0"/>
          <w:marRight w:val="0"/>
          <w:marTop w:val="0"/>
          <w:marBottom w:val="0"/>
          <w:divBdr>
            <w:top w:val="none" w:sz="0" w:space="0" w:color="auto"/>
            <w:left w:val="none" w:sz="0" w:space="0" w:color="auto"/>
            <w:bottom w:val="none" w:sz="0" w:space="0" w:color="auto"/>
            <w:right w:val="none" w:sz="0" w:space="0" w:color="auto"/>
          </w:divBdr>
        </w:div>
        <w:div w:id="97414076">
          <w:marLeft w:val="0"/>
          <w:marRight w:val="0"/>
          <w:marTop w:val="0"/>
          <w:marBottom w:val="0"/>
          <w:divBdr>
            <w:top w:val="none" w:sz="0" w:space="0" w:color="auto"/>
            <w:left w:val="none" w:sz="0" w:space="0" w:color="auto"/>
            <w:bottom w:val="none" w:sz="0" w:space="0" w:color="auto"/>
            <w:right w:val="none" w:sz="0" w:space="0" w:color="auto"/>
          </w:divBdr>
        </w:div>
        <w:div w:id="112139683">
          <w:marLeft w:val="0"/>
          <w:marRight w:val="0"/>
          <w:marTop w:val="0"/>
          <w:marBottom w:val="0"/>
          <w:divBdr>
            <w:top w:val="none" w:sz="0" w:space="0" w:color="auto"/>
            <w:left w:val="none" w:sz="0" w:space="0" w:color="auto"/>
            <w:bottom w:val="none" w:sz="0" w:space="0" w:color="auto"/>
            <w:right w:val="none" w:sz="0" w:space="0" w:color="auto"/>
          </w:divBdr>
        </w:div>
        <w:div w:id="265622455">
          <w:marLeft w:val="0"/>
          <w:marRight w:val="0"/>
          <w:marTop w:val="0"/>
          <w:marBottom w:val="0"/>
          <w:divBdr>
            <w:top w:val="none" w:sz="0" w:space="0" w:color="auto"/>
            <w:left w:val="none" w:sz="0" w:space="0" w:color="auto"/>
            <w:bottom w:val="none" w:sz="0" w:space="0" w:color="auto"/>
            <w:right w:val="none" w:sz="0" w:space="0" w:color="auto"/>
          </w:divBdr>
        </w:div>
        <w:div w:id="346827717">
          <w:marLeft w:val="0"/>
          <w:marRight w:val="0"/>
          <w:marTop w:val="0"/>
          <w:marBottom w:val="0"/>
          <w:divBdr>
            <w:top w:val="none" w:sz="0" w:space="0" w:color="auto"/>
            <w:left w:val="none" w:sz="0" w:space="0" w:color="auto"/>
            <w:bottom w:val="none" w:sz="0" w:space="0" w:color="auto"/>
            <w:right w:val="none" w:sz="0" w:space="0" w:color="auto"/>
          </w:divBdr>
        </w:div>
        <w:div w:id="541016257">
          <w:marLeft w:val="0"/>
          <w:marRight w:val="0"/>
          <w:marTop w:val="0"/>
          <w:marBottom w:val="0"/>
          <w:divBdr>
            <w:top w:val="none" w:sz="0" w:space="0" w:color="auto"/>
            <w:left w:val="none" w:sz="0" w:space="0" w:color="auto"/>
            <w:bottom w:val="none" w:sz="0" w:space="0" w:color="auto"/>
            <w:right w:val="none" w:sz="0" w:space="0" w:color="auto"/>
          </w:divBdr>
        </w:div>
        <w:div w:id="845678575">
          <w:marLeft w:val="0"/>
          <w:marRight w:val="0"/>
          <w:marTop w:val="0"/>
          <w:marBottom w:val="0"/>
          <w:divBdr>
            <w:top w:val="none" w:sz="0" w:space="0" w:color="auto"/>
            <w:left w:val="none" w:sz="0" w:space="0" w:color="auto"/>
            <w:bottom w:val="none" w:sz="0" w:space="0" w:color="auto"/>
            <w:right w:val="none" w:sz="0" w:space="0" w:color="auto"/>
          </w:divBdr>
        </w:div>
        <w:div w:id="1025908115">
          <w:marLeft w:val="0"/>
          <w:marRight w:val="0"/>
          <w:marTop w:val="0"/>
          <w:marBottom w:val="0"/>
          <w:divBdr>
            <w:top w:val="none" w:sz="0" w:space="0" w:color="auto"/>
            <w:left w:val="none" w:sz="0" w:space="0" w:color="auto"/>
            <w:bottom w:val="none" w:sz="0" w:space="0" w:color="auto"/>
            <w:right w:val="none" w:sz="0" w:space="0" w:color="auto"/>
          </w:divBdr>
        </w:div>
        <w:div w:id="1063025816">
          <w:marLeft w:val="0"/>
          <w:marRight w:val="0"/>
          <w:marTop w:val="0"/>
          <w:marBottom w:val="0"/>
          <w:divBdr>
            <w:top w:val="none" w:sz="0" w:space="0" w:color="auto"/>
            <w:left w:val="none" w:sz="0" w:space="0" w:color="auto"/>
            <w:bottom w:val="none" w:sz="0" w:space="0" w:color="auto"/>
            <w:right w:val="none" w:sz="0" w:space="0" w:color="auto"/>
          </w:divBdr>
        </w:div>
        <w:div w:id="1390573690">
          <w:marLeft w:val="0"/>
          <w:marRight w:val="0"/>
          <w:marTop w:val="0"/>
          <w:marBottom w:val="0"/>
          <w:divBdr>
            <w:top w:val="none" w:sz="0" w:space="0" w:color="auto"/>
            <w:left w:val="none" w:sz="0" w:space="0" w:color="auto"/>
            <w:bottom w:val="none" w:sz="0" w:space="0" w:color="auto"/>
            <w:right w:val="none" w:sz="0" w:space="0" w:color="auto"/>
          </w:divBdr>
        </w:div>
      </w:divsChild>
    </w:div>
    <w:div w:id="1474981015">
      <w:bodyDiv w:val="1"/>
      <w:marLeft w:val="0"/>
      <w:marRight w:val="0"/>
      <w:marTop w:val="0"/>
      <w:marBottom w:val="0"/>
      <w:divBdr>
        <w:top w:val="none" w:sz="0" w:space="0" w:color="auto"/>
        <w:left w:val="none" w:sz="0" w:space="0" w:color="auto"/>
        <w:bottom w:val="none" w:sz="0" w:space="0" w:color="auto"/>
        <w:right w:val="none" w:sz="0" w:space="0" w:color="auto"/>
      </w:divBdr>
      <w:divsChild>
        <w:div w:id="311756474">
          <w:marLeft w:val="0"/>
          <w:marRight w:val="0"/>
          <w:marTop w:val="0"/>
          <w:marBottom w:val="0"/>
          <w:divBdr>
            <w:top w:val="none" w:sz="0" w:space="0" w:color="auto"/>
            <w:left w:val="none" w:sz="0" w:space="0" w:color="auto"/>
            <w:bottom w:val="none" w:sz="0" w:space="0" w:color="auto"/>
            <w:right w:val="none" w:sz="0" w:space="0" w:color="auto"/>
          </w:divBdr>
        </w:div>
        <w:div w:id="404575222">
          <w:marLeft w:val="0"/>
          <w:marRight w:val="0"/>
          <w:marTop w:val="0"/>
          <w:marBottom w:val="0"/>
          <w:divBdr>
            <w:top w:val="none" w:sz="0" w:space="0" w:color="auto"/>
            <w:left w:val="none" w:sz="0" w:space="0" w:color="auto"/>
            <w:bottom w:val="none" w:sz="0" w:space="0" w:color="auto"/>
            <w:right w:val="none" w:sz="0" w:space="0" w:color="auto"/>
          </w:divBdr>
        </w:div>
        <w:div w:id="501702463">
          <w:marLeft w:val="0"/>
          <w:marRight w:val="0"/>
          <w:marTop w:val="0"/>
          <w:marBottom w:val="0"/>
          <w:divBdr>
            <w:top w:val="none" w:sz="0" w:space="0" w:color="auto"/>
            <w:left w:val="none" w:sz="0" w:space="0" w:color="auto"/>
            <w:bottom w:val="none" w:sz="0" w:space="0" w:color="auto"/>
            <w:right w:val="none" w:sz="0" w:space="0" w:color="auto"/>
          </w:divBdr>
        </w:div>
        <w:div w:id="846287016">
          <w:marLeft w:val="0"/>
          <w:marRight w:val="0"/>
          <w:marTop w:val="0"/>
          <w:marBottom w:val="0"/>
          <w:divBdr>
            <w:top w:val="none" w:sz="0" w:space="0" w:color="auto"/>
            <w:left w:val="none" w:sz="0" w:space="0" w:color="auto"/>
            <w:bottom w:val="none" w:sz="0" w:space="0" w:color="auto"/>
            <w:right w:val="none" w:sz="0" w:space="0" w:color="auto"/>
          </w:divBdr>
        </w:div>
        <w:div w:id="1163400122">
          <w:marLeft w:val="0"/>
          <w:marRight w:val="0"/>
          <w:marTop w:val="0"/>
          <w:marBottom w:val="0"/>
          <w:divBdr>
            <w:top w:val="none" w:sz="0" w:space="0" w:color="auto"/>
            <w:left w:val="none" w:sz="0" w:space="0" w:color="auto"/>
            <w:bottom w:val="none" w:sz="0" w:space="0" w:color="auto"/>
            <w:right w:val="none" w:sz="0" w:space="0" w:color="auto"/>
          </w:divBdr>
        </w:div>
        <w:div w:id="1304651478">
          <w:marLeft w:val="0"/>
          <w:marRight w:val="0"/>
          <w:marTop w:val="0"/>
          <w:marBottom w:val="0"/>
          <w:divBdr>
            <w:top w:val="none" w:sz="0" w:space="0" w:color="auto"/>
            <w:left w:val="none" w:sz="0" w:space="0" w:color="auto"/>
            <w:bottom w:val="none" w:sz="0" w:space="0" w:color="auto"/>
            <w:right w:val="none" w:sz="0" w:space="0" w:color="auto"/>
          </w:divBdr>
        </w:div>
        <w:div w:id="1440368584">
          <w:marLeft w:val="0"/>
          <w:marRight w:val="0"/>
          <w:marTop w:val="0"/>
          <w:marBottom w:val="0"/>
          <w:divBdr>
            <w:top w:val="none" w:sz="0" w:space="0" w:color="auto"/>
            <w:left w:val="none" w:sz="0" w:space="0" w:color="auto"/>
            <w:bottom w:val="none" w:sz="0" w:space="0" w:color="auto"/>
            <w:right w:val="none" w:sz="0" w:space="0" w:color="auto"/>
          </w:divBdr>
        </w:div>
      </w:divsChild>
    </w:div>
    <w:div w:id="1489444865">
      <w:bodyDiv w:val="1"/>
      <w:marLeft w:val="0"/>
      <w:marRight w:val="0"/>
      <w:marTop w:val="0"/>
      <w:marBottom w:val="0"/>
      <w:divBdr>
        <w:top w:val="none" w:sz="0" w:space="0" w:color="auto"/>
        <w:left w:val="none" w:sz="0" w:space="0" w:color="auto"/>
        <w:bottom w:val="none" w:sz="0" w:space="0" w:color="auto"/>
        <w:right w:val="none" w:sz="0" w:space="0" w:color="auto"/>
      </w:divBdr>
    </w:div>
    <w:div w:id="1508403930">
      <w:bodyDiv w:val="1"/>
      <w:marLeft w:val="0"/>
      <w:marRight w:val="0"/>
      <w:marTop w:val="0"/>
      <w:marBottom w:val="0"/>
      <w:divBdr>
        <w:top w:val="none" w:sz="0" w:space="0" w:color="auto"/>
        <w:left w:val="none" w:sz="0" w:space="0" w:color="auto"/>
        <w:bottom w:val="none" w:sz="0" w:space="0" w:color="auto"/>
        <w:right w:val="none" w:sz="0" w:space="0" w:color="auto"/>
      </w:divBdr>
      <w:divsChild>
        <w:div w:id="1414476242">
          <w:marLeft w:val="0"/>
          <w:marRight w:val="0"/>
          <w:marTop w:val="0"/>
          <w:marBottom w:val="0"/>
          <w:divBdr>
            <w:top w:val="none" w:sz="0" w:space="0" w:color="auto"/>
            <w:left w:val="none" w:sz="0" w:space="0" w:color="auto"/>
            <w:bottom w:val="none" w:sz="0" w:space="0" w:color="auto"/>
            <w:right w:val="none" w:sz="0" w:space="0" w:color="auto"/>
          </w:divBdr>
          <w:divsChild>
            <w:div w:id="911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756">
      <w:bodyDiv w:val="1"/>
      <w:marLeft w:val="0"/>
      <w:marRight w:val="0"/>
      <w:marTop w:val="0"/>
      <w:marBottom w:val="0"/>
      <w:divBdr>
        <w:top w:val="none" w:sz="0" w:space="0" w:color="auto"/>
        <w:left w:val="none" w:sz="0" w:space="0" w:color="auto"/>
        <w:bottom w:val="none" w:sz="0" w:space="0" w:color="auto"/>
        <w:right w:val="none" w:sz="0" w:space="0" w:color="auto"/>
      </w:divBdr>
      <w:divsChild>
        <w:div w:id="1760132358">
          <w:marLeft w:val="0"/>
          <w:marRight w:val="0"/>
          <w:marTop w:val="0"/>
          <w:marBottom w:val="0"/>
          <w:divBdr>
            <w:top w:val="none" w:sz="0" w:space="0" w:color="auto"/>
            <w:left w:val="none" w:sz="0" w:space="0" w:color="auto"/>
            <w:bottom w:val="none" w:sz="0" w:space="0" w:color="auto"/>
            <w:right w:val="none" w:sz="0" w:space="0" w:color="auto"/>
          </w:divBdr>
        </w:div>
        <w:div w:id="2068138458">
          <w:marLeft w:val="0"/>
          <w:marRight w:val="0"/>
          <w:marTop w:val="0"/>
          <w:marBottom w:val="0"/>
          <w:divBdr>
            <w:top w:val="none" w:sz="0" w:space="0" w:color="auto"/>
            <w:left w:val="none" w:sz="0" w:space="0" w:color="auto"/>
            <w:bottom w:val="none" w:sz="0" w:space="0" w:color="auto"/>
            <w:right w:val="none" w:sz="0" w:space="0" w:color="auto"/>
          </w:divBdr>
        </w:div>
        <w:div w:id="1577010307">
          <w:marLeft w:val="0"/>
          <w:marRight w:val="0"/>
          <w:marTop w:val="0"/>
          <w:marBottom w:val="0"/>
          <w:divBdr>
            <w:top w:val="none" w:sz="0" w:space="0" w:color="auto"/>
            <w:left w:val="none" w:sz="0" w:space="0" w:color="auto"/>
            <w:bottom w:val="none" w:sz="0" w:space="0" w:color="auto"/>
            <w:right w:val="none" w:sz="0" w:space="0" w:color="auto"/>
          </w:divBdr>
        </w:div>
        <w:div w:id="34238573">
          <w:marLeft w:val="0"/>
          <w:marRight w:val="0"/>
          <w:marTop w:val="0"/>
          <w:marBottom w:val="0"/>
          <w:divBdr>
            <w:top w:val="none" w:sz="0" w:space="0" w:color="auto"/>
            <w:left w:val="none" w:sz="0" w:space="0" w:color="auto"/>
            <w:bottom w:val="none" w:sz="0" w:space="0" w:color="auto"/>
            <w:right w:val="none" w:sz="0" w:space="0" w:color="auto"/>
          </w:divBdr>
        </w:div>
        <w:div w:id="568074209">
          <w:marLeft w:val="0"/>
          <w:marRight w:val="0"/>
          <w:marTop w:val="0"/>
          <w:marBottom w:val="0"/>
          <w:divBdr>
            <w:top w:val="none" w:sz="0" w:space="0" w:color="auto"/>
            <w:left w:val="none" w:sz="0" w:space="0" w:color="auto"/>
            <w:bottom w:val="none" w:sz="0" w:space="0" w:color="auto"/>
            <w:right w:val="none" w:sz="0" w:space="0" w:color="auto"/>
          </w:divBdr>
        </w:div>
        <w:div w:id="319580810">
          <w:marLeft w:val="0"/>
          <w:marRight w:val="0"/>
          <w:marTop w:val="0"/>
          <w:marBottom w:val="0"/>
          <w:divBdr>
            <w:top w:val="none" w:sz="0" w:space="0" w:color="auto"/>
            <w:left w:val="none" w:sz="0" w:space="0" w:color="auto"/>
            <w:bottom w:val="none" w:sz="0" w:space="0" w:color="auto"/>
            <w:right w:val="none" w:sz="0" w:space="0" w:color="auto"/>
          </w:divBdr>
        </w:div>
        <w:div w:id="1178348296">
          <w:marLeft w:val="0"/>
          <w:marRight w:val="0"/>
          <w:marTop w:val="0"/>
          <w:marBottom w:val="0"/>
          <w:divBdr>
            <w:top w:val="none" w:sz="0" w:space="0" w:color="auto"/>
            <w:left w:val="none" w:sz="0" w:space="0" w:color="auto"/>
            <w:bottom w:val="none" w:sz="0" w:space="0" w:color="auto"/>
            <w:right w:val="none" w:sz="0" w:space="0" w:color="auto"/>
          </w:divBdr>
        </w:div>
        <w:div w:id="1471440404">
          <w:marLeft w:val="0"/>
          <w:marRight w:val="0"/>
          <w:marTop w:val="0"/>
          <w:marBottom w:val="0"/>
          <w:divBdr>
            <w:top w:val="none" w:sz="0" w:space="0" w:color="auto"/>
            <w:left w:val="none" w:sz="0" w:space="0" w:color="auto"/>
            <w:bottom w:val="none" w:sz="0" w:space="0" w:color="auto"/>
            <w:right w:val="none" w:sz="0" w:space="0" w:color="auto"/>
          </w:divBdr>
        </w:div>
        <w:div w:id="1107627231">
          <w:marLeft w:val="0"/>
          <w:marRight w:val="0"/>
          <w:marTop w:val="0"/>
          <w:marBottom w:val="0"/>
          <w:divBdr>
            <w:top w:val="none" w:sz="0" w:space="0" w:color="auto"/>
            <w:left w:val="none" w:sz="0" w:space="0" w:color="auto"/>
            <w:bottom w:val="none" w:sz="0" w:space="0" w:color="auto"/>
            <w:right w:val="none" w:sz="0" w:space="0" w:color="auto"/>
          </w:divBdr>
        </w:div>
        <w:div w:id="1110466923">
          <w:marLeft w:val="0"/>
          <w:marRight w:val="0"/>
          <w:marTop w:val="0"/>
          <w:marBottom w:val="0"/>
          <w:divBdr>
            <w:top w:val="none" w:sz="0" w:space="0" w:color="auto"/>
            <w:left w:val="none" w:sz="0" w:space="0" w:color="auto"/>
            <w:bottom w:val="none" w:sz="0" w:space="0" w:color="auto"/>
            <w:right w:val="none" w:sz="0" w:space="0" w:color="auto"/>
          </w:divBdr>
        </w:div>
        <w:div w:id="1882202000">
          <w:marLeft w:val="0"/>
          <w:marRight w:val="0"/>
          <w:marTop w:val="0"/>
          <w:marBottom w:val="0"/>
          <w:divBdr>
            <w:top w:val="none" w:sz="0" w:space="0" w:color="auto"/>
            <w:left w:val="none" w:sz="0" w:space="0" w:color="auto"/>
            <w:bottom w:val="none" w:sz="0" w:space="0" w:color="auto"/>
            <w:right w:val="none" w:sz="0" w:space="0" w:color="auto"/>
          </w:divBdr>
        </w:div>
        <w:div w:id="1577670241">
          <w:marLeft w:val="0"/>
          <w:marRight w:val="0"/>
          <w:marTop w:val="0"/>
          <w:marBottom w:val="0"/>
          <w:divBdr>
            <w:top w:val="none" w:sz="0" w:space="0" w:color="auto"/>
            <w:left w:val="none" w:sz="0" w:space="0" w:color="auto"/>
            <w:bottom w:val="none" w:sz="0" w:space="0" w:color="auto"/>
            <w:right w:val="none" w:sz="0" w:space="0" w:color="auto"/>
          </w:divBdr>
        </w:div>
        <w:div w:id="1803687837">
          <w:marLeft w:val="0"/>
          <w:marRight w:val="0"/>
          <w:marTop w:val="0"/>
          <w:marBottom w:val="0"/>
          <w:divBdr>
            <w:top w:val="none" w:sz="0" w:space="0" w:color="auto"/>
            <w:left w:val="none" w:sz="0" w:space="0" w:color="auto"/>
            <w:bottom w:val="none" w:sz="0" w:space="0" w:color="auto"/>
            <w:right w:val="none" w:sz="0" w:space="0" w:color="auto"/>
          </w:divBdr>
        </w:div>
        <w:div w:id="1917782712">
          <w:marLeft w:val="0"/>
          <w:marRight w:val="0"/>
          <w:marTop w:val="0"/>
          <w:marBottom w:val="0"/>
          <w:divBdr>
            <w:top w:val="none" w:sz="0" w:space="0" w:color="auto"/>
            <w:left w:val="none" w:sz="0" w:space="0" w:color="auto"/>
            <w:bottom w:val="none" w:sz="0" w:space="0" w:color="auto"/>
            <w:right w:val="none" w:sz="0" w:space="0" w:color="auto"/>
          </w:divBdr>
        </w:div>
        <w:div w:id="1353727539">
          <w:marLeft w:val="0"/>
          <w:marRight w:val="0"/>
          <w:marTop w:val="0"/>
          <w:marBottom w:val="0"/>
          <w:divBdr>
            <w:top w:val="none" w:sz="0" w:space="0" w:color="auto"/>
            <w:left w:val="none" w:sz="0" w:space="0" w:color="auto"/>
            <w:bottom w:val="none" w:sz="0" w:space="0" w:color="auto"/>
            <w:right w:val="none" w:sz="0" w:space="0" w:color="auto"/>
          </w:divBdr>
        </w:div>
        <w:div w:id="1123420105">
          <w:marLeft w:val="0"/>
          <w:marRight w:val="0"/>
          <w:marTop w:val="0"/>
          <w:marBottom w:val="0"/>
          <w:divBdr>
            <w:top w:val="none" w:sz="0" w:space="0" w:color="auto"/>
            <w:left w:val="none" w:sz="0" w:space="0" w:color="auto"/>
            <w:bottom w:val="none" w:sz="0" w:space="0" w:color="auto"/>
            <w:right w:val="none" w:sz="0" w:space="0" w:color="auto"/>
          </w:divBdr>
        </w:div>
        <w:div w:id="1041903861">
          <w:marLeft w:val="0"/>
          <w:marRight w:val="0"/>
          <w:marTop w:val="0"/>
          <w:marBottom w:val="0"/>
          <w:divBdr>
            <w:top w:val="none" w:sz="0" w:space="0" w:color="auto"/>
            <w:left w:val="none" w:sz="0" w:space="0" w:color="auto"/>
            <w:bottom w:val="none" w:sz="0" w:space="0" w:color="auto"/>
            <w:right w:val="none" w:sz="0" w:space="0" w:color="auto"/>
          </w:divBdr>
        </w:div>
        <w:div w:id="1351494862">
          <w:marLeft w:val="0"/>
          <w:marRight w:val="0"/>
          <w:marTop w:val="0"/>
          <w:marBottom w:val="0"/>
          <w:divBdr>
            <w:top w:val="none" w:sz="0" w:space="0" w:color="auto"/>
            <w:left w:val="none" w:sz="0" w:space="0" w:color="auto"/>
            <w:bottom w:val="none" w:sz="0" w:space="0" w:color="auto"/>
            <w:right w:val="none" w:sz="0" w:space="0" w:color="auto"/>
          </w:divBdr>
        </w:div>
        <w:div w:id="1560281900">
          <w:marLeft w:val="0"/>
          <w:marRight w:val="0"/>
          <w:marTop w:val="0"/>
          <w:marBottom w:val="0"/>
          <w:divBdr>
            <w:top w:val="none" w:sz="0" w:space="0" w:color="auto"/>
            <w:left w:val="none" w:sz="0" w:space="0" w:color="auto"/>
            <w:bottom w:val="none" w:sz="0" w:space="0" w:color="auto"/>
            <w:right w:val="none" w:sz="0" w:space="0" w:color="auto"/>
          </w:divBdr>
        </w:div>
        <w:div w:id="938875790">
          <w:marLeft w:val="0"/>
          <w:marRight w:val="0"/>
          <w:marTop w:val="0"/>
          <w:marBottom w:val="0"/>
          <w:divBdr>
            <w:top w:val="none" w:sz="0" w:space="0" w:color="auto"/>
            <w:left w:val="none" w:sz="0" w:space="0" w:color="auto"/>
            <w:bottom w:val="none" w:sz="0" w:space="0" w:color="auto"/>
            <w:right w:val="none" w:sz="0" w:space="0" w:color="auto"/>
          </w:divBdr>
        </w:div>
        <w:div w:id="663780864">
          <w:marLeft w:val="0"/>
          <w:marRight w:val="0"/>
          <w:marTop w:val="0"/>
          <w:marBottom w:val="0"/>
          <w:divBdr>
            <w:top w:val="none" w:sz="0" w:space="0" w:color="auto"/>
            <w:left w:val="none" w:sz="0" w:space="0" w:color="auto"/>
            <w:bottom w:val="none" w:sz="0" w:space="0" w:color="auto"/>
            <w:right w:val="none" w:sz="0" w:space="0" w:color="auto"/>
          </w:divBdr>
        </w:div>
        <w:div w:id="1934782549">
          <w:marLeft w:val="0"/>
          <w:marRight w:val="0"/>
          <w:marTop w:val="0"/>
          <w:marBottom w:val="0"/>
          <w:divBdr>
            <w:top w:val="none" w:sz="0" w:space="0" w:color="auto"/>
            <w:left w:val="none" w:sz="0" w:space="0" w:color="auto"/>
            <w:bottom w:val="none" w:sz="0" w:space="0" w:color="auto"/>
            <w:right w:val="none" w:sz="0" w:space="0" w:color="auto"/>
          </w:divBdr>
        </w:div>
        <w:div w:id="85612239">
          <w:marLeft w:val="0"/>
          <w:marRight w:val="0"/>
          <w:marTop w:val="0"/>
          <w:marBottom w:val="0"/>
          <w:divBdr>
            <w:top w:val="none" w:sz="0" w:space="0" w:color="auto"/>
            <w:left w:val="none" w:sz="0" w:space="0" w:color="auto"/>
            <w:bottom w:val="none" w:sz="0" w:space="0" w:color="auto"/>
            <w:right w:val="none" w:sz="0" w:space="0" w:color="auto"/>
          </w:divBdr>
        </w:div>
      </w:divsChild>
    </w:div>
    <w:div w:id="2027362758">
      <w:bodyDiv w:val="1"/>
      <w:marLeft w:val="0"/>
      <w:marRight w:val="0"/>
      <w:marTop w:val="0"/>
      <w:marBottom w:val="0"/>
      <w:divBdr>
        <w:top w:val="none" w:sz="0" w:space="0" w:color="auto"/>
        <w:left w:val="none" w:sz="0" w:space="0" w:color="auto"/>
        <w:bottom w:val="none" w:sz="0" w:space="0" w:color="auto"/>
        <w:right w:val="none" w:sz="0" w:space="0" w:color="auto"/>
      </w:divBdr>
      <w:divsChild>
        <w:div w:id="246548322">
          <w:marLeft w:val="0"/>
          <w:marRight w:val="0"/>
          <w:marTop w:val="0"/>
          <w:marBottom w:val="0"/>
          <w:divBdr>
            <w:top w:val="none" w:sz="0" w:space="0" w:color="auto"/>
            <w:left w:val="none" w:sz="0" w:space="0" w:color="auto"/>
            <w:bottom w:val="none" w:sz="0" w:space="0" w:color="auto"/>
            <w:right w:val="none" w:sz="0" w:space="0" w:color="auto"/>
          </w:divBdr>
        </w:div>
        <w:div w:id="254285829">
          <w:marLeft w:val="0"/>
          <w:marRight w:val="0"/>
          <w:marTop w:val="0"/>
          <w:marBottom w:val="0"/>
          <w:divBdr>
            <w:top w:val="none" w:sz="0" w:space="0" w:color="auto"/>
            <w:left w:val="none" w:sz="0" w:space="0" w:color="auto"/>
            <w:bottom w:val="none" w:sz="0" w:space="0" w:color="auto"/>
            <w:right w:val="none" w:sz="0" w:space="0" w:color="auto"/>
          </w:divBdr>
        </w:div>
        <w:div w:id="322903664">
          <w:marLeft w:val="0"/>
          <w:marRight w:val="0"/>
          <w:marTop w:val="0"/>
          <w:marBottom w:val="0"/>
          <w:divBdr>
            <w:top w:val="none" w:sz="0" w:space="0" w:color="auto"/>
            <w:left w:val="none" w:sz="0" w:space="0" w:color="auto"/>
            <w:bottom w:val="none" w:sz="0" w:space="0" w:color="auto"/>
            <w:right w:val="none" w:sz="0" w:space="0" w:color="auto"/>
          </w:divBdr>
        </w:div>
        <w:div w:id="515002370">
          <w:marLeft w:val="0"/>
          <w:marRight w:val="0"/>
          <w:marTop w:val="0"/>
          <w:marBottom w:val="0"/>
          <w:divBdr>
            <w:top w:val="none" w:sz="0" w:space="0" w:color="auto"/>
            <w:left w:val="none" w:sz="0" w:space="0" w:color="auto"/>
            <w:bottom w:val="none" w:sz="0" w:space="0" w:color="auto"/>
            <w:right w:val="none" w:sz="0" w:space="0" w:color="auto"/>
          </w:divBdr>
        </w:div>
        <w:div w:id="528761184">
          <w:marLeft w:val="0"/>
          <w:marRight w:val="0"/>
          <w:marTop w:val="0"/>
          <w:marBottom w:val="0"/>
          <w:divBdr>
            <w:top w:val="none" w:sz="0" w:space="0" w:color="auto"/>
            <w:left w:val="none" w:sz="0" w:space="0" w:color="auto"/>
            <w:bottom w:val="none" w:sz="0" w:space="0" w:color="auto"/>
            <w:right w:val="none" w:sz="0" w:space="0" w:color="auto"/>
          </w:divBdr>
        </w:div>
        <w:div w:id="943196898">
          <w:marLeft w:val="0"/>
          <w:marRight w:val="0"/>
          <w:marTop w:val="0"/>
          <w:marBottom w:val="0"/>
          <w:divBdr>
            <w:top w:val="none" w:sz="0" w:space="0" w:color="auto"/>
            <w:left w:val="none" w:sz="0" w:space="0" w:color="auto"/>
            <w:bottom w:val="none" w:sz="0" w:space="0" w:color="auto"/>
            <w:right w:val="none" w:sz="0" w:space="0" w:color="auto"/>
          </w:divBdr>
        </w:div>
        <w:div w:id="970480176">
          <w:marLeft w:val="0"/>
          <w:marRight w:val="0"/>
          <w:marTop w:val="0"/>
          <w:marBottom w:val="0"/>
          <w:divBdr>
            <w:top w:val="none" w:sz="0" w:space="0" w:color="auto"/>
            <w:left w:val="none" w:sz="0" w:space="0" w:color="auto"/>
            <w:bottom w:val="none" w:sz="0" w:space="0" w:color="auto"/>
            <w:right w:val="none" w:sz="0" w:space="0" w:color="auto"/>
          </w:divBdr>
        </w:div>
        <w:div w:id="1260790921">
          <w:marLeft w:val="0"/>
          <w:marRight w:val="0"/>
          <w:marTop w:val="0"/>
          <w:marBottom w:val="0"/>
          <w:divBdr>
            <w:top w:val="none" w:sz="0" w:space="0" w:color="auto"/>
            <w:left w:val="none" w:sz="0" w:space="0" w:color="auto"/>
            <w:bottom w:val="none" w:sz="0" w:space="0" w:color="auto"/>
            <w:right w:val="none" w:sz="0" w:space="0" w:color="auto"/>
          </w:divBdr>
        </w:div>
        <w:div w:id="1479105235">
          <w:marLeft w:val="0"/>
          <w:marRight w:val="0"/>
          <w:marTop w:val="0"/>
          <w:marBottom w:val="0"/>
          <w:divBdr>
            <w:top w:val="none" w:sz="0" w:space="0" w:color="auto"/>
            <w:left w:val="none" w:sz="0" w:space="0" w:color="auto"/>
            <w:bottom w:val="none" w:sz="0" w:space="0" w:color="auto"/>
            <w:right w:val="none" w:sz="0" w:space="0" w:color="auto"/>
          </w:divBdr>
        </w:div>
        <w:div w:id="1917125539">
          <w:marLeft w:val="0"/>
          <w:marRight w:val="0"/>
          <w:marTop w:val="0"/>
          <w:marBottom w:val="0"/>
          <w:divBdr>
            <w:top w:val="none" w:sz="0" w:space="0" w:color="auto"/>
            <w:left w:val="none" w:sz="0" w:space="0" w:color="auto"/>
            <w:bottom w:val="none" w:sz="0" w:space="0" w:color="auto"/>
            <w:right w:val="none" w:sz="0" w:space="0" w:color="auto"/>
          </w:divBdr>
        </w:div>
        <w:div w:id="204659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7D06-04BA-4086-B6F0-F592F368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8360</Words>
  <Characters>47657</Characters>
  <Application>Microsoft Office Word</Application>
  <DocSecurity>0</DocSecurity>
  <Lines>397</Lines>
  <Paragraphs>111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Bichet</dc:creator>
  <cp:lastModifiedBy>Fiona Marshall</cp:lastModifiedBy>
  <cp:revision>2</cp:revision>
  <cp:lastPrinted>2018-10-25T07:26:00Z</cp:lastPrinted>
  <dcterms:created xsi:type="dcterms:W3CDTF">2018-11-30T19:50:00Z</dcterms:created>
  <dcterms:modified xsi:type="dcterms:W3CDTF">2018-11-30T19:50:00Z</dcterms:modified>
</cp:coreProperties>
</file>